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F3CBC3" w14:textId="77777777" w:rsidR="00D71585" w:rsidRPr="00B5705F" w:rsidRDefault="00D71585" w:rsidP="00B5705F">
      <w:pPr>
        <w:spacing w:before="100" w:beforeAutospacing="1" w:after="100" w:afterAutospacing="1" w:line="480" w:lineRule="auto"/>
        <w:jc w:val="center"/>
        <w:outlineLvl w:val="2"/>
        <w:rPr>
          <w:rFonts w:ascii="Times New Roman" w:hAnsi="Times New Roman" w:cs="Times New Roman"/>
          <w:sz w:val="24"/>
          <w:szCs w:val="24"/>
        </w:rPr>
      </w:pPr>
    </w:p>
    <w:p w14:paraId="50DCC158" w14:textId="77777777" w:rsidR="00B5705F" w:rsidRPr="00B5705F" w:rsidRDefault="00B5705F" w:rsidP="00B5705F">
      <w:pPr>
        <w:spacing w:before="100" w:beforeAutospacing="1" w:after="100" w:afterAutospacing="1" w:line="480" w:lineRule="auto"/>
        <w:jc w:val="center"/>
        <w:outlineLvl w:val="2"/>
        <w:rPr>
          <w:rFonts w:ascii="Times New Roman" w:hAnsi="Times New Roman" w:cs="Times New Roman"/>
          <w:sz w:val="24"/>
          <w:szCs w:val="24"/>
        </w:rPr>
      </w:pPr>
    </w:p>
    <w:p w14:paraId="3FF22E13" w14:textId="77777777" w:rsidR="00B5705F" w:rsidRDefault="00B5705F" w:rsidP="00B5705F">
      <w:pPr>
        <w:spacing w:before="100" w:beforeAutospacing="1" w:after="100" w:afterAutospacing="1" w:line="480" w:lineRule="auto"/>
        <w:jc w:val="center"/>
        <w:outlineLvl w:val="2"/>
        <w:rPr>
          <w:rFonts w:ascii="Times New Roman" w:hAnsi="Times New Roman" w:cs="Times New Roman"/>
          <w:sz w:val="24"/>
          <w:szCs w:val="24"/>
        </w:rPr>
      </w:pPr>
    </w:p>
    <w:p w14:paraId="48DE7854" w14:textId="77777777" w:rsidR="00B5705F" w:rsidRDefault="00B5705F" w:rsidP="00B5705F">
      <w:pPr>
        <w:spacing w:before="100" w:beforeAutospacing="1" w:after="100" w:afterAutospacing="1" w:line="480" w:lineRule="auto"/>
        <w:jc w:val="center"/>
        <w:outlineLvl w:val="2"/>
        <w:rPr>
          <w:rFonts w:ascii="Times New Roman" w:hAnsi="Times New Roman" w:cs="Times New Roman"/>
          <w:sz w:val="24"/>
          <w:szCs w:val="24"/>
        </w:rPr>
      </w:pPr>
    </w:p>
    <w:p w14:paraId="19BAF7CC" w14:textId="77777777" w:rsidR="00B5705F" w:rsidRPr="006F3F36" w:rsidRDefault="00B5705F" w:rsidP="00B5705F">
      <w:pPr>
        <w:spacing w:before="100" w:beforeAutospacing="1" w:after="100" w:afterAutospacing="1" w:line="480" w:lineRule="auto"/>
        <w:jc w:val="center"/>
        <w:outlineLvl w:val="2"/>
        <w:rPr>
          <w:rFonts w:ascii="Times New Roman" w:hAnsi="Times New Roman" w:cs="Times New Roman"/>
          <w:b/>
          <w:bCs/>
          <w:sz w:val="24"/>
          <w:szCs w:val="24"/>
        </w:rPr>
      </w:pPr>
    </w:p>
    <w:p w14:paraId="208C50AC" w14:textId="310CD435" w:rsidR="006F3F36" w:rsidRPr="006F3F36" w:rsidRDefault="006F3F36" w:rsidP="006F3F36">
      <w:pPr>
        <w:spacing w:before="100" w:beforeAutospacing="1" w:after="100" w:afterAutospacing="1" w:line="480" w:lineRule="auto"/>
        <w:outlineLvl w:val="2"/>
        <w:rPr>
          <w:rFonts w:ascii="Times New Roman" w:hAnsi="Times New Roman" w:cs="Times New Roman"/>
          <w:b/>
          <w:bCs/>
          <w:sz w:val="24"/>
          <w:szCs w:val="24"/>
        </w:rPr>
      </w:pPr>
      <w:r w:rsidRPr="006F3F36">
        <w:rPr>
          <w:rFonts w:ascii="Times New Roman" w:hAnsi="Times New Roman" w:cs="Times New Roman"/>
          <w:b/>
          <w:bCs/>
          <w:sz w:val="24"/>
          <w:szCs w:val="24"/>
        </w:rPr>
        <w:t xml:space="preserve">                       </w:t>
      </w:r>
      <w:r w:rsidRPr="006F3F36">
        <w:rPr>
          <w:rFonts w:ascii="Times New Roman" w:hAnsi="Times New Roman" w:cs="Times New Roman"/>
          <w:b/>
          <w:bCs/>
          <w:sz w:val="24"/>
          <w:szCs w:val="24"/>
        </w:rPr>
        <w:t>SOCIAL EPIDEMIOLOGY AND PUBLIC HEALTH DEVELOPMENT</w:t>
      </w:r>
    </w:p>
    <w:p w14:paraId="34C11950" w14:textId="77777777" w:rsidR="00B5705F" w:rsidRPr="00B5705F" w:rsidRDefault="00B5705F" w:rsidP="00B5705F">
      <w:pPr>
        <w:spacing w:before="100" w:beforeAutospacing="1" w:after="100" w:afterAutospacing="1" w:line="480" w:lineRule="auto"/>
        <w:jc w:val="center"/>
        <w:outlineLvl w:val="2"/>
        <w:rPr>
          <w:rFonts w:ascii="Times New Roman" w:hAnsi="Times New Roman" w:cs="Times New Roman"/>
          <w:sz w:val="24"/>
          <w:szCs w:val="24"/>
        </w:rPr>
      </w:pPr>
    </w:p>
    <w:p w14:paraId="24D1A597" w14:textId="17D3AA5D" w:rsidR="001719D9" w:rsidRDefault="001719D9" w:rsidP="001719D9">
      <w:pPr>
        <w:spacing w:before="100" w:beforeAutospacing="1" w:after="100" w:afterAutospacing="1" w:line="480" w:lineRule="auto"/>
        <w:jc w:val="center"/>
        <w:outlineLvl w:val="2"/>
        <w:rPr>
          <w:rFonts w:ascii="Times New Roman" w:hAnsi="Times New Roman" w:cs="Times New Roman"/>
          <w:sz w:val="24"/>
          <w:szCs w:val="24"/>
        </w:rPr>
      </w:pPr>
    </w:p>
    <w:p w14:paraId="2E15DF21" w14:textId="49225657" w:rsidR="001719D9" w:rsidRPr="006F3F36" w:rsidRDefault="001719D9" w:rsidP="001719D9">
      <w:pPr>
        <w:spacing w:before="100" w:beforeAutospacing="1" w:after="100" w:afterAutospacing="1" w:line="480" w:lineRule="auto"/>
        <w:jc w:val="center"/>
        <w:outlineLvl w:val="2"/>
        <w:rPr>
          <w:rFonts w:ascii="Times New Roman" w:hAnsi="Times New Roman" w:cs="Times New Roman"/>
          <w:b/>
          <w:bCs/>
          <w:sz w:val="24"/>
          <w:szCs w:val="24"/>
        </w:rPr>
      </w:pPr>
      <w:r w:rsidRPr="006F3F36">
        <w:rPr>
          <w:rFonts w:ascii="Times New Roman" w:hAnsi="Times New Roman" w:cs="Times New Roman"/>
          <w:b/>
          <w:bCs/>
          <w:sz w:val="24"/>
          <w:szCs w:val="24"/>
        </w:rPr>
        <w:t>LORINE AIKPAOJIE</w:t>
      </w:r>
    </w:p>
    <w:p w14:paraId="397D11AA" w14:textId="7E96BC6B" w:rsidR="001719D9" w:rsidRPr="006F3F36" w:rsidRDefault="001719D9" w:rsidP="001719D9">
      <w:pPr>
        <w:spacing w:before="100" w:beforeAutospacing="1" w:after="100" w:afterAutospacing="1" w:line="480" w:lineRule="auto"/>
        <w:jc w:val="center"/>
        <w:outlineLvl w:val="2"/>
        <w:rPr>
          <w:rFonts w:ascii="Times New Roman" w:hAnsi="Times New Roman" w:cs="Times New Roman"/>
          <w:b/>
          <w:bCs/>
          <w:sz w:val="24"/>
          <w:szCs w:val="24"/>
        </w:rPr>
      </w:pPr>
      <w:r w:rsidRPr="006F3F36">
        <w:rPr>
          <w:rFonts w:ascii="Times New Roman" w:hAnsi="Times New Roman" w:cs="Times New Roman"/>
          <w:b/>
          <w:bCs/>
          <w:sz w:val="24"/>
          <w:szCs w:val="24"/>
        </w:rPr>
        <w:t>2532537</w:t>
      </w:r>
    </w:p>
    <w:p w14:paraId="3B66FDEE" w14:textId="1DAAA95D" w:rsidR="006F3F36" w:rsidRPr="006F3F36" w:rsidRDefault="001719D9" w:rsidP="006F3F36">
      <w:pPr>
        <w:spacing w:before="100" w:beforeAutospacing="1" w:after="100" w:afterAutospacing="1" w:line="480" w:lineRule="auto"/>
        <w:jc w:val="center"/>
        <w:outlineLvl w:val="2"/>
        <w:rPr>
          <w:rFonts w:ascii="Times New Roman" w:hAnsi="Times New Roman" w:cs="Times New Roman"/>
          <w:b/>
          <w:bCs/>
          <w:sz w:val="24"/>
          <w:szCs w:val="24"/>
        </w:rPr>
      </w:pPr>
      <w:r w:rsidRPr="006F3F36">
        <w:rPr>
          <w:rFonts w:ascii="Times New Roman" w:hAnsi="Times New Roman" w:cs="Times New Roman"/>
          <w:b/>
          <w:bCs/>
          <w:sz w:val="24"/>
          <w:szCs w:val="24"/>
        </w:rPr>
        <w:t>LCHS700</w:t>
      </w:r>
      <w:r w:rsidR="006F3F36" w:rsidRPr="006F3F36">
        <w:rPr>
          <w:rFonts w:ascii="Times New Roman" w:hAnsi="Times New Roman" w:cs="Times New Roman"/>
          <w:b/>
          <w:bCs/>
          <w:sz w:val="24"/>
          <w:szCs w:val="24"/>
        </w:rPr>
        <w:t>0</w:t>
      </w:r>
    </w:p>
    <w:p w14:paraId="19460210" w14:textId="3F27FD7E" w:rsidR="001719D9" w:rsidRDefault="001719D9" w:rsidP="001719D9">
      <w:pPr>
        <w:spacing w:before="100" w:beforeAutospacing="1" w:after="100" w:afterAutospacing="1" w:line="480" w:lineRule="auto"/>
        <w:outlineLvl w:val="2"/>
        <w:rPr>
          <w:rFonts w:ascii="Times New Roman" w:hAnsi="Times New Roman" w:cs="Times New Roman"/>
          <w:sz w:val="24"/>
          <w:szCs w:val="24"/>
        </w:rPr>
      </w:pPr>
      <w:r>
        <w:rPr>
          <w:rFonts w:ascii="Times New Roman" w:hAnsi="Times New Roman" w:cs="Times New Roman"/>
          <w:sz w:val="24"/>
          <w:szCs w:val="24"/>
        </w:rPr>
        <w:t xml:space="preserve">                                          </w:t>
      </w:r>
    </w:p>
    <w:p w14:paraId="575FCE60" w14:textId="5B22F084" w:rsidR="001719D9" w:rsidRPr="006F3F36" w:rsidRDefault="001719D9" w:rsidP="001719D9">
      <w:pPr>
        <w:spacing w:before="100" w:beforeAutospacing="1" w:after="100" w:afterAutospacing="1" w:line="480" w:lineRule="auto"/>
        <w:outlineLvl w:val="2"/>
        <w:rPr>
          <w:rFonts w:ascii="Times New Roman" w:hAnsi="Times New Roman" w:cs="Times New Roman"/>
          <w:b/>
          <w:bCs/>
          <w:sz w:val="24"/>
          <w:szCs w:val="24"/>
        </w:rPr>
      </w:pPr>
      <w:r>
        <w:rPr>
          <w:rFonts w:ascii="Times New Roman" w:hAnsi="Times New Roman" w:cs="Times New Roman"/>
          <w:sz w:val="24"/>
          <w:szCs w:val="24"/>
        </w:rPr>
        <w:t xml:space="preserve">                                                        </w:t>
      </w:r>
      <w:r w:rsidR="006F3F36">
        <w:rPr>
          <w:rFonts w:ascii="Times New Roman" w:hAnsi="Times New Roman" w:cs="Times New Roman"/>
          <w:sz w:val="24"/>
          <w:szCs w:val="24"/>
        </w:rPr>
        <w:t xml:space="preserve">   </w:t>
      </w:r>
      <w:r>
        <w:rPr>
          <w:rFonts w:ascii="Times New Roman" w:hAnsi="Times New Roman" w:cs="Times New Roman"/>
          <w:sz w:val="24"/>
          <w:szCs w:val="24"/>
        </w:rPr>
        <w:t xml:space="preserve">   </w:t>
      </w:r>
      <w:r w:rsidRPr="006F3F36">
        <w:rPr>
          <w:rFonts w:ascii="Times New Roman" w:hAnsi="Times New Roman" w:cs="Times New Roman"/>
          <w:b/>
          <w:bCs/>
          <w:sz w:val="24"/>
          <w:szCs w:val="24"/>
        </w:rPr>
        <w:t xml:space="preserve"> ITSE OLAOY</w:t>
      </w:r>
      <w:r w:rsidR="006F3F36" w:rsidRPr="006F3F36">
        <w:rPr>
          <w:rFonts w:ascii="Times New Roman" w:hAnsi="Times New Roman" w:cs="Times New Roman"/>
          <w:b/>
          <w:bCs/>
          <w:sz w:val="24"/>
          <w:szCs w:val="24"/>
        </w:rPr>
        <w:t>E</w:t>
      </w:r>
    </w:p>
    <w:p w14:paraId="086544F0" w14:textId="0021DA90" w:rsidR="001719D9" w:rsidRPr="006F3F36" w:rsidRDefault="001719D9" w:rsidP="001719D9">
      <w:pPr>
        <w:spacing w:before="100" w:beforeAutospacing="1" w:after="100" w:afterAutospacing="1" w:line="480" w:lineRule="auto"/>
        <w:outlineLvl w:val="2"/>
        <w:rPr>
          <w:rFonts w:ascii="Times New Roman" w:hAnsi="Times New Roman" w:cs="Times New Roman"/>
          <w:b/>
          <w:bCs/>
          <w:sz w:val="24"/>
          <w:szCs w:val="24"/>
        </w:rPr>
      </w:pPr>
      <w:r>
        <w:rPr>
          <w:rFonts w:ascii="Times New Roman" w:hAnsi="Times New Roman" w:cs="Times New Roman"/>
          <w:sz w:val="24"/>
          <w:szCs w:val="24"/>
        </w:rPr>
        <w:t xml:space="preserve">                                                                 </w:t>
      </w:r>
      <w:r w:rsidRPr="006F3F36">
        <w:rPr>
          <w:rFonts w:ascii="Times New Roman" w:hAnsi="Times New Roman" w:cs="Times New Roman"/>
          <w:b/>
          <w:bCs/>
          <w:sz w:val="24"/>
          <w:szCs w:val="24"/>
        </w:rPr>
        <w:t xml:space="preserve">BRIAN MASHUMBA  </w:t>
      </w:r>
    </w:p>
    <w:p w14:paraId="76A722ED" w14:textId="0D8FAF23" w:rsidR="001719D9" w:rsidRPr="006F3F36" w:rsidRDefault="001719D9" w:rsidP="001719D9">
      <w:pPr>
        <w:spacing w:before="100" w:beforeAutospacing="1" w:after="100" w:afterAutospacing="1" w:line="480" w:lineRule="auto"/>
        <w:outlineLvl w:val="2"/>
        <w:rPr>
          <w:rFonts w:ascii="Times New Roman" w:hAnsi="Times New Roman" w:cs="Times New Roman"/>
          <w:b/>
          <w:bCs/>
          <w:sz w:val="24"/>
          <w:szCs w:val="24"/>
        </w:rPr>
      </w:pPr>
      <w:r>
        <w:rPr>
          <w:rFonts w:ascii="Times New Roman" w:hAnsi="Times New Roman" w:cs="Times New Roman"/>
          <w:sz w:val="24"/>
          <w:szCs w:val="24"/>
        </w:rPr>
        <w:t xml:space="preserve">                                                 </w:t>
      </w:r>
      <w:r w:rsidRPr="006F3F36">
        <w:rPr>
          <w:rFonts w:ascii="Times New Roman" w:hAnsi="Times New Roman" w:cs="Times New Roman"/>
          <w:b/>
          <w:bCs/>
          <w:sz w:val="24"/>
          <w:szCs w:val="24"/>
        </w:rPr>
        <w:t>COMPONENT  2 ANALYTICAL REPORT</w:t>
      </w:r>
    </w:p>
    <w:p w14:paraId="437B4091" w14:textId="77777777" w:rsidR="00B5705F" w:rsidRDefault="00B5705F" w:rsidP="00B5705F">
      <w:pPr>
        <w:spacing w:before="100" w:beforeAutospacing="1" w:after="100" w:afterAutospacing="1" w:line="480" w:lineRule="auto"/>
        <w:jc w:val="center"/>
        <w:outlineLvl w:val="2"/>
        <w:rPr>
          <w:rFonts w:ascii="Times New Roman" w:hAnsi="Times New Roman" w:cs="Times New Roman"/>
          <w:sz w:val="24"/>
          <w:szCs w:val="24"/>
        </w:rPr>
      </w:pPr>
    </w:p>
    <w:p w14:paraId="6A68D184" w14:textId="77777777" w:rsidR="00B5705F" w:rsidRDefault="00B5705F" w:rsidP="00B5705F">
      <w:pPr>
        <w:spacing w:before="100" w:beforeAutospacing="1" w:after="100" w:afterAutospacing="1" w:line="480" w:lineRule="auto"/>
        <w:jc w:val="center"/>
        <w:outlineLvl w:val="2"/>
        <w:rPr>
          <w:rFonts w:ascii="Times New Roman" w:hAnsi="Times New Roman" w:cs="Times New Roman"/>
          <w:sz w:val="24"/>
          <w:szCs w:val="24"/>
        </w:rPr>
      </w:pPr>
    </w:p>
    <w:p w14:paraId="523AA2CC" w14:textId="77777777" w:rsidR="00B5705F" w:rsidRDefault="00B5705F" w:rsidP="00B5705F">
      <w:pPr>
        <w:spacing w:before="100" w:beforeAutospacing="1" w:after="100" w:afterAutospacing="1" w:line="480" w:lineRule="auto"/>
        <w:jc w:val="center"/>
        <w:outlineLvl w:val="2"/>
        <w:rPr>
          <w:rFonts w:ascii="Times New Roman" w:hAnsi="Times New Roman" w:cs="Times New Roman"/>
          <w:sz w:val="24"/>
          <w:szCs w:val="24"/>
        </w:rPr>
      </w:pPr>
    </w:p>
    <w:p w14:paraId="2E8450E4" w14:textId="77777777" w:rsidR="00B5705F" w:rsidRDefault="00B5705F" w:rsidP="00B5705F">
      <w:pPr>
        <w:spacing w:before="100" w:beforeAutospacing="1" w:after="100" w:afterAutospacing="1" w:line="480" w:lineRule="auto"/>
        <w:jc w:val="center"/>
        <w:outlineLvl w:val="2"/>
        <w:rPr>
          <w:rFonts w:ascii="Times New Roman" w:hAnsi="Times New Roman" w:cs="Times New Roman"/>
          <w:sz w:val="24"/>
          <w:szCs w:val="24"/>
        </w:rPr>
      </w:pPr>
    </w:p>
    <w:p w14:paraId="251FFA12" w14:textId="77777777" w:rsidR="00B5705F" w:rsidRDefault="00B5705F" w:rsidP="00B5705F">
      <w:pPr>
        <w:spacing w:before="100" w:beforeAutospacing="1" w:after="100" w:afterAutospacing="1" w:line="480" w:lineRule="auto"/>
        <w:jc w:val="center"/>
        <w:outlineLvl w:val="2"/>
        <w:rPr>
          <w:rFonts w:ascii="Times New Roman" w:hAnsi="Times New Roman" w:cs="Times New Roman"/>
          <w:sz w:val="24"/>
          <w:szCs w:val="24"/>
        </w:rPr>
      </w:pPr>
    </w:p>
    <w:p w14:paraId="56C943B4" w14:textId="77777777" w:rsidR="00B5705F" w:rsidRDefault="00B5705F" w:rsidP="00B5705F">
      <w:pPr>
        <w:spacing w:before="100" w:beforeAutospacing="1" w:after="100" w:afterAutospacing="1" w:line="480" w:lineRule="auto"/>
        <w:jc w:val="center"/>
        <w:outlineLvl w:val="2"/>
        <w:rPr>
          <w:rFonts w:ascii="Times New Roman" w:hAnsi="Times New Roman" w:cs="Times New Roman"/>
          <w:sz w:val="24"/>
          <w:szCs w:val="24"/>
        </w:rPr>
      </w:pPr>
    </w:p>
    <w:p w14:paraId="02372EF4" w14:textId="77777777" w:rsidR="00B5705F" w:rsidRDefault="00B5705F" w:rsidP="00B5705F">
      <w:pPr>
        <w:spacing w:before="100" w:beforeAutospacing="1" w:after="100" w:afterAutospacing="1" w:line="480" w:lineRule="auto"/>
        <w:jc w:val="center"/>
        <w:outlineLvl w:val="2"/>
        <w:rPr>
          <w:rFonts w:ascii="Times New Roman" w:hAnsi="Times New Roman" w:cs="Times New Roman"/>
          <w:sz w:val="24"/>
          <w:szCs w:val="24"/>
        </w:rPr>
      </w:pPr>
    </w:p>
    <w:p w14:paraId="1A1102F6" w14:textId="77777777" w:rsidR="00B5705F" w:rsidRDefault="00B5705F" w:rsidP="00B5705F">
      <w:pPr>
        <w:spacing w:before="100" w:beforeAutospacing="1" w:after="100" w:afterAutospacing="1" w:line="480" w:lineRule="auto"/>
        <w:jc w:val="center"/>
        <w:outlineLvl w:val="2"/>
        <w:rPr>
          <w:rFonts w:ascii="Times New Roman" w:hAnsi="Times New Roman" w:cs="Times New Roman"/>
          <w:sz w:val="24"/>
          <w:szCs w:val="24"/>
        </w:rPr>
      </w:pPr>
    </w:p>
    <w:p w14:paraId="19AB5351" w14:textId="77777777" w:rsidR="00B5705F" w:rsidRPr="00B5705F" w:rsidRDefault="00B5705F" w:rsidP="00B5705F">
      <w:pPr>
        <w:spacing w:before="100" w:beforeAutospacing="1" w:after="100" w:afterAutospacing="1" w:line="480" w:lineRule="auto"/>
        <w:jc w:val="center"/>
        <w:outlineLvl w:val="2"/>
        <w:rPr>
          <w:rFonts w:ascii="Times New Roman" w:hAnsi="Times New Roman" w:cs="Times New Roman"/>
          <w:sz w:val="24"/>
          <w:szCs w:val="24"/>
        </w:rPr>
      </w:pPr>
    </w:p>
    <w:p w14:paraId="5CA7FA87" w14:textId="77777777" w:rsidR="00D71585" w:rsidRPr="00B5705F" w:rsidRDefault="00D71585" w:rsidP="00B5705F">
      <w:pPr>
        <w:spacing w:before="100" w:beforeAutospacing="1" w:after="100" w:afterAutospacing="1" w:line="480" w:lineRule="auto"/>
        <w:jc w:val="center"/>
        <w:outlineLvl w:val="2"/>
        <w:rPr>
          <w:rFonts w:ascii="Times New Roman" w:eastAsia="Times New Roman" w:hAnsi="Times New Roman" w:cs="Times New Roman"/>
          <w:b/>
          <w:bCs/>
          <w:sz w:val="24"/>
          <w:szCs w:val="24"/>
        </w:rPr>
      </w:pPr>
      <w:r w:rsidRPr="00B5705F">
        <w:rPr>
          <w:rFonts w:ascii="Times New Roman" w:hAnsi="Times New Roman" w:cs="Times New Roman"/>
          <w:b/>
          <w:sz w:val="24"/>
          <w:szCs w:val="24"/>
        </w:rPr>
        <w:t>Task 1: Gender and Health Inequalities</w:t>
      </w:r>
    </w:p>
    <w:p w14:paraId="3342FE69" w14:textId="77777777" w:rsidR="00A26682" w:rsidRPr="00A26682" w:rsidRDefault="00A26682" w:rsidP="00B5705F">
      <w:pPr>
        <w:spacing w:before="100" w:beforeAutospacing="1" w:after="100" w:afterAutospacing="1" w:line="480" w:lineRule="auto"/>
        <w:outlineLvl w:val="2"/>
        <w:rPr>
          <w:rFonts w:ascii="Times New Roman" w:eastAsia="Times New Roman" w:hAnsi="Times New Roman" w:cs="Times New Roman"/>
          <w:b/>
          <w:bCs/>
          <w:sz w:val="24"/>
          <w:szCs w:val="24"/>
        </w:rPr>
      </w:pPr>
      <w:r w:rsidRPr="00A26682">
        <w:rPr>
          <w:rFonts w:ascii="Times New Roman" w:hAnsi="Times New Roman" w:cs="Times New Roman"/>
          <w:b/>
          <w:sz w:val="24"/>
          <w:szCs w:val="24"/>
        </w:rPr>
        <w:t>Title: Gender Inequality and Its Impact on Health Outcomes</w:t>
      </w:r>
    </w:p>
    <w:p w14:paraId="2C26D52B" w14:textId="77777777" w:rsidR="00D71585" w:rsidRPr="00803275" w:rsidRDefault="00D71585" w:rsidP="00B5705F">
      <w:pPr>
        <w:spacing w:before="100" w:beforeAutospacing="1" w:after="100" w:afterAutospacing="1" w:line="480" w:lineRule="auto"/>
        <w:outlineLvl w:val="2"/>
        <w:rPr>
          <w:rFonts w:ascii="Times New Roman" w:eastAsia="Times New Roman" w:hAnsi="Times New Roman" w:cs="Times New Roman"/>
          <w:b/>
          <w:bCs/>
          <w:sz w:val="24"/>
          <w:szCs w:val="24"/>
        </w:rPr>
      </w:pPr>
      <w:r w:rsidRPr="00B5705F">
        <w:rPr>
          <w:rFonts w:ascii="Times New Roman" w:eastAsia="Times New Roman" w:hAnsi="Times New Roman" w:cs="Times New Roman"/>
          <w:b/>
          <w:bCs/>
          <w:sz w:val="24"/>
          <w:szCs w:val="24"/>
        </w:rPr>
        <w:t>Introduction</w:t>
      </w:r>
    </w:p>
    <w:p w14:paraId="68CC8FFC" w14:textId="77777777" w:rsidR="00D71585" w:rsidRPr="00803275" w:rsidRDefault="00D71585" w:rsidP="00B5705F">
      <w:pPr>
        <w:spacing w:before="100" w:beforeAutospacing="1" w:after="100" w:afterAutospacing="1" w:line="480" w:lineRule="auto"/>
        <w:rPr>
          <w:rFonts w:ascii="Times New Roman" w:eastAsia="Times New Roman" w:hAnsi="Times New Roman" w:cs="Times New Roman"/>
          <w:sz w:val="24"/>
          <w:szCs w:val="24"/>
        </w:rPr>
      </w:pPr>
      <w:r w:rsidRPr="00803275">
        <w:rPr>
          <w:rFonts w:ascii="Times New Roman" w:eastAsia="Times New Roman" w:hAnsi="Times New Roman" w:cs="Times New Roman"/>
          <w:sz w:val="24"/>
          <w:szCs w:val="24"/>
        </w:rPr>
        <w:t xml:space="preserve">Gender inequality is a significant determinant of health outcomes because it shapes exposure to risks, access to healthcare, and overall wellbeing across populations. </w:t>
      </w:r>
      <w:r w:rsidRPr="00B5705F">
        <w:rPr>
          <w:rFonts w:ascii="Times New Roman" w:eastAsia="Times New Roman" w:hAnsi="Times New Roman" w:cs="Times New Roman"/>
          <w:sz w:val="24"/>
          <w:szCs w:val="24"/>
        </w:rPr>
        <w:t>Miani et al. (2021) explain that g</w:t>
      </w:r>
      <w:r w:rsidRPr="00803275">
        <w:rPr>
          <w:rFonts w:ascii="Times New Roman" w:eastAsia="Times New Roman" w:hAnsi="Times New Roman" w:cs="Times New Roman"/>
          <w:sz w:val="24"/>
          <w:szCs w:val="24"/>
        </w:rPr>
        <w:t xml:space="preserve">ender refers to socially constructed roles, expectations, and behaviours associated with men and women, and these roles influence how individuals experience health and illness. Although biological differences contribute to some variations in health, social, cultural, and economic factors play a greater role in creating inequalities. For example, women tend to live longer than men, yet they often experience more years of poor health and disability. According to the </w:t>
      </w:r>
      <w:r w:rsidRPr="00B5705F">
        <w:rPr>
          <w:rFonts w:ascii="Times New Roman" w:eastAsia="Times New Roman" w:hAnsi="Times New Roman" w:cs="Times New Roman"/>
          <w:sz w:val="24"/>
          <w:szCs w:val="24"/>
        </w:rPr>
        <w:t xml:space="preserve">World </w:t>
      </w:r>
      <w:r w:rsidRPr="00B5705F">
        <w:rPr>
          <w:rFonts w:ascii="Times New Roman" w:eastAsia="Times New Roman" w:hAnsi="Times New Roman" w:cs="Times New Roman"/>
          <w:sz w:val="24"/>
          <w:szCs w:val="24"/>
        </w:rPr>
        <w:lastRenderedPageBreak/>
        <w:t>Health Organization</w:t>
      </w:r>
      <w:r w:rsidRPr="00803275">
        <w:rPr>
          <w:rFonts w:ascii="Times New Roman" w:eastAsia="Times New Roman" w:hAnsi="Times New Roman" w:cs="Times New Roman"/>
          <w:sz w:val="24"/>
          <w:szCs w:val="24"/>
        </w:rPr>
        <w:t>, gender inequality continues to limit access to healthcare services and essential resources worldwide</w:t>
      </w:r>
      <w:r w:rsidRPr="00B5705F">
        <w:rPr>
          <w:rFonts w:ascii="Times New Roman" w:eastAsia="Times New Roman" w:hAnsi="Times New Roman" w:cs="Times New Roman"/>
          <w:sz w:val="24"/>
          <w:szCs w:val="24"/>
        </w:rPr>
        <w:t xml:space="preserve"> (Kirkby et al., 2023)</w:t>
      </w:r>
      <w:r w:rsidRPr="00803275">
        <w:rPr>
          <w:rFonts w:ascii="Times New Roman" w:eastAsia="Times New Roman" w:hAnsi="Times New Roman" w:cs="Times New Roman"/>
          <w:sz w:val="24"/>
          <w:szCs w:val="24"/>
        </w:rPr>
        <w:t xml:space="preserve">. In the UK, the </w:t>
      </w:r>
      <w:r w:rsidRPr="00B5705F">
        <w:rPr>
          <w:rFonts w:ascii="Times New Roman" w:eastAsia="Times New Roman" w:hAnsi="Times New Roman" w:cs="Times New Roman"/>
          <w:sz w:val="24"/>
          <w:szCs w:val="24"/>
        </w:rPr>
        <w:t>Office for National Statistics</w:t>
      </w:r>
      <w:r w:rsidRPr="00803275">
        <w:rPr>
          <w:rFonts w:ascii="Times New Roman" w:eastAsia="Times New Roman" w:hAnsi="Times New Roman" w:cs="Times New Roman"/>
          <w:sz w:val="24"/>
          <w:szCs w:val="24"/>
        </w:rPr>
        <w:t xml:space="preserve"> highlights that men have lower life expectancy, while women report poorer health in later life. These contrasting outcomes demonstrate the complexity of gender-based health disparities. Therefore, understanding gender inequality requires a comprehensive analysis of both biological and social determinants that shape health outcomes.</w:t>
      </w:r>
    </w:p>
    <w:p w14:paraId="0ABCADB0" w14:textId="77777777" w:rsidR="00D71585" w:rsidRPr="00803275" w:rsidRDefault="00D71585" w:rsidP="00B5705F">
      <w:pPr>
        <w:spacing w:before="100" w:beforeAutospacing="1" w:after="100" w:afterAutospacing="1" w:line="480" w:lineRule="auto"/>
        <w:outlineLvl w:val="2"/>
        <w:rPr>
          <w:rFonts w:ascii="Times New Roman" w:eastAsia="Times New Roman" w:hAnsi="Times New Roman" w:cs="Times New Roman"/>
          <w:b/>
          <w:bCs/>
          <w:sz w:val="24"/>
          <w:szCs w:val="24"/>
        </w:rPr>
      </w:pPr>
      <w:r w:rsidRPr="00B5705F">
        <w:rPr>
          <w:rFonts w:ascii="Times New Roman" w:eastAsia="Times New Roman" w:hAnsi="Times New Roman" w:cs="Times New Roman"/>
          <w:b/>
          <w:bCs/>
          <w:sz w:val="24"/>
          <w:szCs w:val="24"/>
        </w:rPr>
        <w:t>Higher Rates of Mental Health Disorders in Women</w:t>
      </w:r>
    </w:p>
    <w:p w14:paraId="035FE513" w14:textId="77777777" w:rsidR="00D71585" w:rsidRPr="00803275" w:rsidRDefault="00D71585" w:rsidP="00B5705F">
      <w:pPr>
        <w:spacing w:before="100" w:beforeAutospacing="1" w:after="100" w:afterAutospacing="1" w:line="480" w:lineRule="auto"/>
        <w:rPr>
          <w:rFonts w:ascii="Times New Roman" w:eastAsia="Times New Roman" w:hAnsi="Times New Roman" w:cs="Times New Roman"/>
          <w:sz w:val="24"/>
          <w:szCs w:val="24"/>
        </w:rPr>
      </w:pPr>
      <w:r w:rsidRPr="00803275">
        <w:rPr>
          <w:rFonts w:ascii="Times New Roman" w:eastAsia="Times New Roman" w:hAnsi="Times New Roman" w:cs="Times New Roman"/>
          <w:sz w:val="24"/>
          <w:szCs w:val="24"/>
        </w:rPr>
        <w:t xml:space="preserve">Women experience higher rates of mental health disorders compared to men, particularly in relation to depression, anxiety, and stress-related conditions. </w:t>
      </w:r>
      <w:r w:rsidR="006D3042" w:rsidRPr="006D3042">
        <w:rPr>
          <w:rFonts w:ascii="Times New Roman" w:eastAsia="Times New Roman" w:hAnsi="Times New Roman" w:cs="Times New Roman"/>
          <w:sz w:val="24"/>
          <w:szCs w:val="24"/>
        </w:rPr>
        <w:t>Wiecz</w:t>
      </w:r>
      <w:r w:rsidR="006D3042">
        <w:rPr>
          <w:rFonts w:ascii="Times New Roman" w:eastAsia="Times New Roman" w:hAnsi="Times New Roman" w:cs="Times New Roman"/>
          <w:sz w:val="24"/>
          <w:szCs w:val="24"/>
        </w:rPr>
        <w:t xml:space="preserve">orek, </w:t>
      </w:r>
      <w:proofErr w:type="spellStart"/>
      <w:r w:rsidR="006D3042">
        <w:rPr>
          <w:rFonts w:ascii="Times New Roman" w:eastAsia="Times New Roman" w:hAnsi="Times New Roman" w:cs="Times New Roman"/>
          <w:sz w:val="24"/>
          <w:szCs w:val="24"/>
        </w:rPr>
        <w:t>Targonskaya</w:t>
      </w:r>
      <w:proofErr w:type="spellEnd"/>
      <w:r w:rsidR="006D3042">
        <w:rPr>
          <w:rFonts w:ascii="Times New Roman" w:eastAsia="Times New Roman" w:hAnsi="Times New Roman" w:cs="Times New Roman"/>
          <w:sz w:val="24"/>
          <w:szCs w:val="24"/>
        </w:rPr>
        <w:t>, and Maslowski</w:t>
      </w:r>
      <w:r w:rsidR="006D3042" w:rsidRPr="006D3042">
        <w:rPr>
          <w:rFonts w:ascii="Times New Roman" w:eastAsia="Times New Roman" w:hAnsi="Times New Roman" w:cs="Times New Roman"/>
          <w:sz w:val="24"/>
          <w:szCs w:val="24"/>
        </w:rPr>
        <w:t xml:space="preserve"> </w:t>
      </w:r>
      <w:r w:rsidR="006D3042">
        <w:rPr>
          <w:rFonts w:ascii="Times New Roman" w:eastAsia="Times New Roman" w:hAnsi="Times New Roman" w:cs="Times New Roman"/>
          <w:sz w:val="24"/>
          <w:szCs w:val="24"/>
        </w:rPr>
        <w:t>(</w:t>
      </w:r>
      <w:r w:rsidR="006D3042" w:rsidRPr="006D3042">
        <w:rPr>
          <w:rFonts w:ascii="Times New Roman" w:eastAsia="Times New Roman" w:hAnsi="Times New Roman" w:cs="Times New Roman"/>
          <w:sz w:val="24"/>
          <w:szCs w:val="24"/>
        </w:rPr>
        <w:t>2023)</w:t>
      </w:r>
      <w:r w:rsidR="006D3042">
        <w:rPr>
          <w:rFonts w:ascii="Times New Roman" w:eastAsia="Times New Roman" w:hAnsi="Times New Roman" w:cs="Times New Roman"/>
          <w:sz w:val="24"/>
          <w:szCs w:val="24"/>
        </w:rPr>
        <w:t xml:space="preserve"> highlight that b</w:t>
      </w:r>
      <w:r w:rsidRPr="00803275">
        <w:rPr>
          <w:rFonts w:ascii="Times New Roman" w:eastAsia="Times New Roman" w:hAnsi="Times New Roman" w:cs="Times New Roman"/>
          <w:sz w:val="24"/>
          <w:szCs w:val="24"/>
        </w:rPr>
        <w:t>iological factors</w:t>
      </w:r>
      <w:r w:rsidR="008F45CF">
        <w:rPr>
          <w:rFonts w:ascii="Times New Roman" w:eastAsia="Times New Roman" w:hAnsi="Times New Roman" w:cs="Times New Roman"/>
          <w:sz w:val="24"/>
          <w:szCs w:val="24"/>
        </w:rPr>
        <w:t>,</w:t>
      </w:r>
      <w:r w:rsidRPr="00803275">
        <w:rPr>
          <w:rFonts w:ascii="Times New Roman" w:eastAsia="Times New Roman" w:hAnsi="Times New Roman" w:cs="Times New Roman"/>
          <w:sz w:val="24"/>
          <w:szCs w:val="24"/>
        </w:rPr>
        <w:t xml:space="preserve"> such as hormonal changes during menstruation, pregnancy, and menopause</w:t>
      </w:r>
      <w:r w:rsidR="008F45CF">
        <w:rPr>
          <w:rFonts w:ascii="Times New Roman" w:eastAsia="Times New Roman" w:hAnsi="Times New Roman" w:cs="Times New Roman"/>
          <w:sz w:val="24"/>
          <w:szCs w:val="24"/>
        </w:rPr>
        <w:t>,</w:t>
      </w:r>
      <w:r w:rsidRPr="00803275">
        <w:rPr>
          <w:rFonts w:ascii="Times New Roman" w:eastAsia="Times New Roman" w:hAnsi="Times New Roman" w:cs="Times New Roman"/>
          <w:sz w:val="24"/>
          <w:szCs w:val="24"/>
        </w:rPr>
        <w:t xml:space="preserve"> can influence mental health vulnerability. Howe</w:t>
      </w:r>
      <w:r w:rsidR="008F45CF">
        <w:rPr>
          <w:rFonts w:ascii="Times New Roman" w:eastAsia="Times New Roman" w:hAnsi="Times New Roman" w:cs="Times New Roman"/>
          <w:sz w:val="24"/>
          <w:szCs w:val="24"/>
        </w:rPr>
        <w:t>ver, social determinants including</w:t>
      </w:r>
      <w:r w:rsidRPr="00803275">
        <w:rPr>
          <w:rFonts w:ascii="Times New Roman" w:eastAsia="Times New Roman" w:hAnsi="Times New Roman" w:cs="Times New Roman"/>
          <w:sz w:val="24"/>
          <w:szCs w:val="24"/>
        </w:rPr>
        <w:t xml:space="preserve"> caregiving responsibilities, financial insecurity, and workplace inequality play a more significant role. Evidence from </w:t>
      </w:r>
      <w:r w:rsidRPr="00B5705F">
        <w:rPr>
          <w:rFonts w:ascii="Times New Roman" w:eastAsia="Times New Roman" w:hAnsi="Times New Roman" w:cs="Times New Roman"/>
          <w:sz w:val="24"/>
          <w:szCs w:val="24"/>
        </w:rPr>
        <w:t>NHS Digital</w:t>
      </w:r>
      <w:r w:rsidRPr="00803275">
        <w:rPr>
          <w:rFonts w:ascii="Times New Roman" w:eastAsia="Times New Roman" w:hAnsi="Times New Roman" w:cs="Times New Roman"/>
          <w:sz w:val="24"/>
          <w:szCs w:val="24"/>
        </w:rPr>
        <w:t xml:space="preserve"> shows that women are more likely to seek mental health support, which may reflect both higher prevalence and greater willingness to access services</w:t>
      </w:r>
      <w:r w:rsidRPr="00B5705F">
        <w:rPr>
          <w:rFonts w:ascii="Times New Roman" w:eastAsia="Times New Roman" w:hAnsi="Times New Roman" w:cs="Times New Roman"/>
          <w:sz w:val="24"/>
          <w:szCs w:val="24"/>
        </w:rPr>
        <w:t xml:space="preserve"> (Ruth Elizabeth Watkinson et al., 2024)</w:t>
      </w:r>
      <w:r w:rsidRPr="00803275">
        <w:rPr>
          <w:rFonts w:ascii="Times New Roman" w:eastAsia="Times New Roman" w:hAnsi="Times New Roman" w:cs="Times New Roman"/>
          <w:sz w:val="24"/>
          <w:szCs w:val="24"/>
        </w:rPr>
        <w:t xml:space="preserve">. Additionally, women are more likely to experience gender-based violence, which is strongly associated with trauma and mental health disorders. The </w:t>
      </w:r>
      <w:r w:rsidRPr="00B5705F">
        <w:rPr>
          <w:rFonts w:ascii="Times New Roman" w:eastAsia="Times New Roman" w:hAnsi="Times New Roman" w:cs="Times New Roman"/>
          <w:sz w:val="24"/>
          <w:szCs w:val="24"/>
        </w:rPr>
        <w:t>Social Determinants of Health</w:t>
      </w:r>
      <w:r w:rsidRPr="00803275">
        <w:rPr>
          <w:rFonts w:ascii="Times New Roman" w:eastAsia="Times New Roman" w:hAnsi="Times New Roman" w:cs="Times New Roman"/>
          <w:sz w:val="24"/>
          <w:szCs w:val="24"/>
        </w:rPr>
        <w:t xml:space="preserve"> explains how social conditions such as income, education, and social support influence mental wellbeing. Cultural expectations can also place emotional burdens on women, particularly in balancing work and family roles. Therefore, addressing mental health inequalities requires interventions that consider both biological influences and wider social contexts.</w:t>
      </w:r>
    </w:p>
    <w:p w14:paraId="10E3BCDB" w14:textId="77777777" w:rsidR="00D71585" w:rsidRPr="00803275" w:rsidRDefault="00D71585" w:rsidP="00B5705F">
      <w:pPr>
        <w:spacing w:before="100" w:beforeAutospacing="1" w:after="100" w:afterAutospacing="1" w:line="480" w:lineRule="auto"/>
        <w:outlineLvl w:val="2"/>
        <w:rPr>
          <w:rFonts w:ascii="Times New Roman" w:eastAsia="Times New Roman" w:hAnsi="Times New Roman" w:cs="Times New Roman"/>
          <w:b/>
          <w:bCs/>
          <w:sz w:val="24"/>
          <w:szCs w:val="24"/>
        </w:rPr>
      </w:pPr>
      <w:r w:rsidRPr="00B5705F">
        <w:rPr>
          <w:rFonts w:ascii="Times New Roman" w:eastAsia="Times New Roman" w:hAnsi="Times New Roman" w:cs="Times New Roman"/>
          <w:b/>
          <w:bCs/>
          <w:sz w:val="24"/>
          <w:szCs w:val="24"/>
        </w:rPr>
        <w:t xml:space="preserve">Higher Mortality Rates and Risk Behaviours </w:t>
      </w:r>
      <w:r w:rsidR="006C0C0A" w:rsidRPr="00B5705F">
        <w:rPr>
          <w:rFonts w:ascii="Times New Roman" w:eastAsia="Times New Roman" w:hAnsi="Times New Roman" w:cs="Times New Roman"/>
          <w:b/>
          <w:bCs/>
          <w:sz w:val="24"/>
          <w:szCs w:val="24"/>
        </w:rPr>
        <w:t>among</w:t>
      </w:r>
      <w:r w:rsidRPr="00B5705F">
        <w:rPr>
          <w:rFonts w:ascii="Times New Roman" w:eastAsia="Times New Roman" w:hAnsi="Times New Roman" w:cs="Times New Roman"/>
          <w:b/>
          <w:bCs/>
          <w:sz w:val="24"/>
          <w:szCs w:val="24"/>
        </w:rPr>
        <w:t xml:space="preserve"> Men</w:t>
      </w:r>
    </w:p>
    <w:p w14:paraId="0BD0E4D2" w14:textId="77777777" w:rsidR="00D71585" w:rsidRPr="00803275" w:rsidRDefault="00D71585" w:rsidP="00B5705F">
      <w:pPr>
        <w:spacing w:before="100" w:beforeAutospacing="1" w:after="100" w:afterAutospacing="1" w:line="480" w:lineRule="auto"/>
        <w:rPr>
          <w:rFonts w:ascii="Times New Roman" w:eastAsia="Times New Roman" w:hAnsi="Times New Roman" w:cs="Times New Roman"/>
          <w:sz w:val="24"/>
          <w:szCs w:val="24"/>
        </w:rPr>
      </w:pPr>
      <w:r w:rsidRPr="00803275">
        <w:rPr>
          <w:rFonts w:ascii="Times New Roman" w:eastAsia="Times New Roman" w:hAnsi="Times New Roman" w:cs="Times New Roman"/>
          <w:sz w:val="24"/>
          <w:szCs w:val="24"/>
        </w:rPr>
        <w:lastRenderedPageBreak/>
        <w:t xml:space="preserve">Men experience higher mortality rates than women, particularly from preventable conditions such as cardiovascular disease, respiratory illness, and accidents. </w:t>
      </w:r>
      <w:r w:rsidR="006635BB">
        <w:rPr>
          <w:rFonts w:ascii="Times New Roman" w:eastAsia="Times New Roman" w:hAnsi="Times New Roman" w:cs="Times New Roman"/>
          <w:sz w:val="24"/>
          <w:szCs w:val="24"/>
        </w:rPr>
        <w:t>Crimmins</w:t>
      </w:r>
      <w:r w:rsidR="006635BB" w:rsidRPr="006635BB">
        <w:rPr>
          <w:rFonts w:ascii="Times New Roman" w:eastAsia="Times New Roman" w:hAnsi="Times New Roman" w:cs="Times New Roman"/>
          <w:sz w:val="24"/>
          <w:szCs w:val="24"/>
        </w:rPr>
        <w:t xml:space="preserve"> </w:t>
      </w:r>
      <w:r w:rsidR="006635BB">
        <w:rPr>
          <w:rFonts w:ascii="Times New Roman" w:eastAsia="Times New Roman" w:hAnsi="Times New Roman" w:cs="Times New Roman"/>
          <w:sz w:val="24"/>
          <w:szCs w:val="24"/>
        </w:rPr>
        <w:t>(</w:t>
      </w:r>
      <w:r w:rsidR="006635BB" w:rsidRPr="006635BB">
        <w:rPr>
          <w:rFonts w:ascii="Times New Roman" w:eastAsia="Times New Roman" w:hAnsi="Times New Roman" w:cs="Times New Roman"/>
          <w:sz w:val="24"/>
          <w:szCs w:val="24"/>
        </w:rPr>
        <w:t xml:space="preserve">2019) </w:t>
      </w:r>
      <w:r w:rsidR="006635BB">
        <w:rPr>
          <w:rFonts w:ascii="Times New Roman" w:eastAsia="Times New Roman" w:hAnsi="Times New Roman" w:cs="Times New Roman"/>
          <w:sz w:val="24"/>
          <w:szCs w:val="24"/>
        </w:rPr>
        <w:t>explains that t</w:t>
      </w:r>
      <w:r w:rsidRPr="00803275">
        <w:rPr>
          <w:rFonts w:ascii="Times New Roman" w:eastAsia="Times New Roman" w:hAnsi="Times New Roman" w:cs="Times New Roman"/>
          <w:sz w:val="24"/>
          <w:szCs w:val="24"/>
        </w:rPr>
        <w:t>hese outcomes are strongly influenced by behavioural</w:t>
      </w:r>
      <w:r w:rsidR="006C0C0A">
        <w:rPr>
          <w:rFonts w:ascii="Times New Roman" w:eastAsia="Times New Roman" w:hAnsi="Times New Roman" w:cs="Times New Roman"/>
          <w:sz w:val="24"/>
          <w:szCs w:val="24"/>
        </w:rPr>
        <w:t xml:space="preserve"> and cultural factors that influence</w:t>
      </w:r>
      <w:r w:rsidRPr="00803275">
        <w:rPr>
          <w:rFonts w:ascii="Times New Roman" w:eastAsia="Times New Roman" w:hAnsi="Times New Roman" w:cs="Times New Roman"/>
          <w:sz w:val="24"/>
          <w:szCs w:val="24"/>
        </w:rPr>
        <w:t xml:space="preserve"> male health practices. Men are more likely to engage in risk-taking behaviours such as smoking, excessive alcohol consumption, and unhealthy diets. According to </w:t>
      </w:r>
      <w:r w:rsidRPr="00B5705F">
        <w:rPr>
          <w:rFonts w:ascii="Times New Roman" w:eastAsia="Times New Roman" w:hAnsi="Times New Roman" w:cs="Times New Roman"/>
          <w:sz w:val="24"/>
          <w:szCs w:val="24"/>
        </w:rPr>
        <w:t>Public Health England</w:t>
      </w:r>
      <w:r w:rsidRPr="00803275">
        <w:rPr>
          <w:rFonts w:ascii="Times New Roman" w:eastAsia="Times New Roman" w:hAnsi="Times New Roman" w:cs="Times New Roman"/>
          <w:sz w:val="24"/>
          <w:szCs w:val="24"/>
        </w:rPr>
        <w:t xml:space="preserve">, these behaviours significantly increase the risk of chronic illness and premature death. In addition, men are less likely to seek medical help early, which often results in delayed diagnosis and poorer outcomes. Suicide rates among men are also considerably higher, reflecting the impact of stigma surrounding mental health and limited emotional expression. </w:t>
      </w:r>
      <w:r w:rsidRPr="00B5705F">
        <w:rPr>
          <w:rFonts w:ascii="Times New Roman" w:eastAsia="Times New Roman" w:hAnsi="Times New Roman" w:cs="Times New Roman"/>
          <w:sz w:val="24"/>
          <w:szCs w:val="24"/>
        </w:rPr>
        <w:t>According to Green, Murphy, and Gryboski (2020), t</w:t>
      </w:r>
      <w:r w:rsidRPr="00803275">
        <w:rPr>
          <w:rFonts w:ascii="Times New Roman" w:eastAsia="Times New Roman" w:hAnsi="Times New Roman" w:cs="Times New Roman"/>
          <w:sz w:val="24"/>
          <w:szCs w:val="24"/>
        </w:rPr>
        <w:t xml:space="preserve">he </w:t>
      </w:r>
      <w:r w:rsidRPr="00B5705F">
        <w:rPr>
          <w:rFonts w:ascii="Times New Roman" w:eastAsia="Times New Roman" w:hAnsi="Times New Roman" w:cs="Times New Roman"/>
          <w:sz w:val="24"/>
          <w:szCs w:val="24"/>
        </w:rPr>
        <w:t>Health Belief Model</w:t>
      </w:r>
      <w:r w:rsidRPr="00803275">
        <w:rPr>
          <w:rFonts w:ascii="Times New Roman" w:eastAsia="Times New Roman" w:hAnsi="Times New Roman" w:cs="Times New Roman"/>
          <w:sz w:val="24"/>
          <w:szCs w:val="24"/>
        </w:rPr>
        <w:t xml:space="preserve"> helps explain how perceptions of risk and barriers influence health-seeking behaviour. Social norms that discourage vulnerability can prevent men from accessing support services. Therefore, reducing male mortality requires interventions that challenge harmful gender norms and promote positive health behaviours.</w:t>
      </w:r>
    </w:p>
    <w:p w14:paraId="67E6F5CC" w14:textId="77777777" w:rsidR="00D71585" w:rsidRPr="00803275" w:rsidRDefault="00D71585" w:rsidP="00B5705F">
      <w:pPr>
        <w:spacing w:before="100" w:beforeAutospacing="1" w:after="100" w:afterAutospacing="1" w:line="480" w:lineRule="auto"/>
        <w:outlineLvl w:val="2"/>
        <w:rPr>
          <w:rFonts w:ascii="Times New Roman" w:eastAsia="Times New Roman" w:hAnsi="Times New Roman" w:cs="Times New Roman"/>
          <w:b/>
          <w:bCs/>
          <w:sz w:val="24"/>
          <w:szCs w:val="24"/>
        </w:rPr>
      </w:pPr>
      <w:r w:rsidRPr="00B5705F">
        <w:rPr>
          <w:rFonts w:ascii="Times New Roman" w:eastAsia="Times New Roman" w:hAnsi="Times New Roman" w:cs="Times New Roman"/>
          <w:b/>
          <w:bCs/>
          <w:sz w:val="24"/>
          <w:szCs w:val="24"/>
        </w:rPr>
        <w:t>Reproductive and Maternal Health Inequalities</w:t>
      </w:r>
    </w:p>
    <w:p w14:paraId="22708514" w14:textId="77777777" w:rsidR="00D71585" w:rsidRPr="00803275" w:rsidRDefault="00D71585" w:rsidP="00B5705F">
      <w:pPr>
        <w:spacing w:before="100" w:beforeAutospacing="1" w:after="100" w:afterAutospacing="1" w:line="480" w:lineRule="auto"/>
        <w:rPr>
          <w:rFonts w:ascii="Times New Roman" w:eastAsia="Times New Roman" w:hAnsi="Times New Roman" w:cs="Times New Roman"/>
          <w:sz w:val="24"/>
          <w:szCs w:val="24"/>
        </w:rPr>
      </w:pPr>
      <w:r w:rsidRPr="00803275">
        <w:rPr>
          <w:rFonts w:ascii="Times New Roman" w:eastAsia="Times New Roman" w:hAnsi="Times New Roman" w:cs="Times New Roman"/>
          <w:sz w:val="24"/>
          <w:szCs w:val="24"/>
        </w:rPr>
        <w:t xml:space="preserve">Reproductive health is a critical area where gender inequalities are evident, as women face unique health challenges related to pregnancy, childbirth, and reproductive conditions. Access to high-quality maternal healthcare is essential for positive outcomes, yet disparities persist across socio-economic and ethnic groups. </w:t>
      </w:r>
      <w:r w:rsidR="00361D92">
        <w:rPr>
          <w:rFonts w:ascii="Times New Roman" w:eastAsia="Times New Roman" w:hAnsi="Times New Roman" w:cs="Times New Roman"/>
          <w:sz w:val="24"/>
          <w:szCs w:val="24"/>
        </w:rPr>
        <w:t>Summers</w:t>
      </w:r>
      <w:r w:rsidR="00361D92" w:rsidRPr="00361D92">
        <w:rPr>
          <w:rFonts w:ascii="Times New Roman" w:eastAsia="Times New Roman" w:hAnsi="Times New Roman" w:cs="Times New Roman"/>
          <w:sz w:val="24"/>
          <w:szCs w:val="24"/>
        </w:rPr>
        <w:t xml:space="preserve"> </w:t>
      </w:r>
      <w:r w:rsidR="00361D92">
        <w:rPr>
          <w:rFonts w:ascii="Times New Roman" w:eastAsia="Times New Roman" w:hAnsi="Times New Roman" w:cs="Times New Roman"/>
          <w:sz w:val="24"/>
          <w:szCs w:val="24"/>
        </w:rPr>
        <w:t>(</w:t>
      </w:r>
      <w:r w:rsidR="00361D92" w:rsidRPr="00361D92">
        <w:rPr>
          <w:rFonts w:ascii="Times New Roman" w:eastAsia="Times New Roman" w:hAnsi="Times New Roman" w:cs="Times New Roman"/>
          <w:sz w:val="24"/>
          <w:szCs w:val="24"/>
        </w:rPr>
        <w:t xml:space="preserve">2021) </w:t>
      </w:r>
      <w:r w:rsidR="00361D92">
        <w:rPr>
          <w:rFonts w:ascii="Times New Roman" w:eastAsia="Times New Roman" w:hAnsi="Times New Roman" w:cs="Times New Roman"/>
          <w:sz w:val="24"/>
          <w:szCs w:val="24"/>
        </w:rPr>
        <w:t xml:space="preserve">report that black women in the UK are four times more likely </w:t>
      </w:r>
      <w:r w:rsidRPr="00803275">
        <w:rPr>
          <w:rFonts w:ascii="Times New Roman" w:eastAsia="Times New Roman" w:hAnsi="Times New Roman" w:cs="Times New Roman"/>
          <w:sz w:val="24"/>
          <w:szCs w:val="24"/>
        </w:rPr>
        <w:t xml:space="preserve">to die during pregnancy or childbirth compared to white women. This disparity reflects inequalities in access to care, quality of services, and underlying social determinants such as poverty and discrimination. Furthermore, conditions such as endometriosis and polycystic ovary syndrome are often underdiagnosed, leading to prolonged suffering and reduced </w:t>
      </w:r>
      <w:r w:rsidRPr="00803275">
        <w:rPr>
          <w:rFonts w:ascii="Times New Roman" w:eastAsia="Times New Roman" w:hAnsi="Times New Roman" w:cs="Times New Roman"/>
          <w:sz w:val="24"/>
          <w:szCs w:val="24"/>
        </w:rPr>
        <w:lastRenderedPageBreak/>
        <w:t>quality of life</w:t>
      </w:r>
      <w:r w:rsidRPr="00B5705F">
        <w:rPr>
          <w:rFonts w:ascii="Times New Roman" w:eastAsia="Times New Roman" w:hAnsi="Times New Roman" w:cs="Times New Roman"/>
          <w:sz w:val="24"/>
          <w:szCs w:val="24"/>
        </w:rPr>
        <w:t xml:space="preserve"> (Summers, 2021)</w:t>
      </w:r>
      <w:r w:rsidRPr="00803275">
        <w:rPr>
          <w:rFonts w:ascii="Times New Roman" w:eastAsia="Times New Roman" w:hAnsi="Times New Roman" w:cs="Times New Roman"/>
          <w:sz w:val="24"/>
          <w:szCs w:val="24"/>
        </w:rPr>
        <w:t xml:space="preserve">. The </w:t>
      </w:r>
      <w:r w:rsidRPr="00B5705F">
        <w:rPr>
          <w:rFonts w:ascii="Times New Roman" w:eastAsia="Times New Roman" w:hAnsi="Times New Roman" w:cs="Times New Roman"/>
          <w:sz w:val="24"/>
          <w:szCs w:val="24"/>
        </w:rPr>
        <w:t>Dahlgren and Whitehead Model</w:t>
      </w:r>
      <w:r w:rsidRPr="00803275">
        <w:rPr>
          <w:rFonts w:ascii="Times New Roman" w:eastAsia="Times New Roman" w:hAnsi="Times New Roman" w:cs="Times New Roman"/>
          <w:sz w:val="24"/>
          <w:szCs w:val="24"/>
        </w:rPr>
        <w:t xml:space="preserve"> </w:t>
      </w:r>
      <w:proofErr w:type="gramStart"/>
      <w:r w:rsidRPr="00803275">
        <w:rPr>
          <w:rFonts w:ascii="Times New Roman" w:eastAsia="Times New Roman" w:hAnsi="Times New Roman" w:cs="Times New Roman"/>
          <w:sz w:val="24"/>
          <w:szCs w:val="24"/>
        </w:rPr>
        <w:t>illustrates</w:t>
      </w:r>
      <w:proofErr w:type="gramEnd"/>
      <w:r w:rsidRPr="00803275">
        <w:rPr>
          <w:rFonts w:ascii="Times New Roman" w:eastAsia="Times New Roman" w:hAnsi="Times New Roman" w:cs="Times New Roman"/>
          <w:sz w:val="24"/>
          <w:szCs w:val="24"/>
        </w:rPr>
        <w:t xml:space="preserve"> how individual health outcomes are shaped by broader social and environmental influences</w:t>
      </w:r>
      <w:r w:rsidR="00220C2B">
        <w:rPr>
          <w:rFonts w:ascii="Times New Roman" w:eastAsia="Times New Roman" w:hAnsi="Times New Roman" w:cs="Times New Roman"/>
          <w:sz w:val="24"/>
          <w:szCs w:val="24"/>
        </w:rPr>
        <w:t xml:space="preserve"> </w:t>
      </w:r>
      <w:r w:rsidR="00220C2B" w:rsidRPr="00220C2B">
        <w:rPr>
          <w:rFonts w:ascii="Times New Roman" w:eastAsia="Times New Roman" w:hAnsi="Times New Roman" w:cs="Times New Roman"/>
          <w:sz w:val="24"/>
          <w:szCs w:val="24"/>
        </w:rPr>
        <w:t>(Dahlgren and Whitehead, 2021)</w:t>
      </w:r>
      <w:r w:rsidRPr="00803275">
        <w:rPr>
          <w:rFonts w:ascii="Times New Roman" w:eastAsia="Times New Roman" w:hAnsi="Times New Roman" w:cs="Times New Roman"/>
          <w:sz w:val="24"/>
          <w:szCs w:val="24"/>
        </w:rPr>
        <w:t>. Cultural barriers and lack of awareness can also delay treatment for reproductive conditions. Therefore, improving reproductive health requires equitable access to healthcare services and increased awareness of women’s health issues.</w:t>
      </w:r>
    </w:p>
    <w:p w14:paraId="51AE0E4E" w14:textId="77777777" w:rsidR="00D71585" w:rsidRPr="00803275" w:rsidRDefault="00D71585" w:rsidP="00B5705F">
      <w:pPr>
        <w:spacing w:before="100" w:beforeAutospacing="1" w:after="100" w:afterAutospacing="1" w:line="480" w:lineRule="auto"/>
        <w:outlineLvl w:val="2"/>
        <w:rPr>
          <w:rFonts w:ascii="Times New Roman" w:eastAsia="Times New Roman" w:hAnsi="Times New Roman" w:cs="Times New Roman"/>
          <w:b/>
          <w:bCs/>
          <w:sz w:val="24"/>
          <w:szCs w:val="24"/>
        </w:rPr>
      </w:pPr>
      <w:r w:rsidRPr="00B5705F">
        <w:rPr>
          <w:rFonts w:ascii="Times New Roman" w:eastAsia="Times New Roman" w:hAnsi="Times New Roman" w:cs="Times New Roman"/>
          <w:b/>
          <w:bCs/>
          <w:sz w:val="24"/>
          <w:szCs w:val="24"/>
        </w:rPr>
        <w:t>Social Issue: Gender Pay Gap and Economic Inequality</w:t>
      </w:r>
    </w:p>
    <w:p w14:paraId="1D67AF76" w14:textId="77777777" w:rsidR="00D71585" w:rsidRPr="00803275" w:rsidRDefault="00D71585" w:rsidP="00B5705F">
      <w:pPr>
        <w:spacing w:before="100" w:beforeAutospacing="1" w:after="100" w:afterAutospacing="1" w:line="480" w:lineRule="auto"/>
        <w:rPr>
          <w:rFonts w:ascii="Times New Roman" w:eastAsia="Times New Roman" w:hAnsi="Times New Roman" w:cs="Times New Roman"/>
          <w:sz w:val="24"/>
          <w:szCs w:val="24"/>
        </w:rPr>
      </w:pPr>
      <w:r w:rsidRPr="00803275">
        <w:rPr>
          <w:rFonts w:ascii="Times New Roman" w:eastAsia="Times New Roman" w:hAnsi="Times New Roman" w:cs="Times New Roman"/>
          <w:sz w:val="24"/>
          <w:szCs w:val="24"/>
        </w:rPr>
        <w:t>The gender pay gap is a major social determinant of health inequality because it directly affects income, living conditions, and access to essential resources</w:t>
      </w:r>
      <w:r w:rsidRPr="00B5705F">
        <w:rPr>
          <w:rFonts w:ascii="Times New Roman" w:eastAsia="Times New Roman" w:hAnsi="Times New Roman" w:cs="Times New Roman"/>
          <w:sz w:val="24"/>
          <w:szCs w:val="24"/>
        </w:rPr>
        <w:t xml:space="preserve"> (Hossain et al., 2025)</w:t>
      </w:r>
      <w:r w:rsidRPr="00803275">
        <w:rPr>
          <w:rFonts w:ascii="Times New Roman" w:eastAsia="Times New Roman" w:hAnsi="Times New Roman" w:cs="Times New Roman"/>
          <w:sz w:val="24"/>
          <w:szCs w:val="24"/>
        </w:rPr>
        <w:t xml:space="preserve">. Women in the UK earn less than men on average, which contributes to higher rates of poverty among women, particularly single parents and older individuals. According to the </w:t>
      </w:r>
      <w:r w:rsidRPr="00B5705F">
        <w:rPr>
          <w:rFonts w:ascii="Times New Roman" w:eastAsia="Times New Roman" w:hAnsi="Times New Roman" w:cs="Times New Roman"/>
          <w:sz w:val="24"/>
          <w:szCs w:val="24"/>
        </w:rPr>
        <w:t>UK Government</w:t>
      </w:r>
      <w:r w:rsidRPr="00803275">
        <w:rPr>
          <w:rFonts w:ascii="Times New Roman" w:eastAsia="Times New Roman" w:hAnsi="Times New Roman" w:cs="Times New Roman"/>
          <w:sz w:val="24"/>
          <w:szCs w:val="24"/>
        </w:rPr>
        <w:t>, although the gender pay gap has narrowed slightly, it remains a persistent issue across many sectors. Economic inequality limits access to nutritious food, safe housing, and healthcare services, all of which are essential for good health. Women are also more likely to undertake unpaid caregiving roles, which can reduce their earning potential and increase financial stress</w:t>
      </w:r>
      <w:r w:rsidR="00B555C6">
        <w:rPr>
          <w:rFonts w:ascii="Times New Roman" w:eastAsia="Times New Roman" w:hAnsi="Times New Roman" w:cs="Times New Roman"/>
          <w:sz w:val="24"/>
          <w:szCs w:val="24"/>
        </w:rPr>
        <w:t xml:space="preserve"> </w:t>
      </w:r>
      <w:r w:rsidR="00B555C6" w:rsidRPr="00B555C6">
        <w:rPr>
          <w:rFonts w:ascii="Times New Roman" w:eastAsia="Times New Roman" w:hAnsi="Times New Roman" w:cs="Times New Roman"/>
          <w:sz w:val="24"/>
          <w:szCs w:val="24"/>
        </w:rPr>
        <w:t xml:space="preserve">(Willert and </w:t>
      </w:r>
      <w:proofErr w:type="spellStart"/>
      <w:r w:rsidR="00B555C6" w:rsidRPr="00B555C6">
        <w:rPr>
          <w:rFonts w:ascii="Times New Roman" w:eastAsia="Times New Roman" w:hAnsi="Times New Roman" w:cs="Times New Roman"/>
          <w:sz w:val="24"/>
          <w:szCs w:val="24"/>
        </w:rPr>
        <w:t>Minnotte</w:t>
      </w:r>
      <w:proofErr w:type="spellEnd"/>
      <w:r w:rsidR="00B555C6" w:rsidRPr="00B555C6">
        <w:rPr>
          <w:rFonts w:ascii="Times New Roman" w:eastAsia="Times New Roman" w:hAnsi="Times New Roman" w:cs="Times New Roman"/>
          <w:sz w:val="24"/>
          <w:szCs w:val="24"/>
        </w:rPr>
        <w:t>, 2019)</w:t>
      </w:r>
      <w:r w:rsidRPr="00803275">
        <w:rPr>
          <w:rFonts w:ascii="Times New Roman" w:eastAsia="Times New Roman" w:hAnsi="Times New Roman" w:cs="Times New Roman"/>
          <w:sz w:val="24"/>
          <w:szCs w:val="24"/>
        </w:rPr>
        <w:t>. These factors contribute to long-term health disadvantages and reduced quality of life. Therefore, addressing economic inequality is essential for improving gender-based health outcomes.</w:t>
      </w:r>
    </w:p>
    <w:p w14:paraId="2DC315A3" w14:textId="77777777" w:rsidR="00D71585" w:rsidRPr="00803275" w:rsidRDefault="00D71585" w:rsidP="00B5705F">
      <w:pPr>
        <w:spacing w:before="100" w:beforeAutospacing="1" w:after="100" w:afterAutospacing="1" w:line="480" w:lineRule="auto"/>
        <w:outlineLvl w:val="2"/>
        <w:rPr>
          <w:rFonts w:ascii="Times New Roman" w:eastAsia="Times New Roman" w:hAnsi="Times New Roman" w:cs="Times New Roman"/>
          <w:b/>
          <w:bCs/>
          <w:sz w:val="24"/>
          <w:szCs w:val="24"/>
        </w:rPr>
      </w:pPr>
      <w:r w:rsidRPr="00B5705F">
        <w:rPr>
          <w:rFonts w:ascii="Times New Roman" w:eastAsia="Times New Roman" w:hAnsi="Times New Roman" w:cs="Times New Roman"/>
          <w:b/>
          <w:bCs/>
          <w:sz w:val="24"/>
          <w:szCs w:val="24"/>
        </w:rPr>
        <w:t>Social Issue: Gender-Based Violence</w:t>
      </w:r>
    </w:p>
    <w:p w14:paraId="3021EAE7" w14:textId="77777777" w:rsidR="00D71585" w:rsidRPr="00803275" w:rsidRDefault="00D71585" w:rsidP="00B5705F">
      <w:pPr>
        <w:spacing w:before="100" w:beforeAutospacing="1" w:after="100" w:afterAutospacing="1" w:line="480" w:lineRule="auto"/>
        <w:rPr>
          <w:rFonts w:ascii="Times New Roman" w:eastAsia="Times New Roman" w:hAnsi="Times New Roman" w:cs="Times New Roman"/>
          <w:sz w:val="24"/>
          <w:szCs w:val="24"/>
        </w:rPr>
      </w:pPr>
      <w:r w:rsidRPr="00803275">
        <w:rPr>
          <w:rFonts w:ascii="Times New Roman" w:eastAsia="Times New Roman" w:hAnsi="Times New Roman" w:cs="Times New Roman"/>
          <w:sz w:val="24"/>
          <w:szCs w:val="24"/>
        </w:rPr>
        <w:t xml:space="preserve">Gender-based violence is a serious public health issue that has profound effects on both physical and mental health. Women are disproportionately affected by domestic abuse, sexual violence, and harassment, which can lead to long-term health consequences. According to the </w:t>
      </w:r>
      <w:r w:rsidRPr="00B5705F">
        <w:rPr>
          <w:rFonts w:ascii="Times New Roman" w:eastAsia="Times New Roman" w:hAnsi="Times New Roman" w:cs="Times New Roman"/>
          <w:sz w:val="24"/>
          <w:szCs w:val="24"/>
        </w:rPr>
        <w:t xml:space="preserve">Office for </w:t>
      </w:r>
      <w:r w:rsidRPr="00B5705F">
        <w:rPr>
          <w:rFonts w:ascii="Times New Roman" w:eastAsia="Times New Roman" w:hAnsi="Times New Roman" w:cs="Times New Roman"/>
          <w:sz w:val="24"/>
          <w:szCs w:val="24"/>
        </w:rPr>
        <w:lastRenderedPageBreak/>
        <w:t>National Statistics</w:t>
      </w:r>
      <w:r w:rsidRPr="00803275">
        <w:rPr>
          <w:rFonts w:ascii="Times New Roman" w:eastAsia="Times New Roman" w:hAnsi="Times New Roman" w:cs="Times New Roman"/>
          <w:sz w:val="24"/>
          <w:szCs w:val="24"/>
        </w:rPr>
        <w:t>, one in four women in the UK will experience domestic abuse during their lifetime</w:t>
      </w:r>
      <w:r w:rsidRPr="00B5705F">
        <w:rPr>
          <w:rFonts w:ascii="Times New Roman" w:eastAsia="Times New Roman" w:hAnsi="Times New Roman" w:cs="Times New Roman"/>
          <w:sz w:val="24"/>
          <w:szCs w:val="24"/>
        </w:rPr>
        <w:t xml:space="preserve"> (Hossain et al., 2025)</w:t>
      </w:r>
      <w:r w:rsidRPr="00803275">
        <w:rPr>
          <w:rFonts w:ascii="Times New Roman" w:eastAsia="Times New Roman" w:hAnsi="Times New Roman" w:cs="Times New Roman"/>
          <w:sz w:val="24"/>
          <w:szCs w:val="24"/>
        </w:rPr>
        <w:t>. These experiences can result in injuries, chronic pain, mental health disorders, and reduced wellbeing. Fear of violence can also restrict women’s ability to participate in education, employment, and social activities. In addition, survivors may face barriers in accessing healthcare and support services. Addressing gender-based violence requires coordinated efforts across healthcare, legal, and social systems. Therefore, reducing violence is essential for improving health outcomes and achieving gender equality.</w:t>
      </w:r>
    </w:p>
    <w:p w14:paraId="203D6DD8" w14:textId="77777777" w:rsidR="00D71585" w:rsidRPr="00803275" w:rsidRDefault="00D71585" w:rsidP="00B5705F">
      <w:pPr>
        <w:spacing w:before="100" w:beforeAutospacing="1" w:after="100" w:afterAutospacing="1" w:line="480" w:lineRule="auto"/>
        <w:outlineLvl w:val="2"/>
        <w:rPr>
          <w:rFonts w:ascii="Times New Roman" w:eastAsia="Times New Roman" w:hAnsi="Times New Roman" w:cs="Times New Roman"/>
          <w:b/>
          <w:bCs/>
          <w:sz w:val="24"/>
          <w:szCs w:val="24"/>
        </w:rPr>
      </w:pPr>
      <w:r w:rsidRPr="00B5705F">
        <w:rPr>
          <w:rFonts w:ascii="Times New Roman" w:eastAsia="Times New Roman" w:hAnsi="Times New Roman" w:cs="Times New Roman"/>
          <w:b/>
          <w:bCs/>
          <w:sz w:val="24"/>
          <w:szCs w:val="24"/>
        </w:rPr>
        <w:t>Social Issue: Unequal Access to Healthcare Services</w:t>
      </w:r>
    </w:p>
    <w:p w14:paraId="6FABCDB5" w14:textId="77777777" w:rsidR="00D71585" w:rsidRPr="00803275" w:rsidRDefault="00D71585" w:rsidP="00B5705F">
      <w:pPr>
        <w:spacing w:before="100" w:beforeAutospacing="1" w:after="100" w:afterAutospacing="1" w:line="480" w:lineRule="auto"/>
        <w:rPr>
          <w:rFonts w:ascii="Times New Roman" w:eastAsia="Times New Roman" w:hAnsi="Times New Roman" w:cs="Times New Roman"/>
          <w:sz w:val="24"/>
          <w:szCs w:val="24"/>
        </w:rPr>
      </w:pPr>
      <w:r w:rsidRPr="00803275">
        <w:rPr>
          <w:rFonts w:ascii="Times New Roman" w:eastAsia="Times New Roman" w:hAnsi="Times New Roman" w:cs="Times New Roman"/>
          <w:sz w:val="24"/>
          <w:szCs w:val="24"/>
        </w:rPr>
        <w:t xml:space="preserve">Unequal access to healthcare services contributes significantly to gender health inequalities, as both men and women face different barriers to care. Women may experience challenges such as long waiting times, lack of childcare, and gender bias within healthcare systems. Men, on the other hand, may avoid seeking healthcare due to stigma and societal expectations. The </w:t>
      </w:r>
      <w:r w:rsidRPr="00B5705F">
        <w:rPr>
          <w:rFonts w:ascii="Times New Roman" w:eastAsia="Times New Roman" w:hAnsi="Times New Roman" w:cs="Times New Roman"/>
          <w:sz w:val="24"/>
          <w:szCs w:val="24"/>
        </w:rPr>
        <w:t>National Health Service</w:t>
      </w:r>
      <w:r w:rsidRPr="00803275">
        <w:rPr>
          <w:rFonts w:ascii="Times New Roman" w:eastAsia="Times New Roman" w:hAnsi="Times New Roman" w:cs="Times New Roman"/>
          <w:sz w:val="24"/>
          <w:szCs w:val="24"/>
        </w:rPr>
        <w:t xml:space="preserve"> has implemented initiatives to improve access, including digital health services and community-based care</w:t>
      </w:r>
      <w:r w:rsidRPr="00B5705F">
        <w:rPr>
          <w:rFonts w:ascii="Times New Roman" w:eastAsia="Times New Roman" w:hAnsi="Times New Roman" w:cs="Times New Roman"/>
          <w:sz w:val="24"/>
          <w:szCs w:val="24"/>
        </w:rPr>
        <w:t xml:space="preserve"> (</w:t>
      </w:r>
      <w:proofErr w:type="spellStart"/>
      <w:r w:rsidRPr="00B5705F">
        <w:rPr>
          <w:rFonts w:ascii="Times New Roman" w:eastAsia="Times New Roman" w:hAnsi="Times New Roman" w:cs="Times New Roman"/>
          <w:sz w:val="24"/>
          <w:szCs w:val="24"/>
        </w:rPr>
        <w:t>Erku</w:t>
      </w:r>
      <w:proofErr w:type="spellEnd"/>
      <w:r w:rsidRPr="00B5705F">
        <w:rPr>
          <w:rFonts w:ascii="Times New Roman" w:eastAsia="Times New Roman" w:hAnsi="Times New Roman" w:cs="Times New Roman"/>
          <w:sz w:val="24"/>
          <w:szCs w:val="24"/>
        </w:rPr>
        <w:t xml:space="preserve"> et al., 2023)</w:t>
      </w:r>
      <w:r w:rsidRPr="00803275">
        <w:rPr>
          <w:rFonts w:ascii="Times New Roman" w:eastAsia="Times New Roman" w:hAnsi="Times New Roman" w:cs="Times New Roman"/>
          <w:sz w:val="24"/>
          <w:szCs w:val="24"/>
        </w:rPr>
        <w:t>. However, disparities remain, particularly among marginalised groups such as migrants and low-income populations. Delayed access to healthcare can result in late diagnosis and poorer outcomes. Cultural and language barriers can further limit access for certain populations. Therefore, improving access to healthcare is a critical priority in reducing gender inequalities.</w:t>
      </w:r>
    </w:p>
    <w:p w14:paraId="2CFF9B95" w14:textId="77777777" w:rsidR="00D71585" w:rsidRPr="00803275" w:rsidRDefault="00D71585" w:rsidP="00B5705F">
      <w:pPr>
        <w:spacing w:before="100" w:beforeAutospacing="1" w:after="100" w:afterAutospacing="1" w:line="480" w:lineRule="auto"/>
        <w:outlineLvl w:val="2"/>
        <w:rPr>
          <w:rFonts w:ascii="Times New Roman" w:eastAsia="Times New Roman" w:hAnsi="Times New Roman" w:cs="Times New Roman"/>
          <w:b/>
          <w:bCs/>
          <w:sz w:val="24"/>
          <w:szCs w:val="24"/>
        </w:rPr>
      </w:pPr>
      <w:r w:rsidRPr="00B5705F">
        <w:rPr>
          <w:rFonts w:ascii="Times New Roman" w:eastAsia="Times New Roman" w:hAnsi="Times New Roman" w:cs="Times New Roman"/>
          <w:b/>
          <w:bCs/>
          <w:sz w:val="24"/>
          <w:szCs w:val="24"/>
        </w:rPr>
        <w:t>National Responses to Gender Health Inequalities</w:t>
      </w:r>
    </w:p>
    <w:p w14:paraId="65005C26" w14:textId="77777777" w:rsidR="00D71585" w:rsidRPr="00803275" w:rsidRDefault="00D71585" w:rsidP="00B5705F">
      <w:pPr>
        <w:spacing w:before="100" w:beforeAutospacing="1" w:after="100" w:afterAutospacing="1" w:line="480" w:lineRule="auto"/>
        <w:rPr>
          <w:rFonts w:ascii="Times New Roman" w:eastAsia="Times New Roman" w:hAnsi="Times New Roman" w:cs="Times New Roman"/>
          <w:sz w:val="24"/>
          <w:szCs w:val="24"/>
        </w:rPr>
      </w:pPr>
      <w:r w:rsidRPr="00803275">
        <w:rPr>
          <w:rFonts w:ascii="Times New Roman" w:eastAsia="Times New Roman" w:hAnsi="Times New Roman" w:cs="Times New Roman"/>
          <w:sz w:val="24"/>
          <w:szCs w:val="24"/>
        </w:rPr>
        <w:t xml:space="preserve">The UK government has introduced several policies and strategies to address gender health inequalities and improve overall population health. The Women’s Health Strategy aims to </w:t>
      </w:r>
      <w:r w:rsidRPr="00803275">
        <w:rPr>
          <w:rFonts w:ascii="Times New Roman" w:eastAsia="Times New Roman" w:hAnsi="Times New Roman" w:cs="Times New Roman"/>
          <w:sz w:val="24"/>
          <w:szCs w:val="24"/>
        </w:rPr>
        <w:lastRenderedPageBreak/>
        <w:t>improve access to services, increase research, and address gaps in care for women</w:t>
      </w:r>
      <w:r w:rsidRPr="00B5705F">
        <w:rPr>
          <w:rFonts w:ascii="Times New Roman" w:eastAsia="Times New Roman" w:hAnsi="Times New Roman" w:cs="Times New Roman"/>
          <w:sz w:val="24"/>
          <w:szCs w:val="24"/>
        </w:rPr>
        <w:t xml:space="preserve"> (Health, 2026)</w:t>
      </w:r>
      <w:r w:rsidRPr="00803275">
        <w:rPr>
          <w:rFonts w:ascii="Times New Roman" w:eastAsia="Times New Roman" w:hAnsi="Times New Roman" w:cs="Times New Roman"/>
          <w:sz w:val="24"/>
          <w:szCs w:val="24"/>
        </w:rPr>
        <w:t xml:space="preserve">. Public health campaigns also focus on raising awareness of issues such as mental health and domestic violence. Workplace policies promoting gender equality, including flexible working arrangements and equal pay initiatives, contribute to improved health outcomes. These interventions demonstrate a commitment to reducing inequalities at a national level. However, challenges remain in ensuring effective implementation and reaching all population groups. Monitoring and evaluation are essential to assess the impact of these policies. </w:t>
      </w:r>
      <w:r w:rsidR="00220C2B" w:rsidRPr="00803275">
        <w:rPr>
          <w:rFonts w:ascii="Times New Roman" w:eastAsia="Times New Roman" w:hAnsi="Times New Roman" w:cs="Times New Roman"/>
          <w:sz w:val="24"/>
          <w:szCs w:val="24"/>
        </w:rPr>
        <w:t>Consequently</w:t>
      </w:r>
      <w:r w:rsidRPr="00803275">
        <w:rPr>
          <w:rFonts w:ascii="Times New Roman" w:eastAsia="Times New Roman" w:hAnsi="Times New Roman" w:cs="Times New Roman"/>
          <w:sz w:val="24"/>
          <w:szCs w:val="24"/>
        </w:rPr>
        <w:t>, continued policy development and investment are necessary to achieve sustainable improvements.</w:t>
      </w:r>
    </w:p>
    <w:p w14:paraId="59DC0069" w14:textId="77777777" w:rsidR="00D71585" w:rsidRPr="00803275" w:rsidRDefault="00D71585" w:rsidP="00B5705F">
      <w:pPr>
        <w:spacing w:before="100" w:beforeAutospacing="1" w:after="100" w:afterAutospacing="1" w:line="480" w:lineRule="auto"/>
        <w:outlineLvl w:val="2"/>
        <w:rPr>
          <w:rFonts w:ascii="Times New Roman" w:eastAsia="Times New Roman" w:hAnsi="Times New Roman" w:cs="Times New Roman"/>
          <w:b/>
          <w:bCs/>
          <w:sz w:val="24"/>
          <w:szCs w:val="24"/>
        </w:rPr>
      </w:pPr>
      <w:r w:rsidRPr="00B5705F">
        <w:rPr>
          <w:rFonts w:ascii="Times New Roman" w:eastAsia="Times New Roman" w:hAnsi="Times New Roman" w:cs="Times New Roman"/>
          <w:b/>
          <w:bCs/>
          <w:sz w:val="24"/>
          <w:szCs w:val="24"/>
        </w:rPr>
        <w:t>Organisation Supporting Gender Health Inequality</w:t>
      </w:r>
    </w:p>
    <w:p w14:paraId="6808977B" w14:textId="77777777" w:rsidR="00D71585" w:rsidRPr="00803275" w:rsidRDefault="00D71585" w:rsidP="00B5705F">
      <w:pPr>
        <w:spacing w:before="100" w:beforeAutospacing="1" w:after="100" w:afterAutospacing="1" w:line="480" w:lineRule="auto"/>
        <w:rPr>
          <w:rFonts w:ascii="Times New Roman" w:eastAsia="Times New Roman" w:hAnsi="Times New Roman" w:cs="Times New Roman"/>
          <w:sz w:val="24"/>
          <w:szCs w:val="24"/>
        </w:rPr>
      </w:pPr>
      <w:r w:rsidRPr="00B5705F">
        <w:rPr>
          <w:rFonts w:ascii="Times New Roman" w:eastAsia="Times New Roman" w:hAnsi="Times New Roman" w:cs="Times New Roman"/>
          <w:sz w:val="24"/>
          <w:szCs w:val="24"/>
        </w:rPr>
        <w:t>Women’s Aid</w:t>
      </w:r>
      <w:r w:rsidRPr="00803275">
        <w:rPr>
          <w:rFonts w:ascii="Times New Roman" w:eastAsia="Times New Roman" w:hAnsi="Times New Roman" w:cs="Times New Roman"/>
          <w:sz w:val="24"/>
          <w:szCs w:val="24"/>
        </w:rPr>
        <w:t xml:space="preserve"> plays a crucial role in addressing gender-based health inequalities, particularly in relation to domestic violence and abuse</w:t>
      </w:r>
      <w:r w:rsidR="00D51639">
        <w:rPr>
          <w:rFonts w:ascii="Times New Roman" w:eastAsia="Times New Roman" w:hAnsi="Times New Roman" w:cs="Times New Roman"/>
          <w:sz w:val="24"/>
          <w:szCs w:val="24"/>
        </w:rPr>
        <w:t xml:space="preserve"> </w:t>
      </w:r>
      <w:r w:rsidR="00D51639" w:rsidRPr="00D51639">
        <w:rPr>
          <w:rFonts w:ascii="Times New Roman" w:eastAsia="Times New Roman" w:hAnsi="Times New Roman" w:cs="Times New Roman"/>
          <w:sz w:val="24"/>
          <w:szCs w:val="24"/>
        </w:rPr>
        <w:t>(Women’s Aid Federation of England, 2025)</w:t>
      </w:r>
      <w:r w:rsidRPr="00803275">
        <w:rPr>
          <w:rFonts w:ascii="Times New Roman" w:eastAsia="Times New Roman" w:hAnsi="Times New Roman" w:cs="Times New Roman"/>
          <w:sz w:val="24"/>
          <w:szCs w:val="24"/>
        </w:rPr>
        <w:t>. The organisation provides refuge, counselling, and advocacy services to support women and children affected by violence. It also raises awareness through campaigns and educational programmes, highlighting the impact of abuse on health and wellbeing. Women’s Aid conducts research to inform policy and improve service provision. Its work helps to empower survivors and promote safety and independence. Collaboration with healthcare providers and local authorities strengthens its impact. Therefore, voluntary organisations are essential in complementing public health strategies and addressing inequalities.</w:t>
      </w:r>
    </w:p>
    <w:p w14:paraId="2CA833A2" w14:textId="77777777" w:rsidR="00D71585" w:rsidRPr="00803275" w:rsidRDefault="00D71585" w:rsidP="00B5705F">
      <w:pPr>
        <w:spacing w:before="100" w:beforeAutospacing="1" w:after="100" w:afterAutospacing="1" w:line="480" w:lineRule="auto"/>
        <w:outlineLvl w:val="2"/>
        <w:rPr>
          <w:rFonts w:ascii="Times New Roman" w:eastAsia="Times New Roman" w:hAnsi="Times New Roman" w:cs="Times New Roman"/>
          <w:b/>
          <w:bCs/>
          <w:sz w:val="24"/>
          <w:szCs w:val="24"/>
        </w:rPr>
      </w:pPr>
      <w:r w:rsidRPr="00B5705F">
        <w:rPr>
          <w:rFonts w:ascii="Times New Roman" w:eastAsia="Times New Roman" w:hAnsi="Times New Roman" w:cs="Times New Roman"/>
          <w:b/>
          <w:bCs/>
          <w:sz w:val="24"/>
          <w:szCs w:val="24"/>
        </w:rPr>
        <w:t>Conclusion</w:t>
      </w:r>
    </w:p>
    <w:p w14:paraId="4BD1A18C" w14:textId="77777777" w:rsidR="00D71585" w:rsidRPr="00803275" w:rsidRDefault="00D71585" w:rsidP="00B555C6">
      <w:pPr>
        <w:spacing w:before="100" w:beforeAutospacing="1" w:after="100" w:afterAutospacing="1" w:line="480" w:lineRule="auto"/>
        <w:rPr>
          <w:rFonts w:ascii="Times New Roman" w:eastAsia="Times New Roman" w:hAnsi="Times New Roman" w:cs="Times New Roman"/>
          <w:sz w:val="24"/>
          <w:szCs w:val="24"/>
        </w:rPr>
      </w:pPr>
      <w:r w:rsidRPr="00803275">
        <w:rPr>
          <w:rFonts w:ascii="Times New Roman" w:eastAsia="Times New Roman" w:hAnsi="Times New Roman" w:cs="Times New Roman"/>
          <w:sz w:val="24"/>
          <w:szCs w:val="24"/>
        </w:rPr>
        <w:lastRenderedPageBreak/>
        <w:t>Gender inequality significantly influences health outcomes through a complex interaction of biological, social, and economic factors. Women face higher rates of mental health disorders and reproductive health challenges, while men experience higher mortality rates and engage in risk behaviours. Social issues such as economic inequality, gender-based violence, and unequal access to healthcare further exacerbate these disparities. National policies and organisations have made progress in addressing these inequalities, but gaps remain in implementation and effectiveness. A comprehensive approach that integrates policy, community support, and healthcare interventions is essential. Therefore, achieving gender equality in health requires sustained efforts across multiple sectors and levels of society.</w:t>
      </w:r>
    </w:p>
    <w:p w14:paraId="442F4D94" w14:textId="77777777" w:rsidR="00D71585" w:rsidRPr="00803275" w:rsidRDefault="00D71585" w:rsidP="00CB54E2">
      <w:pPr>
        <w:spacing w:before="100" w:beforeAutospacing="1" w:after="100" w:afterAutospacing="1" w:line="480" w:lineRule="auto"/>
        <w:jc w:val="center"/>
        <w:outlineLvl w:val="1"/>
        <w:rPr>
          <w:rFonts w:ascii="Times New Roman" w:eastAsia="Times New Roman" w:hAnsi="Times New Roman" w:cs="Times New Roman"/>
          <w:b/>
          <w:bCs/>
          <w:sz w:val="24"/>
          <w:szCs w:val="24"/>
        </w:rPr>
      </w:pPr>
      <w:r w:rsidRPr="00B5705F">
        <w:rPr>
          <w:rFonts w:ascii="Times New Roman" w:eastAsia="Times New Roman" w:hAnsi="Times New Roman" w:cs="Times New Roman"/>
          <w:b/>
          <w:bCs/>
          <w:sz w:val="24"/>
          <w:szCs w:val="24"/>
        </w:rPr>
        <w:t>Task 2: Epidemiological Analysis of Type 2 Diabetes</w:t>
      </w:r>
    </w:p>
    <w:p w14:paraId="65BFF8CF" w14:textId="77777777" w:rsidR="00D71585" w:rsidRPr="00803275" w:rsidRDefault="00D71585" w:rsidP="00B5705F">
      <w:pPr>
        <w:spacing w:before="100" w:beforeAutospacing="1" w:after="100" w:afterAutospacing="1" w:line="480" w:lineRule="auto"/>
        <w:outlineLvl w:val="2"/>
        <w:rPr>
          <w:rFonts w:ascii="Times New Roman" w:eastAsia="Times New Roman" w:hAnsi="Times New Roman" w:cs="Times New Roman"/>
          <w:b/>
          <w:bCs/>
          <w:sz w:val="24"/>
          <w:szCs w:val="24"/>
        </w:rPr>
      </w:pPr>
      <w:r w:rsidRPr="00B5705F">
        <w:rPr>
          <w:rFonts w:ascii="Times New Roman" w:eastAsia="Times New Roman" w:hAnsi="Times New Roman" w:cs="Times New Roman"/>
          <w:b/>
          <w:bCs/>
          <w:sz w:val="24"/>
          <w:szCs w:val="24"/>
        </w:rPr>
        <w:t>Introduction</w:t>
      </w:r>
    </w:p>
    <w:p w14:paraId="10B9196F" w14:textId="77777777" w:rsidR="00D71585" w:rsidRPr="00803275" w:rsidRDefault="00D71585" w:rsidP="00B5705F">
      <w:pPr>
        <w:spacing w:before="100" w:beforeAutospacing="1" w:after="100" w:afterAutospacing="1" w:line="480" w:lineRule="auto"/>
        <w:rPr>
          <w:rFonts w:ascii="Times New Roman" w:eastAsia="Times New Roman" w:hAnsi="Times New Roman" w:cs="Times New Roman"/>
          <w:sz w:val="24"/>
          <w:szCs w:val="24"/>
        </w:rPr>
      </w:pPr>
      <w:r w:rsidRPr="00803275">
        <w:rPr>
          <w:rFonts w:ascii="Times New Roman" w:eastAsia="Times New Roman" w:hAnsi="Times New Roman" w:cs="Times New Roman"/>
          <w:sz w:val="24"/>
          <w:szCs w:val="24"/>
        </w:rPr>
        <w:t xml:space="preserve">Type 2 diabetes is a chronic non-communicable disease characterised by insulin resistance and elevated blood glucose levels, which can lead to severe complications if not properly managed. The condition has significant social, cultural, and economic consequences, particularly among disadvantaged populations. According to the </w:t>
      </w:r>
      <w:r w:rsidRPr="00B5705F">
        <w:rPr>
          <w:rFonts w:ascii="Times New Roman" w:eastAsia="Times New Roman" w:hAnsi="Times New Roman" w:cs="Times New Roman"/>
          <w:sz w:val="24"/>
          <w:szCs w:val="24"/>
        </w:rPr>
        <w:t>World Health Organization</w:t>
      </w:r>
      <w:r w:rsidRPr="00803275">
        <w:rPr>
          <w:rFonts w:ascii="Times New Roman" w:eastAsia="Times New Roman" w:hAnsi="Times New Roman" w:cs="Times New Roman"/>
          <w:sz w:val="24"/>
          <w:szCs w:val="24"/>
        </w:rPr>
        <w:t>, more than 422 million people worldwide are living with diabetes, and the prevalence continues to increase</w:t>
      </w:r>
      <w:r w:rsidR="00360AD2">
        <w:rPr>
          <w:rFonts w:ascii="Times New Roman" w:eastAsia="Times New Roman" w:hAnsi="Times New Roman" w:cs="Times New Roman"/>
          <w:sz w:val="24"/>
          <w:szCs w:val="24"/>
        </w:rPr>
        <w:t xml:space="preserve"> </w:t>
      </w:r>
      <w:r w:rsidR="00360AD2" w:rsidRPr="00360AD2">
        <w:rPr>
          <w:rFonts w:ascii="Times New Roman" w:eastAsia="Times New Roman" w:hAnsi="Times New Roman" w:cs="Times New Roman"/>
          <w:sz w:val="24"/>
          <w:szCs w:val="24"/>
        </w:rPr>
        <w:t>(World Health Organization, 2024)</w:t>
      </w:r>
      <w:r w:rsidRPr="00803275">
        <w:rPr>
          <w:rFonts w:ascii="Times New Roman" w:eastAsia="Times New Roman" w:hAnsi="Times New Roman" w:cs="Times New Roman"/>
          <w:sz w:val="24"/>
          <w:szCs w:val="24"/>
        </w:rPr>
        <w:t>. In the UK, approximately 4.3 million individuals have been diagnosed, with many more cases remaining undiagnosed</w:t>
      </w:r>
      <w:r w:rsidR="00AB3B67">
        <w:rPr>
          <w:rFonts w:ascii="Times New Roman" w:eastAsia="Times New Roman" w:hAnsi="Times New Roman" w:cs="Times New Roman"/>
          <w:sz w:val="24"/>
          <w:szCs w:val="24"/>
        </w:rPr>
        <w:t xml:space="preserve"> </w:t>
      </w:r>
      <w:r w:rsidR="00AB3B67" w:rsidRPr="00AB3B67">
        <w:rPr>
          <w:rFonts w:ascii="Times New Roman" w:eastAsia="Times New Roman" w:hAnsi="Times New Roman" w:cs="Times New Roman"/>
          <w:sz w:val="24"/>
          <w:szCs w:val="24"/>
        </w:rPr>
        <w:t>(Diabetes UK, 2023)</w:t>
      </w:r>
      <w:r w:rsidRPr="00803275">
        <w:rPr>
          <w:rFonts w:ascii="Times New Roman" w:eastAsia="Times New Roman" w:hAnsi="Times New Roman" w:cs="Times New Roman"/>
          <w:sz w:val="24"/>
          <w:szCs w:val="24"/>
        </w:rPr>
        <w:t>. The disease disproportionately affects individuals from deprived communities and ethnic minority groups, reflecting broader health inequalities. Lifestyle factors such as poor diet, obesity, and physical inactivity contribute significant</w:t>
      </w:r>
      <w:r w:rsidR="00B555C6">
        <w:rPr>
          <w:rFonts w:ascii="Times New Roman" w:eastAsia="Times New Roman" w:hAnsi="Times New Roman" w:cs="Times New Roman"/>
          <w:sz w:val="24"/>
          <w:szCs w:val="24"/>
        </w:rPr>
        <w:t>ly to its development. Accordingly</w:t>
      </w:r>
      <w:r w:rsidRPr="00803275">
        <w:rPr>
          <w:rFonts w:ascii="Times New Roman" w:eastAsia="Times New Roman" w:hAnsi="Times New Roman" w:cs="Times New Roman"/>
          <w:sz w:val="24"/>
          <w:szCs w:val="24"/>
        </w:rPr>
        <w:t xml:space="preserve">, understanding the </w:t>
      </w:r>
      <w:r w:rsidRPr="00803275">
        <w:rPr>
          <w:rFonts w:ascii="Times New Roman" w:eastAsia="Times New Roman" w:hAnsi="Times New Roman" w:cs="Times New Roman"/>
          <w:sz w:val="24"/>
          <w:szCs w:val="24"/>
        </w:rPr>
        <w:lastRenderedPageBreak/>
        <w:t>epidemiology of Type 2 diabetes is essential for designing effective public health interventions and reducing its impact.</w:t>
      </w:r>
    </w:p>
    <w:p w14:paraId="281170F2" w14:textId="77777777" w:rsidR="00D71585" w:rsidRPr="00803275" w:rsidRDefault="00D71585" w:rsidP="00B5705F">
      <w:pPr>
        <w:spacing w:before="100" w:beforeAutospacing="1" w:after="100" w:afterAutospacing="1" w:line="480" w:lineRule="auto"/>
        <w:outlineLvl w:val="2"/>
        <w:rPr>
          <w:rFonts w:ascii="Times New Roman" w:eastAsia="Times New Roman" w:hAnsi="Times New Roman" w:cs="Times New Roman"/>
          <w:b/>
          <w:bCs/>
          <w:sz w:val="24"/>
          <w:szCs w:val="24"/>
        </w:rPr>
      </w:pPr>
      <w:r w:rsidRPr="00B5705F">
        <w:rPr>
          <w:rFonts w:ascii="Times New Roman" w:eastAsia="Times New Roman" w:hAnsi="Times New Roman" w:cs="Times New Roman"/>
          <w:b/>
          <w:bCs/>
          <w:sz w:val="24"/>
          <w:szCs w:val="24"/>
        </w:rPr>
        <w:t>Public Health Measures and the Three Levels of Prevention</w:t>
      </w:r>
    </w:p>
    <w:p w14:paraId="4026C18A" w14:textId="77777777" w:rsidR="00D71585" w:rsidRPr="00803275" w:rsidRDefault="00D71585" w:rsidP="00B5705F">
      <w:pPr>
        <w:spacing w:before="100" w:beforeAutospacing="1" w:after="100" w:afterAutospacing="1" w:line="480" w:lineRule="auto"/>
        <w:rPr>
          <w:rFonts w:ascii="Times New Roman" w:eastAsia="Times New Roman" w:hAnsi="Times New Roman" w:cs="Times New Roman"/>
          <w:sz w:val="24"/>
          <w:szCs w:val="24"/>
        </w:rPr>
      </w:pPr>
      <w:r w:rsidRPr="00803275">
        <w:rPr>
          <w:rFonts w:ascii="Times New Roman" w:eastAsia="Times New Roman" w:hAnsi="Times New Roman" w:cs="Times New Roman"/>
          <w:sz w:val="24"/>
          <w:szCs w:val="24"/>
        </w:rPr>
        <w:t xml:space="preserve">Public health measures for Type 2 diabetes are structured around the three levels of prevention: primary, secondary, and tertiary prevention, which provide a comprehensive framework for reducing disease burden. </w:t>
      </w:r>
      <w:r w:rsidR="00B555C6">
        <w:rPr>
          <w:rFonts w:ascii="Times New Roman" w:eastAsia="Times New Roman" w:hAnsi="Times New Roman" w:cs="Times New Roman"/>
          <w:sz w:val="24"/>
          <w:szCs w:val="24"/>
        </w:rPr>
        <w:t>Baumann and Ylinen</w:t>
      </w:r>
      <w:r w:rsidR="00B555C6" w:rsidRPr="00B555C6">
        <w:rPr>
          <w:rFonts w:ascii="Times New Roman" w:eastAsia="Times New Roman" w:hAnsi="Times New Roman" w:cs="Times New Roman"/>
          <w:sz w:val="24"/>
          <w:szCs w:val="24"/>
        </w:rPr>
        <w:t xml:space="preserve"> </w:t>
      </w:r>
      <w:r w:rsidR="00B555C6">
        <w:rPr>
          <w:rFonts w:ascii="Times New Roman" w:eastAsia="Times New Roman" w:hAnsi="Times New Roman" w:cs="Times New Roman"/>
          <w:sz w:val="24"/>
          <w:szCs w:val="24"/>
        </w:rPr>
        <w:t>(</w:t>
      </w:r>
      <w:r w:rsidR="00B555C6" w:rsidRPr="00B555C6">
        <w:rPr>
          <w:rFonts w:ascii="Times New Roman" w:eastAsia="Times New Roman" w:hAnsi="Times New Roman" w:cs="Times New Roman"/>
          <w:sz w:val="24"/>
          <w:szCs w:val="24"/>
        </w:rPr>
        <w:t xml:space="preserve">2020) </w:t>
      </w:r>
      <w:r w:rsidR="00B555C6">
        <w:rPr>
          <w:rFonts w:ascii="Times New Roman" w:eastAsia="Times New Roman" w:hAnsi="Times New Roman" w:cs="Times New Roman"/>
          <w:sz w:val="24"/>
          <w:szCs w:val="24"/>
        </w:rPr>
        <w:t>explain that p</w:t>
      </w:r>
      <w:r w:rsidRPr="00803275">
        <w:rPr>
          <w:rFonts w:ascii="Times New Roman" w:eastAsia="Times New Roman" w:hAnsi="Times New Roman" w:cs="Times New Roman"/>
          <w:sz w:val="24"/>
          <w:szCs w:val="24"/>
        </w:rPr>
        <w:t xml:space="preserve">rimary prevention focuses on reducing risk factors before the disease develops, particularly through promoting healthy diets, physical activity, and weight management. National initiatives such as the </w:t>
      </w:r>
      <w:r w:rsidRPr="00B5705F">
        <w:rPr>
          <w:rFonts w:ascii="Times New Roman" w:eastAsia="Times New Roman" w:hAnsi="Times New Roman" w:cs="Times New Roman"/>
          <w:sz w:val="24"/>
          <w:szCs w:val="24"/>
        </w:rPr>
        <w:t>NHS Diabetes Prevention Programme</w:t>
      </w:r>
      <w:r w:rsidRPr="00803275">
        <w:rPr>
          <w:rFonts w:ascii="Times New Roman" w:eastAsia="Times New Roman" w:hAnsi="Times New Roman" w:cs="Times New Roman"/>
          <w:sz w:val="24"/>
          <w:szCs w:val="24"/>
        </w:rPr>
        <w:t xml:space="preserve"> have shown effectiveness in reducing progression to diabetes among high-risk individuals</w:t>
      </w:r>
      <w:r w:rsidR="00B555C6">
        <w:rPr>
          <w:rFonts w:ascii="Times New Roman" w:eastAsia="Times New Roman" w:hAnsi="Times New Roman" w:cs="Times New Roman"/>
          <w:sz w:val="24"/>
          <w:szCs w:val="24"/>
        </w:rPr>
        <w:t xml:space="preserve"> </w:t>
      </w:r>
      <w:r w:rsidR="00B555C6" w:rsidRPr="00B555C6">
        <w:rPr>
          <w:rFonts w:ascii="Times New Roman" w:eastAsia="Times New Roman" w:hAnsi="Times New Roman" w:cs="Times New Roman"/>
          <w:sz w:val="24"/>
          <w:szCs w:val="24"/>
        </w:rPr>
        <w:t>(NHS England, 2023)</w:t>
      </w:r>
      <w:r w:rsidRPr="00803275">
        <w:rPr>
          <w:rFonts w:ascii="Times New Roman" w:eastAsia="Times New Roman" w:hAnsi="Times New Roman" w:cs="Times New Roman"/>
          <w:sz w:val="24"/>
          <w:szCs w:val="24"/>
        </w:rPr>
        <w:t xml:space="preserve">. Secondary prevention involves early detection through screening programmes, such as NHS Health Checks, which identify individuals at risk and enable timely intervention. Tertiary prevention focuses on managing the disease and preventing complications through medication, monitoring, and patient education. These approaches work together to reduce morbidity and mortality associated with diabetes. Behavioural theories such as the </w:t>
      </w:r>
      <w:r w:rsidR="00B555C6">
        <w:rPr>
          <w:rFonts w:ascii="Times New Roman" w:eastAsia="Times New Roman" w:hAnsi="Times New Roman" w:cs="Times New Roman"/>
          <w:sz w:val="24"/>
          <w:szCs w:val="24"/>
        </w:rPr>
        <w:t>health belief m</w:t>
      </w:r>
      <w:r w:rsidRPr="00B5705F">
        <w:rPr>
          <w:rFonts w:ascii="Times New Roman" w:eastAsia="Times New Roman" w:hAnsi="Times New Roman" w:cs="Times New Roman"/>
          <w:sz w:val="24"/>
          <w:szCs w:val="24"/>
        </w:rPr>
        <w:t>odel</w:t>
      </w:r>
      <w:r w:rsidRPr="00803275">
        <w:rPr>
          <w:rFonts w:ascii="Times New Roman" w:eastAsia="Times New Roman" w:hAnsi="Times New Roman" w:cs="Times New Roman"/>
          <w:sz w:val="24"/>
          <w:szCs w:val="24"/>
        </w:rPr>
        <w:t xml:space="preserve"> support these interventions by explaining how individuals respond to perceived risks and benefits. </w:t>
      </w:r>
      <w:r w:rsidR="00B555C6" w:rsidRPr="00803275">
        <w:rPr>
          <w:rFonts w:ascii="Times New Roman" w:eastAsia="Times New Roman" w:hAnsi="Times New Roman" w:cs="Times New Roman"/>
          <w:sz w:val="24"/>
          <w:szCs w:val="24"/>
        </w:rPr>
        <w:t>Thus</w:t>
      </w:r>
      <w:r w:rsidRPr="00803275">
        <w:rPr>
          <w:rFonts w:ascii="Times New Roman" w:eastAsia="Times New Roman" w:hAnsi="Times New Roman" w:cs="Times New Roman"/>
          <w:sz w:val="24"/>
          <w:szCs w:val="24"/>
        </w:rPr>
        <w:t>, a multi-level prevention strategy is essential for effective disease control.</w:t>
      </w:r>
    </w:p>
    <w:p w14:paraId="29DBABDE" w14:textId="77777777" w:rsidR="00D71585" w:rsidRPr="00803275" w:rsidRDefault="00D71585" w:rsidP="00B5705F">
      <w:pPr>
        <w:spacing w:before="100" w:beforeAutospacing="1" w:after="100" w:afterAutospacing="1" w:line="480" w:lineRule="auto"/>
        <w:outlineLvl w:val="2"/>
        <w:rPr>
          <w:rFonts w:ascii="Times New Roman" w:eastAsia="Times New Roman" w:hAnsi="Times New Roman" w:cs="Times New Roman"/>
          <w:b/>
          <w:bCs/>
          <w:sz w:val="24"/>
          <w:szCs w:val="24"/>
        </w:rPr>
      </w:pPr>
      <w:r w:rsidRPr="00B5705F">
        <w:rPr>
          <w:rFonts w:ascii="Times New Roman" w:eastAsia="Times New Roman" w:hAnsi="Times New Roman" w:cs="Times New Roman"/>
          <w:b/>
          <w:bCs/>
          <w:sz w:val="24"/>
          <w:szCs w:val="24"/>
        </w:rPr>
        <w:t>Determinants and Risk Factors</w:t>
      </w:r>
    </w:p>
    <w:p w14:paraId="6B5D2A3B" w14:textId="77777777" w:rsidR="00D71585" w:rsidRPr="00803275" w:rsidRDefault="00D71585" w:rsidP="00B5705F">
      <w:pPr>
        <w:spacing w:before="100" w:beforeAutospacing="1" w:after="100" w:afterAutospacing="1" w:line="480" w:lineRule="auto"/>
        <w:rPr>
          <w:rFonts w:ascii="Times New Roman" w:eastAsia="Times New Roman" w:hAnsi="Times New Roman" w:cs="Times New Roman"/>
          <w:sz w:val="24"/>
          <w:szCs w:val="24"/>
        </w:rPr>
      </w:pPr>
      <w:r w:rsidRPr="00803275">
        <w:rPr>
          <w:rFonts w:ascii="Times New Roman" w:eastAsia="Times New Roman" w:hAnsi="Times New Roman" w:cs="Times New Roman"/>
          <w:sz w:val="24"/>
          <w:szCs w:val="24"/>
        </w:rPr>
        <w:t xml:space="preserve">Type 2 diabetes is influenced by a range of determinants, including biological, behavioural, and socio-economic factors, which interact to increase disease risk. Obesity is one of the most significant risk factors, with a large proportion of individuals with Type 2 diabetes being </w:t>
      </w:r>
      <w:r w:rsidRPr="00803275">
        <w:rPr>
          <w:rFonts w:ascii="Times New Roman" w:eastAsia="Times New Roman" w:hAnsi="Times New Roman" w:cs="Times New Roman"/>
          <w:sz w:val="24"/>
          <w:szCs w:val="24"/>
        </w:rPr>
        <w:lastRenderedPageBreak/>
        <w:t>overweight or obese</w:t>
      </w:r>
      <w:r w:rsidR="008F162F">
        <w:rPr>
          <w:rFonts w:ascii="Times New Roman" w:eastAsia="Times New Roman" w:hAnsi="Times New Roman" w:cs="Times New Roman"/>
          <w:sz w:val="24"/>
          <w:szCs w:val="24"/>
        </w:rPr>
        <w:t xml:space="preserve"> </w:t>
      </w:r>
      <w:r w:rsidR="008F162F" w:rsidRPr="008F162F">
        <w:rPr>
          <w:rFonts w:ascii="Times New Roman" w:eastAsia="Times New Roman" w:hAnsi="Times New Roman" w:cs="Times New Roman"/>
          <w:sz w:val="24"/>
          <w:szCs w:val="24"/>
        </w:rPr>
        <w:t xml:space="preserve">(Ismail, </w:t>
      </w:r>
      <w:proofErr w:type="spellStart"/>
      <w:r w:rsidR="008F162F" w:rsidRPr="008F162F">
        <w:rPr>
          <w:rFonts w:ascii="Times New Roman" w:eastAsia="Times New Roman" w:hAnsi="Times New Roman" w:cs="Times New Roman"/>
          <w:sz w:val="24"/>
          <w:szCs w:val="24"/>
        </w:rPr>
        <w:t>Materwala</w:t>
      </w:r>
      <w:proofErr w:type="spellEnd"/>
      <w:r w:rsidR="008F162F" w:rsidRPr="008F162F">
        <w:rPr>
          <w:rFonts w:ascii="Times New Roman" w:eastAsia="Times New Roman" w:hAnsi="Times New Roman" w:cs="Times New Roman"/>
          <w:sz w:val="24"/>
          <w:szCs w:val="24"/>
        </w:rPr>
        <w:t xml:space="preserve"> and </w:t>
      </w:r>
      <w:proofErr w:type="spellStart"/>
      <w:r w:rsidR="008F162F" w:rsidRPr="008F162F">
        <w:rPr>
          <w:rFonts w:ascii="Times New Roman" w:eastAsia="Times New Roman" w:hAnsi="Times New Roman" w:cs="Times New Roman"/>
          <w:sz w:val="24"/>
          <w:szCs w:val="24"/>
        </w:rPr>
        <w:t>Kaabi</w:t>
      </w:r>
      <w:proofErr w:type="spellEnd"/>
      <w:r w:rsidR="008F162F" w:rsidRPr="008F162F">
        <w:rPr>
          <w:rFonts w:ascii="Times New Roman" w:eastAsia="Times New Roman" w:hAnsi="Times New Roman" w:cs="Times New Roman"/>
          <w:sz w:val="24"/>
          <w:szCs w:val="24"/>
        </w:rPr>
        <w:t>, 2021)</w:t>
      </w:r>
      <w:r w:rsidRPr="00803275">
        <w:rPr>
          <w:rFonts w:ascii="Times New Roman" w:eastAsia="Times New Roman" w:hAnsi="Times New Roman" w:cs="Times New Roman"/>
          <w:sz w:val="24"/>
          <w:szCs w:val="24"/>
        </w:rPr>
        <w:t xml:space="preserve">. Poor dietary habits, including high consumption of processed foods and sugary drinks, also contribute to the development of the condition. Physical inactivity further increases risk, particularly in urban environments where sedentary lifestyles are common. Social determinants such as income, education, and living conditions play a crucial role, as individuals in deprived areas often have limited access to healthy food and safe spaces for exercise. The </w:t>
      </w:r>
      <w:r w:rsidRPr="00B5705F">
        <w:rPr>
          <w:rFonts w:ascii="Times New Roman" w:eastAsia="Times New Roman" w:hAnsi="Times New Roman" w:cs="Times New Roman"/>
          <w:sz w:val="24"/>
          <w:szCs w:val="24"/>
        </w:rPr>
        <w:t>Dahlgren and Whitehead Model</w:t>
      </w:r>
      <w:r w:rsidR="008F162F">
        <w:rPr>
          <w:rFonts w:ascii="Times New Roman" w:eastAsia="Times New Roman" w:hAnsi="Times New Roman" w:cs="Times New Roman"/>
          <w:sz w:val="24"/>
          <w:szCs w:val="24"/>
        </w:rPr>
        <w:t xml:space="preserve"> </w:t>
      </w:r>
      <w:proofErr w:type="gramStart"/>
      <w:r w:rsidR="008F162F">
        <w:rPr>
          <w:rFonts w:ascii="Times New Roman" w:eastAsia="Times New Roman" w:hAnsi="Times New Roman" w:cs="Times New Roman"/>
          <w:sz w:val="24"/>
          <w:szCs w:val="24"/>
        </w:rPr>
        <w:t>informs</w:t>
      </w:r>
      <w:proofErr w:type="gramEnd"/>
      <w:r w:rsidRPr="00803275">
        <w:rPr>
          <w:rFonts w:ascii="Times New Roman" w:eastAsia="Times New Roman" w:hAnsi="Times New Roman" w:cs="Times New Roman"/>
          <w:sz w:val="24"/>
          <w:szCs w:val="24"/>
        </w:rPr>
        <w:t xml:space="preserve"> how these factors operate at multiple levels, from individual behaviour to broader social influences. Genetic predisposition also increases risk among certain ethnic groups. </w:t>
      </w:r>
      <w:r w:rsidR="008F162F">
        <w:rPr>
          <w:rFonts w:ascii="Times New Roman" w:eastAsia="Times New Roman" w:hAnsi="Times New Roman" w:cs="Times New Roman"/>
          <w:sz w:val="24"/>
          <w:szCs w:val="24"/>
        </w:rPr>
        <w:t>A</w:t>
      </w:r>
      <w:r w:rsidRPr="00803275">
        <w:rPr>
          <w:rFonts w:ascii="Times New Roman" w:eastAsia="Times New Roman" w:hAnsi="Times New Roman" w:cs="Times New Roman"/>
          <w:sz w:val="24"/>
          <w:szCs w:val="24"/>
        </w:rPr>
        <w:t>ddressing these determinants requires a comprehensive approach that targets both individual behaviour and structural inequalities.</w:t>
      </w:r>
    </w:p>
    <w:p w14:paraId="7029F751" w14:textId="77777777" w:rsidR="00D71585" w:rsidRPr="00803275" w:rsidRDefault="00D71585" w:rsidP="00B5705F">
      <w:pPr>
        <w:spacing w:before="100" w:beforeAutospacing="1" w:after="100" w:afterAutospacing="1" w:line="480" w:lineRule="auto"/>
        <w:outlineLvl w:val="2"/>
        <w:rPr>
          <w:rFonts w:ascii="Times New Roman" w:eastAsia="Times New Roman" w:hAnsi="Times New Roman" w:cs="Times New Roman"/>
          <w:b/>
          <w:bCs/>
          <w:sz w:val="24"/>
          <w:szCs w:val="24"/>
        </w:rPr>
      </w:pPr>
      <w:r w:rsidRPr="00B5705F">
        <w:rPr>
          <w:rFonts w:ascii="Times New Roman" w:eastAsia="Times New Roman" w:hAnsi="Times New Roman" w:cs="Times New Roman"/>
          <w:b/>
          <w:bCs/>
          <w:sz w:val="24"/>
          <w:szCs w:val="24"/>
        </w:rPr>
        <w:t>Monitoring and Surveillance Systems</w:t>
      </w:r>
    </w:p>
    <w:p w14:paraId="1501CF32" w14:textId="77777777" w:rsidR="00D71585" w:rsidRPr="00803275" w:rsidRDefault="00D71585" w:rsidP="00B5705F">
      <w:pPr>
        <w:spacing w:before="100" w:beforeAutospacing="1" w:after="100" w:afterAutospacing="1" w:line="480" w:lineRule="auto"/>
        <w:rPr>
          <w:rFonts w:ascii="Times New Roman" w:eastAsia="Times New Roman" w:hAnsi="Times New Roman" w:cs="Times New Roman"/>
          <w:sz w:val="24"/>
          <w:szCs w:val="24"/>
        </w:rPr>
      </w:pPr>
      <w:r w:rsidRPr="00803275">
        <w:rPr>
          <w:rFonts w:ascii="Times New Roman" w:eastAsia="Times New Roman" w:hAnsi="Times New Roman" w:cs="Times New Roman"/>
          <w:sz w:val="24"/>
          <w:szCs w:val="24"/>
        </w:rPr>
        <w:t>Monitoring and surveillance systems are essential for tracking the incidence and prevalence of Type 2 diabetes and evaluating the effectiveness o</w:t>
      </w:r>
      <w:r w:rsidR="008F162F">
        <w:rPr>
          <w:rFonts w:ascii="Times New Roman" w:eastAsia="Times New Roman" w:hAnsi="Times New Roman" w:cs="Times New Roman"/>
          <w:sz w:val="24"/>
          <w:szCs w:val="24"/>
        </w:rPr>
        <w:t>f public health interventions. Holman et al.</w:t>
      </w:r>
      <w:r w:rsidR="008F162F" w:rsidRPr="008F162F">
        <w:rPr>
          <w:rFonts w:ascii="Times New Roman" w:eastAsia="Times New Roman" w:hAnsi="Times New Roman" w:cs="Times New Roman"/>
          <w:sz w:val="24"/>
          <w:szCs w:val="24"/>
        </w:rPr>
        <w:t xml:space="preserve"> </w:t>
      </w:r>
      <w:r w:rsidR="008F162F">
        <w:rPr>
          <w:rFonts w:ascii="Times New Roman" w:eastAsia="Times New Roman" w:hAnsi="Times New Roman" w:cs="Times New Roman"/>
          <w:sz w:val="24"/>
          <w:szCs w:val="24"/>
        </w:rPr>
        <w:t>(</w:t>
      </w:r>
      <w:r w:rsidR="008F162F" w:rsidRPr="008F162F">
        <w:rPr>
          <w:rFonts w:ascii="Times New Roman" w:eastAsia="Times New Roman" w:hAnsi="Times New Roman" w:cs="Times New Roman"/>
          <w:sz w:val="24"/>
          <w:szCs w:val="24"/>
        </w:rPr>
        <w:t xml:space="preserve">2021) </w:t>
      </w:r>
      <w:r w:rsidR="008F162F">
        <w:rPr>
          <w:rFonts w:ascii="Times New Roman" w:eastAsia="Times New Roman" w:hAnsi="Times New Roman" w:cs="Times New Roman"/>
          <w:sz w:val="24"/>
          <w:szCs w:val="24"/>
        </w:rPr>
        <w:t>identify that i</w:t>
      </w:r>
      <w:r w:rsidRPr="00803275">
        <w:rPr>
          <w:rFonts w:ascii="Times New Roman" w:eastAsia="Times New Roman" w:hAnsi="Times New Roman" w:cs="Times New Roman"/>
          <w:sz w:val="24"/>
          <w:szCs w:val="24"/>
        </w:rPr>
        <w:t xml:space="preserve">n the UK, systems such as the </w:t>
      </w:r>
      <w:r w:rsidRPr="00B5705F">
        <w:rPr>
          <w:rFonts w:ascii="Times New Roman" w:eastAsia="Times New Roman" w:hAnsi="Times New Roman" w:cs="Times New Roman"/>
          <w:sz w:val="24"/>
          <w:szCs w:val="24"/>
        </w:rPr>
        <w:t>National Diabetes Audit</w:t>
      </w:r>
      <w:r w:rsidRPr="00803275">
        <w:rPr>
          <w:rFonts w:ascii="Times New Roman" w:eastAsia="Times New Roman" w:hAnsi="Times New Roman" w:cs="Times New Roman"/>
          <w:sz w:val="24"/>
          <w:szCs w:val="24"/>
        </w:rPr>
        <w:t xml:space="preserve"> collect comprehensive data on diagnosis rates, treatment outcomes, and complications. These systems enable healthcare providers and policymakers to identify trends and assess the impact of interventions. For example, increasing prevalence among younger populations may indicate changing lifestyle behaviours. Surveillance</w:t>
      </w:r>
      <w:r w:rsidR="001B27CD">
        <w:rPr>
          <w:rFonts w:ascii="Times New Roman" w:eastAsia="Times New Roman" w:hAnsi="Times New Roman" w:cs="Times New Roman"/>
          <w:sz w:val="24"/>
          <w:szCs w:val="24"/>
        </w:rPr>
        <w:t xml:space="preserve"> data also highlight variances</w:t>
      </w:r>
      <w:r w:rsidRPr="00803275">
        <w:rPr>
          <w:rFonts w:ascii="Times New Roman" w:eastAsia="Times New Roman" w:hAnsi="Times New Roman" w:cs="Times New Roman"/>
          <w:sz w:val="24"/>
          <w:szCs w:val="24"/>
        </w:rPr>
        <w:t xml:space="preserve"> between different socio-economic groups, which can inform targeted interventions. Continuous monitoring ensures that public health strategies remain responsive to changing patterns. Therefore, surveillance is a critical component of effective disease management.</w:t>
      </w:r>
    </w:p>
    <w:p w14:paraId="017672E1" w14:textId="77777777" w:rsidR="00D71585" w:rsidRPr="00803275" w:rsidRDefault="00D71585" w:rsidP="00B5705F">
      <w:pPr>
        <w:spacing w:before="100" w:beforeAutospacing="1" w:after="100" w:afterAutospacing="1" w:line="480" w:lineRule="auto"/>
        <w:outlineLvl w:val="2"/>
        <w:rPr>
          <w:rFonts w:ascii="Times New Roman" w:eastAsia="Times New Roman" w:hAnsi="Times New Roman" w:cs="Times New Roman"/>
          <w:b/>
          <w:bCs/>
          <w:sz w:val="24"/>
          <w:szCs w:val="24"/>
        </w:rPr>
      </w:pPr>
      <w:r w:rsidRPr="00B5705F">
        <w:rPr>
          <w:rFonts w:ascii="Times New Roman" w:eastAsia="Times New Roman" w:hAnsi="Times New Roman" w:cs="Times New Roman"/>
          <w:b/>
          <w:bCs/>
          <w:sz w:val="24"/>
          <w:szCs w:val="24"/>
        </w:rPr>
        <w:t>Public Health Impact</w:t>
      </w:r>
    </w:p>
    <w:p w14:paraId="3821E0AE" w14:textId="77777777" w:rsidR="00D71585" w:rsidRPr="00803275" w:rsidRDefault="00D71585" w:rsidP="00B5705F">
      <w:pPr>
        <w:spacing w:before="100" w:beforeAutospacing="1" w:after="100" w:afterAutospacing="1" w:line="480" w:lineRule="auto"/>
        <w:rPr>
          <w:rFonts w:ascii="Times New Roman" w:eastAsia="Times New Roman" w:hAnsi="Times New Roman" w:cs="Times New Roman"/>
          <w:sz w:val="24"/>
          <w:szCs w:val="24"/>
        </w:rPr>
      </w:pPr>
      <w:r w:rsidRPr="00803275">
        <w:rPr>
          <w:rFonts w:ascii="Times New Roman" w:eastAsia="Times New Roman" w:hAnsi="Times New Roman" w:cs="Times New Roman"/>
          <w:sz w:val="24"/>
          <w:szCs w:val="24"/>
        </w:rPr>
        <w:lastRenderedPageBreak/>
        <w:t>The public health impact of Type 2 diabetes is substantial, affecting individuals, healthcare systems, and the wider economy. The condition increases the risk of complications such as cardiovascular disease, kidney failure, and amputations, which can significantly reduce quality of life</w:t>
      </w:r>
      <w:r w:rsidR="001B27CD">
        <w:rPr>
          <w:rFonts w:ascii="Times New Roman" w:eastAsia="Times New Roman" w:hAnsi="Times New Roman" w:cs="Times New Roman"/>
          <w:sz w:val="24"/>
          <w:szCs w:val="24"/>
        </w:rPr>
        <w:t>. D</w:t>
      </w:r>
      <w:r w:rsidRPr="00803275">
        <w:rPr>
          <w:rFonts w:ascii="Times New Roman" w:eastAsia="Times New Roman" w:hAnsi="Times New Roman" w:cs="Times New Roman"/>
          <w:sz w:val="24"/>
          <w:szCs w:val="24"/>
        </w:rPr>
        <w:t>iabetes accounts for a significant proportion of NHS expenditure, estimated at around 10% of the total healthcare budget</w:t>
      </w:r>
      <w:r w:rsidR="001B27CD">
        <w:rPr>
          <w:rFonts w:ascii="Times New Roman" w:eastAsia="Times New Roman" w:hAnsi="Times New Roman" w:cs="Times New Roman"/>
          <w:sz w:val="24"/>
          <w:szCs w:val="24"/>
        </w:rPr>
        <w:t xml:space="preserve"> </w:t>
      </w:r>
      <w:r w:rsidR="001B27CD" w:rsidRPr="001B27CD">
        <w:rPr>
          <w:rFonts w:ascii="Times New Roman" w:eastAsia="Times New Roman" w:hAnsi="Times New Roman" w:cs="Times New Roman"/>
          <w:sz w:val="24"/>
          <w:szCs w:val="24"/>
        </w:rPr>
        <w:t>(NHS England, 2022)</w:t>
      </w:r>
      <w:r w:rsidRPr="00803275">
        <w:rPr>
          <w:rFonts w:ascii="Times New Roman" w:eastAsia="Times New Roman" w:hAnsi="Times New Roman" w:cs="Times New Roman"/>
          <w:sz w:val="24"/>
          <w:szCs w:val="24"/>
        </w:rPr>
        <w:t xml:space="preserve">. This financial burden reflects the cost of managing complications and long-term care. Additionally, diabetes can reduce productivity and increase absenteeism, particularly among working-age individuals. Families are also affected, as caregiving responsibilities and financial pressures increase. These impacts can be understood through the </w:t>
      </w:r>
      <w:r w:rsidR="00F31EBF">
        <w:rPr>
          <w:rFonts w:ascii="Times New Roman" w:eastAsia="Times New Roman" w:hAnsi="Times New Roman" w:cs="Times New Roman"/>
          <w:sz w:val="24"/>
          <w:szCs w:val="24"/>
        </w:rPr>
        <w:t>life course a</w:t>
      </w:r>
      <w:r w:rsidRPr="00B5705F">
        <w:rPr>
          <w:rFonts w:ascii="Times New Roman" w:eastAsia="Times New Roman" w:hAnsi="Times New Roman" w:cs="Times New Roman"/>
          <w:sz w:val="24"/>
          <w:szCs w:val="24"/>
        </w:rPr>
        <w:t>pproach</w:t>
      </w:r>
      <w:r w:rsidRPr="00803275">
        <w:rPr>
          <w:rFonts w:ascii="Times New Roman" w:eastAsia="Times New Roman" w:hAnsi="Times New Roman" w:cs="Times New Roman"/>
          <w:sz w:val="24"/>
          <w:szCs w:val="24"/>
        </w:rPr>
        <w:t>, which highlight</w:t>
      </w:r>
      <w:r w:rsidR="00F31EBF">
        <w:rPr>
          <w:rFonts w:ascii="Times New Roman" w:eastAsia="Times New Roman" w:hAnsi="Times New Roman" w:cs="Times New Roman"/>
          <w:sz w:val="24"/>
          <w:szCs w:val="24"/>
        </w:rPr>
        <w:t>s how health outcomes are influenced</w:t>
      </w:r>
      <w:r w:rsidRPr="00803275">
        <w:rPr>
          <w:rFonts w:ascii="Times New Roman" w:eastAsia="Times New Roman" w:hAnsi="Times New Roman" w:cs="Times New Roman"/>
          <w:sz w:val="24"/>
          <w:szCs w:val="24"/>
        </w:rPr>
        <w:t xml:space="preserve"> by cumulative exposures over time</w:t>
      </w:r>
      <w:r w:rsidR="00F31EBF">
        <w:rPr>
          <w:rFonts w:ascii="Times New Roman" w:eastAsia="Times New Roman" w:hAnsi="Times New Roman" w:cs="Times New Roman"/>
          <w:sz w:val="24"/>
          <w:szCs w:val="24"/>
        </w:rPr>
        <w:t xml:space="preserve"> </w:t>
      </w:r>
      <w:r w:rsidR="00F31EBF" w:rsidRPr="00F31EBF">
        <w:rPr>
          <w:rFonts w:ascii="Times New Roman" w:eastAsia="Times New Roman" w:hAnsi="Times New Roman" w:cs="Times New Roman"/>
          <w:sz w:val="24"/>
          <w:szCs w:val="24"/>
        </w:rPr>
        <w:t>(Jones et al., 2019)</w:t>
      </w:r>
      <w:r w:rsidRPr="00803275">
        <w:rPr>
          <w:rFonts w:ascii="Times New Roman" w:eastAsia="Times New Roman" w:hAnsi="Times New Roman" w:cs="Times New Roman"/>
          <w:sz w:val="24"/>
          <w:szCs w:val="24"/>
        </w:rPr>
        <w:t xml:space="preserve">. </w:t>
      </w:r>
      <w:r w:rsidR="00F31EBF" w:rsidRPr="00803275">
        <w:rPr>
          <w:rFonts w:ascii="Times New Roman" w:eastAsia="Times New Roman" w:hAnsi="Times New Roman" w:cs="Times New Roman"/>
          <w:sz w:val="24"/>
          <w:szCs w:val="24"/>
        </w:rPr>
        <w:t>Thus</w:t>
      </w:r>
      <w:r w:rsidRPr="00803275">
        <w:rPr>
          <w:rFonts w:ascii="Times New Roman" w:eastAsia="Times New Roman" w:hAnsi="Times New Roman" w:cs="Times New Roman"/>
          <w:sz w:val="24"/>
          <w:szCs w:val="24"/>
        </w:rPr>
        <w:t>, addressing the impact of diabetes requires long-term and comprehensive strategies.</w:t>
      </w:r>
    </w:p>
    <w:p w14:paraId="06B53CDF" w14:textId="77777777" w:rsidR="00D71585" w:rsidRPr="00803275" w:rsidRDefault="00D71585" w:rsidP="00B5705F">
      <w:pPr>
        <w:spacing w:before="100" w:beforeAutospacing="1" w:after="100" w:afterAutospacing="1" w:line="480" w:lineRule="auto"/>
        <w:outlineLvl w:val="2"/>
        <w:rPr>
          <w:rFonts w:ascii="Times New Roman" w:eastAsia="Times New Roman" w:hAnsi="Times New Roman" w:cs="Times New Roman"/>
          <w:b/>
          <w:bCs/>
          <w:sz w:val="24"/>
          <w:szCs w:val="24"/>
        </w:rPr>
      </w:pPr>
      <w:r w:rsidRPr="00B5705F">
        <w:rPr>
          <w:rFonts w:ascii="Times New Roman" w:eastAsia="Times New Roman" w:hAnsi="Times New Roman" w:cs="Times New Roman"/>
          <w:b/>
          <w:bCs/>
          <w:sz w:val="24"/>
          <w:szCs w:val="24"/>
        </w:rPr>
        <w:t>Health Intervention Programme Design and Evaluation</w:t>
      </w:r>
    </w:p>
    <w:p w14:paraId="71ECE4CA" w14:textId="77777777" w:rsidR="00D71585" w:rsidRPr="00803275" w:rsidRDefault="00D71585" w:rsidP="00B5705F">
      <w:pPr>
        <w:spacing w:before="100" w:beforeAutospacing="1" w:after="100" w:afterAutospacing="1" w:line="480" w:lineRule="auto"/>
        <w:rPr>
          <w:rFonts w:ascii="Times New Roman" w:eastAsia="Times New Roman" w:hAnsi="Times New Roman" w:cs="Times New Roman"/>
          <w:sz w:val="24"/>
          <w:szCs w:val="24"/>
        </w:rPr>
      </w:pPr>
      <w:r w:rsidRPr="00803275">
        <w:rPr>
          <w:rFonts w:ascii="Times New Roman" w:eastAsia="Times New Roman" w:hAnsi="Times New Roman" w:cs="Times New Roman"/>
          <w:sz w:val="24"/>
          <w:szCs w:val="24"/>
        </w:rPr>
        <w:t>Designing effective health intervention programmes requires a holistic approach that addresses both behavioural and structural determinants of Type 2 diabetes. Community-based programmes are particularly effective, as they engage local populations and tailor interventions to specific needs</w:t>
      </w:r>
      <w:r w:rsidR="00B362A3">
        <w:rPr>
          <w:rFonts w:ascii="Times New Roman" w:eastAsia="Times New Roman" w:hAnsi="Times New Roman" w:cs="Times New Roman"/>
          <w:sz w:val="24"/>
          <w:szCs w:val="24"/>
        </w:rPr>
        <w:t xml:space="preserve"> </w:t>
      </w:r>
      <w:r w:rsidR="00B362A3" w:rsidRPr="00B362A3">
        <w:rPr>
          <w:rFonts w:ascii="Times New Roman" w:eastAsia="Times New Roman" w:hAnsi="Times New Roman" w:cs="Times New Roman"/>
          <w:sz w:val="24"/>
          <w:szCs w:val="24"/>
        </w:rPr>
        <w:t>(Ahmad et al., 2022)</w:t>
      </w:r>
      <w:r w:rsidRPr="00803275">
        <w:rPr>
          <w:rFonts w:ascii="Times New Roman" w:eastAsia="Times New Roman" w:hAnsi="Times New Roman" w:cs="Times New Roman"/>
          <w:sz w:val="24"/>
          <w:szCs w:val="24"/>
        </w:rPr>
        <w:t xml:space="preserve">. These programmes often include nutritional education, physical activity initiatives, and regular health monitoring. Culturally tailored interventions are essential for engaging diverse populations and addressing specific barriers to care. </w:t>
      </w:r>
      <w:r w:rsidR="00627FAC" w:rsidRPr="00627FAC">
        <w:rPr>
          <w:rFonts w:ascii="Times New Roman" w:eastAsia="Times New Roman" w:hAnsi="Times New Roman" w:cs="Times New Roman"/>
          <w:sz w:val="24"/>
          <w:szCs w:val="24"/>
        </w:rPr>
        <w:t xml:space="preserve">Ghoreishi et al. </w:t>
      </w:r>
      <w:r w:rsidR="00627FAC">
        <w:rPr>
          <w:rFonts w:ascii="Times New Roman" w:eastAsia="Times New Roman" w:hAnsi="Times New Roman" w:cs="Times New Roman"/>
          <w:sz w:val="24"/>
          <w:szCs w:val="24"/>
        </w:rPr>
        <w:t>(</w:t>
      </w:r>
      <w:r w:rsidR="00627FAC" w:rsidRPr="00627FAC">
        <w:rPr>
          <w:rFonts w:ascii="Times New Roman" w:eastAsia="Times New Roman" w:hAnsi="Times New Roman" w:cs="Times New Roman"/>
          <w:sz w:val="24"/>
          <w:szCs w:val="24"/>
        </w:rPr>
        <w:t xml:space="preserve">2019) </w:t>
      </w:r>
      <w:r w:rsidR="00627FAC">
        <w:rPr>
          <w:rFonts w:ascii="Times New Roman" w:eastAsia="Times New Roman" w:hAnsi="Times New Roman" w:cs="Times New Roman"/>
          <w:sz w:val="24"/>
          <w:szCs w:val="24"/>
        </w:rPr>
        <w:t>recognise how t</w:t>
      </w:r>
      <w:r w:rsidRPr="00803275">
        <w:rPr>
          <w:rFonts w:ascii="Times New Roman" w:eastAsia="Times New Roman" w:hAnsi="Times New Roman" w:cs="Times New Roman"/>
          <w:sz w:val="24"/>
          <w:szCs w:val="24"/>
        </w:rPr>
        <w:t xml:space="preserve">he </w:t>
      </w:r>
      <w:r w:rsidR="00627FAC">
        <w:rPr>
          <w:rFonts w:ascii="Times New Roman" w:eastAsia="Times New Roman" w:hAnsi="Times New Roman" w:cs="Times New Roman"/>
          <w:sz w:val="24"/>
          <w:szCs w:val="24"/>
        </w:rPr>
        <w:t>s</w:t>
      </w:r>
      <w:r w:rsidRPr="00B5705F">
        <w:rPr>
          <w:rFonts w:ascii="Times New Roman" w:eastAsia="Times New Roman" w:hAnsi="Times New Roman" w:cs="Times New Roman"/>
          <w:sz w:val="24"/>
          <w:szCs w:val="24"/>
        </w:rPr>
        <w:t xml:space="preserve">ocial </w:t>
      </w:r>
      <w:r w:rsidR="00627FAC">
        <w:rPr>
          <w:rFonts w:ascii="Times New Roman" w:eastAsia="Times New Roman" w:hAnsi="Times New Roman" w:cs="Times New Roman"/>
          <w:sz w:val="24"/>
          <w:szCs w:val="24"/>
        </w:rPr>
        <w:t>c</w:t>
      </w:r>
      <w:r w:rsidRPr="00B5705F">
        <w:rPr>
          <w:rFonts w:ascii="Times New Roman" w:eastAsia="Times New Roman" w:hAnsi="Times New Roman" w:cs="Times New Roman"/>
          <w:sz w:val="24"/>
          <w:szCs w:val="24"/>
        </w:rPr>
        <w:t xml:space="preserve">ognitive </w:t>
      </w:r>
      <w:r w:rsidR="00627FAC">
        <w:rPr>
          <w:rFonts w:ascii="Times New Roman" w:eastAsia="Times New Roman" w:hAnsi="Times New Roman" w:cs="Times New Roman"/>
          <w:sz w:val="24"/>
          <w:szCs w:val="24"/>
        </w:rPr>
        <w:t>t</w:t>
      </w:r>
      <w:r w:rsidRPr="00B5705F">
        <w:rPr>
          <w:rFonts w:ascii="Times New Roman" w:eastAsia="Times New Roman" w:hAnsi="Times New Roman" w:cs="Times New Roman"/>
          <w:sz w:val="24"/>
          <w:szCs w:val="24"/>
        </w:rPr>
        <w:t>heory</w:t>
      </w:r>
      <w:r w:rsidR="00627FAC">
        <w:rPr>
          <w:rFonts w:ascii="Times New Roman" w:eastAsia="Times New Roman" w:hAnsi="Times New Roman" w:cs="Times New Roman"/>
          <w:sz w:val="24"/>
          <w:szCs w:val="24"/>
        </w:rPr>
        <w:t xml:space="preserve"> informs</w:t>
      </w:r>
      <w:r w:rsidRPr="00803275">
        <w:rPr>
          <w:rFonts w:ascii="Times New Roman" w:eastAsia="Times New Roman" w:hAnsi="Times New Roman" w:cs="Times New Roman"/>
          <w:sz w:val="24"/>
          <w:szCs w:val="24"/>
        </w:rPr>
        <w:t xml:space="preserve"> </w:t>
      </w:r>
      <w:r w:rsidR="00627FAC">
        <w:rPr>
          <w:rFonts w:ascii="Times New Roman" w:eastAsia="Times New Roman" w:hAnsi="Times New Roman" w:cs="Times New Roman"/>
          <w:sz w:val="24"/>
          <w:szCs w:val="24"/>
        </w:rPr>
        <w:t xml:space="preserve">the </w:t>
      </w:r>
      <w:proofErr w:type="spellStart"/>
      <w:r w:rsidR="00627FAC">
        <w:rPr>
          <w:rFonts w:ascii="Times New Roman" w:eastAsia="Times New Roman" w:hAnsi="Times New Roman" w:cs="Times New Roman"/>
          <w:sz w:val="24"/>
          <w:szCs w:val="24"/>
        </w:rPr>
        <w:t>affect</w:t>
      </w:r>
      <w:proofErr w:type="spellEnd"/>
      <w:r w:rsidR="00627FAC">
        <w:rPr>
          <w:rFonts w:ascii="Times New Roman" w:eastAsia="Times New Roman" w:hAnsi="Times New Roman" w:cs="Times New Roman"/>
          <w:sz w:val="24"/>
          <w:szCs w:val="24"/>
        </w:rPr>
        <w:t xml:space="preserve"> of </w:t>
      </w:r>
      <w:r w:rsidRPr="00803275">
        <w:rPr>
          <w:rFonts w:ascii="Times New Roman" w:eastAsia="Times New Roman" w:hAnsi="Times New Roman" w:cs="Times New Roman"/>
          <w:sz w:val="24"/>
          <w:szCs w:val="24"/>
        </w:rPr>
        <w:t>social inf</w:t>
      </w:r>
      <w:r w:rsidR="00627FAC">
        <w:rPr>
          <w:rFonts w:ascii="Times New Roman" w:eastAsia="Times New Roman" w:hAnsi="Times New Roman" w:cs="Times New Roman"/>
          <w:sz w:val="24"/>
          <w:szCs w:val="24"/>
        </w:rPr>
        <w:t>luences and self-efficacy on</w:t>
      </w:r>
      <w:r w:rsidRPr="00803275">
        <w:rPr>
          <w:rFonts w:ascii="Times New Roman" w:eastAsia="Times New Roman" w:hAnsi="Times New Roman" w:cs="Times New Roman"/>
          <w:sz w:val="24"/>
          <w:szCs w:val="24"/>
        </w:rPr>
        <w:t xml:space="preserve"> behaviour change, supporting the design of these interventions. Evaluation of programmes involves measuring outcomes such as weight loss, improved blood glucose levels, and increased </w:t>
      </w:r>
      <w:r w:rsidRPr="00803275">
        <w:rPr>
          <w:rFonts w:ascii="Times New Roman" w:eastAsia="Times New Roman" w:hAnsi="Times New Roman" w:cs="Times New Roman"/>
          <w:sz w:val="24"/>
          <w:szCs w:val="24"/>
        </w:rPr>
        <w:lastRenderedPageBreak/>
        <w:t>participation rates. Feedback from participants can also provide valuable insights for improvement.</w:t>
      </w:r>
    </w:p>
    <w:p w14:paraId="281218EA" w14:textId="77777777" w:rsidR="00D71585" w:rsidRPr="00803275" w:rsidRDefault="00D71585" w:rsidP="00B5705F">
      <w:pPr>
        <w:spacing w:before="100" w:beforeAutospacing="1" w:after="100" w:afterAutospacing="1" w:line="480" w:lineRule="auto"/>
        <w:outlineLvl w:val="2"/>
        <w:rPr>
          <w:rFonts w:ascii="Times New Roman" w:eastAsia="Times New Roman" w:hAnsi="Times New Roman" w:cs="Times New Roman"/>
          <w:b/>
          <w:bCs/>
          <w:sz w:val="24"/>
          <w:szCs w:val="24"/>
        </w:rPr>
      </w:pPr>
      <w:r w:rsidRPr="00B5705F">
        <w:rPr>
          <w:rFonts w:ascii="Times New Roman" w:eastAsia="Times New Roman" w:hAnsi="Times New Roman" w:cs="Times New Roman"/>
          <w:b/>
          <w:bCs/>
          <w:sz w:val="24"/>
          <w:szCs w:val="24"/>
        </w:rPr>
        <w:t>Strengths and Weaknesses of Epidemiological Approaches</w:t>
      </w:r>
    </w:p>
    <w:p w14:paraId="59528254" w14:textId="77777777" w:rsidR="00D71585" w:rsidRPr="00803275" w:rsidRDefault="00D71585" w:rsidP="00B5705F">
      <w:pPr>
        <w:spacing w:before="100" w:beforeAutospacing="1" w:after="100" w:afterAutospacing="1" w:line="480" w:lineRule="auto"/>
        <w:rPr>
          <w:rFonts w:ascii="Times New Roman" w:eastAsia="Times New Roman" w:hAnsi="Times New Roman" w:cs="Times New Roman"/>
          <w:sz w:val="24"/>
          <w:szCs w:val="24"/>
        </w:rPr>
      </w:pPr>
      <w:r w:rsidRPr="00803275">
        <w:rPr>
          <w:rFonts w:ascii="Times New Roman" w:eastAsia="Times New Roman" w:hAnsi="Times New Roman" w:cs="Times New Roman"/>
          <w:sz w:val="24"/>
          <w:szCs w:val="24"/>
        </w:rPr>
        <w:t>Epidemiological approaches provide valuable insights into disease patterns and risk factors, enabling evidence-based decision-making in public health. One major strength is the ability to analyse large population datasets, which allows for the identification of trends and disparities</w:t>
      </w:r>
      <w:r w:rsidR="00627FAC">
        <w:rPr>
          <w:rFonts w:ascii="Times New Roman" w:eastAsia="Times New Roman" w:hAnsi="Times New Roman" w:cs="Times New Roman"/>
          <w:sz w:val="24"/>
          <w:szCs w:val="24"/>
        </w:rPr>
        <w:t xml:space="preserve"> </w:t>
      </w:r>
      <w:r w:rsidR="00627FAC" w:rsidRPr="00627FAC">
        <w:rPr>
          <w:rFonts w:ascii="Times New Roman" w:eastAsia="Times New Roman" w:hAnsi="Times New Roman" w:cs="Times New Roman"/>
          <w:sz w:val="24"/>
          <w:szCs w:val="24"/>
        </w:rPr>
        <w:t>(Meigs, 2019)</w:t>
      </w:r>
      <w:r w:rsidRPr="00803275">
        <w:rPr>
          <w:rFonts w:ascii="Times New Roman" w:eastAsia="Times New Roman" w:hAnsi="Times New Roman" w:cs="Times New Roman"/>
          <w:sz w:val="24"/>
          <w:szCs w:val="24"/>
        </w:rPr>
        <w:t xml:space="preserve">. Epidemiology also supports the evaluation of interventions and the development of policies. However, there are limitations, including potential biases in data collection and challenges in establishing causality. Observational studies, for example, can identify associations but cannot always determine cause-and-effect relationships. Data quality may also vary, particularly when relying on self-reported information. These limitations can affect the reliability </w:t>
      </w:r>
      <w:r w:rsidR="00627FAC">
        <w:rPr>
          <w:rFonts w:ascii="Times New Roman" w:eastAsia="Times New Roman" w:hAnsi="Times New Roman" w:cs="Times New Roman"/>
          <w:sz w:val="24"/>
          <w:szCs w:val="24"/>
        </w:rPr>
        <w:t>of findings. Accordingly</w:t>
      </w:r>
      <w:r w:rsidRPr="00803275">
        <w:rPr>
          <w:rFonts w:ascii="Times New Roman" w:eastAsia="Times New Roman" w:hAnsi="Times New Roman" w:cs="Times New Roman"/>
          <w:sz w:val="24"/>
          <w:szCs w:val="24"/>
        </w:rPr>
        <w:t>, epidemiological evidence must be interpreted critically and supported by multiple data sources.</w:t>
      </w:r>
    </w:p>
    <w:p w14:paraId="4D5EA8A1" w14:textId="77777777" w:rsidR="00D71585" w:rsidRPr="00803275" w:rsidRDefault="00D71585" w:rsidP="00B5705F">
      <w:pPr>
        <w:spacing w:before="100" w:beforeAutospacing="1" w:after="100" w:afterAutospacing="1" w:line="480" w:lineRule="auto"/>
        <w:outlineLvl w:val="2"/>
        <w:rPr>
          <w:rFonts w:ascii="Times New Roman" w:eastAsia="Times New Roman" w:hAnsi="Times New Roman" w:cs="Times New Roman"/>
          <w:b/>
          <w:bCs/>
          <w:sz w:val="24"/>
          <w:szCs w:val="24"/>
        </w:rPr>
      </w:pPr>
      <w:r w:rsidRPr="00B5705F">
        <w:rPr>
          <w:rFonts w:ascii="Times New Roman" w:eastAsia="Times New Roman" w:hAnsi="Times New Roman" w:cs="Times New Roman"/>
          <w:b/>
          <w:bCs/>
          <w:sz w:val="24"/>
          <w:szCs w:val="24"/>
        </w:rPr>
        <w:t>Conclusion</w:t>
      </w:r>
    </w:p>
    <w:p w14:paraId="437819B4" w14:textId="77777777" w:rsidR="00D71585" w:rsidRPr="00803275" w:rsidRDefault="00D71585" w:rsidP="00B5705F">
      <w:pPr>
        <w:spacing w:before="100" w:beforeAutospacing="1" w:after="100" w:afterAutospacing="1" w:line="480" w:lineRule="auto"/>
        <w:rPr>
          <w:rFonts w:ascii="Times New Roman" w:eastAsia="Times New Roman" w:hAnsi="Times New Roman" w:cs="Times New Roman"/>
          <w:sz w:val="24"/>
          <w:szCs w:val="24"/>
        </w:rPr>
      </w:pPr>
      <w:r w:rsidRPr="00803275">
        <w:rPr>
          <w:rFonts w:ascii="Times New Roman" w:eastAsia="Times New Roman" w:hAnsi="Times New Roman" w:cs="Times New Roman"/>
          <w:sz w:val="24"/>
          <w:szCs w:val="24"/>
        </w:rPr>
        <w:t xml:space="preserve">Type 2 diabetes is a complex public health issue that reflects broader social inequalities and behavioural risk factors. Epidemiological processes provide essential tools for identifying disease patterns, assessing risk factors, and evaluating interventions. Public health strategies, including prevention programmes, surveillance systems, and policy initiatives, are critical for reducing disease burden. However, limitations in data and methodology highlight the need for continuous improvement in research and practice. Addressing Type 2 diabetes requires a comprehensive approach that integrates individual behaviour change with structural </w:t>
      </w:r>
      <w:r w:rsidRPr="00803275">
        <w:rPr>
          <w:rFonts w:ascii="Times New Roman" w:eastAsia="Times New Roman" w:hAnsi="Times New Roman" w:cs="Times New Roman"/>
          <w:sz w:val="24"/>
          <w:szCs w:val="24"/>
        </w:rPr>
        <w:lastRenderedPageBreak/>
        <w:t>interventions. Therefore, sustained efforts across healthcare systems and policy frameworks are necessary to achieve meaningful and equitable health outcomes</w:t>
      </w:r>
    </w:p>
    <w:p w14:paraId="717EF9D6" w14:textId="77777777" w:rsidR="00D71585" w:rsidRDefault="00D71585" w:rsidP="00627FAC">
      <w:pPr>
        <w:spacing w:line="480" w:lineRule="auto"/>
        <w:jc w:val="center"/>
        <w:rPr>
          <w:rFonts w:ascii="Times New Roman" w:hAnsi="Times New Roman" w:cs="Times New Roman"/>
          <w:sz w:val="24"/>
          <w:szCs w:val="24"/>
        </w:rPr>
      </w:pPr>
    </w:p>
    <w:p w14:paraId="2F4372B7" w14:textId="77777777" w:rsidR="00627FAC" w:rsidRDefault="00627FAC" w:rsidP="00627FAC">
      <w:pPr>
        <w:spacing w:line="480" w:lineRule="auto"/>
        <w:jc w:val="center"/>
        <w:rPr>
          <w:rFonts w:ascii="Times New Roman" w:hAnsi="Times New Roman" w:cs="Times New Roman"/>
          <w:sz w:val="24"/>
          <w:szCs w:val="24"/>
        </w:rPr>
      </w:pPr>
    </w:p>
    <w:p w14:paraId="4994A694" w14:textId="77777777" w:rsidR="00627FAC" w:rsidRDefault="00627FAC" w:rsidP="00627FAC">
      <w:pPr>
        <w:spacing w:line="480" w:lineRule="auto"/>
        <w:jc w:val="center"/>
        <w:rPr>
          <w:rFonts w:ascii="Times New Roman" w:hAnsi="Times New Roman" w:cs="Times New Roman"/>
          <w:sz w:val="24"/>
          <w:szCs w:val="24"/>
        </w:rPr>
      </w:pPr>
    </w:p>
    <w:p w14:paraId="66C75C45" w14:textId="77777777" w:rsidR="00627FAC" w:rsidRDefault="00627FAC" w:rsidP="00627FAC">
      <w:pPr>
        <w:spacing w:line="480" w:lineRule="auto"/>
        <w:jc w:val="center"/>
        <w:rPr>
          <w:rFonts w:ascii="Times New Roman" w:hAnsi="Times New Roman" w:cs="Times New Roman"/>
          <w:sz w:val="24"/>
          <w:szCs w:val="24"/>
        </w:rPr>
      </w:pPr>
    </w:p>
    <w:p w14:paraId="092BC179" w14:textId="77777777" w:rsidR="00627FAC" w:rsidRDefault="00627FAC" w:rsidP="00627FAC">
      <w:pPr>
        <w:spacing w:line="480" w:lineRule="auto"/>
        <w:jc w:val="center"/>
        <w:rPr>
          <w:rFonts w:ascii="Times New Roman" w:hAnsi="Times New Roman" w:cs="Times New Roman"/>
          <w:sz w:val="24"/>
          <w:szCs w:val="24"/>
        </w:rPr>
      </w:pPr>
    </w:p>
    <w:p w14:paraId="6EAA02D7" w14:textId="77777777" w:rsidR="00627FAC" w:rsidRDefault="00627FAC" w:rsidP="00627FAC">
      <w:pPr>
        <w:spacing w:line="480" w:lineRule="auto"/>
        <w:jc w:val="center"/>
        <w:rPr>
          <w:rFonts w:ascii="Times New Roman" w:hAnsi="Times New Roman" w:cs="Times New Roman"/>
          <w:sz w:val="24"/>
          <w:szCs w:val="24"/>
        </w:rPr>
      </w:pPr>
    </w:p>
    <w:p w14:paraId="0B3BE1AD" w14:textId="77777777" w:rsidR="00627FAC" w:rsidRDefault="00627FAC" w:rsidP="00627FAC">
      <w:pPr>
        <w:spacing w:line="480" w:lineRule="auto"/>
        <w:jc w:val="center"/>
        <w:rPr>
          <w:rFonts w:ascii="Times New Roman" w:hAnsi="Times New Roman" w:cs="Times New Roman"/>
          <w:sz w:val="24"/>
          <w:szCs w:val="24"/>
        </w:rPr>
      </w:pPr>
    </w:p>
    <w:p w14:paraId="134D6F29" w14:textId="77777777" w:rsidR="00627FAC" w:rsidRPr="00B5705F" w:rsidRDefault="00627FAC" w:rsidP="00627FAC">
      <w:pPr>
        <w:spacing w:line="480" w:lineRule="auto"/>
        <w:jc w:val="center"/>
        <w:rPr>
          <w:rFonts w:ascii="Times New Roman" w:hAnsi="Times New Roman" w:cs="Times New Roman"/>
          <w:sz w:val="24"/>
          <w:szCs w:val="24"/>
        </w:rPr>
      </w:pPr>
      <w:r>
        <w:rPr>
          <w:rFonts w:ascii="Times New Roman" w:hAnsi="Times New Roman" w:cs="Times New Roman"/>
          <w:sz w:val="24"/>
          <w:szCs w:val="24"/>
        </w:rPr>
        <w:t>References</w:t>
      </w:r>
    </w:p>
    <w:p w14:paraId="1CAE2C0C" w14:textId="77777777" w:rsidR="008A4569" w:rsidRPr="008A4569" w:rsidRDefault="008A4569" w:rsidP="008A4569">
      <w:pPr>
        <w:spacing w:after="240" w:line="360" w:lineRule="auto"/>
        <w:rPr>
          <w:rFonts w:ascii="Times New Roman" w:eastAsia="Times New Roman" w:hAnsi="Times New Roman" w:cs="Times New Roman"/>
          <w:sz w:val="24"/>
          <w:szCs w:val="24"/>
          <w:lang w:val="en-US"/>
        </w:rPr>
      </w:pPr>
      <w:r w:rsidRPr="008A4569">
        <w:rPr>
          <w:rFonts w:ascii="Times New Roman" w:eastAsia="Times New Roman" w:hAnsi="Times New Roman" w:cs="Times New Roman"/>
          <w:sz w:val="24"/>
          <w:szCs w:val="24"/>
          <w:lang w:val="en-US"/>
        </w:rPr>
        <w:t xml:space="preserve">Ahmad, E., Lim, S., Lamptey, R., Webb, D.R. and Davies, M.J. (2022). Type 2 Diabetes. </w:t>
      </w:r>
      <w:r w:rsidRPr="008A4569">
        <w:rPr>
          <w:rFonts w:ascii="Times New Roman" w:eastAsia="Times New Roman" w:hAnsi="Times New Roman" w:cs="Times New Roman"/>
          <w:i/>
          <w:iCs/>
          <w:sz w:val="24"/>
          <w:szCs w:val="24"/>
          <w:lang w:val="en-US"/>
        </w:rPr>
        <w:t>The Lancet</w:t>
      </w:r>
      <w:r w:rsidRPr="008A4569">
        <w:rPr>
          <w:rFonts w:ascii="Times New Roman" w:eastAsia="Times New Roman" w:hAnsi="Times New Roman" w:cs="Times New Roman"/>
          <w:sz w:val="24"/>
          <w:szCs w:val="24"/>
          <w:lang w:val="en-US"/>
        </w:rPr>
        <w:t xml:space="preserve">, 400(10365), pp.1803–1820. </w:t>
      </w:r>
      <w:proofErr w:type="spellStart"/>
      <w:proofErr w:type="gramStart"/>
      <w:r w:rsidRPr="008A4569">
        <w:rPr>
          <w:rFonts w:ascii="Times New Roman" w:eastAsia="Times New Roman" w:hAnsi="Times New Roman" w:cs="Times New Roman"/>
          <w:sz w:val="24"/>
          <w:szCs w:val="24"/>
          <w:lang w:val="en-US"/>
        </w:rPr>
        <w:t>doi:https</w:t>
      </w:r>
      <w:proofErr w:type="spellEnd"/>
      <w:r w:rsidRPr="008A4569">
        <w:rPr>
          <w:rFonts w:ascii="Times New Roman" w:eastAsia="Times New Roman" w:hAnsi="Times New Roman" w:cs="Times New Roman"/>
          <w:sz w:val="24"/>
          <w:szCs w:val="24"/>
          <w:lang w:val="en-US"/>
        </w:rPr>
        <w:t>://doi.org/10.1016/S0140-6736(22)01655-5</w:t>
      </w:r>
      <w:proofErr w:type="gramEnd"/>
      <w:r w:rsidRPr="008A4569">
        <w:rPr>
          <w:rFonts w:ascii="Times New Roman" w:eastAsia="Times New Roman" w:hAnsi="Times New Roman" w:cs="Times New Roman"/>
          <w:sz w:val="24"/>
          <w:szCs w:val="24"/>
          <w:lang w:val="en-US"/>
        </w:rPr>
        <w:t>.</w:t>
      </w:r>
    </w:p>
    <w:p w14:paraId="60DC8C05" w14:textId="77777777" w:rsidR="008A4569" w:rsidRPr="008A4569" w:rsidRDefault="008A4569" w:rsidP="008A4569">
      <w:pPr>
        <w:spacing w:after="240" w:line="360" w:lineRule="auto"/>
        <w:rPr>
          <w:rFonts w:ascii="Times New Roman" w:eastAsia="Times New Roman" w:hAnsi="Times New Roman" w:cs="Times New Roman"/>
          <w:sz w:val="24"/>
          <w:szCs w:val="24"/>
          <w:lang w:val="en-US"/>
        </w:rPr>
      </w:pPr>
      <w:r w:rsidRPr="008A4569">
        <w:rPr>
          <w:rFonts w:ascii="Times New Roman" w:eastAsia="Times New Roman" w:hAnsi="Times New Roman" w:cs="Times New Roman"/>
          <w:sz w:val="24"/>
          <w:szCs w:val="24"/>
          <w:lang w:val="en-US"/>
        </w:rPr>
        <w:t xml:space="preserve">Baumann, L.C. and Ylinen, A. (2020). Prevention: Primary, Secondary, Tertiary. </w:t>
      </w:r>
      <w:r w:rsidRPr="008A4569">
        <w:rPr>
          <w:rFonts w:ascii="Times New Roman" w:eastAsia="Times New Roman" w:hAnsi="Times New Roman" w:cs="Times New Roman"/>
          <w:i/>
          <w:iCs/>
          <w:sz w:val="24"/>
          <w:szCs w:val="24"/>
          <w:lang w:val="en-US"/>
        </w:rPr>
        <w:t>Encyclopedia of Behavioral Medicine</w:t>
      </w:r>
      <w:r w:rsidRPr="008A4569">
        <w:rPr>
          <w:rFonts w:ascii="Times New Roman" w:eastAsia="Times New Roman" w:hAnsi="Times New Roman" w:cs="Times New Roman"/>
          <w:sz w:val="24"/>
          <w:szCs w:val="24"/>
          <w:lang w:val="en-US"/>
        </w:rPr>
        <w:t xml:space="preserve">, pp.1738–1740. </w:t>
      </w:r>
      <w:proofErr w:type="spellStart"/>
      <w:r w:rsidRPr="008A4569">
        <w:rPr>
          <w:rFonts w:ascii="Times New Roman" w:eastAsia="Times New Roman" w:hAnsi="Times New Roman" w:cs="Times New Roman"/>
          <w:sz w:val="24"/>
          <w:szCs w:val="24"/>
          <w:lang w:val="en-US"/>
        </w:rPr>
        <w:t>doi:https</w:t>
      </w:r>
      <w:proofErr w:type="spellEnd"/>
      <w:r w:rsidRPr="008A4569">
        <w:rPr>
          <w:rFonts w:ascii="Times New Roman" w:eastAsia="Times New Roman" w:hAnsi="Times New Roman" w:cs="Times New Roman"/>
          <w:sz w:val="24"/>
          <w:szCs w:val="24"/>
          <w:lang w:val="en-US"/>
        </w:rPr>
        <w:t>://doi.org/10.1007/978-3-030-39903-0_135.</w:t>
      </w:r>
    </w:p>
    <w:p w14:paraId="07F4767C" w14:textId="77777777" w:rsidR="008A4569" w:rsidRPr="008A4569" w:rsidRDefault="008A4569" w:rsidP="008A4569">
      <w:pPr>
        <w:spacing w:after="240" w:line="360" w:lineRule="auto"/>
        <w:rPr>
          <w:rFonts w:ascii="Times New Roman" w:eastAsia="Times New Roman" w:hAnsi="Times New Roman" w:cs="Times New Roman"/>
          <w:sz w:val="24"/>
          <w:szCs w:val="24"/>
          <w:lang w:val="en-US"/>
        </w:rPr>
      </w:pPr>
      <w:r w:rsidRPr="008A4569">
        <w:rPr>
          <w:rFonts w:ascii="Times New Roman" w:eastAsia="Times New Roman" w:hAnsi="Times New Roman" w:cs="Times New Roman"/>
          <w:sz w:val="24"/>
          <w:szCs w:val="24"/>
          <w:lang w:val="en-US"/>
        </w:rPr>
        <w:t xml:space="preserve">Crimmins, E.M. (2019). Differences between Men and Women in Mortality and the Health Dimensions of the Morbidity Process. </w:t>
      </w:r>
      <w:r w:rsidRPr="008A4569">
        <w:rPr>
          <w:rFonts w:ascii="Times New Roman" w:eastAsia="Times New Roman" w:hAnsi="Times New Roman" w:cs="Times New Roman"/>
          <w:i/>
          <w:iCs/>
          <w:sz w:val="24"/>
          <w:szCs w:val="24"/>
          <w:lang w:val="en-US"/>
        </w:rPr>
        <w:t>Clinical Chemistry</w:t>
      </w:r>
      <w:r w:rsidRPr="008A4569">
        <w:rPr>
          <w:rFonts w:ascii="Times New Roman" w:eastAsia="Times New Roman" w:hAnsi="Times New Roman" w:cs="Times New Roman"/>
          <w:sz w:val="24"/>
          <w:szCs w:val="24"/>
          <w:lang w:val="en-US"/>
        </w:rPr>
        <w:t xml:space="preserve">, [online] 65(1), pp.135–145. </w:t>
      </w:r>
      <w:proofErr w:type="spellStart"/>
      <w:r w:rsidRPr="008A4569">
        <w:rPr>
          <w:rFonts w:ascii="Times New Roman" w:eastAsia="Times New Roman" w:hAnsi="Times New Roman" w:cs="Times New Roman"/>
          <w:sz w:val="24"/>
          <w:szCs w:val="24"/>
          <w:lang w:val="en-US"/>
        </w:rPr>
        <w:t>doi:https</w:t>
      </w:r>
      <w:proofErr w:type="spellEnd"/>
      <w:r w:rsidRPr="008A4569">
        <w:rPr>
          <w:rFonts w:ascii="Times New Roman" w:eastAsia="Times New Roman" w:hAnsi="Times New Roman" w:cs="Times New Roman"/>
          <w:sz w:val="24"/>
          <w:szCs w:val="24"/>
          <w:lang w:val="en-US"/>
        </w:rPr>
        <w:t>://doi.org/10.1373/clinchem.2018.288332.</w:t>
      </w:r>
    </w:p>
    <w:p w14:paraId="48721E48" w14:textId="77777777" w:rsidR="008A4569" w:rsidRPr="008A4569" w:rsidRDefault="008A4569" w:rsidP="008A4569">
      <w:pPr>
        <w:spacing w:after="240" w:line="360" w:lineRule="auto"/>
        <w:rPr>
          <w:rFonts w:ascii="Times New Roman" w:eastAsia="Times New Roman" w:hAnsi="Times New Roman" w:cs="Times New Roman"/>
          <w:sz w:val="24"/>
          <w:szCs w:val="24"/>
          <w:lang w:val="en-US"/>
        </w:rPr>
      </w:pPr>
      <w:r w:rsidRPr="008A4569">
        <w:rPr>
          <w:rFonts w:ascii="Times New Roman" w:eastAsia="Times New Roman" w:hAnsi="Times New Roman" w:cs="Times New Roman"/>
          <w:sz w:val="24"/>
          <w:szCs w:val="24"/>
          <w:lang w:val="en-US"/>
        </w:rPr>
        <w:t xml:space="preserve">Dahlgren, G. and Whitehead, M. (2021). The Dahlgren-Whitehead Model of Health Determinants: 30 Years on and Still Chasing Rainbows. </w:t>
      </w:r>
      <w:r w:rsidRPr="008A4569">
        <w:rPr>
          <w:rFonts w:ascii="Times New Roman" w:eastAsia="Times New Roman" w:hAnsi="Times New Roman" w:cs="Times New Roman"/>
          <w:i/>
          <w:iCs/>
          <w:sz w:val="24"/>
          <w:szCs w:val="24"/>
          <w:lang w:val="en-US"/>
        </w:rPr>
        <w:t>Public Health</w:t>
      </w:r>
      <w:r w:rsidRPr="008A4569">
        <w:rPr>
          <w:rFonts w:ascii="Times New Roman" w:eastAsia="Times New Roman" w:hAnsi="Times New Roman" w:cs="Times New Roman"/>
          <w:sz w:val="24"/>
          <w:szCs w:val="24"/>
          <w:lang w:val="en-US"/>
        </w:rPr>
        <w:t xml:space="preserve">, [online] 199(1), pp.20–24. </w:t>
      </w:r>
      <w:proofErr w:type="spellStart"/>
      <w:r w:rsidRPr="008A4569">
        <w:rPr>
          <w:rFonts w:ascii="Times New Roman" w:eastAsia="Times New Roman" w:hAnsi="Times New Roman" w:cs="Times New Roman"/>
          <w:sz w:val="24"/>
          <w:szCs w:val="24"/>
          <w:lang w:val="en-US"/>
        </w:rPr>
        <w:t>doi:https</w:t>
      </w:r>
      <w:proofErr w:type="spellEnd"/>
      <w:r w:rsidRPr="008A4569">
        <w:rPr>
          <w:rFonts w:ascii="Times New Roman" w:eastAsia="Times New Roman" w:hAnsi="Times New Roman" w:cs="Times New Roman"/>
          <w:sz w:val="24"/>
          <w:szCs w:val="24"/>
          <w:lang w:val="en-US"/>
        </w:rPr>
        <w:t>://doi.org/10.1016/j.puhe.2021.08.009.</w:t>
      </w:r>
    </w:p>
    <w:p w14:paraId="5D008293" w14:textId="77777777" w:rsidR="008A4569" w:rsidRPr="008A4569" w:rsidRDefault="008A4569" w:rsidP="008A4569">
      <w:pPr>
        <w:spacing w:after="240" w:line="360" w:lineRule="auto"/>
        <w:rPr>
          <w:rFonts w:ascii="Times New Roman" w:eastAsia="Times New Roman" w:hAnsi="Times New Roman" w:cs="Times New Roman"/>
          <w:sz w:val="24"/>
          <w:szCs w:val="24"/>
          <w:lang w:val="en-US"/>
        </w:rPr>
      </w:pPr>
      <w:r w:rsidRPr="008A4569">
        <w:rPr>
          <w:rFonts w:ascii="Times New Roman" w:eastAsia="Times New Roman" w:hAnsi="Times New Roman" w:cs="Times New Roman"/>
          <w:sz w:val="24"/>
          <w:szCs w:val="24"/>
          <w:lang w:val="en-US"/>
        </w:rPr>
        <w:lastRenderedPageBreak/>
        <w:t xml:space="preserve">Diabetes UK (2023). </w:t>
      </w:r>
      <w:r w:rsidRPr="008A4569">
        <w:rPr>
          <w:rFonts w:ascii="Times New Roman" w:eastAsia="Times New Roman" w:hAnsi="Times New Roman" w:cs="Times New Roman"/>
          <w:i/>
          <w:iCs/>
          <w:sz w:val="24"/>
          <w:szCs w:val="24"/>
          <w:lang w:val="en-US"/>
        </w:rPr>
        <w:t>Number of people living with diabetes in the UK tops 5 million for the first time</w:t>
      </w:r>
      <w:r w:rsidRPr="008A4569">
        <w:rPr>
          <w:rFonts w:ascii="Times New Roman" w:eastAsia="Times New Roman" w:hAnsi="Times New Roman" w:cs="Times New Roman"/>
          <w:sz w:val="24"/>
          <w:szCs w:val="24"/>
          <w:lang w:val="en-US"/>
        </w:rPr>
        <w:t>. [online] Diabetes UK. Available at: https://www.diabetes.org.uk/about-us/news-and-views/number-people-living-diabetes-uk-tops-5-million-first-time.</w:t>
      </w:r>
    </w:p>
    <w:p w14:paraId="779E3A1C" w14:textId="77777777" w:rsidR="008A4569" w:rsidRPr="008A4569" w:rsidRDefault="008A4569" w:rsidP="008A4569">
      <w:pPr>
        <w:spacing w:after="240" w:line="360" w:lineRule="auto"/>
        <w:rPr>
          <w:rFonts w:ascii="Times New Roman" w:eastAsia="Times New Roman" w:hAnsi="Times New Roman" w:cs="Times New Roman"/>
          <w:sz w:val="24"/>
          <w:szCs w:val="24"/>
          <w:lang w:val="en-US"/>
        </w:rPr>
      </w:pPr>
      <w:proofErr w:type="spellStart"/>
      <w:r w:rsidRPr="008A4569">
        <w:rPr>
          <w:rFonts w:ascii="Times New Roman" w:eastAsia="Times New Roman" w:hAnsi="Times New Roman" w:cs="Times New Roman"/>
          <w:sz w:val="24"/>
          <w:szCs w:val="24"/>
          <w:lang w:val="en-US"/>
        </w:rPr>
        <w:t>Erku</w:t>
      </w:r>
      <w:proofErr w:type="spellEnd"/>
      <w:r w:rsidRPr="008A4569">
        <w:rPr>
          <w:rFonts w:ascii="Times New Roman" w:eastAsia="Times New Roman" w:hAnsi="Times New Roman" w:cs="Times New Roman"/>
          <w:sz w:val="24"/>
          <w:szCs w:val="24"/>
          <w:lang w:val="en-US"/>
        </w:rPr>
        <w:t xml:space="preserve">, D., Khatri, R., </w:t>
      </w:r>
      <w:proofErr w:type="spellStart"/>
      <w:r w:rsidRPr="008A4569">
        <w:rPr>
          <w:rFonts w:ascii="Times New Roman" w:eastAsia="Times New Roman" w:hAnsi="Times New Roman" w:cs="Times New Roman"/>
          <w:sz w:val="24"/>
          <w:szCs w:val="24"/>
          <w:lang w:val="en-US"/>
        </w:rPr>
        <w:t>Endalamaw</w:t>
      </w:r>
      <w:proofErr w:type="spellEnd"/>
      <w:r w:rsidRPr="008A4569">
        <w:rPr>
          <w:rFonts w:ascii="Times New Roman" w:eastAsia="Times New Roman" w:hAnsi="Times New Roman" w:cs="Times New Roman"/>
          <w:sz w:val="24"/>
          <w:szCs w:val="24"/>
          <w:lang w:val="en-US"/>
        </w:rPr>
        <w:t xml:space="preserve">, A., </w:t>
      </w:r>
      <w:proofErr w:type="spellStart"/>
      <w:r w:rsidRPr="008A4569">
        <w:rPr>
          <w:rFonts w:ascii="Times New Roman" w:eastAsia="Times New Roman" w:hAnsi="Times New Roman" w:cs="Times New Roman"/>
          <w:sz w:val="24"/>
          <w:szCs w:val="24"/>
          <w:lang w:val="en-US"/>
        </w:rPr>
        <w:t>Wolka</w:t>
      </w:r>
      <w:proofErr w:type="spellEnd"/>
      <w:r w:rsidRPr="008A4569">
        <w:rPr>
          <w:rFonts w:ascii="Times New Roman" w:eastAsia="Times New Roman" w:hAnsi="Times New Roman" w:cs="Times New Roman"/>
          <w:sz w:val="24"/>
          <w:szCs w:val="24"/>
          <w:lang w:val="en-US"/>
        </w:rPr>
        <w:t xml:space="preserve">, E., Nigatu, F., Zewdie, A. and Assefa, Y. (2023). Digital Health Interventions to Improve Access to and Quality of Primary Health Care Services: A Scoping Review. </w:t>
      </w:r>
      <w:r w:rsidRPr="008A4569">
        <w:rPr>
          <w:rFonts w:ascii="Times New Roman" w:eastAsia="Times New Roman" w:hAnsi="Times New Roman" w:cs="Times New Roman"/>
          <w:i/>
          <w:iCs/>
          <w:sz w:val="24"/>
          <w:szCs w:val="24"/>
          <w:lang w:val="en-US"/>
        </w:rPr>
        <w:t>International Journal of Environmental Research and Public Health</w:t>
      </w:r>
      <w:r w:rsidRPr="008A4569">
        <w:rPr>
          <w:rFonts w:ascii="Times New Roman" w:eastAsia="Times New Roman" w:hAnsi="Times New Roman" w:cs="Times New Roman"/>
          <w:sz w:val="24"/>
          <w:szCs w:val="24"/>
          <w:lang w:val="en-US"/>
        </w:rPr>
        <w:t xml:space="preserve">, [online] 20(19), p.6854. </w:t>
      </w:r>
      <w:proofErr w:type="spellStart"/>
      <w:r w:rsidRPr="008A4569">
        <w:rPr>
          <w:rFonts w:ascii="Times New Roman" w:eastAsia="Times New Roman" w:hAnsi="Times New Roman" w:cs="Times New Roman"/>
          <w:sz w:val="24"/>
          <w:szCs w:val="24"/>
          <w:lang w:val="en-US"/>
        </w:rPr>
        <w:t>doi:https</w:t>
      </w:r>
      <w:proofErr w:type="spellEnd"/>
      <w:r w:rsidRPr="008A4569">
        <w:rPr>
          <w:rFonts w:ascii="Times New Roman" w:eastAsia="Times New Roman" w:hAnsi="Times New Roman" w:cs="Times New Roman"/>
          <w:sz w:val="24"/>
          <w:szCs w:val="24"/>
          <w:lang w:val="en-US"/>
        </w:rPr>
        <w:t>://doi.org/10.3390/ijerph20196854.</w:t>
      </w:r>
    </w:p>
    <w:p w14:paraId="0C2835EB" w14:textId="77777777" w:rsidR="008A4569" w:rsidRPr="008A4569" w:rsidRDefault="008A4569" w:rsidP="008A4569">
      <w:pPr>
        <w:spacing w:after="240" w:line="360" w:lineRule="auto"/>
        <w:rPr>
          <w:rFonts w:ascii="Times New Roman" w:eastAsia="Times New Roman" w:hAnsi="Times New Roman" w:cs="Times New Roman"/>
          <w:sz w:val="24"/>
          <w:szCs w:val="24"/>
          <w:lang w:val="en-US"/>
        </w:rPr>
      </w:pPr>
      <w:r w:rsidRPr="008A4569">
        <w:rPr>
          <w:rFonts w:ascii="Times New Roman" w:eastAsia="Times New Roman" w:hAnsi="Times New Roman" w:cs="Times New Roman"/>
          <w:sz w:val="24"/>
          <w:szCs w:val="24"/>
          <w:lang w:val="en-US"/>
        </w:rPr>
        <w:t xml:space="preserve">Ghoreishi, M.-S., </w:t>
      </w:r>
      <w:proofErr w:type="spellStart"/>
      <w:r w:rsidRPr="008A4569">
        <w:rPr>
          <w:rFonts w:ascii="Times New Roman" w:eastAsia="Times New Roman" w:hAnsi="Times New Roman" w:cs="Times New Roman"/>
          <w:sz w:val="24"/>
          <w:szCs w:val="24"/>
          <w:lang w:val="en-US"/>
        </w:rPr>
        <w:t>Vahedian-shahroodi</w:t>
      </w:r>
      <w:proofErr w:type="spellEnd"/>
      <w:r w:rsidRPr="008A4569">
        <w:rPr>
          <w:rFonts w:ascii="Times New Roman" w:eastAsia="Times New Roman" w:hAnsi="Times New Roman" w:cs="Times New Roman"/>
          <w:sz w:val="24"/>
          <w:szCs w:val="24"/>
          <w:lang w:val="en-US"/>
        </w:rPr>
        <w:t xml:space="preserve">, M., Jafari, A. and </w:t>
      </w:r>
      <w:proofErr w:type="spellStart"/>
      <w:r w:rsidRPr="008A4569">
        <w:rPr>
          <w:rFonts w:ascii="Times New Roman" w:eastAsia="Times New Roman" w:hAnsi="Times New Roman" w:cs="Times New Roman"/>
          <w:sz w:val="24"/>
          <w:szCs w:val="24"/>
          <w:lang w:val="en-US"/>
        </w:rPr>
        <w:t>Tehranid</w:t>
      </w:r>
      <w:proofErr w:type="spellEnd"/>
      <w:r w:rsidRPr="008A4569">
        <w:rPr>
          <w:rFonts w:ascii="Times New Roman" w:eastAsia="Times New Roman" w:hAnsi="Times New Roman" w:cs="Times New Roman"/>
          <w:sz w:val="24"/>
          <w:szCs w:val="24"/>
          <w:lang w:val="en-US"/>
        </w:rPr>
        <w:t xml:space="preserve">, H. (2019). Self-care behaviors in patients with type 2 diabetes: Education intervention base on social cognitive theory. </w:t>
      </w:r>
      <w:r w:rsidRPr="008A4569">
        <w:rPr>
          <w:rFonts w:ascii="Times New Roman" w:eastAsia="Times New Roman" w:hAnsi="Times New Roman" w:cs="Times New Roman"/>
          <w:i/>
          <w:iCs/>
          <w:sz w:val="24"/>
          <w:szCs w:val="24"/>
          <w:lang w:val="en-US"/>
        </w:rPr>
        <w:t>Diabetes &amp; Metabolic Syndrome: Clinical Research &amp; Reviews</w:t>
      </w:r>
      <w:r w:rsidRPr="008A4569">
        <w:rPr>
          <w:rFonts w:ascii="Times New Roman" w:eastAsia="Times New Roman" w:hAnsi="Times New Roman" w:cs="Times New Roman"/>
          <w:sz w:val="24"/>
          <w:szCs w:val="24"/>
          <w:lang w:val="en-US"/>
        </w:rPr>
        <w:t xml:space="preserve">, 13(3), pp.2049–2056. </w:t>
      </w:r>
      <w:proofErr w:type="spellStart"/>
      <w:r w:rsidRPr="008A4569">
        <w:rPr>
          <w:rFonts w:ascii="Times New Roman" w:eastAsia="Times New Roman" w:hAnsi="Times New Roman" w:cs="Times New Roman"/>
          <w:sz w:val="24"/>
          <w:szCs w:val="24"/>
          <w:lang w:val="en-US"/>
        </w:rPr>
        <w:t>doi:https</w:t>
      </w:r>
      <w:proofErr w:type="spellEnd"/>
      <w:r w:rsidRPr="008A4569">
        <w:rPr>
          <w:rFonts w:ascii="Times New Roman" w:eastAsia="Times New Roman" w:hAnsi="Times New Roman" w:cs="Times New Roman"/>
          <w:sz w:val="24"/>
          <w:szCs w:val="24"/>
          <w:lang w:val="en-US"/>
        </w:rPr>
        <w:t>://doi.org/10.1016/j.dsx.2019.04.045.</w:t>
      </w:r>
    </w:p>
    <w:p w14:paraId="7DA92181" w14:textId="77777777" w:rsidR="008A4569" w:rsidRPr="008A4569" w:rsidRDefault="008A4569" w:rsidP="008A4569">
      <w:pPr>
        <w:spacing w:after="240" w:line="360" w:lineRule="auto"/>
        <w:rPr>
          <w:rFonts w:ascii="Times New Roman" w:eastAsia="Times New Roman" w:hAnsi="Times New Roman" w:cs="Times New Roman"/>
          <w:sz w:val="24"/>
          <w:szCs w:val="24"/>
          <w:lang w:val="en-US"/>
        </w:rPr>
      </w:pPr>
      <w:r w:rsidRPr="008A4569">
        <w:rPr>
          <w:rFonts w:ascii="Times New Roman" w:eastAsia="Times New Roman" w:hAnsi="Times New Roman" w:cs="Times New Roman"/>
          <w:sz w:val="24"/>
          <w:szCs w:val="24"/>
          <w:lang w:val="en-US"/>
        </w:rPr>
        <w:t xml:space="preserve">Green, E.C., Murphy, E.M. and Gryboski, K. (2020). The health belief model. </w:t>
      </w:r>
      <w:r w:rsidRPr="008A4569">
        <w:rPr>
          <w:rFonts w:ascii="Times New Roman" w:eastAsia="Times New Roman" w:hAnsi="Times New Roman" w:cs="Times New Roman"/>
          <w:i/>
          <w:iCs/>
          <w:sz w:val="24"/>
          <w:szCs w:val="24"/>
          <w:lang w:val="en-US"/>
        </w:rPr>
        <w:t>The Wiley Encyclopedia of Health Psychology</w:t>
      </w:r>
      <w:r w:rsidRPr="008A4569">
        <w:rPr>
          <w:rFonts w:ascii="Times New Roman" w:eastAsia="Times New Roman" w:hAnsi="Times New Roman" w:cs="Times New Roman"/>
          <w:sz w:val="24"/>
          <w:szCs w:val="24"/>
          <w:lang w:val="en-US"/>
        </w:rPr>
        <w:t xml:space="preserve">, 1(1), pp.211–214. </w:t>
      </w:r>
      <w:proofErr w:type="spellStart"/>
      <w:r w:rsidRPr="008A4569">
        <w:rPr>
          <w:rFonts w:ascii="Times New Roman" w:eastAsia="Times New Roman" w:hAnsi="Times New Roman" w:cs="Times New Roman"/>
          <w:sz w:val="24"/>
          <w:szCs w:val="24"/>
          <w:lang w:val="en-US"/>
        </w:rPr>
        <w:t>doi:https</w:t>
      </w:r>
      <w:proofErr w:type="spellEnd"/>
      <w:r w:rsidRPr="008A4569">
        <w:rPr>
          <w:rFonts w:ascii="Times New Roman" w:eastAsia="Times New Roman" w:hAnsi="Times New Roman" w:cs="Times New Roman"/>
          <w:sz w:val="24"/>
          <w:szCs w:val="24"/>
          <w:lang w:val="en-US"/>
        </w:rPr>
        <w:t>://doi.org/10.1002/9781119057840.ch68.</w:t>
      </w:r>
    </w:p>
    <w:p w14:paraId="5C774759" w14:textId="77777777" w:rsidR="008A4569" w:rsidRPr="008A4569" w:rsidRDefault="008A4569" w:rsidP="008A4569">
      <w:pPr>
        <w:spacing w:after="240" w:line="360" w:lineRule="auto"/>
        <w:rPr>
          <w:rFonts w:ascii="Times New Roman" w:eastAsia="Times New Roman" w:hAnsi="Times New Roman" w:cs="Times New Roman"/>
          <w:sz w:val="24"/>
          <w:szCs w:val="24"/>
          <w:lang w:val="en-US"/>
        </w:rPr>
      </w:pPr>
      <w:r w:rsidRPr="008A4569">
        <w:rPr>
          <w:rFonts w:ascii="Times New Roman" w:eastAsia="Times New Roman" w:hAnsi="Times New Roman" w:cs="Times New Roman"/>
          <w:sz w:val="24"/>
          <w:szCs w:val="24"/>
          <w:lang w:val="en-US"/>
        </w:rPr>
        <w:t xml:space="preserve">Health (2026). </w:t>
      </w:r>
      <w:r w:rsidRPr="008A4569">
        <w:rPr>
          <w:rFonts w:ascii="Times New Roman" w:eastAsia="Times New Roman" w:hAnsi="Times New Roman" w:cs="Times New Roman"/>
          <w:i/>
          <w:iCs/>
          <w:sz w:val="24"/>
          <w:szCs w:val="24"/>
          <w:lang w:val="en-US"/>
        </w:rPr>
        <w:t>Renewed Women’s Health Strategy for England</w:t>
      </w:r>
      <w:r w:rsidRPr="008A4569">
        <w:rPr>
          <w:rFonts w:ascii="Times New Roman" w:eastAsia="Times New Roman" w:hAnsi="Times New Roman" w:cs="Times New Roman"/>
          <w:sz w:val="24"/>
          <w:szCs w:val="24"/>
          <w:lang w:val="en-US"/>
        </w:rPr>
        <w:t>. [online] GOV.UK. Available at: https://www.gov.uk/government/publications/renewed-womens-health-strategy-for-england.</w:t>
      </w:r>
    </w:p>
    <w:p w14:paraId="66F91A57" w14:textId="77777777" w:rsidR="008A4569" w:rsidRPr="008A4569" w:rsidRDefault="008A4569" w:rsidP="008A4569">
      <w:pPr>
        <w:spacing w:after="240" w:line="360" w:lineRule="auto"/>
        <w:rPr>
          <w:rFonts w:ascii="Times New Roman" w:eastAsia="Times New Roman" w:hAnsi="Times New Roman" w:cs="Times New Roman"/>
          <w:sz w:val="24"/>
          <w:szCs w:val="24"/>
          <w:lang w:val="en-US"/>
        </w:rPr>
      </w:pPr>
      <w:r w:rsidRPr="008A4569">
        <w:rPr>
          <w:rFonts w:ascii="Times New Roman" w:eastAsia="Times New Roman" w:hAnsi="Times New Roman" w:cs="Times New Roman"/>
          <w:sz w:val="24"/>
          <w:szCs w:val="24"/>
          <w:lang w:val="en-US"/>
        </w:rPr>
        <w:t xml:space="preserve">Holman, N., Knighton, P., Wild, S.H., Sattar, N., Dew, C., Gregg, E.W., Khunti, K., </w:t>
      </w:r>
      <w:proofErr w:type="spellStart"/>
      <w:r w:rsidRPr="008A4569">
        <w:rPr>
          <w:rFonts w:ascii="Times New Roman" w:eastAsia="Times New Roman" w:hAnsi="Times New Roman" w:cs="Times New Roman"/>
          <w:sz w:val="24"/>
          <w:szCs w:val="24"/>
          <w:lang w:val="en-US"/>
        </w:rPr>
        <w:t>Valabhji</w:t>
      </w:r>
      <w:proofErr w:type="spellEnd"/>
      <w:r w:rsidRPr="008A4569">
        <w:rPr>
          <w:rFonts w:ascii="Times New Roman" w:eastAsia="Times New Roman" w:hAnsi="Times New Roman" w:cs="Times New Roman"/>
          <w:sz w:val="24"/>
          <w:szCs w:val="24"/>
          <w:lang w:val="en-US"/>
        </w:rPr>
        <w:t xml:space="preserve">, J. and Young, B. (2021). Cohort profile: National Diabetes Audit for England and Wales. </w:t>
      </w:r>
      <w:r w:rsidRPr="008A4569">
        <w:rPr>
          <w:rFonts w:ascii="Times New Roman" w:eastAsia="Times New Roman" w:hAnsi="Times New Roman" w:cs="Times New Roman"/>
          <w:i/>
          <w:iCs/>
          <w:sz w:val="24"/>
          <w:szCs w:val="24"/>
          <w:lang w:val="en-US"/>
        </w:rPr>
        <w:t>Diabetic Medicine</w:t>
      </w:r>
      <w:r w:rsidRPr="008A4569">
        <w:rPr>
          <w:rFonts w:ascii="Times New Roman" w:eastAsia="Times New Roman" w:hAnsi="Times New Roman" w:cs="Times New Roman"/>
          <w:sz w:val="24"/>
          <w:szCs w:val="24"/>
          <w:lang w:val="en-US"/>
        </w:rPr>
        <w:t xml:space="preserve">, 38(9). </w:t>
      </w:r>
      <w:proofErr w:type="spellStart"/>
      <w:r w:rsidRPr="008A4569">
        <w:rPr>
          <w:rFonts w:ascii="Times New Roman" w:eastAsia="Times New Roman" w:hAnsi="Times New Roman" w:cs="Times New Roman"/>
          <w:sz w:val="24"/>
          <w:szCs w:val="24"/>
          <w:lang w:val="en-US"/>
        </w:rPr>
        <w:t>doi:https</w:t>
      </w:r>
      <w:proofErr w:type="spellEnd"/>
      <w:r w:rsidRPr="008A4569">
        <w:rPr>
          <w:rFonts w:ascii="Times New Roman" w:eastAsia="Times New Roman" w:hAnsi="Times New Roman" w:cs="Times New Roman"/>
          <w:sz w:val="24"/>
          <w:szCs w:val="24"/>
          <w:lang w:val="en-US"/>
        </w:rPr>
        <w:t>://doi.org/10.1111/dme.14616.</w:t>
      </w:r>
    </w:p>
    <w:p w14:paraId="7D7462DA" w14:textId="77777777" w:rsidR="008A4569" w:rsidRPr="008A4569" w:rsidRDefault="008A4569" w:rsidP="008A4569">
      <w:pPr>
        <w:spacing w:after="240" w:line="360" w:lineRule="auto"/>
        <w:rPr>
          <w:rFonts w:ascii="Times New Roman" w:eastAsia="Times New Roman" w:hAnsi="Times New Roman" w:cs="Times New Roman"/>
          <w:sz w:val="24"/>
          <w:szCs w:val="24"/>
          <w:lang w:val="en-US"/>
        </w:rPr>
      </w:pPr>
      <w:r w:rsidRPr="008A4569">
        <w:rPr>
          <w:rFonts w:ascii="Times New Roman" w:eastAsia="Times New Roman" w:hAnsi="Times New Roman" w:cs="Times New Roman"/>
          <w:sz w:val="24"/>
          <w:szCs w:val="24"/>
          <w:lang w:val="en-US"/>
        </w:rPr>
        <w:t xml:space="preserve">Hossain, B., Pinker, I., Sall, F., </w:t>
      </w:r>
      <w:proofErr w:type="spellStart"/>
      <w:r w:rsidRPr="008A4569">
        <w:rPr>
          <w:rFonts w:ascii="Times New Roman" w:eastAsia="Times New Roman" w:hAnsi="Times New Roman" w:cs="Times New Roman"/>
          <w:sz w:val="24"/>
          <w:szCs w:val="24"/>
          <w:lang w:val="en-US"/>
        </w:rPr>
        <w:t>Dessenne</w:t>
      </w:r>
      <w:proofErr w:type="spellEnd"/>
      <w:r w:rsidRPr="008A4569">
        <w:rPr>
          <w:rFonts w:ascii="Times New Roman" w:eastAsia="Times New Roman" w:hAnsi="Times New Roman" w:cs="Times New Roman"/>
          <w:sz w:val="24"/>
          <w:szCs w:val="24"/>
          <w:lang w:val="en-US"/>
        </w:rPr>
        <w:t xml:space="preserve">, C. and Ruiz-Castell, M. (2025). Mapping the evidence on the intersection of gender and social determinants of health in health inequality: a scoping review. </w:t>
      </w:r>
      <w:r w:rsidRPr="008A4569">
        <w:rPr>
          <w:rFonts w:ascii="Times New Roman" w:eastAsia="Times New Roman" w:hAnsi="Times New Roman" w:cs="Times New Roman"/>
          <w:i/>
          <w:iCs/>
          <w:sz w:val="24"/>
          <w:szCs w:val="24"/>
          <w:lang w:val="en-US"/>
        </w:rPr>
        <w:t>BMC Public Health</w:t>
      </w:r>
      <w:r w:rsidRPr="008A4569">
        <w:rPr>
          <w:rFonts w:ascii="Times New Roman" w:eastAsia="Times New Roman" w:hAnsi="Times New Roman" w:cs="Times New Roman"/>
          <w:sz w:val="24"/>
          <w:szCs w:val="24"/>
          <w:lang w:val="en-US"/>
        </w:rPr>
        <w:t xml:space="preserve">, 25(1), pp.4260–4260. </w:t>
      </w:r>
      <w:proofErr w:type="spellStart"/>
      <w:r w:rsidRPr="008A4569">
        <w:rPr>
          <w:rFonts w:ascii="Times New Roman" w:eastAsia="Times New Roman" w:hAnsi="Times New Roman" w:cs="Times New Roman"/>
          <w:sz w:val="24"/>
          <w:szCs w:val="24"/>
          <w:lang w:val="en-US"/>
        </w:rPr>
        <w:t>doi:https</w:t>
      </w:r>
      <w:proofErr w:type="spellEnd"/>
      <w:r w:rsidRPr="008A4569">
        <w:rPr>
          <w:rFonts w:ascii="Times New Roman" w:eastAsia="Times New Roman" w:hAnsi="Times New Roman" w:cs="Times New Roman"/>
          <w:sz w:val="24"/>
          <w:szCs w:val="24"/>
          <w:lang w:val="en-US"/>
        </w:rPr>
        <w:t>://doi.org/10.1186/s12889-025-25525-8.</w:t>
      </w:r>
    </w:p>
    <w:p w14:paraId="750150EF" w14:textId="77777777" w:rsidR="008A4569" w:rsidRPr="008A4569" w:rsidRDefault="008A4569" w:rsidP="008A4569">
      <w:pPr>
        <w:spacing w:after="240" w:line="360" w:lineRule="auto"/>
        <w:rPr>
          <w:rFonts w:ascii="Times New Roman" w:eastAsia="Times New Roman" w:hAnsi="Times New Roman" w:cs="Times New Roman"/>
          <w:sz w:val="24"/>
          <w:szCs w:val="24"/>
          <w:lang w:val="en-US"/>
        </w:rPr>
      </w:pPr>
      <w:r w:rsidRPr="008A4569">
        <w:rPr>
          <w:rFonts w:ascii="Times New Roman" w:eastAsia="Times New Roman" w:hAnsi="Times New Roman" w:cs="Times New Roman"/>
          <w:sz w:val="24"/>
          <w:szCs w:val="24"/>
          <w:lang w:val="en-US"/>
        </w:rPr>
        <w:t xml:space="preserve">Ismail, L., </w:t>
      </w:r>
      <w:proofErr w:type="spellStart"/>
      <w:r w:rsidRPr="008A4569">
        <w:rPr>
          <w:rFonts w:ascii="Times New Roman" w:eastAsia="Times New Roman" w:hAnsi="Times New Roman" w:cs="Times New Roman"/>
          <w:sz w:val="24"/>
          <w:szCs w:val="24"/>
          <w:lang w:val="en-US"/>
        </w:rPr>
        <w:t>Materwala</w:t>
      </w:r>
      <w:proofErr w:type="spellEnd"/>
      <w:r w:rsidRPr="008A4569">
        <w:rPr>
          <w:rFonts w:ascii="Times New Roman" w:eastAsia="Times New Roman" w:hAnsi="Times New Roman" w:cs="Times New Roman"/>
          <w:sz w:val="24"/>
          <w:szCs w:val="24"/>
          <w:lang w:val="en-US"/>
        </w:rPr>
        <w:t xml:space="preserve">, H. and </w:t>
      </w:r>
      <w:proofErr w:type="spellStart"/>
      <w:r w:rsidRPr="008A4569">
        <w:rPr>
          <w:rFonts w:ascii="Times New Roman" w:eastAsia="Times New Roman" w:hAnsi="Times New Roman" w:cs="Times New Roman"/>
          <w:sz w:val="24"/>
          <w:szCs w:val="24"/>
          <w:lang w:val="en-US"/>
        </w:rPr>
        <w:t>Kaabi</w:t>
      </w:r>
      <w:proofErr w:type="spellEnd"/>
      <w:r w:rsidRPr="008A4569">
        <w:rPr>
          <w:rFonts w:ascii="Times New Roman" w:eastAsia="Times New Roman" w:hAnsi="Times New Roman" w:cs="Times New Roman"/>
          <w:sz w:val="24"/>
          <w:szCs w:val="24"/>
          <w:lang w:val="en-US"/>
        </w:rPr>
        <w:t xml:space="preserve">, J.A. (2021). Association of Risk Factors with Type 2 Diabetes: A Systematic Review. </w:t>
      </w:r>
      <w:r w:rsidRPr="008A4569">
        <w:rPr>
          <w:rFonts w:ascii="Times New Roman" w:eastAsia="Times New Roman" w:hAnsi="Times New Roman" w:cs="Times New Roman"/>
          <w:i/>
          <w:iCs/>
          <w:sz w:val="24"/>
          <w:szCs w:val="24"/>
          <w:lang w:val="en-US"/>
        </w:rPr>
        <w:t>Computational and Structural Biotechnology Journal</w:t>
      </w:r>
      <w:r w:rsidRPr="008A4569">
        <w:rPr>
          <w:rFonts w:ascii="Times New Roman" w:eastAsia="Times New Roman" w:hAnsi="Times New Roman" w:cs="Times New Roman"/>
          <w:sz w:val="24"/>
          <w:szCs w:val="24"/>
          <w:lang w:val="en-US"/>
        </w:rPr>
        <w:t xml:space="preserve">, [online] 19(19), pp.1759–1785. </w:t>
      </w:r>
      <w:proofErr w:type="spellStart"/>
      <w:r w:rsidRPr="008A4569">
        <w:rPr>
          <w:rFonts w:ascii="Times New Roman" w:eastAsia="Times New Roman" w:hAnsi="Times New Roman" w:cs="Times New Roman"/>
          <w:sz w:val="24"/>
          <w:szCs w:val="24"/>
          <w:lang w:val="en-US"/>
        </w:rPr>
        <w:t>doi:https</w:t>
      </w:r>
      <w:proofErr w:type="spellEnd"/>
      <w:r w:rsidRPr="008A4569">
        <w:rPr>
          <w:rFonts w:ascii="Times New Roman" w:eastAsia="Times New Roman" w:hAnsi="Times New Roman" w:cs="Times New Roman"/>
          <w:sz w:val="24"/>
          <w:szCs w:val="24"/>
          <w:lang w:val="en-US"/>
        </w:rPr>
        <w:t>://doi.org/10.1016/j.csbj.2021.03.003.</w:t>
      </w:r>
    </w:p>
    <w:p w14:paraId="4E8AD7E2" w14:textId="77777777" w:rsidR="008A4569" w:rsidRPr="008A4569" w:rsidRDefault="008A4569" w:rsidP="008A4569">
      <w:pPr>
        <w:spacing w:after="240" w:line="360" w:lineRule="auto"/>
        <w:rPr>
          <w:rFonts w:ascii="Times New Roman" w:eastAsia="Times New Roman" w:hAnsi="Times New Roman" w:cs="Times New Roman"/>
          <w:sz w:val="24"/>
          <w:szCs w:val="24"/>
          <w:lang w:val="en-US"/>
        </w:rPr>
      </w:pPr>
      <w:r w:rsidRPr="008A4569">
        <w:rPr>
          <w:rFonts w:ascii="Times New Roman" w:eastAsia="Times New Roman" w:hAnsi="Times New Roman" w:cs="Times New Roman"/>
          <w:sz w:val="24"/>
          <w:szCs w:val="24"/>
          <w:lang w:val="en-US"/>
        </w:rPr>
        <w:lastRenderedPageBreak/>
        <w:t xml:space="preserve">Jones, N.L., Gilman, S.E., Cheng, T.L., Drury, S.S., Hill, C.V. and </w:t>
      </w:r>
      <w:proofErr w:type="spellStart"/>
      <w:r w:rsidRPr="008A4569">
        <w:rPr>
          <w:rFonts w:ascii="Times New Roman" w:eastAsia="Times New Roman" w:hAnsi="Times New Roman" w:cs="Times New Roman"/>
          <w:sz w:val="24"/>
          <w:szCs w:val="24"/>
          <w:lang w:val="en-US"/>
        </w:rPr>
        <w:t>Geronimus</w:t>
      </w:r>
      <w:proofErr w:type="spellEnd"/>
      <w:r w:rsidRPr="008A4569">
        <w:rPr>
          <w:rFonts w:ascii="Times New Roman" w:eastAsia="Times New Roman" w:hAnsi="Times New Roman" w:cs="Times New Roman"/>
          <w:sz w:val="24"/>
          <w:szCs w:val="24"/>
          <w:lang w:val="en-US"/>
        </w:rPr>
        <w:t xml:space="preserve">, A.T. (2019). Life course approaches to the causes of health disparities. </w:t>
      </w:r>
      <w:r w:rsidRPr="008A4569">
        <w:rPr>
          <w:rFonts w:ascii="Times New Roman" w:eastAsia="Times New Roman" w:hAnsi="Times New Roman" w:cs="Times New Roman"/>
          <w:i/>
          <w:iCs/>
          <w:sz w:val="24"/>
          <w:szCs w:val="24"/>
          <w:lang w:val="en-US"/>
        </w:rPr>
        <w:t>American Journal of Public Health</w:t>
      </w:r>
      <w:r w:rsidRPr="008A4569">
        <w:rPr>
          <w:rFonts w:ascii="Times New Roman" w:eastAsia="Times New Roman" w:hAnsi="Times New Roman" w:cs="Times New Roman"/>
          <w:sz w:val="24"/>
          <w:szCs w:val="24"/>
          <w:lang w:val="en-US"/>
        </w:rPr>
        <w:t xml:space="preserve">, [online] 109(S1), </w:t>
      </w:r>
      <w:proofErr w:type="gramStart"/>
      <w:r w:rsidRPr="008A4569">
        <w:rPr>
          <w:rFonts w:ascii="Times New Roman" w:eastAsia="Times New Roman" w:hAnsi="Times New Roman" w:cs="Times New Roman"/>
          <w:sz w:val="24"/>
          <w:szCs w:val="24"/>
          <w:lang w:val="en-US"/>
        </w:rPr>
        <w:t>pp.S</w:t>
      </w:r>
      <w:proofErr w:type="gramEnd"/>
      <w:r w:rsidRPr="008A4569">
        <w:rPr>
          <w:rFonts w:ascii="Times New Roman" w:eastAsia="Times New Roman" w:hAnsi="Times New Roman" w:cs="Times New Roman"/>
          <w:sz w:val="24"/>
          <w:szCs w:val="24"/>
          <w:lang w:val="en-US"/>
        </w:rPr>
        <w:t xml:space="preserve">48–S55. </w:t>
      </w:r>
      <w:proofErr w:type="spellStart"/>
      <w:r w:rsidRPr="008A4569">
        <w:rPr>
          <w:rFonts w:ascii="Times New Roman" w:eastAsia="Times New Roman" w:hAnsi="Times New Roman" w:cs="Times New Roman"/>
          <w:sz w:val="24"/>
          <w:szCs w:val="24"/>
          <w:lang w:val="en-US"/>
        </w:rPr>
        <w:t>doi:https</w:t>
      </w:r>
      <w:proofErr w:type="spellEnd"/>
      <w:r w:rsidRPr="008A4569">
        <w:rPr>
          <w:rFonts w:ascii="Times New Roman" w:eastAsia="Times New Roman" w:hAnsi="Times New Roman" w:cs="Times New Roman"/>
          <w:sz w:val="24"/>
          <w:szCs w:val="24"/>
          <w:lang w:val="en-US"/>
        </w:rPr>
        <w:t>://doi.org/10.2105/ajph.2018.304738.</w:t>
      </w:r>
    </w:p>
    <w:p w14:paraId="3F88EB11" w14:textId="77777777" w:rsidR="008A4569" w:rsidRPr="008A4569" w:rsidRDefault="008A4569" w:rsidP="008A4569">
      <w:pPr>
        <w:spacing w:after="240" w:line="360" w:lineRule="auto"/>
        <w:rPr>
          <w:rFonts w:ascii="Times New Roman" w:eastAsia="Times New Roman" w:hAnsi="Times New Roman" w:cs="Times New Roman"/>
          <w:sz w:val="24"/>
          <w:szCs w:val="24"/>
          <w:lang w:val="en-US"/>
        </w:rPr>
      </w:pPr>
      <w:r w:rsidRPr="008A4569">
        <w:rPr>
          <w:rFonts w:ascii="Times New Roman" w:eastAsia="Times New Roman" w:hAnsi="Times New Roman" w:cs="Times New Roman"/>
          <w:sz w:val="24"/>
          <w:szCs w:val="24"/>
          <w:lang w:val="en-US"/>
        </w:rPr>
        <w:t xml:space="preserve">Kirkby, K., Bergen, N., Baptista, A., Schlotheuber, A. and Ahmad Reza </w:t>
      </w:r>
      <w:proofErr w:type="spellStart"/>
      <w:r w:rsidRPr="008A4569">
        <w:rPr>
          <w:rFonts w:ascii="Times New Roman" w:eastAsia="Times New Roman" w:hAnsi="Times New Roman" w:cs="Times New Roman"/>
          <w:sz w:val="24"/>
          <w:szCs w:val="24"/>
          <w:lang w:val="en-US"/>
        </w:rPr>
        <w:t>Hosseinpoor</w:t>
      </w:r>
      <w:proofErr w:type="spellEnd"/>
      <w:r w:rsidRPr="008A4569">
        <w:rPr>
          <w:rFonts w:ascii="Times New Roman" w:eastAsia="Times New Roman" w:hAnsi="Times New Roman" w:cs="Times New Roman"/>
          <w:sz w:val="24"/>
          <w:szCs w:val="24"/>
          <w:lang w:val="en-US"/>
        </w:rPr>
        <w:t xml:space="preserve"> (2023). Data Resource Profile: World Health Organization Health Inequality Data Repository. </w:t>
      </w:r>
      <w:r w:rsidRPr="008A4569">
        <w:rPr>
          <w:rFonts w:ascii="Times New Roman" w:eastAsia="Times New Roman" w:hAnsi="Times New Roman" w:cs="Times New Roman"/>
          <w:i/>
          <w:iCs/>
          <w:sz w:val="24"/>
          <w:szCs w:val="24"/>
          <w:lang w:val="en-US"/>
        </w:rPr>
        <w:t>International Journal of Epidemiology</w:t>
      </w:r>
      <w:r w:rsidRPr="008A4569">
        <w:rPr>
          <w:rFonts w:ascii="Times New Roman" w:eastAsia="Times New Roman" w:hAnsi="Times New Roman" w:cs="Times New Roman"/>
          <w:sz w:val="24"/>
          <w:szCs w:val="24"/>
          <w:lang w:val="en-US"/>
        </w:rPr>
        <w:t xml:space="preserve">, 52(5), </w:t>
      </w:r>
      <w:proofErr w:type="gramStart"/>
      <w:r w:rsidRPr="008A4569">
        <w:rPr>
          <w:rFonts w:ascii="Times New Roman" w:eastAsia="Times New Roman" w:hAnsi="Times New Roman" w:cs="Times New Roman"/>
          <w:sz w:val="24"/>
          <w:szCs w:val="24"/>
          <w:lang w:val="en-US"/>
        </w:rPr>
        <w:t>pp.e</w:t>
      </w:r>
      <w:proofErr w:type="gramEnd"/>
      <w:r w:rsidRPr="008A4569">
        <w:rPr>
          <w:rFonts w:ascii="Times New Roman" w:eastAsia="Times New Roman" w:hAnsi="Times New Roman" w:cs="Times New Roman"/>
          <w:sz w:val="24"/>
          <w:szCs w:val="24"/>
          <w:lang w:val="en-US"/>
        </w:rPr>
        <w:t xml:space="preserve">253–e262. </w:t>
      </w:r>
      <w:proofErr w:type="spellStart"/>
      <w:r w:rsidRPr="008A4569">
        <w:rPr>
          <w:rFonts w:ascii="Times New Roman" w:eastAsia="Times New Roman" w:hAnsi="Times New Roman" w:cs="Times New Roman"/>
          <w:sz w:val="24"/>
          <w:szCs w:val="24"/>
          <w:lang w:val="en-US"/>
        </w:rPr>
        <w:t>doi:https</w:t>
      </w:r>
      <w:proofErr w:type="spellEnd"/>
      <w:r w:rsidRPr="008A4569">
        <w:rPr>
          <w:rFonts w:ascii="Times New Roman" w:eastAsia="Times New Roman" w:hAnsi="Times New Roman" w:cs="Times New Roman"/>
          <w:sz w:val="24"/>
          <w:szCs w:val="24"/>
          <w:lang w:val="en-US"/>
        </w:rPr>
        <w:t>://doi.org/10.1093/</w:t>
      </w:r>
      <w:proofErr w:type="spellStart"/>
      <w:r w:rsidRPr="008A4569">
        <w:rPr>
          <w:rFonts w:ascii="Times New Roman" w:eastAsia="Times New Roman" w:hAnsi="Times New Roman" w:cs="Times New Roman"/>
          <w:sz w:val="24"/>
          <w:szCs w:val="24"/>
          <w:lang w:val="en-US"/>
        </w:rPr>
        <w:t>ije</w:t>
      </w:r>
      <w:proofErr w:type="spellEnd"/>
      <w:r w:rsidRPr="008A4569">
        <w:rPr>
          <w:rFonts w:ascii="Times New Roman" w:eastAsia="Times New Roman" w:hAnsi="Times New Roman" w:cs="Times New Roman"/>
          <w:sz w:val="24"/>
          <w:szCs w:val="24"/>
          <w:lang w:val="en-US"/>
        </w:rPr>
        <w:t>/dyad078.</w:t>
      </w:r>
    </w:p>
    <w:p w14:paraId="02AECF95" w14:textId="77777777" w:rsidR="008A4569" w:rsidRPr="008A4569" w:rsidRDefault="008A4569" w:rsidP="008A4569">
      <w:pPr>
        <w:spacing w:after="240" w:line="360" w:lineRule="auto"/>
        <w:rPr>
          <w:rFonts w:ascii="Times New Roman" w:eastAsia="Times New Roman" w:hAnsi="Times New Roman" w:cs="Times New Roman"/>
          <w:sz w:val="24"/>
          <w:szCs w:val="24"/>
          <w:lang w:val="en-US"/>
        </w:rPr>
      </w:pPr>
      <w:r w:rsidRPr="008A4569">
        <w:rPr>
          <w:rFonts w:ascii="Times New Roman" w:eastAsia="Times New Roman" w:hAnsi="Times New Roman" w:cs="Times New Roman"/>
          <w:sz w:val="24"/>
          <w:szCs w:val="24"/>
          <w:lang w:val="en-US"/>
        </w:rPr>
        <w:t xml:space="preserve">Meigs, J.B. (2019). The Genetic Epidemiology of Type 2 Diabetes: Opportunities for Health Translation. </w:t>
      </w:r>
      <w:r w:rsidRPr="008A4569">
        <w:rPr>
          <w:rFonts w:ascii="Times New Roman" w:eastAsia="Times New Roman" w:hAnsi="Times New Roman" w:cs="Times New Roman"/>
          <w:i/>
          <w:iCs/>
          <w:sz w:val="24"/>
          <w:szCs w:val="24"/>
          <w:lang w:val="en-US"/>
        </w:rPr>
        <w:t>Current Diabetes Reports</w:t>
      </w:r>
      <w:r w:rsidRPr="008A4569">
        <w:rPr>
          <w:rFonts w:ascii="Times New Roman" w:eastAsia="Times New Roman" w:hAnsi="Times New Roman" w:cs="Times New Roman"/>
          <w:sz w:val="24"/>
          <w:szCs w:val="24"/>
          <w:lang w:val="en-US"/>
        </w:rPr>
        <w:t xml:space="preserve">, 19(8). </w:t>
      </w:r>
      <w:proofErr w:type="spellStart"/>
      <w:r w:rsidRPr="008A4569">
        <w:rPr>
          <w:rFonts w:ascii="Times New Roman" w:eastAsia="Times New Roman" w:hAnsi="Times New Roman" w:cs="Times New Roman"/>
          <w:sz w:val="24"/>
          <w:szCs w:val="24"/>
          <w:lang w:val="en-US"/>
        </w:rPr>
        <w:t>doi:https</w:t>
      </w:r>
      <w:proofErr w:type="spellEnd"/>
      <w:r w:rsidRPr="008A4569">
        <w:rPr>
          <w:rFonts w:ascii="Times New Roman" w:eastAsia="Times New Roman" w:hAnsi="Times New Roman" w:cs="Times New Roman"/>
          <w:sz w:val="24"/>
          <w:szCs w:val="24"/>
          <w:lang w:val="en-US"/>
        </w:rPr>
        <w:t>://doi.org/10.1007/s11892-019-1173-y.</w:t>
      </w:r>
    </w:p>
    <w:p w14:paraId="075E49E5" w14:textId="77777777" w:rsidR="008A4569" w:rsidRPr="008A4569" w:rsidRDefault="008A4569" w:rsidP="008A4569">
      <w:pPr>
        <w:spacing w:after="240" w:line="360" w:lineRule="auto"/>
        <w:rPr>
          <w:rFonts w:ascii="Times New Roman" w:eastAsia="Times New Roman" w:hAnsi="Times New Roman" w:cs="Times New Roman"/>
          <w:sz w:val="24"/>
          <w:szCs w:val="24"/>
          <w:lang w:val="en-US"/>
        </w:rPr>
      </w:pPr>
      <w:r w:rsidRPr="008A4569">
        <w:rPr>
          <w:rFonts w:ascii="Times New Roman" w:eastAsia="Times New Roman" w:hAnsi="Times New Roman" w:cs="Times New Roman"/>
          <w:sz w:val="24"/>
          <w:szCs w:val="24"/>
          <w:lang w:val="en-US"/>
        </w:rPr>
        <w:t xml:space="preserve">Miani, C., Wandschneider, L., Niemann, J., </w:t>
      </w:r>
      <w:proofErr w:type="spellStart"/>
      <w:r w:rsidRPr="008A4569">
        <w:rPr>
          <w:rFonts w:ascii="Times New Roman" w:eastAsia="Times New Roman" w:hAnsi="Times New Roman" w:cs="Times New Roman"/>
          <w:sz w:val="24"/>
          <w:szCs w:val="24"/>
          <w:lang w:val="en-US"/>
        </w:rPr>
        <w:t>Batram-Zantvoort</w:t>
      </w:r>
      <w:proofErr w:type="spellEnd"/>
      <w:r w:rsidRPr="008A4569">
        <w:rPr>
          <w:rFonts w:ascii="Times New Roman" w:eastAsia="Times New Roman" w:hAnsi="Times New Roman" w:cs="Times New Roman"/>
          <w:sz w:val="24"/>
          <w:szCs w:val="24"/>
          <w:lang w:val="en-US"/>
        </w:rPr>
        <w:t xml:space="preserve">, S. and Razum, O. (2021). Measurement of gender as a social determinant of health in epidemiology—A scoping review. </w:t>
      </w:r>
      <w:r w:rsidRPr="008A4569">
        <w:rPr>
          <w:rFonts w:ascii="Times New Roman" w:eastAsia="Times New Roman" w:hAnsi="Times New Roman" w:cs="Times New Roman"/>
          <w:i/>
          <w:iCs/>
          <w:sz w:val="24"/>
          <w:szCs w:val="24"/>
          <w:lang w:val="en-US"/>
        </w:rPr>
        <w:t>PLOS ONE</w:t>
      </w:r>
      <w:r w:rsidRPr="008A4569">
        <w:rPr>
          <w:rFonts w:ascii="Times New Roman" w:eastAsia="Times New Roman" w:hAnsi="Times New Roman" w:cs="Times New Roman"/>
          <w:sz w:val="24"/>
          <w:szCs w:val="24"/>
          <w:lang w:val="en-US"/>
        </w:rPr>
        <w:t xml:space="preserve">, [online] 16(11), p.e0259223. </w:t>
      </w:r>
      <w:proofErr w:type="spellStart"/>
      <w:r w:rsidRPr="008A4569">
        <w:rPr>
          <w:rFonts w:ascii="Times New Roman" w:eastAsia="Times New Roman" w:hAnsi="Times New Roman" w:cs="Times New Roman"/>
          <w:sz w:val="24"/>
          <w:szCs w:val="24"/>
          <w:lang w:val="en-US"/>
        </w:rPr>
        <w:t>doi:https</w:t>
      </w:r>
      <w:proofErr w:type="spellEnd"/>
      <w:r w:rsidRPr="008A4569">
        <w:rPr>
          <w:rFonts w:ascii="Times New Roman" w:eastAsia="Times New Roman" w:hAnsi="Times New Roman" w:cs="Times New Roman"/>
          <w:sz w:val="24"/>
          <w:szCs w:val="24"/>
          <w:lang w:val="en-US"/>
        </w:rPr>
        <w:t>://doi.org/10.1371/journal.pone.0259223.</w:t>
      </w:r>
    </w:p>
    <w:p w14:paraId="4745839A" w14:textId="77777777" w:rsidR="008A4569" w:rsidRPr="008A4569" w:rsidRDefault="008A4569" w:rsidP="008A4569">
      <w:pPr>
        <w:spacing w:after="240" w:line="360" w:lineRule="auto"/>
        <w:rPr>
          <w:rFonts w:ascii="Times New Roman" w:eastAsia="Times New Roman" w:hAnsi="Times New Roman" w:cs="Times New Roman"/>
          <w:sz w:val="24"/>
          <w:szCs w:val="24"/>
          <w:lang w:val="en-US"/>
        </w:rPr>
      </w:pPr>
      <w:r w:rsidRPr="008A4569">
        <w:rPr>
          <w:rFonts w:ascii="Times New Roman" w:eastAsia="Times New Roman" w:hAnsi="Times New Roman" w:cs="Times New Roman"/>
          <w:sz w:val="24"/>
          <w:szCs w:val="24"/>
          <w:lang w:val="en-US"/>
        </w:rPr>
        <w:t xml:space="preserve">NHS England (2022). </w:t>
      </w:r>
      <w:r w:rsidRPr="008A4569">
        <w:rPr>
          <w:rFonts w:ascii="Times New Roman" w:eastAsia="Times New Roman" w:hAnsi="Times New Roman" w:cs="Times New Roman"/>
          <w:i/>
          <w:iCs/>
          <w:sz w:val="24"/>
          <w:szCs w:val="24"/>
          <w:lang w:val="en-US"/>
        </w:rPr>
        <w:t xml:space="preserve">NHS Prevention </w:t>
      </w:r>
      <w:proofErr w:type="spellStart"/>
      <w:r w:rsidRPr="008A4569">
        <w:rPr>
          <w:rFonts w:ascii="Times New Roman" w:eastAsia="Times New Roman" w:hAnsi="Times New Roman" w:cs="Times New Roman"/>
          <w:i/>
          <w:iCs/>
          <w:sz w:val="24"/>
          <w:szCs w:val="24"/>
          <w:lang w:val="en-US"/>
        </w:rPr>
        <w:t>Programme</w:t>
      </w:r>
      <w:proofErr w:type="spellEnd"/>
      <w:r w:rsidRPr="008A4569">
        <w:rPr>
          <w:rFonts w:ascii="Times New Roman" w:eastAsia="Times New Roman" w:hAnsi="Times New Roman" w:cs="Times New Roman"/>
          <w:i/>
          <w:iCs/>
          <w:sz w:val="24"/>
          <w:szCs w:val="24"/>
          <w:lang w:val="en-US"/>
        </w:rPr>
        <w:t xml:space="preserve"> cuts chances of Type 2 diabetes for thousands</w:t>
      </w:r>
      <w:r w:rsidRPr="008A4569">
        <w:rPr>
          <w:rFonts w:ascii="Times New Roman" w:eastAsia="Times New Roman" w:hAnsi="Times New Roman" w:cs="Times New Roman"/>
          <w:sz w:val="24"/>
          <w:szCs w:val="24"/>
          <w:lang w:val="en-US"/>
        </w:rPr>
        <w:t>. [online] www.england.nhs.uk. Available at: https://www.england.nhs.uk/2022/03/nhs-prevention-programme-cuts-chances-of-type-2-diabetes-for-thousands/.</w:t>
      </w:r>
    </w:p>
    <w:p w14:paraId="50D67843" w14:textId="77777777" w:rsidR="008A4569" w:rsidRPr="008A4569" w:rsidRDefault="008A4569" w:rsidP="008A4569">
      <w:pPr>
        <w:spacing w:after="240" w:line="360" w:lineRule="auto"/>
        <w:rPr>
          <w:rFonts w:ascii="Times New Roman" w:eastAsia="Times New Roman" w:hAnsi="Times New Roman" w:cs="Times New Roman"/>
          <w:sz w:val="24"/>
          <w:szCs w:val="24"/>
          <w:lang w:val="en-US"/>
        </w:rPr>
      </w:pPr>
      <w:r w:rsidRPr="008A4569">
        <w:rPr>
          <w:rFonts w:ascii="Times New Roman" w:eastAsia="Times New Roman" w:hAnsi="Times New Roman" w:cs="Times New Roman"/>
          <w:sz w:val="24"/>
          <w:szCs w:val="24"/>
          <w:lang w:val="en-US"/>
        </w:rPr>
        <w:t xml:space="preserve">NHS England (2023). </w:t>
      </w:r>
      <w:r w:rsidRPr="008A4569">
        <w:rPr>
          <w:rFonts w:ascii="Times New Roman" w:eastAsia="Times New Roman" w:hAnsi="Times New Roman" w:cs="Times New Roman"/>
          <w:i/>
          <w:iCs/>
          <w:sz w:val="24"/>
          <w:szCs w:val="24"/>
          <w:lang w:val="en-US"/>
        </w:rPr>
        <w:t xml:space="preserve">NHS Diabetes Prevention </w:t>
      </w:r>
      <w:proofErr w:type="spellStart"/>
      <w:r w:rsidRPr="008A4569">
        <w:rPr>
          <w:rFonts w:ascii="Times New Roman" w:eastAsia="Times New Roman" w:hAnsi="Times New Roman" w:cs="Times New Roman"/>
          <w:i/>
          <w:iCs/>
          <w:sz w:val="24"/>
          <w:szCs w:val="24"/>
          <w:lang w:val="en-US"/>
        </w:rPr>
        <w:t>Programme</w:t>
      </w:r>
      <w:proofErr w:type="spellEnd"/>
      <w:r w:rsidRPr="008A4569">
        <w:rPr>
          <w:rFonts w:ascii="Times New Roman" w:eastAsia="Times New Roman" w:hAnsi="Times New Roman" w:cs="Times New Roman"/>
          <w:i/>
          <w:iCs/>
          <w:sz w:val="24"/>
          <w:szCs w:val="24"/>
          <w:lang w:val="en-US"/>
        </w:rPr>
        <w:t xml:space="preserve"> (NHS DPP)</w:t>
      </w:r>
      <w:r w:rsidRPr="008A4569">
        <w:rPr>
          <w:rFonts w:ascii="Times New Roman" w:eastAsia="Times New Roman" w:hAnsi="Times New Roman" w:cs="Times New Roman"/>
          <w:sz w:val="24"/>
          <w:szCs w:val="24"/>
          <w:lang w:val="en-US"/>
        </w:rPr>
        <w:t>. [online] NHS England. Available at: https://www.england.nhs.uk/diabetes/diabetes-prevention/.</w:t>
      </w:r>
    </w:p>
    <w:p w14:paraId="4ED07E47" w14:textId="77777777" w:rsidR="008A4569" w:rsidRPr="008A4569" w:rsidRDefault="008A4569" w:rsidP="008A4569">
      <w:pPr>
        <w:spacing w:after="240" w:line="360" w:lineRule="auto"/>
        <w:rPr>
          <w:rFonts w:ascii="Times New Roman" w:eastAsia="Times New Roman" w:hAnsi="Times New Roman" w:cs="Times New Roman"/>
          <w:sz w:val="24"/>
          <w:szCs w:val="24"/>
          <w:lang w:val="en-US"/>
        </w:rPr>
      </w:pPr>
      <w:r w:rsidRPr="008A4569">
        <w:rPr>
          <w:rFonts w:ascii="Times New Roman" w:eastAsia="Times New Roman" w:hAnsi="Times New Roman" w:cs="Times New Roman"/>
          <w:sz w:val="24"/>
          <w:szCs w:val="24"/>
          <w:lang w:val="en-US"/>
        </w:rPr>
        <w:t xml:space="preserve">Ruth Elizabeth Watkinson, Linfield, A., Tielemans, J., Francetic, I. and Munford, L. (2024). Gender-related self-reported mental health inequalities in primary care in England: a cross-sectional analysis using the GP Patient Survey. </w:t>
      </w:r>
      <w:r w:rsidRPr="008A4569">
        <w:rPr>
          <w:rFonts w:ascii="Times New Roman" w:eastAsia="Times New Roman" w:hAnsi="Times New Roman" w:cs="Times New Roman"/>
          <w:i/>
          <w:iCs/>
          <w:sz w:val="24"/>
          <w:szCs w:val="24"/>
          <w:lang w:val="en-US"/>
        </w:rPr>
        <w:t>The Lancet Public Health</w:t>
      </w:r>
      <w:r w:rsidRPr="008A4569">
        <w:rPr>
          <w:rFonts w:ascii="Times New Roman" w:eastAsia="Times New Roman" w:hAnsi="Times New Roman" w:cs="Times New Roman"/>
          <w:sz w:val="24"/>
          <w:szCs w:val="24"/>
          <w:lang w:val="en-US"/>
        </w:rPr>
        <w:t xml:space="preserve">, 9(2), </w:t>
      </w:r>
      <w:proofErr w:type="gramStart"/>
      <w:r w:rsidRPr="008A4569">
        <w:rPr>
          <w:rFonts w:ascii="Times New Roman" w:eastAsia="Times New Roman" w:hAnsi="Times New Roman" w:cs="Times New Roman"/>
          <w:sz w:val="24"/>
          <w:szCs w:val="24"/>
          <w:lang w:val="en-US"/>
        </w:rPr>
        <w:t>pp.e</w:t>
      </w:r>
      <w:proofErr w:type="gramEnd"/>
      <w:r w:rsidRPr="008A4569">
        <w:rPr>
          <w:rFonts w:ascii="Times New Roman" w:eastAsia="Times New Roman" w:hAnsi="Times New Roman" w:cs="Times New Roman"/>
          <w:sz w:val="24"/>
          <w:szCs w:val="24"/>
          <w:lang w:val="en-US"/>
        </w:rPr>
        <w:t xml:space="preserve">100–e108. </w:t>
      </w:r>
      <w:proofErr w:type="spellStart"/>
      <w:proofErr w:type="gramStart"/>
      <w:r w:rsidRPr="008A4569">
        <w:rPr>
          <w:rFonts w:ascii="Times New Roman" w:eastAsia="Times New Roman" w:hAnsi="Times New Roman" w:cs="Times New Roman"/>
          <w:sz w:val="24"/>
          <w:szCs w:val="24"/>
          <w:lang w:val="en-US"/>
        </w:rPr>
        <w:t>doi:https</w:t>
      </w:r>
      <w:proofErr w:type="spellEnd"/>
      <w:r w:rsidRPr="008A4569">
        <w:rPr>
          <w:rFonts w:ascii="Times New Roman" w:eastAsia="Times New Roman" w:hAnsi="Times New Roman" w:cs="Times New Roman"/>
          <w:sz w:val="24"/>
          <w:szCs w:val="24"/>
          <w:lang w:val="en-US"/>
        </w:rPr>
        <w:t>://doi.org/10.1016/s2468-2667(23)00301-8</w:t>
      </w:r>
      <w:proofErr w:type="gramEnd"/>
      <w:r w:rsidRPr="008A4569">
        <w:rPr>
          <w:rFonts w:ascii="Times New Roman" w:eastAsia="Times New Roman" w:hAnsi="Times New Roman" w:cs="Times New Roman"/>
          <w:sz w:val="24"/>
          <w:szCs w:val="24"/>
          <w:lang w:val="en-US"/>
        </w:rPr>
        <w:t>.</w:t>
      </w:r>
    </w:p>
    <w:p w14:paraId="2F893EC3" w14:textId="77777777" w:rsidR="008A4569" w:rsidRPr="008A4569" w:rsidRDefault="008A4569" w:rsidP="008A4569">
      <w:pPr>
        <w:spacing w:after="240" w:line="360" w:lineRule="auto"/>
        <w:rPr>
          <w:rFonts w:ascii="Times New Roman" w:eastAsia="Times New Roman" w:hAnsi="Times New Roman" w:cs="Times New Roman"/>
          <w:sz w:val="24"/>
          <w:szCs w:val="24"/>
          <w:lang w:val="en-US"/>
        </w:rPr>
      </w:pPr>
      <w:r w:rsidRPr="008A4569">
        <w:rPr>
          <w:rFonts w:ascii="Times New Roman" w:eastAsia="Times New Roman" w:hAnsi="Times New Roman" w:cs="Times New Roman"/>
          <w:sz w:val="24"/>
          <w:szCs w:val="24"/>
          <w:lang w:val="en-US"/>
        </w:rPr>
        <w:t xml:space="preserve">Summers, H. (2021). </w:t>
      </w:r>
      <w:r w:rsidRPr="008A4569">
        <w:rPr>
          <w:rFonts w:ascii="Times New Roman" w:eastAsia="Times New Roman" w:hAnsi="Times New Roman" w:cs="Times New Roman"/>
          <w:i/>
          <w:iCs/>
          <w:sz w:val="24"/>
          <w:szCs w:val="24"/>
          <w:lang w:val="en-US"/>
        </w:rPr>
        <w:t>Black women in the UK four times more likely to die in pregnancy or childbirth</w:t>
      </w:r>
      <w:r w:rsidRPr="008A4569">
        <w:rPr>
          <w:rFonts w:ascii="Times New Roman" w:eastAsia="Times New Roman" w:hAnsi="Times New Roman" w:cs="Times New Roman"/>
          <w:sz w:val="24"/>
          <w:szCs w:val="24"/>
          <w:lang w:val="en-US"/>
        </w:rPr>
        <w:t>. [online] the Guardian. Available at: https://www.theguardian.com/global-development/2021/jan/15/black-women-in-the-uk-four-times-more-likely-to-die-in-pregnancy-or-childbirth.</w:t>
      </w:r>
    </w:p>
    <w:p w14:paraId="3F3997EE" w14:textId="77777777" w:rsidR="008A4569" w:rsidRPr="008A4569" w:rsidRDefault="008A4569" w:rsidP="008A4569">
      <w:pPr>
        <w:spacing w:after="240" w:line="360" w:lineRule="auto"/>
        <w:rPr>
          <w:rFonts w:ascii="Times New Roman" w:eastAsia="Times New Roman" w:hAnsi="Times New Roman" w:cs="Times New Roman"/>
          <w:sz w:val="24"/>
          <w:szCs w:val="24"/>
          <w:lang w:val="en-US"/>
        </w:rPr>
      </w:pPr>
      <w:r w:rsidRPr="008A4569">
        <w:rPr>
          <w:rFonts w:ascii="Times New Roman" w:eastAsia="Times New Roman" w:hAnsi="Times New Roman" w:cs="Times New Roman"/>
          <w:sz w:val="24"/>
          <w:szCs w:val="24"/>
          <w:lang w:val="en-US"/>
        </w:rPr>
        <w:lastRenderedPageBreak/>
        <w:t xml:space="preserve">Wieczorek, K., </w:t>
      </w:r>
      <w:proofErr w:type="spellStart"/>
      <w:r w:rsidRPr="008A4569">
        <w:rPr>
          <w:rFonts w:ascii="Times New Roman" w:eastAsia="Times New Roman" w:hAnsi="Times New Roman" w:cs="Times New Roman"/>
          <w:sz w:val="24"/>
          <w:szCs w:val="24"/>
          <w:lang w:val="en-US"/>
        </w:rPr>
        <w:t>Targonskaya</w:t>
      </w:r>
      <w:proofErr w:type="spellEnd"/>
      <w:r w:rsidRPr="008A4569">
        <w:rPr>
          <w:rFonts w:ascii="Times New Roman" w:eastAsia="Times New Roman" w:hAnsi="Times New Roman" w:cs="Times New Roman"/>
          <w:sz w:val="24"/>
          <w:szCs w:val="24"/>
          <w:lang w:val="en-US"/>
        </w:rPr>
        <w:t xml:space="preserve">, A. and Maslowski, K. (2023). Reproductive Hormones and Female Mental Wellbeing. </w:t>
      </w:r>
      <w:r w:rsidRPr="008A4569">
        <w:rPr>
          <w:rFonts w:ascii="Times New Roman" w:eastAsia="Times New Roman" w:hAnsi="Times New Roman" w:cs="Times New Roman"/>
          <w:i/>
          <w:iCs/>
          <w:sz w:val="24"/>
          <w:szCs w:val="24"/>
          <w:lang w:val="en-US"/>
        </w:rPr>
        <w:t>Women</w:t>
      </w:r>
      <w:r w:rsidRPr="008A4569">
        <w:rPr>
          <w:rFonts w:ascii="Times New Roman" w:eastAsia="Times New Roman" w:hAnsi="Times New Roman" w:cs="Times New Roman"/>
          <w:sz w:val="24"/>
          <w:szCs w:val="24"/>
          <w:lang w:val="en-US"/>
        </w:rPr>
        <w:t xml:space="preserve">, [online] 3(3), pp.432–444. </w:t>
      </w:r>
      <w:proofErr w:type="spellStart"/>
      <w:r w:rsidRPr="008A4569">
        <w:rPr>
          <w:rFonts w:ascii="Times New Roman" w:eastAsia="Times New Roman" w:hAnsi="Times New Roman" w:cs="Times New Roman"/>
          <w:sz w:val="24"/>
          <w:szCs w:val="24"/>
          <w:lang w:val="en-US"/>
        </w:rPr>
        <w:t>doi:https</w:t>
      </w:r>
      <w:proofErr w:type="spellEnd"/>
      <w:r w:rsidRPr="008A4569">
        <w:rPr>
          <w:rFonts w:ascii="Times New Roman" w:eastAsia="Times New Roman" w:hAnsi="Times New Roman" w:cs="Times New Roman"/>
          <w:sz w:val="24"/>
          <w:szCs w:val="24"/>
          <w:lang w:val="en-US"/>
        </w:rPr>
        <w:t>://doi.org/10.3390/women3030033.</w:t>
      </w:r>
    </w:p>
    <w:p w14:paraId="1F865E2E" w14:textId="77777777" w:rsidR="008A4569" w:rsidRPr="008A4569" w:rsidRDefault="008A4569" w:rsidP="008A4569">
      <w:pPr>
        <w:spacing w:after="240" w:line="360" w:lineRule="auto"/>
        <w:rPr>
          <w:rFonts w:ascii="Times New Roman" w:eastAsia="Times New Roman" w:hAnsi="Times New Roman" w:cs="Times New Roman"/>
          <w:sz w:val="24"/>
          <w:szCs w:val="24"/>
          <w:lang w:val="en-US"/>
        </w:rPr>
      </w:pPr>
      <w:r w:rsidRPr="008A4569">
        <w:rPr>
          <w:rFonts w:ascii="Times New Roman" w:eastAsia="Times New Roman" w:hAnsi="Times New Roman" w:cs="Times New Roman"/>
          <w:sz w:val="24"/>
          <w:szCs w:val="24"/>
          <w:lang w:val="en-US"/>
        </w:rPr>
        <w:t xml:space="preserve">Willert, B. and </w:t>
      </w:r>
      <w:proofErr w:type="spellStart"/>
      <w:r w:rsidRPr="008A4569">
        <w:rPr>
          <w:rFonts w:ascii="Times New Roman" w:eastAsia="Times New Roman" w:hAnsi="Times New Roman" w:cs="Times New Roman"/>
          <w:sz w:val="24"/>
          <w:szCs w:val="24"/>
          <w:lang w:val="en-US"/>
        </w:rPr>
        <w:t>Minnotte</w:t>
      </w:r>
      <w:proofErr w:type="spellEnd"/>
      <w:r w:rsidRPr="008A4569">
        <w:rPr>
          <w:rFonts w:ascii="Times New Roman" w:eastAsia="Times New Roman" w:hAnsi="Times New Roman" w:cs="Times New Roman"/>
          <w:sz w:val="24"/>
          <w:szCs w:val="24"/>
          <w:lang w:val="en-US"/>
        </w:rPr>
        <w:t xml:space="preserve">, K.L. (2019). Informal Caregiving and Strains: Exploring the Impacts of Gender, Race, and Income. </w:t>
      </w:r>
      <w:r w:rsidRPr="008A4569">
        <w:rPr>
          <w:rFonts w:ascii="Times New Roman" w:eastAsia="Times New Roman" w:hAnsi="Times New Roman" w:cs="Times New Roman"/>
          <w:i/>
          <w:iCs/>
          <w:sz w:val="24"/>
          <w:szCs w:val="24"/>
          <w:lang w:val="en-US"/>
        </w:rPr>
        <w:t>Applied Research in Quality of Life</w:t>
      </w:r>
      <w:r w:rsidRPr="008A4569">
        <w:rPr>
          <w:rFonts w:ascii="Times New Roman" w:eastAsia="Times New Roman" w:hAnsi="Times New Roman" w:cs="Times New Roman"/>
          <w:sz w:val="24"/>
          <w:szCs w:val="24"/>
          <w:lang w:val="en-US"/>
        </w:rPr>
        <w:t xml:space="preserve">, 16, pp.943–964. </w:t>
      </w:r>
      <w:proofErr w:type="spellStart"/>
      <w:r w:rsidRPr="008A4569">
        <w:rPr>
          <w:rFonts w:ascii="Times New Roman" w:eastAsia="Times New Roman" w:hAnsi="Times New Roman" w:cs="Times New Roman"/>
          <w:sz w:val="24"/>
          <w:szCs w:val="24"/>
          <w:lang w:val="en-US"/>
        </w:rPr>
        <w:t>doi:https</w:t>
      </w:r>
      <w:proofErr w:type="spellEnd"/>
      <w:r w:rsidRPr="008A4569">
        <w:rPr>
          <w:rFonts w:ascii="Times New Roman" w:eastAsia="Times New Roman" w:hAnsi="Times New Roman" w:cs="Times New Roman"/>
          <w:sz w:val="24"/>
          <w:szCs w:val="24"/>
          <w:lang w:val="en-US"/>
        </w:rPr>
        <w:t>://doi.org/10.1007/s11482-019-09786-1.</w:t>
      </w:r>
    </w:p>
    <w:p w14:paraId="00D7C097" w14:textId="77777777" w:rsidR="008A4569" w:rsidRPr="008A4569" w:rsidRDefault="008A4569" w:rsidP="008A4569">
      <w:pPr>
        <w:spacing w:after="240" w:line="360" w:lineRule="auto"/>
        <w:rPr>
          <w:rFonts w:ascii="Times New Roman" w:eastAsia="Times New Roman" w:hAnsi="Times New Roman" w:cs="Times New Roman"/>
          <w:sz w:val="24"/>
          <w:szCs w:val="24"/>
          <w:lang w:val="en-US"/>
        </w:rPr>
      </w:pPr>
      <w:r w:rsidRPr="008A4569">
        <w:rPr>
          <w:rFonts w:ascii="Times New Roman" w:eastAsia="Times New Roman" w:hAnsi="Times New Roman" w:cs="Times New Roman"/>
          <w:sz w:val="24"/>
          <w:szCs w:val="24"/>
          <w:lang w:val="en-US"/>
        </w:rPr>
        <w:t xml:space="preserve">Women’s Aid Federation of England (2025). </w:t>
      </w:r>
      <w:r w:rsidRPr="008A4569">
        <w:rPr>
          <w:rFonts w:ascii="Times New Roman" w:eastAsia="Times New Roman" w:hAnsi="Times New Roman" w:cs="Times New Roman"/>
          <w:i/>
          <w:iCs/>
          <w:sz w:val="24"/>
          <w:szCs w:val="24"/>
          <w:lang w:val="en-US"/>
        </w:rPr>
        <w:t>Home - Women’s Aid</w:t>
      </w:r>
      <w:r w:rsidRPr="008A4569">
        <w:rPr>
          <w:rFonts w:ascii="Times New Roman" w:eastAsia="Times New Roman" w:hAnsi="Times New Roman" w:cs="Times New Roman"/>
          <w:sz w:val="24"/>
          <w:szCs w:val="24"/>
          <w:lang w:val="en-US"/>
        </w:rPr>
        <w:t>. [online] Women’s Aid. Available at: https://womensaid.org.uk/.</w:t>
      </w:r>
    </w:p>
    <w:p w14:paraId="700404F8" w14:textId="77777777" w:rsidR="008A4569" w:rsidRPr="008A4569" w:rsidRDefault="008A4569" w:rsidP="008A4569">
      <w:pPr>
        <w:spacing w:after="240" w:line="360" w:lineRule="auto"/>
        <w:rPr>
          <w:rFonts w:ascii="Times New Roman" w:eastAsia="Times New Roman" w:hAnsi="Times New Roman" w:cs="Times New Roman"/>
          <w:sz w:val="24"/>
          <w:szCs w:val="24"/>
          <w:lang w:val="en-US"/>
        </w:rPr>
      </w:pPr>
      <w:r w:rsidRPr="008A4569">
        <w:rPr>
          <w:rFonts w:ascii="Times New Roman" w:eastAsia="Times New Roman" w:hAnsi="Times New Roman" w:cs="Times New Roman"/>
          <w:sz w:val="24"/>
          <w:szCs w:val="24"/>
          <w:lang w:val="en-US"/>
        </w:rPr>
        <w:t xml:space="preserve">World Health Organization (2024). </w:t>
      </w:r>
      <w:r w:rsidRPr="008A4569">
        <w:rPr>
          <w:rFonts w:ascii="Times New Roman" w:eastAsia="Times New Roman" w:hAnsi="Times New Roman" w:cs="Times New Roman"/>
          <w:i/>
          <w:iCs/>
          <w:sz w:val="24"/>
          <w:szCs w:val="24"/>
          <w:lang w:val="en-US"/>
        </w:rPr>
        <w:t>Diabetes</w:t>
      </w:r>
      <w:r w:rsidRPr="008A4569">
        <w:rPr>
          <w:rFonts w:ascii="Times New Roman" w:eastAsia="Times New Roman" w:hAnsi="Times New Roman" w:cs="Times New Roman"/>
          <w:sz w:val="24"/>
          <w:szCs w:val="24"/>
          <w:lang w:val="en-US"/>
        </w:rPr>
        <w:t>. [online] World Health Organization. Available at: https://www.who.int/news-room/fact-sheets/detail/diabetes.</w:t>
      </w:r>
    </w:p>
    <w:sectPr w:rsidR="008A4569" w:rsidRPr="008A456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648B7"/>
    <w:rsid w:val="000935FE"/>
    <w:rsid w:val="000E5A13"/>
    <w:rsid w:val="0012753D"/>
    <w:rsid w:val="00166F1A"/>
    <w:rsid w:val="001719D9"/>
    <w:rsid w:val="001B27CD"/>
    <w:rsid w:val="001D6E96"/>
    <w:rsid w:val="00220C2B"/>
    <w:rsid w:val="002648B7"/>
    <w:rsid w:val="00360AD2"/>
    <w:rsid w:val="00361D92"/>
    <w:rsid w:val="005F6C99"/>
    <w:rsid w:val="00627FAC"/>
    <w:rsid w:val="006635BB"/>
    <w:rsid w:val="006C0C0A"/>
    <w:rsid w:val="006D3042"/>
    <w:rsid w:val="006E2F30"/>
    <w:rsid w:val="006F3F36"/>
    <w:rsid w:val="008A4569"/>
    <w:rsid w:val="008B6A95"/>
    <w:rsid w:val="008F162F"/>
    <w:rsid w:val="008F45CF"/>
    <w:rsid w:val="00A26682"/>
    <w:rsid w:val="00A56661"/>
    <w:rsid w:val="00A67027"/>
    <w:rsid w:val="00AB3B67"/>
    <w:rsid w:val="00B362A3"/>
    <w:rsid w:val="00B555C6"/>
    <w:rsid w:val="00B5705F"/>
    <w:rsid w:val="00B72D78"/>
    <w:rsid w:val="00B961F2"/>
    <w:rsid w:val="00C92F27"/>
    <w:rsid w:val="00CB54E2"/>
    <w:rsid w:val="00D51639"/>
    <w:rsid w:val="00D71585"/>
    <w:rsid w:val="00E5061D"/>
    <w:rsid w:val="00F31EBF"/>
    <w:rsid w:val="00F56E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FEDB7"/>
  <w15:docId w15:val="{4D9A9BE6-55E7-994F-B2E8-51979AC6B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585"/>
    <w:rPr>
      <w:lang w:val="en-GB"/>
    </w:rPr>
  </w:style>
  <w:style w:type="paragraph" w:styleId="Heading2">
    <w:name w:val="heading 2"/>
    <w:basedOn w:val="Normal"/>
    <w:link w:val="Heading2Char"/>
    <w:uiPriority w:val="9"/>
    <w:qFormat/>
    <w:rsid w:val="00A67027"/>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3">
    <w:name w:val="heading 3"/>
    <w:basedOn w:val="Normal"/>
    <w:link w:val="Heading3Char"/>
    <w:uiPriority w:val="9"/>
    <w:qFormat/>
    <w:rsid w:val="00A67027"/>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67027"/>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A67027"/>
    <w:rPr>
      <w:rFonts w:ascii="Times New Roman" w:eastAsia="Times New Roman" w:hAnsi="Times New Roman" w:cs="Times New Roman"/>
      <w:b/>
      <w:bCs/>
      <w:sz w:val="27"/>
      <w:szCs w:val="27"/>
    </w:rPr>
  </w:style>
  <w:style w:type="character" w:styleId="Strong">
    <w:name w:val="Strong"/>
    <w:basedOn w:val="DefaultParagraphFont"/>
    <w:uiPriority w:val="22"/>
    <w:qFormat/>
    <w:rsid w:val="00A67027"/>
    <w:rPr>
      <w:b/>
      <w:bCs/>
    </w:rPr>
  </w:style>
  <w:style w:type="paragraph" w:styleId="NormalWeb">
    <w:name w:val="Normal (Web)"/>
    <w:basedOn w:val="Normal"/>
    <w:uiPriority w:val="99"/>
    <w:semiHidden/>
    <w:unhideWhenUsed/>
    <w:rsid w:val="00A67027"/>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whitespace-normal">
    <w:name w:val="whitespace-normal"/>
    <w:basedOn w:val="DefaultParagraphFont"/>
    <w:rsid w:val="00A670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226278">
      <w:bodyDiv w:val="1"/>
      <w:marLeft w:val="0"/>
      <w:marRight w:val="0"/>
      <w:marTop w:val="0"/>
      <w:marBottom w:val="0"/>
      <w:divBdr>
        <w:top w:val="none" w:sz="0" w:space="0" w:color="auto"/>
        <w:left w:val="none" w:sz="0" w:space="0" w:color="auto"/>
        <w:bottom w:val="none" w:sz="0" w:space="0" w:color="auto"/>
        <w:right w:val="none" w:sz="0" w:space="0" w:color="auto"/>
      </w:divBdr>
    </w:div>
    <w:div w:id="149638672">
      <w:bodyDiv w:val="1"/>
      <w:marLeft w:val="0"/>
      <w:marRight w:val="0"/>
      <w:marTop w:val="0"/>
      <w:marBottom w:val="0"/>
      <w:divBdr>
        <w:top w:val="none" w:sz="0" w:space="0" w:color="auto"/>
        <w:left w:val="none" w:sz="0" w:space="0" w:color="auto"/>
        <w:bottom w:val="none" w:sz="0" w:space="0" w:color="auto"/>
        <w:right w:val="none" w:sz="0" w:space="0" w:color="auto"/>
      </w:divBdr>
    </w:div>
    <w:div w:id="190997007">
      <w:bodyDiv w:val="1"/>
      <w:marLeft w:val="0"/>
      <w:marRight w:val="0"/>
      <w:marTop w:val="0"/>
      <w:marBottom w:val="0"/>
      <w:divBdr>
        <w:top w:val="none" w:sz="0" w:space="0" w:color="auto"/>
        <w:left w:val="none" w:sz="0" w:space="0" w:color="auto"/>
        <w:bottom w:val="none" w:sz="0" w:space="0" w:color="auto"/>
        <w:right w:val="none" w:sz="0" w:space="0" w:color="auto"/>
      </w:divBdr>
    </w:div>
    <w:div w:id="200941296">
      <w:bodyDiv w:val="1"/>
      <w:marLeft w:val="0"/>
      <w:marRight w:val="0"/>
      <w:marTop w:val="0"/>
      <w:marBottom w:val="0"/>
      <w:divBdr>
        <w:top w:val="none" w:sz="0" w:space="0" w:color="auto"/>
        <w:left w:val="none" w:sz="0" w:space="0" w:color="auto"/>
        <w:bottom w:val="none" w:sz="0" w:space="0" w:color="auto"/>
        <w:right w:val="none" w:sz="0" w:space="0" w:color="auto"/>
      </w:divBdr>
    </w:div>
    <w:div w:id="386026202">
      <w:bodyDiv w:val="1"/>
      <w:marLeft w:val="0"/>
      <w:marRight w:val="0"/>
      <w:marTop w:val="0"/>
      <w:marBottom w:val="0"/>
      <w:divBdr>
        <w:top w:val="none" w:sz="0" w:space="0" w:color="auto"/>
        <w:left w:val="none" w:sz="0" w:space="0" w:color="auto"/>
        <w:bottom w:val="none" w:sz="0" w:space="0" w:color="auto"/>
        <w:right w:val="none" w:sz="0" w:space="0" w:color="auto"/>
      </w:divBdr>
    </w:div>
    <w:div w:id="405542735">
      <w:bodyDiv w:val="1"/>
      <w:marLeft w:val="0"/>
      <w:marRight w:val="0"/>
      <w:marTop w:val="0"/>
      <w:marBottom w:val="0"/>
      <w:divBdr>
        <w:top w:val="none" w:sz="0" w:space="0" w:color="auto"/>
        <w:left w:val="none" w:sz="0" w:space="0" w:color="auto"/>
        <w:bottom w:val="none" w:sz="0" w:space="0" w:color="auto"/>
        <w:right w:val="none" w:sz="0" w:space="0" w:color="auto"/>
      </w:divBdr>
    </w:div>
    <w:div w:id="417794518">
      <w:bodyDiv w:val="1"/>
      <w:marLeft w:val="0"/>
      <w:marRight w:val="0"/>
      <w:marTop w:val="0"/>
      <w:marBottom w:val="0"/>
      <w:divBdr>
        <w:top w:val="none" w:sz="0" w:space="0" w:color="auto"/>
        <w:left w:val="none" w:sz="0" w:space="0" w:color="auto"/>
        <w:bottom w:val="none" w:sz="0" w:space="0" w:color="auto"/>
        <w:right w:val="none" w:sz="0" w:space="0" w:color="auto"/>
      </w:divBdr>
    </w:div>
    <w:div w:id="577791625">
      <w:bodyDiv w:val="1"/>
      <w:marLeft w:val="0"/>
      <w:marRight w:val="0"/>
      <w:marTop w:val="0"/>
      <w:marBottom w:val="0"/>
      <w:divBdr>
        <w:top w:val="none" w:sz="0" w:space="0" w:color="auto"/>
        <w:left w:val="none" w:sz="0" w:space="0" w:color="auto"/>
        <w:bottom w:val="none" w:sz="0" w:space="0" w:color="auto"/>
        <w:right w:val="none" w:sz="0" w:space="0" w:color="auto"/>
      </w:divBdr>
    </w:div>
    <w:div w:id="651714481">
      <w:bodyDiv w:val="1"/>
      <w:marLeft w:val="0"/>
      <w:marRight w:val="0"/>
      <w:marTop w:val="0"/>
      <w:marBottom w:val="0"/>
      <w:divBdr>
        <w:top w:val="none" w:sz="0" w:space="0" w:color="auto"/>
        <w:left w:val="none" w:sz="0" w:space="0" w:color="auto"/>
        <w:bottom w:val="none" w:sz="0" w:space="0" w:color="auto"/>
        <w:right w:val="none" w:sz="0" w:space="0" w:color="auto"/>
      </w:divBdr>
    </w:div>
    <w:div w:id="720717529">
      <w:bodyDiv w:val="1"/>
      <w:marLeft w:val="0"/>
      <w:marRight w:val="0"/>
      <w:marTop w:val="0"/>
      <w:marBottom w:val="0"/>
      <w:divBdr>
        <w:top w:val="none" w:sz="0" w:space="0" w:color="auto"/>
        <w:left w:val="none" w:sz="0" w:space="0" w:color="auto"/>
        <w:bottom w:val="none" w:sz="0" w:space="0" w:color="auto"/>
        <w:right w:val="none" w:sz="0" w:space="0" w:color="auto"/>
      </w:divBdr>
    </w:div>
    <w:div w:id="729427088">
      <w:bodyDiv w:val="1"/>
      <w:marLeft w:val="0"/>
      <w:marRight w:val="0"/>
      <w:marTop w:val="0"/>
      <w:marBottom w:val="0"/>
      <w:divBdr>
        <w:top w:val="none" w:sz="0" w:space="0" w:color="auto"/>
        <w:left w:val="none" w:sz="0" w:space="0" w:color="auto"/>
        <w:bottom w:val="none" w:sz="0" w:space="0" w:color="auto"/>
        <w:right w:val="none" w:sz="0" w:space="0" w:color="auto"/>
      </w:divBdr>
    </w:div>
    <w:div w:id="733351750">
      <w:bodyDiv w:val="1"/>
      <w:marLeft w:val="0"/>
      <w:marRight w:val="0"/>
      <w:marTop w:val="0"/>
      <w:marBottom w:val="0"/>
      <w:divBdr>
        <w:top w:val="none" w:sz="0" w:space="0" w:color="auto"/>
        <w:left w:val="none" w:sz="0" w:space="0" w:color="auto"/>
        <w:bottom w:val="none" w:sz="0" w:space="0" w:color="auto"/>
        <w:right w:val="none" w:sz="0" w:space="0" w:color="auto"/>
      </w:divBdr>
    </w:div>
    <w:div w:id="791243071">
      <w:bodyDiv w:val="1"/>
      <w:marLeft w:val="0"/>
      <w:marRight w:val="0"/>
      <w:marTop w:val="0"/>
      <w:marBottom w:val="0"/>
      <w:divBdr>
        <w:top w:val="none" w:sz="0" w:space="0" w:color="auto"/>
        <w:left w:val="none" w:sz="0" w:space="0" w:color="auto"/>
        <w:bottom w:val="none" w:sz="0" w:space="0" w:color="auto"/>
        <w:right w:val="none" w:sz="0" w:space="0" w:color="auto"/>
      </w:divBdr>
      <w:divsChild>
        <w:div w:id="697774885">
          <w:marLeft w:val="0"/>
          <w:marRight w:val="0"/>
          <w:marTop w:val="0"/>
          <w:marBottom w:val="0"/>
          <w:divBdr>
            <w:top w:val="none" w:sz="0" w:space="0" w:color="auto"/>
            <w:left w:val="none" w:sz="0" w:space="0" w:color="auto"/>
            <w:bottom w:val="none" w:sz="0" w:space="0" w:color="auto"/>
            <w:right w:val="none" w:sz="0" w:space="0" w:color="auto"/>
          </w:divBdr>
          <w:divsChild>
            <w:div w:id="712001896">
              <w:marLeft w:val="0"/>
              <w:marRight w:val="0"/>
              <w:marTop w:val="0"/>
              <w:marBottom w:val="0"/>
              <w:divBdr>
                <w:top w:val="none" w:sz="0" w:space="0" w:color="auto"/>
                <w:left w:val="none" w:sz="0" w:space="0" w:color="auto"/>
                <w:bottom w:val="none" w:sz="0" w:space="0" w:color="auto"/>
                <w:right w:val="none" w:sz="0" w:space="0" w:color="auto"/>
              </w:divBdr>
              <w:divsChild>
                <w:div w:id="1264144811">
                  <w:marLeft w:val="0"/>
                  <w:marRight w:val="0"/>
                  <w:marTop w:val="0"/>
                  <w:marBottom w:val="0"/>
                  <w:divBdr>
                    <w:top w:val="none" w:sz="0" w:space="0" w:color="auto"/>
                    <w:left w:val="none" w:sz="0" w:space="0" w:color="auto"/>
                    <w:bottom w:val="none" w:sz="0" w:space="0" w:color="auto"/>
                    <w:right w:val="none" w:sz="0" w:space="0" w:color="auto"/>
                  </w:divBdr>
                  <w:divsChild>
                    <w:div w:id="111479690">
                      <w:marLeft w:val="0"/>
                      <w:marRight w:val="0"/>
                      <w:marTop w:val="0"/>
                      <w:marBottom w:val="0"/>
                      <w:divBdr>
                        <w:top w:val="none" w:sz="0" w:space="0" w:color="auto"/>
                        <w:left w:val="none" w:sz="0" w:space="0" w:color="auto"/>
                        <w:bottom w:val="none" w:sz="0" w:space="0" w:color="auto"/>
                        <w:right w:val="none" w:sz="0" w:space="0" w:color="auto"/>
                      </w:divBdr>
                      <w:divsChild>
                        <w:div w:id="1384016453">
                          <w:marLeft w:val="0"/>
                          <w:marRight w:val="0"/>
                          <w:marTop w:val="0"/>
                          <w:marBottom w:val="0"/>
                          <w:divBdr>
                            <w:top w:val="none" w:sz="0" w:space="0" w:color="auto"/>
                            <w:left w:val="none" w:sz="0" w:space="0" w:color="auto"/>
                            <w:bottom w:val="none" w:sz="0" w:space="0" w:color="auto"/>
                            <w:right w:val="none" w:sz="0" w:space="0" w:color="auto"/>
                          </w:divBdr>
                          <w:divsChild>
                            <w:div w:id="1731267130">
                              <w:marLeft w:val="0"/>
                              <w:marRight w:val="0"/>
                              <w:marTop w:val="0"/>
                              <w:marBottom w:val="0"/>
                              <w:divBdr>
                                <w:top w:val="none" w:sz="0" w:space="0" w:color="auto"/>
                                <w:left w:val="none" w:sz="0" w:space="0" w:color="auto"/>
                                <w:bottom w:val="none" w:sz="0" w:space="0" w:color="auto"/>
                                <w:right w:val="none" w:sz="0" w:space="0" w:color="auto"/>
                              </w:divBdr>
                              <w:divsChild>
                                <w:div w:id="410271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6117931">
          <w:marLeft w:val="0"/>
          <w:marRight w:val="0"/>
          <w:marTop w:val="0"/>
          <w:marBottom w:val="0"/>
          <w:divBdr>
            <w:top w:val="none" w:sz="0" w:space="0" w:color="auto"/>
            <w:left w:val="none" w:sz="0" w:space="0" w:color="auto"/>
            <w:bottom w:val="none" w:sz="0" w:space="0" w:color="auto"/>
            <w:right w:val="none" w:sz="0" w:space="0" w:color="auto"/>
          </w:divBdr>
          <w:divsChild>
            <w:div w:id="1096904240">
              <w:marLeft w:val="0"/>
              <w:marRight w:val="0"/>
              <w:marTop w:val="0"/>
              <w:marBottom w:val="0"/>
              <w:divBdr>
                <w:top w:val="none" w:sz="0" w:space="0" w:color="auto"/>
                <w:left w:val="none" w:sz="0" w:space="0" w:color="auto"/>
                <w:bottom w:val="none" w:sz="0" w:space="0" w:color="auto"/>
                <w:right w:val="none" w:sz="0" w:space="0" w:color="auto"/>
              </w:divBdr>
              <w:divsChild>
                <w:div w:id="1701929525">
                  <w:marLeft w:val="0"/>
                  <w:marRight w:val="0"/>
                  <w:marTop w:val="0"/>
                  <w:marBottom w:val="0"/>
                  <w:divBdr>
                    <w:top w:val="none" w:sz="0" w:space="0" w:color="auto"/>
                    <w:left w:val="none" w:sz="0" w:space="0" w:color="auto"/>
                    <w:bottom w:val="none" w:sz="0" w:space="0" w:color="auto"/>
                    <w:right w:val="none" w:sz="0" w:space="0" w:color="auto"/>
                  </w:divBdr>
                  <w:divsChild>
                    <w:div w:id="1849295561">
                      <w:marLeft w:val="0"/>
                      <w:marRight w:val="0"/>
                      <w:marTop w:val="0"/>
                      <w:marBottom w:val="0"/>
                      <w:divBdr>
                        <w:top w:val="none" w:sz="0" w:space="0" w:color="auto"/>
                        <w:left w:val="none" w:sz="0" w:space="0" w:color="auto"/>
                        <w:bottom w:val="none" w:sz="0" w:space="0" w:color="auto"/>
                        <w:right w:val="none" w:sz="0" w:space="0" w:color="auto"/>
                      </w:divBdr>
                      <w:divsChild>
                        <w:div w:id="757217634">
                          <w:marLeft w:val="0"/>
                          <w:marRight w:val="0"/>
                          <w:marTop w:val="0"/>
                          <w:marBottom w:val="0"/>
                          <w:divBdr>
                            <w:top w:val="none" w:sz="0" w:space="0" w:color="auto"/>
                            <w:left w:val="none" w:sz="0" w:space="0" w:color="auto"/>
                            <w:bottom w:val="none" w:sz="0" w:space="0" w:color="auto"/>
                            <w:right w:val="none" w:sz="0" w:space="0" w:color="auto"/>
                          </w:divBdr>
                          <w:divsChild>
                            <w:div w:id="1472401337">
                              <w:marLeft w:val="0"/>
                              <w:marRight w:val="0"/>
                              <w:marTop w:val="0"/>
                              <w:marBottom w:val="0"/>
                              <w:divBdr>
                                <w:top w:val="none" w:sz="0" w:space="0" w:color="auto"/>
                                <w:left w:val="none" w:sz="0" w:space="0" w:color="auto"/>
                                <w:bottom w:val="none" w:sz="0" w:space="0" w:color="auto"/>
                                <w:right w:val="none" w:sz="0" w:space="0" w:color="auto"/>
                              </w:divBdr>
                              <w:divsChild>
                                <w:div w:id="729504690">
                                  <w:marLeft w:val="0"/>
                                  <w:marRight w:val="0"/>
                                  <w:marTop w:val="0"/>
                                  <w:marBottom w:val="0"/>
                                  <w:divBdr>
                                    <w:top w:val="none" w:sz="0" w:space="0" w:color="auto"/>
                                    <w:left w:val="none" w:sz="0" w:space="0" w:color="auto"/>
                                    <w:bottom w:val="none" w:sz="0" w:space="0" w:color="auto"/>
                                    <w:right w:val="none" w:sz="0" w:space="0" w:color="auto"/>
                                  </w:divBdr>
                                  <w:divsChild>
                                    <w:div w:id="481121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1647897">
          <w:marLeft w:val="0"/>
          <w:marRight w:val="0"/>
          <w:marTop w:val="0"/>
          <w:marBottom w:val="0"/>
          <w:divBdr>
            <w:top w:val="none" w:sz="0" w:space="0" w:color="auto"/>
            <w:left w:val="none" w:sz="0" w:space="0" w:color="auto"/>
            <w:bottom w:val="none" w:sz="0" w:space="0" w:color="auto"/>
            <w:right w:val="none" w:sz="0" w:space="0" w:color="auto"/>
          </w:divBdr>
          <w:divsChild>
            <w:div w:id="164319730">
              <w:marLeft w:val="0"/>
              <w:marRight w:val="0"/>
              <w:marTop w:val="0"/>
              <w:marBottom w:val="0"/>
              <w:divBdr>
                <w:top w:val="none" w:sz="0" w:space="0" w:color="auto"/>
                <w:left w:val="none" w:sz="0" w:space="0" w:color="auto"/>
                <w:bottom w:val="none" w:sz="0" w:space="0" w:color="auto"/>
                <w:right w:val="none" w:sz="0" w:space="0" w:color="auto"/>
              </w:divBdr>
              <w:divsChild>
                <w:div w:id="1984767836">
                  <w:marLeft w:val="0"/>
                  <w:marRight w:val="0"/>
                  <w:marTop w:val="0"/>
                  <w:marBottom w:val="0"/>
                  <w:divBdr>
                    <w:top w:val="none" w:sz="0" w:space="0" w:color="auto"/>
                    <w:left w:val="none" w:sz="0" w:space="0" w:color="auto"/>
                    <w:bottom w:val="none" w:sz="0" w:space="0" w:color="auto"/>
                    <w:right w:val="none" w:sz="0" w:space="0" w:color="auto"/>
                  </w:divBdr>
                  <w:divsChild>
                    <w:div w:id="979925227">
                      <w:marLeft w:val="0"/>
                      <w:marRight w:val="0"/>
                      <w:marTop w:val="0"/>
                      <w:marBottom w:val="0"/>
                      <w:divBdr>
                        <w:top w:val="none" w:sz="0" w:space="0" w:color="auto"/>
                        <w:left w:val="none" w:sz="0" w:space="0" w:color="auto"/>
                        <w:bottom w:val="none" w:sz="0" w:space="0" w:color="auto"/>
                        <w:right w:val="none" w:sz="0" w:space="0" w:color="auto"/>
                      </w:divBdr>
                      <w:divsChild>
                        <w:div w:id="343481020">
                          <w:marLeft w:val="0"/>
                          <w:marRight w:val="0"/>
                          <w:marTop w:val="0"/>
                          <w:marBottom w:val="0"/>
                          <w:divBdr>
                            <w:top w:val="none" w:sz="0" w:space="0" w:color="auto"/>
                            <w:left w:val="none" w:sz="0" w:space="0" w:color="auto"/>
                            <w:bottom w:val="none" w:sz="0" w:space="0" w:color="auto"/>
                            <w:right w:val="none" w:sz="0" w:space="0" w:color="auto"/>
                          </w:divBdr>
                          <w:divsChild>
                            <w:div w:id="301543758">
                              <w:marLeft w:val="0"/>
                              <w:marRight w:val="0"/>
                              <w:marTop w:val="0"/>
                              <w:marBottom w:val="0"/>
                              <w:divBdr>
                                <w:top w:val="none" w:sz="0" w:space="0" w:color="auto"/>
                                <w:left w:val="none" w:sz="0" w:space="0" w:color="auto"/>
                                <w:bottom w:val="none" w:sz="0" w:space="0" w:color="auto"/>
                                <w:right w:val="none" w:sz="0" w:space="0" w:color="auto"/>
                              </w:divBdr>
                              <w:divsChild>
                                <w:div w:id="25579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04396598">
      <w:bodyDiv w:val="1"/>
      <w:marLeft w:val="0"/>
      <w:marRight w:val="0"/>
      <w:marTop w:val="0"/>
      <w:marBottom w:val="0"/>
      <w:divBdr>
        <w:top w:val="none" w:sz="0" w:space="0" w:color="auto"/>
        <w:left w:val="none" w:sz="0" w:space="0" w:color="auto"/>
        <w:bottom w:val="none" w:sz="0" w:space="0" w:color="auto"/>
        <w:right w:val="none" w:sz="0" w:space="0" w:color="auto"/>
      </w:divBdr>
    </w:div>
    <w:div w:id="928656630">
      <w:bodyDiv w:val="1"/>
      <w:marLeft w:val="0"/>
      <w:marRight w:val="0"/>
      <w:marTop w:val="0"/>
      <w:marBottom w:val="0"/>
      <w:divBdr>
        <w:top w:val="none" w:sz="0" w:space="0" w:color="auto"/>
        <w:left w:val="none" w:sz="0" w:space="0" w:color="auto"/>
        <w:bottom w:val="none" w:sz="0" w:space="0" w:color="auto"/>
        <w:right w:val="none" w:sz="0" w:space="0" w:color="auto"/>
      </w:divBdr>
    </w:div>
    <w:div w:id="954366967">
      <w:bodyDiv w:val="1"/>
      <w:marLeft w:val="0"/>
      <w:marRight w:val="0"/>
      <w:marTop w:val="0"/>
      <w:marBottom w:val="0"/>
      <w:divBdr>
        <w:top w:val="none" w:sz="0" w:space="0" w:color="auto"/>
        <w:left w:val="none" w:sz="0" w:space="0" w:color="auto"/>
        <w:bottom w:val="none" w:sz="0" w:space="0" w:color="auto"/>
        <w:right w:val="none" w:sz="0" w:space="0" w:color="auto"/>
      </w:divBdr>
    </w:div>
    <w:div w:id="993801935">
      <w:bodyDiv w:val="1"/>
      <w:marLeft w:val="0"/>
      <w:marRight w:val="0"/>
      <w:marTop w:val="0"/>
      <w:marBottom w:val="0"/>
      <w:divBdr>
        <w:top w:val="none" w:sz="0" w:space="0" w:color="auto"/>
        <w:left w:val="none" w:sz="0" w:space="0" w:color="auto"/>
        <w:bottom w:val="none" w:sz="0" w:space="0" w:color="auto"/>
        <w:right w:val="none" w:sz="0" w:space="0" w:color="auto"/>
      </w:divBdr>
    </w:div>
    <w:div w:id="1005867506">
      <w:bodyDiv w:val="1"/>
      <w:marLeft w:val="0"/>
      <w:marRight w:val="0"/>
      <w:marTop w:val="0"/>
      <w:marBottom w:val="0"/>
      <w:divBdr>
        <w:top w:val="none" w:sz="0" w:space="0" w:color="auto"/>
        <w:left w:val="none" w:sz="0" w:space="0" w:color="auto"/>
        <w:bottom w:val="none" w:sz="0" w:space="0" w:color="auto"/>
        <w:right w:val="none" w:sz="0" w:space="0" w:color="auto"/>
      </w:divBdr>
    </w:div>
    <w:div w:id="1089429227">
      <w:bodyDiv w:val="1"/>
      <w:marLeft w:val="0"/>
      <w:marRight w:val="0"/>
      <w:marTop w:val="0"/>
      <w:marBottom w:val="0"/>
      <w:divBdr>
        <w:top w:val="none" w:sz="0" w:space="0" w:color="auto"/>
        <w:left w:val="none" w:sz="0" w:space="0" w:color="auto"/>
        <w:bottom w:val="none" w:sz="0" w:space="0" w:color="auto"/>
        <w:right w:val="none" w:sz="0" w:space="0" w:color="auto"/>
      </w:divBdr>
    </w:div>
    <w:div w:id="1350720063">
      <w:bodyDiv w:val="1"/>
      <w:marLeft w:val="0"/>
      <w:marRight w:val="0"/>
      <w:marTop w:val="0"/>
      <w:marBottom w:val="0"/>
      <w:divBdr>
        <w:top w:val="none" w:sz="0" w:space="0" w:color="auto"/>
        <w:left w:val="none" w:sz="0" w:space="0" w:color="auto"/>
        <w:bottom w:val="none" w:sz="0" w:space="0" w:color="auto"/>
        <w:right w:val="none" w:sz="0" w:space="0" w:color="auto"/>
      </w:divBdr>
    </w:div>
    <w:div w:id="1517845156">
      <w:bodyDiv w:val="1"/>
      <w:marLeft w:val="0"/>
      <w:marRight w:val="0"/>
      <w:marTop w:val="0"/>
      <w:marBottom w:val="0"/>
      <w:divBdr>
        <w:top w:val="none" w:sz="0" w:space="0" w:color="auto"/>
        <w:left w:val="none" w:sz="0" w:space="0" w:color="auto"/>
        <w:bottom w:val="none" w:sz="0" w:space="0" w:color="auto"/>
        <w:right w:val="none" w:sz="0" w:space="0" w:color="auto"/>
      </w:divBdr>
    </w:div>
    <w:div w:id="1618097020">
      <w:bodyDiv w:val="1"/>
      <w:marLeft w:val="0"/>
      <w:marRight w:val="0"/>
      <w:marTop w:val="0"/>
      <w:marBottom w:val="0"/>
      <w:divBdr>
        <w:top w:val="none" w:sz="0" w:space="0" w:color="auto"/>
        <w:left w:val="none" w:sz="0" w:space="0" w:color="auto"/>
        <w:bottom w:val="none" w:sz="0" w:space="0" w:color="auto"/>
        <w:right w:val="none" w:sz="0" w:space="0" w:color="auto"/>
      </w:divBdr>
    </w:div>
    <w:div w:id="1670062318">
      <w:bodyDiv w:val="1"/>
      <w:marLeft w:val="0"/>
      <w:marRight w:val="0"/>
      <w:marTop w:val="0"/>
      <w:marBottom w:val="0"/>
      <w:divBdr>
        <w:top w:val="none" w:sz="0" w:space="0" w:color="auto"/>
        <w:left w:val="none" w:sz="0" w:space="0" w:color="auto"/>
        <w:bottom w:val="none" w:sz="0" w:space="0" w:color="auto"/>
        <w:right w:val="none" w:sz="0" w:space="0" w:color="auto"/>
      </w:divBdr>
    </w:div>
    <w:div w:id="1834178458">
      <w:bodyDiv w:val="1"/>
      <w:marLeft w:val="0"/>
      <w:marRight w:val="0"/>
      <w:marTop w:val="0"/>
      <w:marBottom w:val="0"/>
      <w:divBdr>
        <w:top w:val="none" w:sz="0" w:space="0" w:color="auto"/>
        <w:left w:val="none" w:sz="0" w:space="0" w:color="auto"/>
        <w:bottom w:val="none" w:sz="0" w:space="0" w:color="auto"/>
        <w:right w:val="none" w:sz="0" w:space="0" w:color="auto"/>
      </w:divBdr>
    </w:div>
    <w:div w:id="1889754423">
      <w:bodyDiv w:val="1"/>
      <w:marLeft w:val="0"/>
      <w:marRight w:val="0"/>
      <w:marTop w:val="0"/>
      <w:marBottom w:val="0"/>
      <w:divBdr>
        <w:top w:val="none" w:sz="0" w:space="0" w:color="auto"/>
        <w:left w:val="none" w:sz="0" w:space="0" w:color="auto"/>
        <w:bottom w:val="none" w:sz="0" w:space="0" w:color="auto"/>
        <w:right w:val="none" w:sz="0" w:space="0" w:color="auto"/>
      </w:divBdr>
    </w:div>
    <w:div w:id="1977489000">
      <w:bodyDiv w:val="1"/>
      <w:marLeft w:val="0"/>
      <w:marRight w:val="0"/>
      <w:marTop w:val="0"/>
      <w:marBottom w:val="0"/>
      <w:divBdr>
        <w:top w:val="none" w:sz="0" w:space="0" w:color="auto"/>
        <w:left w:val="none" w:sz="0" w:space="0" w:color="auto"/>
        <w:bottom w:val="none" w:sz="0" w:space="0" w:color="auto"/>
        <w:right w:val="none" w:sz="0" w:space="0" w:color="auto"/>
      </w:divBdr>
    </w:div>
    <w:div w:id="1982273328">
      <w:bodyDiv w:val="1"/>
      <w:marLeft w:val="0"/>
      <w:marRight w:val="0"/>
      <w:marTop w:val="0"/>
      <w:marBottom w:val="0"/>
      <w:divBdr>
        <w:top w:val="none" w:sz="0" w:space="0" w:color="auto"/>
        <w:left w:val="none" w:sz="0" w:space="0" w:color="auto"/>
        <w:bottom w:val="none" w:sz="0" w:space="0" w:color="auto"/>
        <w:right w:val="none" w:sz="0" w:space="0" w:color="auto"/>
      </w:divBdr>
    </w:div>
    <w:div w:id="2026129512">
      <w:bodyDiv w:val="1"/>
      <w:marLeft w:val="0"/>
      <w:marRight w:val="0"/>
      <w:marTop w:val="0"/>
      <w:marBottom w:val="0"/>
      <w:divBdr>
        <w:top w:val="none" w:sz="0" w:space="0" w:color="auto"/>
        <w:left w:val="none" w:sz="0" w:space="0" w:color="auto"/>
        <w:bottom w:val="none" w:sz="0" w:space="0" w:color="auto"/>
        <w:right w:val="none" w:sz="0" w:space="0" w:color="auto"/>
      </w:divBdr>
      <w:divsChild>
        <w:div w:id="833764709">
          <w:marLeft w:val="0"/>
          <w:marRight w:val="0"/>
          <w:marTop w:val="0"/>
          <w:marBottom w:val="0"/>
          <w:divBdr>
            <w:top w:val="none" w:sz="0" w:space="0" w:color="auto"/>
            <w:left w:val="none" w:sz="0" w:space="0" w:color="auto"/>
            <w:bottom w:val="none" w:sz="0" w:space="0" w:color="auto"/>
            <w:right w:val="none" w:sz="0" w:space="0" w:color="auto"/>
          </w:divBdr>
        </w:div>
      </w:divsChild>
    </w:div>
    <w:div w:id="2120372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16</Pages>
  <Words>3711</Words>
  <Characters>21156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Lorine Onyemhen Aikpaojie (2532537)</cp:lastModifiedBy>
  <cp:revision>2</cp:revision>
  <dcterms:created xsi:type="dcterms:W3CDTF">2026-05-07T16:02:00Z</dcterms:created>
  <dcterms:modified xsi:type="dcterms:W3CDTF">2026-05-07T16:02:00Z</dcterms:modified>
</cp:coreProperties>
</file>