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19B93" w14:textId="77777777" w:rsidR="004F68E0" w:rsidRPr="004F68E0" w:rsidRDefault="00FF146B" w:rsidP="00FF146B">
      <w:pPr>
        <w:tabs>
          <w:tab w:val="left" w:pos="6540"/>
        </w:tabs>
        <w:spacing w:line="360" w:lineRule="auto"/>
        <w:jc w:val="center"/>
        <w:rPr>
          <w:sz w:val="28"/>
          <w:szCs w:val="28"/>
          <w:lang w:val="en-GB"/>
        </w:rPr>
      </w:pPr>
      <w:r>
        <w:rPr>
          <w:noProof/>
          <w:lang w:val="en-GB"/>
        </w:rPr>
        <w:drawing>
          <wp:inline distT="0" distB="0" distL="0" distR="0" wp14:anchorId="26B492C8" wp14:editId="5211986C">
            <wp:extent cx="2276475" cy="1200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76475" cy="1200150"/>
                    </a:xfrm>
                    <a:prstGeom prst="rect">
                      <a:avLst/>
                    </a:prstGeom>
                  </pic:spPr>
                </pic:pic>
              </a:graphicData>
            </a:graphic>
          </wp:inline>
        </w:drawing>
      </w:r>
    </w:p>
    <w:p w14:paraId="0449FF3E" w14:textId="77777777" w:rsidR="004F68E0" w:rsidRPr="004F68E0" w:rsidRDefault="004F68E0" w:rsidP="004F68E0">
      <w:pPr>
        <w:tabs>
          <w:tab w:val="left" w:pos="6540"/>
        </w:tabs>
        <w:spacing w:line="360" w:lineRule="auto"/>
        <w:jc w:val="center"/>
        <w:rPr>
          <w:b/>
          <w:bCs/>
          <w:sz w:val="32"/>
          <w:szCs w:val="32"/>
          <w:lang w:val="en-GB"/>
        </w:rPr>
      </w:pPr>
    </w:p>
    <w:p w14:paraId="25D1A0C7" w14:textId="77777777" w:rsidR="004F68E0" w:rsidRPr="004F68E0" w:rsidRDefault="004F68E0" w:rsidP="004F68E0">
      <w:pPr>
        <w:tabs>
          <w:tab w:val="left" w:pos="6540"/>
        </w:tabs>
        <w:spacing w:line="360" w:lineRule="auto"/>
        <w:jc w:val="center"/>
        <w:rPr>
          <w:b/>
          <w:bCs/>
          <w:sz w:val="32"/>
          <w:szCs w:val="32"/>
          <w:lang w:val="en-GB"/>
        </w:rPr>
      </w:pPr>
    </w:p>
    <w:p w14:paraId="7611BA8E" w14:textId="2B5FF4CE"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Student name:</w:t>
      </w:r>
      <w:r w:rsidR="00673AA5" w:rsidRPr="00565E39">
        <w:rPr>
          <w:b/>
          <w:bCs/>
        </w:rPr>
        <w:t xml:space="preserve"> </w:t>
      </w:r>
      <w:r w:rsidR="00673AA5" w:rsidRPr="00565E39">
        <w:rPr>
          <w:rFonts w:ascii="Times New Roman" w:hAnsi="Times New Roman" w:cs="Times New Roman"/>
          <w:b/>
          <w:bCs/>
          <w:sz w:val="32"/>
          <w:szCs w:val="32"/>
          <w:lang w:val="en-GB"/>
        </w:rPr>
        <w:t>Irise Lewis</w:t>
      </w:r>
    </w:p>
    <w:p w14:paraId="212EC659" w14:textId="45C0EF46"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Student ID:</w:t>
      </w:r>
      <w:r w:rsidR="00673AA5" w:rsidRPr="00565E39">
        <w:rPr>
          <w:b/>
          <w:bCs/>
        </w:rPr>
        <w:t xml:space="preserve"> </w:t>
      </w:r>
      <w:r w:rsidR="00673AA5" w:rsidRPr="00565E39">
        <w:rPr>
          <w:rFonts w:ascii="Times New Roman" w:hAnsi="Times New Roman" w:cs="Times New Roman"/>
          <w:b/>
          <w:bCs/>
          <w:sz w:val="32"/>
          <w:szCs w:val="32"/>
          <w:lang w:val="en-GB"/>
        </w:rPr>
        <w:t>2437142</w:t>
      </w:r>
    </w:p>
    <w:p w14:paraId="1A7BFDA8" w14:textId="77777777"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p>
    <w:p w14:paraId="21BEC7C9" w14:textId="77777777"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Module name: Introduction to Physiology</w:t>
      </w:r>
    </w:p>
    <w:p w14:paraId="2F0334E0" w14:textId="77777777"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Module code: BMHP5023</w:t>
      </w:r>
    </w:p>
    <w:p w14:paraId="29103A76" w14:textId="16CB782A"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 xml:space="preserve">Lecturer name: </w:t>
      </w:r>
      <w:r w:rsidR="00565E39" w:rsidRPr="00565E39">
        <w:rPr>
          <w:rFonts w:ascii="Times New Roman" w:hAnsi="Times New Roman" w:cs="Times New Roman"/>
          <w:b/>
          <w:bCs/>
          <w:sz w:val="32"/>
          <w:szCs w:val="32"/>
          <w:lang w:val="en-GB"/>
        </w:rPr>
        <w:t>Dr Soban Sadiq</w:t>
      </w:r>
    </w:p>
    <w:p w14:paraId="6E9F8679" w14:textId="77777777"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p>
    <w:p w14:paraId="78F6C657" w14:textId="77777777" w:rsidR="004F68E0" w:rsidRPr="00565E39" w:rsidRDefault="004F68E0" w:rsidP="004F68E0">
      <w:pPr>
        <w:tabs>
          <w:tab w:val="left" w:pos="6540"/>
        </w:tabs>
        <w:spacing w:line="360" w:lineRule="auto"/>
        <w:jc w:val="center"/>
        <w:rPr>
          <w:rFonts w:ascii="Times New Roman" w:hAnsi="Times New Roman" w:cs="Times New Roman"/>
          <w:b/>
          <w:bCs/>
          <w:sz w:val="32"/>
          <w:szCs w:val="32"/>
          <w:lang w:val="en-GB"/>
        </w:rPr>
      </w:pPr>
      <w:r w:rsidRPr="00565E39">
        <w:rPr>
          <w:rFonts w:ascii="Times New Roman" w:hAnsi="Times New Roman" w:cs="Times New Roman"/>
          <w:b/>
          <w:bCs/>
          <w:sz w:val="32"/>
          <w:szCs w:val="32"/>
          <w:lang w:val="en-GB"/>
        </w:rPr>
        <w:t>Assessment:  Case Study Report</w:t>
      </w:r>
    </w:p>
    <w:p w14:paraId="2E23F782" w14:textId="77777777" w:rsidR="004F68E0" w:rsidRPr="004F68E0" w:rsidRDefault="004F68E0" w:rsidP="004F68E0">
      <w:pPr>
        <w:spacing w:line="360" w:lineRule="auto"/>
        <w:jc w:val="center"/>
        <w:rPr>
          <w:rFonts w:ascii="Times New Roman" w:eastAsia="Times New Roman" w:hAnsi="Times New Roman" w:cs="Times New Roman"/>
          <w:b/>
          <w:bCs/>
          <w:sz w:val="32"/>
          <w:szCs w:val="32"/>
          <w:lang w:val="en-GB"/>
        </w:rPr>
      </w:pPr>
      <w:r w:rsidRPr="004F68E0">
        <w:rPr>
          <w:rFonts w:ascii="Times New Roman" w:eastAsia="Times New Roman" w:hAnsi="Times New Roman" w:cs="Times New Roman"/>
          <w:b/>
          <w:bCs/>
          <w:sz w:val="32"/>
          <w:szCs w:val="32"/>
          <w:lang w:val="en-GB"/>
        </w:rPr>
        <w:br w:type="page"/>
      </w:r>
    </w:p>
    <w:sdt>
      <w:sdtPr>
        <w:rPr>
          <w:rFonts w:ascii="Arial" w:eastAsia="Arial" w:hAnsi="Arial" w:cs="Arial"/>
          <w:color w:val="auto"/>
          <w:sz w:val="22"/>
          <w:szCs w:val="22"/>
          <w:lang w:val="en-GB" w:eastAsia="en-GB"/>
        </w:rPr>
        <w:id w:val="-1265603934"/>
        <w:docPartObj>
          <w:docPartGallery w:val="Table of Contents"/>
          <w:docPartUnique/>
        </w:docPartObj>
      </w:sdtPr>
      <w:sdtEndPr>
        <w:rPr>
          <w:rFonts w:ascii="Times New Roman" w:hAnsi="Times New Roman" w:cs="Times New Roman"/>
          <w:b/>
          <w:bCs/>
          <w:noProof/>
          <w:sz w:val="24"/>
          <w:szCs w:val="24"/>
        </w:rPr>
      </w:sdtEndPr>
      <w:sdtContent>
        <w:p w14:paraId="34DB1277" w14:textId="77777777" w:rsidR="004F68E0" w:rsidRPr="004F68E0" w:rsidRDefault="004F68E0" w:rsidP="004F68E0">
          <w:pPr>
            <w:pStyle w:val="TOCHeading"/>
            <w:jc w:val="center"/>
            <w:rPr>
              <w:rFonts w:ascii="Times New Roman" w:hAnsi="Times New Roman" w:cs="Times New Roman"/>
              <w:b/>
              <w:lang w:val="en-GB"/>
            </w:rPr>
          </w:pPr>
          <w:r w:rsidRPr="004F68E0">
            <w:rPr>
              <w:rFonts w:ascii="Times New Roman" w:hAnsi="Times New Roman" w:cs="Times New Roman"/>
              <w:b/>
              <w:lang w:val="en-GB"/>
            </w:rPr>
            <w:t>Table of Contents</w:t>
          </w:r>
        </w:p>
        <w:p w14:paraId="536029B5" w14:textId="77777777" w:rsidR="004F68E0" w:rsidRPr="004F68E0" w:rsidRDefault="004F68E0">
          <w:pPr>
            <w:pStyle w:val="TOC1"/>
            <w:tabs>
              <w:tab w:val="right" w:leader="dot" w:pos="9350"/>
            </w:tabs>
            <w:rPr>
              <w:rFonts w:ascii="Times New Roman" w:hAnsi="Times New Roman" w:cs="Times New Roman"/>
              <w:noProof/>
              <w:sz w:val="24"/>
              <w:szCs w:val="24"/>
              <w:lang w:val="en-GB"/>
            </w:rPr>
          </w:pPr>
          <w:r w:rsidRPr="004F68E0">
            <w:rPr>
              <w:rFonts w:ascii="Times New Roman" w:hAnsi="Times New Roman" w:cs="Times New Roman"/>
              <w:sz w:val="24"/>
              <w:szCs w:val="24"/>
              <w:lang w:val="en-GB"/>
            </w:rPr>
            <w:fldChar w:fldCharType="begin"/>
          </w:r>
          <w:r w:rsidRPr="004F68E0">
            <w:rPr>
              <w:rFonts w:ascii="Times New Roman" w:hAnsi="Times New Roman" w:cs="Times New Roman"/>
              <w:sz w:val="24"/>
              <w:szCs w:val="24"/>
              <w:lang w:val="en-GB"/>
            </w:rPr>
            <w:instrText xml:space="preserve"> TOC \o "1-3" \h \z \u </w:instrText>
          </w:r>
          <w:r w:rsidRPr="004F68E0">
            <w:rPr>
              <w:rFonts w:ascii="Times New Roman" w:hAnsi="Times New Roman" w:cs="Times New Roman"/>
              <w:sz w:val="24"/>
              <w:szCs w:val="24"/>
              <w:lang w:val="en-GB"/>
            </w:rPr>
            <w:fldChar w:fldCharType="separate"/>
          </w:r>
          <w:hyperlink w:anchor="_Toc235460449" w:history="1">
            <w:r w:rsidRPr="004F68E0">
              <w:rPr>
                <w:rStyle w:val="Hyperlink"/>
                <w:rFonts w:ascii="Times New Roman" w:hAnsi="Times New Roman" w:cs="Times New Roman"/>
                <w:noProof/>
                <w:sz w:val="24"/>
                <w:szCs w:val="24"/>
                <w:lang w:val="en-GB"/>
              </w:rPr>
              <w:t>Introduction</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_Toc235460449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3</w:t>
            </w:r>
            <w:r w:rsidRPr="004F68E0">
              <w:rPr>
                <w:rFonts w:ascii="Times New Roman" w:hAnsi="Times New Roman" w:cs="Times New Roman"/>
                <w:noProof/>
                <w:webHidden/>
                <w:sz w:val="24"/>
                <w:szCs w:val="24"/>
                <w:lang w:val="en-GB"/>
              </w:rPr>
              <w:fldChar w:fldCharType="end"/>
            </w:r>
          </w:hyperlink>
        </w:p>
        <w:p w14:paraId="2B2CF3B9"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0" w:history="1">
            <w:r w:rsidRPr="004F68E0">
              <w:rPr>
                <w:rStyle w:val="Hyperlink"/>
                <w:rFonts w:ascii="Times New Roman" w:hAnsi="Times New Roman" w:cs="Times New Roman"/>
                <w:noProof/>
                <w:sz w:val="24"/>
                <w:szCs w:val="24"/>
                <w:lang w:val="en-GB"/>
              </w:rPr>
              <w:t>Blood Sugar Regulation</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_Toc235460450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4</w:t>
            </w:r>
            <w:r w:rsidRPr="004F68E0">
              <w:rPr>
                <w:rFonts w:ascii="Times New Roman" w:hAnsi="Times New Roman" w:cs="Times New Roman"/>
                <w:noProof/>
                <w:webHidden/>
                <w:sz w:val="24"/>
                <w:szCs w:val="24"/>
                <w:lang w:val="en-GB"/>
              </w:rPr>
              <w:fldChar w:fldCharType="end"/>
            </w:r>
          </w:hyperlink>
        </w:p>
        <w:p w14:paraId="768EDA6B"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1" w:history="1">
            <w:r w:rsidRPr="004F68E0">
              <w:rPr>
                <w:rStyle w:val="Hyperlink"/>
                <w:rFonts w:ascii="Times New Roman" w:hAnsi="Times New Roman" w:cs="Times New Roman"/>
                <w:noProof/>
                <w:sz w:val="24"/>
                <w:szCs w:val="24"/>
                <w:lang w:val="en-GB"/>
              </w:rPr>
              <w:t>Cellular Metabolism</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_Toc235460451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5</w:t>
            </w:r>
            <w:r w:rsidRPr="004F68E0">
              <w:rPr>
                <w:rFonts w:ascii="Times New Roman" w:hAnsi="Times New Roman" w:cs="Times New Roman"/>
                <w:noProof/>
                <w:webHidden/>
                <w:sz w:val="24"/>
                <w:szCs w:val="24"/>
                <w:lang w:val="en-GB"/>
              </w:rPr>
              <w:fldChar w:fldCharType="end"/>
            </w:r>
          </w:hyperlink>
        </w:p>
        <w:p w14:paraId="615E2F62"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2" w:history="1">
            <w:r w:rsidRPr="004F68E0">
              <w:rPr>
                <w:rStyle w:val="Hyperlink"/>
                <w:rFonts w:ascii="Times New Roman" w:hAnsi="Times New Roman" w:cs="Times New Roman"/>
                <w:noProof/>
                <w:sz w:val="24"/>
                <w:szCs w:val="24"/>
                <w:lang w:val="en-GB"/>
              </w:rPr>
              <w:t>Recording and Tracking Blood Sugar Levels</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_Toc235460452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6</w:t>
            </w:r>
            <w:r w:rsidRPr="004F68E0">
              <w:rPr>
                <w:rFonts w:ascii="Times New Roman" w:hAnsi="Times New Roman" w:cs="Times New Roman"/>
                <w:noProof/>
                <w:webHidden/>
                <w:sz w:val="24"/>
                <w:szCs w:val="24"/>
                <w:lang w:val="en-GB"/>
              </w:rPr>
              <w:fldChar w:fldCharType="end"/>
            </w:r>
          </w:hyperlink>
        </w:p>
        <w:p w14:paraId="754CADD2"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3" w:history="1">
            <w:r w:rsidRPr="004F68E0">
              <w:rPr>
                <w:rStyle w:val="Hyperlink"/>
                <w:rFonts w:ascii="Times New Roman" w:hAnsi="Times New Roman" w:cs="Times New Roman"/>
                <w:noProof/>
                <w:sz w:val="24"/>
                <w:szCs w:val="24"/>
                <w:lang w:val="en-GB"/>
              </w:rPr>
              <w:t>Evidence-Based Recommendations</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_Toc235460453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7</w:t>
            </w:r>
            <w:r w:rsidRPr="004F68E0">
              <w:rPr>
                <w:rFonts w:ascii="Times New Roman" w:hAnsi="Times New Roman" w:cs="Times New Roman"/>
                <w:noProof/>
                <w:webHidden/>
                <w:sz w:val="24"/>
                <w:szCs w:val="24"/>
                <w:lang w:val="en-GB"/>
              </w:rPr>
              <w:fldChar w:fldCharType="end"/>
            </w:r>
          </w:hyperlink>
        </w:p>
        <w:p w14:paraId="19B54EB9"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4" w:history="1">
            <w:r w:rsidRPr="004F68E0">
              <w:rPr>
                <w:rStyle w:val="Hyperlink"/>
                <w:rFonts w:ascii="Times New Roman" w:hAnsi="Times New Roman" w:cs="Times New Roman"/>
                <w:noProof/>
                <w:sz w:val="24"/>
                <w:szCs w:val="24"/>
                <w:lang w:val="en-GB"/>
              </w:rPr>
              <w:t>Conclusion</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_Toc235460454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8</w:t>
            </w:r>
            <w:r w:rsidRPr="004F68E0">
              <w:rPr>
                <w:rFonts w:ascii="Times New Roman" w:hAnsi="Times New Roman" w:cs="Times New Roman"/>
                <w:noProof/>
                <w:webHidden/>
                <w:sz w:val="24"/>
                <w:szCs w:val="24"/>
                <w:lang w:val="en-GB"/>
              </w:rPr>
              <w:fldChar w:fldCharType="end"/>
            </w:r>
          </w:hyperlink>
        </w:p>
        <w:p w14:paraId="5B99C561" w14:textId="77777777" w:rsidR="004F68E0" w:rsidRPr="004F68E0" w:rsidRDefault="004F68E0">
          <w:pPr>
            <w:pStyle w:val="TOC1"/>
            <w:tabs>
              <w:tab w:val="right" w:leader="dot" w:pos="9350"/>
            </w:tabs>
            <w:rPr>
              <w:rFonts w:ascii="Times New Roman" w:hAnsi="Times New Roman" w:cs="Times New Roman"/>
              <w:noProof/>
              <w:sz w:val="24"/>
              <w:szCs w:val="24"/>
              <w:lang w:val="en-GB"/>
            </w:rPr>
          </w:pPr>
          <w:hyperlink w:anchor="_Toc235460455" w:history="1">
            <w:r w:rsidRPr="004F68E0">
              <w:rPr>
                <w:rStyle w:val="Hyperlink"/>
                <w:rFonts w:ascii="Times New Roman" w:hAnsi="Times New Roman" w:cs="Times New Roman"/>
                <w:noProof/>
                <w:sz w:val="24"/>
                <w:szCs w:val="24"/>
                <w:lang w:val="en-GB"/>
              </w:rPr>
              <w:t>References</w:t>
            </w:r>
            <w:r w:rsidRPr="004F68E0">
              <w:rPr>
                <w:rFonts w:ascii="Times New Roman" w:hAnsi="Times New Roman" w:cs="Times New Roman"/>
                <w:noProof/>
                <w:webHidden/>
                <w:sz w:val="24"/>
                <w:szCs w:val="24"/>
                <w:lang w:val="en-GB"/>
              </w:rPr>
              <w:tab/>
            </w:r>
            <w:r w:rsidRPr="004F68E0">
              <w:rPr>
                <w:rFonts w:ascii="Times New Roman" w:hAnsi="Times New Roman" w:cs="Times New Roman"/>
                <w:noProof/>
                <w:webHidden/>
                <w:sz w:val="24"/>
                <w:szCs w:val="24"/>
                <w:lang w:val="en-GB"/>
              </w:rPr>
              <w:fldChar w:fldCharType="begin"/>
            </w:r>
            <w:r w:rsidRPr="004F68E0">
              <w:rPr>
                <w:rFonts w:ascii="Times New Roman" w:hAnsi="Times New Roman" w:cs="Times New Roman"/>
                <w:noProof/>
                <w:webHidden/>
                <w:sz w:val="24"/>
                <w:szCs w:val="24"/>
                <w:lang w:val="en-GB"/>
              </w:rPr>
              <w:instrText xml:space="preserve"> PAGEREF _Toc235460455 \h </w:instrText>
            </w:r>
            <w:r w:rsidRPr="004F68E0">
              <w:rPr>
                <w:rFonts w:ascii="Times New Roman" w:hAnsi="Times New Roman" w:cs="Times New Roman"/>
                <w:noProof/>
                <w:webHidden/>
                <w:sz w:val="24"/>
                <w:szCs w:val="24"/>
                <w:lang w:val="en-GB"/>
              </w:rPr>
            </w:r>
            <w:r w:rsidRPr="004F68E0">
              <w:rPr>
                <w:rFonts w:ascii="Times New Roman" w:hAnsi="Times New Roman" w:cs="Times New Roman"/>
                <w:noProof/>
                <w:webHidden/>
                <w:sz w:val="24"/>
                <w:szCs w:val="24"/>
                <w:lang w:val="en-GB"/>
              </w:rPr>
              <w:fldChar w:fldCharType="separate"/>
            </w:r>
            <w:r w:rsidRPr="004F68E0">
              <w:rPr>
                <w:rFonts w:ascii="Times New Roman" w:hAnsi="Times New Roman" w:cs="Times New Roman"/>
                <w:noProof/>
                <w:webHidden/>
                <w:sz w:val="24"/>
                <w:szCs w:val="24"/>
                <w:lang w:val="en-GB"/>
              </w:rPr>
              <w:t>10</w:t>
            </w:r>
            <w:r w:rsidRPr="004F68E0">
              <w:rPr>
                <w:rFonts w:ascii="Times New Roman" w:hAnsi="Times New Roman" w:cs="Times New Roman"/>
                <w:noProof/>
                <w:webHidden/>
                <w:sz w:val="24"/>
                <w:szCs w:val="24"/>
                <w:lang w:val="en-GB"/>
              </w:rPr>
              <w:fldChar w:fldCharType="end"/>
            </w:r>
          </w:hyperlink>
        </w:p>
        <w:p w14:paraId="35360097" w14:textId="77777777" w:rsidR="004F68E0" w:rsidRPr="004F68E0" w:rsidRDefault="004F68E0">
          <w:pPr>
            <w:rPr>
              <w:rFonts w:ascii="Times New Roman" w:hAnsi="Times New Roman" w:cs="Times New Roman"/>
              <w:sz w:val="24"/>
              <w:szCs w:val="24"/>
              <w:lang w:val="en-GB"/>
            </w:rPr>
          </w:pPr>
          <w:r w:rsidRPr="004F68E0">
            <w:rPr>
              <w:rFonts w:ascii="Times New Roman" w:hAnsi="Times New Roman" w:cs="Times New Roman"/>
              <w:b/>
              <w:bCs/>
              <w:noProof/>
              <w:sz w:val="24"/>
              <w:szCs w:val="24"/>
              <w:lang w:val="en-GB"/>
            </w:rPr>
            <w:fldChar w:fldCharType="end"/>
          </w:r>
        </w:p>
      </w:sdtContent>
    </w:sdt>
    <w:p w14:paraId="73C17F56" w14:textId="77777777" w:rsidR="004F68E0" w:rsidRPr="004F68E0" w:rsidRDefault="004F68E0">
      <w:pPr>
        <w:rPr>
          <w:rFonts w:ascii="Times New Roman" w:eastAsia="Times New Roman" w:hAnsi="Times New Roman" w:cs="Times New Roman"/>
          <w:b/>
          <w:bCs/>
          <w:sz w:val="28"/>
          <w:szCs w:val="28"/>
          <w:lang w:val="en-GB"/>
        </w:rPr>
      </w:pPr>
      <w:r w:rsidRPr="004F68E0">
        <w:rPr>
          <w:rFonts w:ascii="Times New Roman" w:eastAsia="Times New Roman" w:hAnsi="Times New Roman" w:cs="Times New Roman"/>
          <w:b/>
          <w:bCs/>
          <w:sz w:val="28"/>
          <w:szCs w:val="28"/>
          <w:lang w:val="en-GB"/>
        </w:rPr>
        <w:br w:type="page"/>
      </w:r>
    </w:p>
    <w:p w14:paraId="613F0851" w14:textId="77777777" w:rsidR="0032279F" w:rsidRPr="004F68E0" w:rsidRDefault="009320F1" w:rsidP="004F68E0">
      <w:pPr>
        <w:pStyle w:val="Heading1"/>
        <w:rPr>
          <w:b w:val="0"/>
          <w:lang w:val="en-GB"/>
        </w:rPr>
      </w:pPr>
      <w:bookmarkStart w:id="0" w:name="_Toc235460449"/>
      <w:r w:rsidRPr="004F68E0">
        <w:rPr>
          <w:lang w:val="en-GB"/>
        </w:rPr>
        <w:lastRenderedPageBreak/>
        <w:t>Introduction</w:t>
      </w:r>
      <w:bookmarkEnd w:id="0"/>
    </w:p>
    <w:p w14:paraId="4A2EF1DA"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Diabetes mellitus is a metabolic disease in which glucose metabolism cannot be used adequately and is overproduced; hyperglycaemia occurs. The main cause of Type 1 diabetes is the autoimmune destruction of the beta cells of the pancreas, gestational diabetes occurs only during pregnancy, and Type 2 diabetes is </w:t>
      </w:r>
      <w:r w:rsidR="004F68E0">
        <w:rPr>
          <w:rFonts w:ascii="Times New Roman" w:eastAsia="Times New Roman" w:hAnsi="Times New Roman" w:cs="Times New Roman"/>
          <w:sz w:val="24"/>
          <w:szCs w:val="24"/>
          <w:lang w:val="en-GB"/>
        </w:rPr>
        <w:t xml:space="preserve">a </w:t>
      </w:r>
      <w:r w:rsidRPr="004F68E0">
        <w:rPr>
          <w:rFonts w:ascii="Times New Roman" w:eastAsia="Times New Roman" w:hAnsi="Times New Roman" w:cs="Times New Roman"/>
          <w:sz w:val="24"/>
          <w:szCs w:val="24"/>
          <w:lang w:val="en-GB"/>
        </w:rPr>
        <w:t>progressive loss of beta cell function representing the background of insulin resistance. Early in the course of type 2 diabetes</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there can be normal or increased insulin levels, but the level of insulin action is not in proportion to insulin secretion (Care 2024). The demand is enormous: in 1990, there were 200 million diabetics worldwide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and according to the World Health Organi</w:t>
      </w:r>
      <w:r w:rsidR="004F68E0">
        <w:rPr>
          <w:rFonts w:ascii="Times New Roman" w:eastAsia="Times New Roman" w:hAnsi="Times New Roman" w:cs="Times New Roman"/>
          <w:sz w:val="24"/>
          <w:szCs w:val="24"/>
          <w:lang w:val="en-GB"/>
        </w:rPr>
        <w:t>s</w:t>
      </w:r>
      <w:r w:rsidRPr="004F68E0">
        <w:rPr>
          <w:rFonts w:ascii="Times New Roman" w:eastAsia="Times New Roman" w:hAnsi="Times New Roman" w:cs="Times New Roman"/>
          <w:sz w:val="24"/>
          <w:szCs w:val="24"/>
          <w:lang w:val="en-GB"/>
        </w:rPr>
        <w:t>ation (WHO)</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there are currently 830 million. The burden of this should mean that the burden of this should not be thought of as a single lab value, glucose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but as physiologic connections between behaviour and the prevention of this (WHO, 2024).</w:t>
      </w:r>
    </w:p>
    <w:p w14:paraId="06011DA7"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noProof/>
          <w:sz w:val="24"/>
          <w:szCs w:val="24"/>
          <w:lang w:val="en-GB"/>
        </w:rPr>
        <w:drawing>
          <wp:inline distT="114300" distB="114300" distL="114300" distR="114300" wp14:anchorId="6B803205" wp14:editId="300BD5CA">
            <wp:extent cx="5943600" cy="350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505200"/>
                    </a:xfrm>
                    <a:prstGeom prst="rect">
                      <a:avLst/>
                    </a:prstGeom>
                    <a:ln/>
                  </pic:spPr>
                </pic:pic>
              </a:graphicData>
            </a:graphic>
          </wp:inline>
        </w:drawing>
      </w:r>
    </w:p>
    <w:p w14:paraId="73DB40E5" w14:textId="77777777" w:rsidR="0032279F" w:rsidRPr="004F68E0" w:rsidRDefault="009320F1">
      <w:pPr>
        <w:spacing w:line="360" w:lineRule="auto"/>
        <w:jc w:val="center"/>
        <w:rPr>
          <w:rFonts w:ascii="Times New Roman" w:eastAsia="Times New Roman" w:hAnsi="Times New Roman" w:cs="Times New Roman"/>
          <w:sz w:val="24"/>
          <w:szCs w:val="24"/>
          <w:lang w:val="en-GB"/>
        </w:rPr>
      </w:pPr>
      <w:r w:rsidRPr="004F68E0">
        <w:rPr>
          <w:rFonts w:ascii="Times New Roman" w:eastAsia="Times New Roman" w:hAnsi="Times New Roman" w:cs="Times New Roman"/>
          <w:b/>
          <w:bCs/>
          <w:sz w:val="24"/>
          <w:szCs w:val="24"/>
          <w:lang w:val="en-GB"/>
        </w:rPr>
        <w:t xml:space="preserve">Figure: </w:t>
      </w:r>
      <w:r w:rsidRPr="004F68E0">
        <w:rPr>
          <w:rFonts w:ascii="Times New Roman" w:eastAsia="Times New Roman" w:hAnsi="Times New Roman" w:cs="Times New Roman"/>
          <w:sz w:val="24"/>
          <w:szCs w:val="24"/>
          <w:lang w:val="en-GB"/>
        </w:rPr>
        <w:t>Global number of people living with diabetes in 1990 and 2022</w:t>
      </w:r>
    </w:p>
    <w:p w14:paraId="3D5577FE" w14:textId="77777777" w:rsidR="0032279F" w:rsidRPr="004F68E0" w:rsidRDefault="009320F1">
      <w:pPr>
        <w:spacing w:line="360" w:lineRule="auto"/>
        <w:jc w:val="center"/>
        <w:rPr>
          <w:rFonts w:ascii="Times New Roman" w:eastAsia="Times New Roman" w:hAnsi="Times New Roman" w:cs="Times New Roman"/>
          <w:sz w:val="24"/>
          <w:szCs w:val="24"/>
          <w:lang w:val="en-GB"/>
        </w:rPr>
      </w:pPr>
      <w:r w:rsidRPr="004F68E0">
        <w:rPr>
          <w:rFonts w:ascii="Times New Roman" w:eastAsia="Times New Roman" w:hAnsi="Times New Roman" w:cs="Times New Roman"/>
          <w:b/>
          <w:bCs/>
          <w:sz w:val="24"/>
          <w:szCs w:val="24"/>
          <w:lang w:val="en-GB"/>
        </w:rPr>
        <w:t xml:space="preserve">Source: </w:t>
      </w:r>
      <w:r w:rsidRPr="004F68E0">
        <w:rPr>
          <w:rFonts w:ascii="Times New Roman" w:eastAsia="Times New Roman" w:hAnsi="Times New Roman" w:cs="Times New Roman"/>
          <w:sz w:val="24"/>
          <w:szCs w:val="24"/>
          <w:lang w:val="en-GB"/>
        </w:rPr>
        <w:t>(WHO, 2024)</w:t>
      </w:r>
    </w:p>
    <w:p w14:paraId="12E92D35"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Risk comes from a combination of genes, ageing, body fat (particularly belly fat or abdominal fat around the organs), physical inactivity, lifestyle, history of diabetes in pregnancy, and social and environmental factors that are obstacles to getting healthy foods and/or access to prevention services. Although obesity cannot be overlooked, for some people, Type 2 diabetes can develop </w:t>
      </w:r>
      <w:r w:rsidRPr="004F68E0">
        <w:rPr>
          <w:rFonts w:ascii="Times New Roman" w:eastAsia="Times New Roman" w:hAnsi="Times New Roman" w:cs="Times New Roman"/>
          <w:sz w:val="24"/>
          <w:szCs w:val="24"/>
          <w:lang w:val="en-GB"/>
        </w:rPr>
        <w:lastRenderedPageBreak/>
        <w:t>even at lower levels of BMI when there is a reduced beta cell reserve or when there is an excess of visceral fat (</w:t>
      </w:r>
      <w:proofErr w:type="spellStart"/>
      <w:r w:rsidRPr="004F68E0">
        <w:rPr>
          <w:rFonts w:ascii="Times New Roman" w:eastAsia="Times New Roman" w:hAnsi="Times New Roman" w:cs="Times New Roman"/>
          <w:sz w:val="24"/>
          <w:szCs w:val="24"/>
          <w:lang w:val="en-GB"/>
        </w:rPr>
        <w:t>Xourafa</w:t>
      </w:r>
      <w:proofErr w:type="spellEnd"/>
      <w:r w:rsidRPr="004F68E0">
        <w:rPr>
          <w:rFonts w:ascii="Times New Roman" w:eastAsia="Times New Roman" w:hAnsi="Times New Roman" w:cs="Times New Roman"/>
          <w:sz w:val="24"/>
          <w:szCs w:val="24"/>
          <w:lang w:val="en-GB"/>
        </w:rPr>
        <w:t xml:space="preserve"> et al. 2024). Thus</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one should think in terms of disease as a multi-organ dysfunction with </w:t>
      </w:r>
      <w:r w:rsidR="004F68E0">
        <w:rPr>
          <w:rFonts w:ascii="Times New Roman" w:eastAsia="Times New Roman" w:hAnsi="Times New Roman" w:cs="Times New Roman"/>
          <w:sz w:val="24"/>
          <w:szCs w:val="24"/>
          <w:lang w:val="en-GB"/>
        </w:rPr>
        <w:t xml:space="preserve">the </w:t>
      </w:r>
      <w:r w:rsidRPr="004F68E0">
        <w:rPr>
          <w:rFonts w:ascii="Times New Roman" w:eastAsia="Times New Roman" w:hAnsi="Times New Roman" w:cs="Times New Roman"/>
          <w:sz w:val="24"/>
          <w:szCs w:val="24"/>
          <w:lang w:val="en-GB"/>
        </w:rPr>
        <w:t>pancreas, liver, skeletal muscle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adipose tissue, gut, kidneys and nervous system being involved. This is not a perspective that readily embraces blame and is a guide to caring </w:t>
      </w:r>
      <w:r w:rsidR="004F68E0">
        <w:rPr>
          <w:rFonts w:ascii="Times New Roman" w:eastAsia="Times New Roman" w:hAnsi="Times New Roman" w:cs="Times New Roman"/>
          <w:sz w:val="24"/>
          <w:szCs w:val="24"/>
          <w:lang w:val="en-GB"/>
        </w:rPr>
        <w:t xml:space="preserve">for </w:t>
      </w:r>
      <w:r w:rsidRPr="004F68E0">
        <w:rPr>
          <w:rFonts w:ascii="Times New Roman" w:eastAsia="Times New Roman" w:hAnsi="Times New Roman" w:cs="Times New Roman"/>
          <w:sz w:val="24"/>
          <w:szCs w:val="24"/>
          <w:lang w:val="en-GB"/>
        </w:rPr>
        <w:t>the individual.</w:t>
      </w:r>
    </w:p>
    <w:p w14:paraId="16780D3E" w14:textId="77777777" w:rsidR="0032279F" w:rsidRPr="004F68E0" w:rsidRDefault="009320F1" w:rsidP="004F68E0">
      <w:pPr>
        <w:pStyle w:val="Heading1"/>
        <w:rPr>
          <w:lang w:val="en-GB"/>
        </w:rPr>
      </w:pPr>
      <w:bookmarkStart w:id="1" w:name="_Toc235460450"/>
      <w:r w:rsidRPr="004F68E0">
        <w:rPr>
          <w:lang w:val="en-GB"/>
        </w:rPr>
        <w:t>Blood Sugar Regulation</w:t>
      </w:r>
      <w:bookmarkEnd w:id="1"/>
    </w:p>
    <w:p w14:paraId="16A0C5D6"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Negative feedback is the mechanism of the regulation of blood glucose. The digestion of carbohydrates will make glucose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which will pass into the portal and systemic circulation. The pancreatic beta cell(s) sense the increase and metabolise glucose, and this increases </w:t>
      </w:r>
      <w:r w:rsidR="004F68E0">
        <w:rPr>
          <w:rFonts w:ascii="Times New Roman" w:eastAsia="Times New Roman" w:hAnsi="Times New Roman" w:cs="Times New Roman"/>
          <w:sz w:val="24"/>
          <w:szCs w:val="24"/>
          <w:lang w:val="en-GB"/>
        </w:rPr>
        <w:t xml:space="preserve">the </w:t>
      </w:r>
      <w:r w:rsidRPr="004F68E0">
        <w:rPr>
          <w:rFonts w:ascii="Times New Roman" w:eastAsia="Times New Roman" w:hAnsi="Times New Roman" w:cs="Times New Roman"/>
          <w:sz w:val="24"/>
          <w:szCs w:val="24"/>
          <w:lang w:val="en-GB"/>
        </w:rPr>
        <w:t xml:space="preserve">ATP/ADP ratio. Its closing results in the depolarisation of the β-cell membrane, opening the calcium channels, leading to the secretion of insulin granules (Rutter and Sweet, 2024). Failure might occur at the level of sense and at the level of ATP production (increased activity of ion channels) and/or release of granules from the cell to compromise insulin response; a direct link exists between the glucose availability and its action. </w:t>
      </w:r>
    </w:p>
    <w:p w14:paraId="30D27311"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Insulin has coordinated actions – all of which decrease circulating glucose. In skeletal muscle and fat, it induces the translocation of GLUT4 transporters towards the plasma membrane, thereby enhancing the absorption of glucose. It aids in the synthesis of glycogen in muscle and liver and can also prevent the breakdown of glycogen (glycogenolysis) in the liver as well as the generation of glucose from non-carbohydrate precursors (gluconeogenesis) (</w:t>
      </w:r>
      <w:proofErr w:type="spellStart"/>
      <w:r w:rsidRPr="004F68E0">
        <w:rPr>
          <w:rFonts w:ascii="Times New Roman" w:eastAsia="Times New Roman" w:hAnsi="Times New Roman" w:cs="Times New Roman"/>
          <w:sz w:val="24"/>
          <w:szCs w:val="24"/>
          <w:lang w:val="en-GB"/>
        </w:rPr>
        <w:t>Xourafa</w:t>
      </w:r>
      <w:proofErr w:type="spellEnd"/>
      <w:r w:rsidRPr="004F68E0">
        <w:rPr>
          <w:rFonts w:ascii="Times New Roman" w:eastAsia="Times New Roman" w:hAnsi="Times New Roman" w:cs="Times New Roman"/>
          <w:sz w:val="24"/>
          <w:szCs w:val="24"/>
          <w:lang w:val="en-GB"/>
        </w:rPr>
        <w:t xml:space="preserve"> et al. 2024). It can also reduce the rate of lipolysis and hence the delivery of fatty</w:t>
      </w:r>
      <w:r w:rsid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sz w:val="24"/>
          <w:szCs w:val="24"/>
          <w:lang w:val="en-GB"/>
        </w:rPr>
        <w:t xml:space="preserve">acids, which can exacerbate the insulin resistance in </w:t>
      </w:r>
      <w:r w:rsidR="004F68E0">
        <w:rPr>
          <w:rFonts w:ascii="Times New Roman" w:eastAsia="Times New Roman" w:hAnsi="Times New Roman" w:cs="Times New Roman"/>
          <w:sz w:val="24"/>
          <w:szCs w:val="24"/>
          <w:lang w:val="en-GB"/>
        </w:rPr>
        <w:t xml:space="preserve">the </w:t>
      </w:r>
      <w:r w:rsidRPr="004F68E0">
        <w:rPr>
          <w:rFonts w:ascii="Times New Roman" w:eastAsia="Times New Roman" w:hAnsi="Times New Roman" w:cs="Times New Roman"/>
          <w:sz w:val="24"/>
          <w:szCs w:val="24"/>
          <w:lang w:val="en-GB"/>
        </w:rPr>
        <w:t xml:space="preserve">liver and muscle. So, insulin resistance is a systemic effect; that is, when insulin resistance occurs in one tissue, the movement of substrates will change, so that the malfunctions in other tissues are further exacerbated. </w:t>
      </w:r>
    </w:p>
    <w:p w14:paraId="1495223A"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Glucose is reduced during fasting</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so insulin is less favo</w:t>
      </w:r>
      <w:r w:rsidR="004F68E0">
        <w:rPr>
          <w:rFonts w:ascii="Times New Roman" w:eastAsia="Times New Roman" w:hAnsi="Times New Roman" w:cs="Times New Roman"/>
          <w:sz w:val="24"/>
          <w:szCs w:val="24"/>
          <w:lang w:val="en-GB"/>
        </w:rPr>
        <w:t>ured,</w:t>
      </w:r>
      <w:r w:rsidRPr="004F68E0">
        <w:rPr>
          <w:rFonts w:ascii="Times New Roman" w:eastAsia="Times New Roman" w:hAnsi="Times New Roman" w:cs="Times New Roman"/>
          <w:sz w:val="24"/>
          <w:szCs w:val="24"/>
          <w:lang w:val="en-GB"/>
        </w:rPr>
        <w:t xml:space="preserve"> and glucagon is more favo</w:t>
      </w:r>
      <w:r w:rsidR="004F68E0">
        <w:rPr>
          <w:rFonts w:ascii="Times New Roman" w:eastAsia="Times New Roman" w:hAnsi="Times New Roman" w:cs="Times New Roman"/>
          <w:sz w:val="24"/>
          <w:szCs w:val="24"/>
          <w:lang w:val="en-GB"/>
        </w:rPr>
        <w:t>u</w:t>
      </w:r>
      <w:r w:rsidRPr="004F68E0">
        <w:rPr>
          <w:rFonts w:ascii="Times New Roman" w:eastAsia="Times New Roman" w:hAnsi="Times New Roman" w:cs="Times New Roman"/>
          <w:sz w:val="24"/>
          <w:szCs w:val="24"/>
          <w:lang w:val="en-GB"/>
        </w:rPr>
        <w:t>red to enable the body to shift over to fat burning. Glucagon's target organs are primarily the liver, which it stimulates to break down glycogen and produce new glucose that can be used by other organs and</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most important</w:t>
      </w:r>
      <w:r w:rsidR="004F68E0">
        <w:rPr>
          <w:rFonts w:ascii="Times New Roman" w:eastAsia="Times New Roman" w:hAnsi="Times New Roman" w:cs="Times New Roman"/>
          <w:sz w:val="24"/>
          <w:szCs w:val="24"/>
          <w:lang w:val="en-GB"/>
        </w:rPr>
        <w:t>ly</w:t>
      </w:r>
      <w:r w:rsidRPr="004F68E0">
        <w:rPr>
          <w:rFonts w:ascii="Times New Roman" w:eastAsia="Times New Roman" w:hAnsi="Times New Roman" w:cs="Times New Roman"/>
          <w:sz w:val="24"/>
          <w:szCs w:val="24"/>
          <w:lang w:val="en-GB"/>
        </w:rPr>
        <w:t xml:space="preserve">, the brain. The regulation is, therefore, safe in the sense that if too high an insulin action is attempted, hypoglycaemia occurs; if too little insulin action is attempted, then the liver will make more glucose when it is already overabundant in the body. (Son and </w:t>
      </w:r>
      <w:proofErr w:type="spellStart"/>
      <w:r w:rsidRPr="004F68E0">
        <w:rPr>
          <w:rFonts w:ascii="Times New Roman" w:eastAsia="Times New Roman" w:hAnsi="Times New Roman" w:cs="Times New Roman"/>
          <w:sz w:val="24"/>
          <w:szCs w:val="24"/>
          <w:lang w:val="en-GB"/>
        </w:rPr>
        <w:t>Accili</w:t>
      </w:r>
      <w:proofErr w:type="spellEnd"/>
      <w:r w:rsidRPr="004F68E0">
        <w:rPr>
          <w:rFonts w:ascii="Times New Roman" w:eastAsia="Times New Roman" w:hAnsi="Times New Roman" w:cs="Times New Roman"/>
          <w:sz w:val="24"/>
          <w:szCs w:val="24"/>
          <w:lang w:val="en-GB"/>
        </w:rPr>
        <w:t xml:space="preserve">, 2023). </w:t>
      </w:r>
      <w:r w:rsidRPr="004F68E0">
        <w:rPr>
          <w:rFonts w:ascii="Times New Roman" w:eastAsia="Times New Roman" w:hAnsi="Times New Roman" w:cs="Times New Roman"/>
          <w:sz w:val="24"/>
          <w:szCs w:val="24"/>
          <w:lang w:val="en-GB"/>
        </w:rPr>
        <w:lastRenderedPageBreak/>
        <w:t>Inappropriate glucagon activity can thus exacerbate hyperglycaemia both in the fasting and postprandial states in Type 2 diabetes.</w:t>
      </w:r>
    </w:p>
    <w:p w14:paraId="384ED6C0"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The initial effect associated with insulin resistance is an increase </w:t>
      </w:r>
      <w:r w:rsidR="004F68E0">
        <w:rPr>
          <w:rFonts w:ascii="Times New Roman" w:eastAsia="Times New Roman" w:hAnsi="Times New Roman" w:cs="Times New Roman"/>
          <w:sz w:val="24"/>
          <w:szCs w:val="24"/>
          <w:lang w:val="en-GB"/>
        </w:rPr>
        <w:t>in</w:t>
      </w:r>
      <w:r w:rsidRPr="004F68E0">
        <w:rPr>
          <w:rFonts w:ascii="Times New Roman" w:eastAsia="Times New Roman" w:hAnsi="Times New Roman" w:cs="Times New Roman"/>
          <w:sz w:val="24"/>
          <w:szCs w:val="24"/>
          <w:lang w:val="en-GB"/>
        </w:rPr>
        <w:t xml:space="preserve"> insulin that is known as </w:t>
      </w:r>
      <w:proofErr w:type="spellStart"/>
      <w:r w:rsidRPr="004F68E0">
        <w:rPr>
          <w:rFonts w:ascii="Times New Roman" w:eastAsia="Times New Roman" w:hAnsi="Times New Roman" w:cs="Times New Roman"/>
          <w:sz w:val="24"/>
          <w:szCs w:val="24"/>
          <w:lang w:val="en-GB"/>
        </w:rPr>
        <w:t>hyperinsulinaemia</w:t>
      </w:r>
      <w:proofErr w:type="spellEnd"/>
      <w:r w:rsidRPr="004F68E0">
        <w:rPr>
          <w:rFonts w:ascii="Times New Roman" w:eastAsia="Times New Roman" w:hAnsi="Times New Roman" w:cs="Times New Roman"/>
          <w:sz w:val="24"/>
          <w:szCs w:val="24"/>
          <w:lang w:val="en-GB"/>
        </w:rPr>
        <w:t xml:space="preserve">. However, it is only a short-term compensation because of the metabolic stress of beta cells produced by chronic exposure to glucose and lipids, inflammatory factors and increased workload for beta secretion. This is followed by early and late impairment of insulin secretion because of beta-cell failure. Hyperglycaemia is both a consequence and a cause: fat and sugar toxicity impact on beta-cell </w:t>
      </w:r>
      <w:r w:rsidR="004F68E0">
        <w:rPr>
          <w:rFonts w:ascii="Times New Roman" w:eastAsia="Times New Roman" w:hAnsi="Times New Roman" w:cs="Times New Roman"/>
          <w:sz w:val="24"/>
          <w:szCs w:val="24"/>
          <w:lang w:val="en-GB"/>
        </w:rPr>
        <w:t>function</w:t>
      </w:r>
      <w:r w:rsidRPr="004F68E0">
        <w:rPr>
          <w:rFonts w:ascii="Times New Roman" w:eastAsia="Times New Roman" w:hAnsi="Times New Roman" w:cs="Times New Roman"/>
          <w:sz w:val="24"/>
          <w:szCs w:val="24"/>
          <w:lang w:val="en-GB"/>
        </w:rPr>
        <w:t xml:space="preserve">, and high amounts of fatty-acid flux intensify insulin resistance (Son and </w:t>
      </w:r>
      <w:proofErr w:type="spellStart"/>
      <w:r w:rsidRPr="004F68E0">
        <w:rPr>
          <w:rFonts w:ascii="Times New Roman" w:eastAsia="Times New Roman" w:hAnsi="Times New Roman" w:cs="Times New Roman"/>
          <w:sz w:val="24"/>
          <w:szCs w:val="24"/>
          <w:lang w:val="en-GB"/>
        </w:rPr>
        <w:t>Accili</w:t>
      </w:r>
      <w:proofErr w:type="spellEnd"/>
      <w:r w:rsidRPr="004F68E0">
        <w:rPr>
          <w:rFonts w:ascii="Times New Roman" w:eastAsia="Times New Roman" w:hAnsi="Times New Roman" w:cs="Times New Roman"/>
          <w:sz w:val="24"/>
          <w:szCs w:val="24"/>
          <w:lang w:val="en-GB"/>
        </w:rPr>
        <w:t>, 2023). Attending to “glucose value” and ignoring “weight,” “activity”</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“medication use”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or cardiovascular risk has resulted in minimal shifts in great causal connections.</w:t>
      </w:r>
    </w:p>
    <w:p w14:paraId="439148C2"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Ongoing hyperglycaemia is associated with oxidative stress and endothelial damage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resulting </w:t>
      </w:r>
      <w:r w:rsidR="004F68E0">
        <w:rPr>
          <w:rFonts w:ascii="Times New Roman" w:eastAsia="Times New Roman" w:hAnsi="Times New Roman" w:cs="Times New Roman"/>
          <w:sz w:val="24"/>
          <w:szCs w:val="24"/>
          <w:lang w:val="en-GB"/>
        </w:rPr>
        <w:t xml:space="preserve">in </w:t>
      </w:r>
      <w:r w:rsidRPr="004F68E0">
        <w:rPr>
          <w:rFonts w:ascii="Times New Roman" w:eastAsia="Times New Roman" w:hAnsi="Times New Roman" w:cs="Times New Roman"/>
          <w:sz w:val="24"/>
          <w:szCs w:val="24"/>
          <w:lang w:val="en-GB"/>
        </w:rPr>
        <w:t>abnormal protein glycation (hyperglycaemia). High cumulative exposure is a risk factor for retinopathy, kidney disease, neuropathy, peripheral arterial disease, myocardial infarction and stroke (Diabetes Care, 2025). This is not a hard and fast age rule - weakness and other diseases, jobs and preferences/desires for care loads can alter the optimum target.</w:t>
      </w:r>
    </w:p>
    <w:p w14:paraId="37A11F7B" w14:textId="77777777" w:rsidR="0032279F" w:rsidRPr="004F68E0" w:rsidRDefault="009320F1" w:rsidP="004F68E0">
      <w:pPr>
        <w:pStyle w:val="Heading1"/>
        <w:rPr>
          <w:lang w:val="en-GB"/>
        </w:rPr>
      </w:pPr>
      <w:bookmarkStart w:id="2" w:name="_Toc235460451"/>
      <w:r w:rsidRPr="004F68E0">
        <w:rPr>
          <w:lang w:val="en-GB"/>
        </w:rPr>
        <w:t>Cellular Metabolism</w:t>
      </w:r>
      <w:bookmarkEnd w:id="2"/>
    </w:p>
    <w:p w14:paraId="3B4185D4"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Enzymes can break down glucose to produce 'useful' energy (ATP). Glycolysis is a process that takes place in </w:t>
      </w:r>
      <w:r w:rsidR="004F68E0">
        <w:rPr>
          <w:rFonts w:ascii="Times New Roman" w:eastAsia="Times New Roman" w:hAnsi="Times New Roman" w:cs="Times New Roman"/>
          <w:sz w:val="24"/>
          <w:szCs w:val="24"/>
          <w:lang w:val="en-GB"/>
        </w:rPr>
        <w:t xml:space="preserve">the </w:t>
      </w:r>
      <w:r w:rsidRPr="004F68E0">
        <w:rPr>
          <w:rFonts w:ascii="Times New Roman" w:eastAsia="Times New Roman" w:hAnsi="Times New Roman" w:cs="Times New Roman"/>
          <w:sz w:val="24"/>
          <w:szCs w:val="24"/>
          <w:lang w:val="en-GB"/>
        </w:rPr>
        <w:t>cytoplasm (cytoplasmic fluid), in which glucose is oxidi</w:t>
      </w:r>
      <w:r w:rsidR="004F68E0">
        <w:rPr>
          <w:rFonts w:ascii="Times New Roman" w:eastAsia="Times New Roman" w:hAnsi="Times New Roman" w:cs="Times New Roman"/>
          <w:sz w:val="24"/>
          <w:szCs w:val="24"/>
          <w:lang w:val="en-GB"/>
        </w:rPr>
        <w:t>s</w:t>
      </w:r>
      <w:r w:rsidRPr="004F68E0">
        <w:rPr>
          <w:rFonts w:ascii="Times New Roman" w:eastAsia="Times New Roman" w:hAnsi="Times New Roman" w:cs="Times New Roman"/>
          <w:sz w:val="24"/>
          <w:szCs w:val="24"/>
          <w:lang w:val="en-GB"/>
        </w:rPr>
        <w:t>ed to pyruvate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which generates little ATP and reduced electron carriers. In the presence of oxygen, pyruvate goes in</w:t>
      </w:r>
      <w:r w:rsidR="004F68E0">
        <w:rPr>
          <w:rFonts w:ascii="Times New Roman" w:eastAsia="Times New Roman" w:hAnsi="Times New Roman" w:cs="Times New Roman"/>
          <w:sz w:val="24"/>
          <w:szCs w:val="24"/>
          <w:lang w:val="en-GB"/>
        </w:rPr>
        <w:t>to the</w:t>
      </w:r>
      <w:r w:rsidRPr="004F68E0">
        <w:rPr>
          <w:rFonts w:ascii="Times New Roman" w:eastAsia="Times New Roman" w:hAnsi="Times New Roman" w:cs="Times New Roman"/>
          <w:sz w:val="24"/>
          <w:szCs w:val="24"/>
          <w:lang w:val="en-GB"/>
        </w:rPr>
        <w:t xml:space="preserve"> mitochondria, turns into acetyl-CoA and enters the tricarboxylic acid cycle. Then, NADH and FADH2 donate high</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energy electrons to the respiratory chain (Li et al. 2023). Oxygen is the ultimate electron acceptor in oxidative phosphorylation and ATP production (most of the ATP). This is a sequence which assists with cell maintenance that needs to be undertaken.</w:t>
      </w:r>
    </w:p>
    <w:p w14:paraId="5BB7EF2E"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But for type 2 diabetes, it doesn't indicate that the cells are starving for glucose, just that insulin-responsive tissues have complied less with the use of glucose and that they </w:t>
      </w:r>
      <w:r w:rsidR="004F68E0">
        <w:rPr>
          <w:rFonts w:ascii="Times New Roman" w:eastAsia="Times New Roman" w:hAnsi="Times New Roman" w:cs="Times New Roman"/>
          <w:sz w:val="24"/>
          <w:szCs w:val="24"/>
          <w:lang w:val="en-GB"/>
        </w:rPr>
        <w:t>hav</w:t>
      </w:r>
      <w:r w:rsidRPr="004F68E0">
        <w:rPr>
          <w:rFonts w:ascii="Times New Roman" w:eastAsia="Times New Roman" w:hAnsi="Times New Roman" w:cs="Times New Roman"/>
          <w:sz w:val="24"/>
          <w:szCs w:val="24"/>
          <w:lang w:val="en-GB"/>
        </w:rPr>
        <w:t>e become "insulin</w:t>
      </w:r>
      <w:r w:rsidR="004F68E0">
        <w:rPr>
          <w:rFonts w:ascii="Times New Roman" w:eastAsia="Times New Roman" w:hAnsi="Times New Roman" w:cs="Times New Roman"/>
          <w:sz w:val="24"/>
          <w:szCs w:val="24"/>
          <w:lang w:val="en-GB"/>
        </w:rPr>
        <w:t>-resistant</w:t>
      </w:r>
      <w:r w:rsidRPr="004F68E0">
        <w:rPr>
          <w:rFonts w:ascii="Times New Roman" w:eastAsia="Times New Roman" w:hAnsi="Times New Roman" w:cs="Times New Roman"/>
          <w:sz w:val="24"/>
          <w:szCs w:val="24"/>
          <w:lang w:val="en-GB"/>
        </w:rPr>
        <w:t>". Of particular significance is one kind of muscle, one that accounts (along with other factors) for a large proportion of insulin's glucose disposal power: skeletal muscle. There is decreased GLUT4 translocation, glucose phosphorylation and oxidation decreases</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and there is competition from excess fatty acids, which lowers glucose use after eating (Logesh et al. 2024). </w:t>
      </w:r>
      <w:r w:rsidRPr="004F68E0">
        <w:rPr>
          <w:rFonts w:ascii="Times New Roman" w:eastAsia="Times New Roman" w:hAnsi="Times New Roman" w:cs="Times New Roman"/>
          <w:sz w:val="24"/>
          <w:szCs w:val="24"/>
          <w:lang w:val="en-GB"/>
        </w:rPr>
        <w:lastRenderedPageBreak/>
        <w:t xml:space="preserve">Glucose production </w:t>
      </w:r>
      <w:r w:rsidR="004F68E0">
        <w:rPr>
          <w:rFonts w:ascii="Times New Roman" w:eastAsia="Times New Roman" w:hAnsi="Times New Roman" w:cs="Times New Roman"/>
          <w:sz w:val="24"/>
          <w:szCs w:val="24"/>
          <w:lang w:val="en-GB"/>
        </w:rPr>
        <w:t>in</w:t>
      </w:r>
      <w:r w:rsidRPr="004F68E0">
        <w:rPr>
          <w:rFonts w:ascii="Times New Roman" w:eastAsia="Times New Roman" w:hAnsi="Times New Roman" w:cs="Times New Roman"/>
          <w:sz w:val="24"/>
          <w:szCs w:val="24"/>
          <w:lang w:val="en-GB"/>
        </w:rPr>
        <w:t xml:space="preserve"> the liver goes on at the same time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and there is a paradox of plenty of extracellular fuel and limited use of intracellular fuel.</w:t>
      </w:r>
    </w:p>
    <w:p w14:paraId="3A5F9765"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Chronic hyperglycaemia leads to elevated mitochondrial ROS and is known to cause defects in mitochondrial fusion, fission and QC. Mitochondrial dysfunction has been suggested to decrease ATP efficiency and thus enhance the presence of inflammation and vascular damage, but to not be given as the only factor that could initiate insulin resistance (Wang et al. 2023). This is a two</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way street: nutrient overload can affect mitochondria's function, while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for instance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lesser growth of the mitochondria can affect metabolic control. Therefore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managing well will prevent just lowering the glucose, and increase the muscles</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requirement for energy without causing substrate overload.</w:t>
      </w:r>
    </w:p>
    <w:p w14:paraId="003FD5D0" w14:textId="77777777" w:rsidR="0032279F" w:rsidRPr="004F68E0" w:rsidRDefault="009320F1" w:rsidP="004F68E0">
      <w:pPr>
        <w:pStyle w:val="Heading1"/>
        <w:rPr>
          <w:lang w:val="en-GB"/>
        </w:rPr>
      </w:pPr>
      <w:bookmarkStart w:id="3" w:name="_Toc235460452"/>
      <w:r w:rsidRPr="004F68E0">
        <w:rPr>
          <w:lang w:val="en-GB"/>
        </w:rPr>
        <w:t>Recording and Tracking Blood Sugar Levels</w:t>
      </w:r>
      <w:bookmarkEnd w:id="3"/>
    </w:p>
    <w:p w14:paraId="2BFA310E"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That </w:t>
      </w:r>
      <w:r w:rsidR="004F68E0">
        <w:rPr>
          <w:rFonts w:ascii="Times New Roman" w:eastAsia="Times New Roman" w:hAnsi="Times New Roman" w:cs="Times New Roman"/>
          <w:sz w:val="24"/>
          <w:szCs w:val="24"/>
          <w:lang w:val="en-GB"/>
        </w:rPr>
        <w:t>glucose information</w:t>
      </w:r>
      <w:r w:rsidRPr="004F68E0">
        <w:rPr>
          <w:rFonts w:ascii="Times New Roman" w:eastAsia="Times New Roman" w:hAnsi="Times New Roman" w:cs="Times New Roman"/>
          <w:sz w:val="24"/>
          <w:szCs w:val="24"/>
          <w:lang w:val="en-GB"/>
        </w:rPr>
        <w:t xml:space="preserve"> becomes pattern information for us when we are monitoring. HbA1c shows the response to food, exercise, illness and/or use of medicines for an average exposure over the past months, whereas capillary testing and CGM are measures of response to these event triggers. NICE recommends that HbA1c should be measured three to six months after diagnosis and therapy is changed, but subsequently </w:t>
      </w:r>
      <w:r w:rsidR="004F68E0">
        <w:rPr>
          <w:rFonts w:ascii="Times New Roman" w:eastAsia="Times New Roman" w:hAnsi="Times New Roman" w:cs="Times New Roman"/>
          <w:sz w:val="24"/>
          <w:szCs w:val="24"/>
          <w:lang w:val="en-GB"/>
        </w:rPr>
        <w:t xml:space="preserve">every </w:t>
      </w:r>
      <w:r w:rsidRPr="004F68E0">
        <w:rPr>
          <w:rFonts w:ascii="Times New Roman" w:eastAsia="Times New Roman" w:hAnsi="Times New Roman" w:cs="Times New Roman"/>
          <w:sz w:val="24"/>
          <w:szCs w:val="24"/>
          <w:lang w:val="en-GB"/>
        </w:rPr>
        <w:t>six months or so (NICE, 2025). Anaemia, red-cell turnover, haemoglobin variants, and kidney disease all affect HbA1c</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and so it should not be used alone.</w:t>
      </w:r>
    </w:p>
    <w:p w14:paraId="3838AB2C"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Only self</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monitoring where it results in a behavioural change. If we do not have a reading related to time, feeding, exercise, signs, </w:t>
      </w:r>
      <w:r w:rsidR="004F68E0">
        <w:rPr>
          <w:rFonts w:ascii="Times New Roman" w:eastAsia="Times New Roman" w:hAnsi="Times New Roman" w:cs="Times New Roman"/>
          <w:sz w:val="24"/>
          <w:szCs w:val="24"/>
          <w:lang w:val="en-GB"/>
        </w:rPr>
        <w:t xml:space="preserve">or </w:t>
      </w:r>
      <w:r w:rsidRPr="004F68E0">
        <w:rPr>
          <w:rFonts w:ascii="Times New Roman" w:eastAsia="Times New Roman" w:hAnsi="Times New Roman" w:cs="Times New Roman"/>
          <w:sz w:val="24"/>
          <w:szCs w:val="24"/>
          <w:lang w:val="en-GB"/>
        </w:rPr>
        <w:t xml:space="preserve">medication, there will be </w:t>
      </w:r>
      <w:r w:rsidR="004F68E0">
        <w:rPr>
          <w:rFonts w:ascii="Times New Roman" w:eastAsia="Times New Roman" w:hAnsi="Times New Roman" w:cs="Times New Roman"/>
          <w:sz w:val="24"/>
          <w:szCs w:val="24"/>
          <w:lang w:val="en-GB"/>
        </w:rPr>
        <w:t xml:space="preserve">a </w:t>
      </w:r>
      <w:r w:rsidRPr="004F68E0">
        <w:rPr>
          <w:rFonts w:ascii="Times New Roman" w:eastAsia="Times New Roman" w:hAnsi="Times New Roman" w:cs="Times New Roman"/>
          <w:sz w:val="24"/>
          <w:szCs w:val="24"/>
          <w:lang w:val="en-GB"/>
        </w:rPr>
        <w:t xml:space="preserve">cost and burden to do the same reading without gaining </w:t>
      </w:r>
      <w:r w:rsidR="004F68E0">
        <w:rPr>
          <w:rFonts w:ascii="Times New Roman" w:eastAsia="Times New Roman" w:hAnsi="Times New Roman" w:cs="Times New Roman"/>
          <w:sz w:val="24"/>
          <w:szCs w:val="24"/>
          <w:lang w:val="en-GB"/>
        </w:rPr>
        <w:t xml:space="preserve">the </w:t>
      </w:r>
      <w:r w:rsidRPr="004F68E0">
        <w:rPr>
          <w:rFonts w:ascii="Times New Roman" w:eastAsia="Times New Roman" w:hAnsi="Times New Roman" w:cs="Times New Roman"/>
          <w:sz w:val="24"/>
          <w:szCs w:val="24"/>
          <w:lang w:val="en-GB"/>
        </w:rPr>
        <w:t>benefit of decision</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making. Test</w:t>
      </w:r>
      <w:r w:rsidR="004F68E0">
        <w:rPr>
          <w:rFonts w:ascii="Times New Roman" w:eastAsia="Times New Roman" w:hAnsi="Times New Roman" w:cs="Times New Roman"/>
          <w:sz w:val="24"/>
          <w:szCs w:val="24"/>
          <w:lang w:val="en-GB"/>
        </w:rPr>
        <w:t>s</w:t>
      </w:r>
      <w:r w:rsidRPr="004F68E0">
        <w:rPr>
          <w:rFonts w:ascii="Times New Roman" w:eastAsia="Times New Roman" w:hAnsi="Times New Roman" w:cs="Times New Roman"/>
          <w:sz w:val="24"/>
          <w:szCs w:val="24"/>
          <w:lang w:val="en-GB"/>
        </w:rPr>
        <w:t xml:space="preserve"> can be used to help identify hypoglycaemia and to assist with insulin dose adjustment in insulin</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treated patients (Diabetes Journal, 2025). Frequency of testing should be based on individual clinical need, but for those not taking insulin, </w:t>
      </w:r>
      <w:r w:rsidR="004F68E0">
        <w:rPr>
          <w:rFonts w:ascii="Times New Roman" w:eastAsia="Times New Roman" w:hAnsi="Times New Roman" w:cs="Times New Roman"/>
          <w:sz w:val="24"/>
          <w:szCs w:val="24"/>
          <w:lang w:val="en-GB"/>
        </w:rPr>
        <w:t xml:space="preserve">it </w:t>
      </w:r>
      <w:r w:rsidRPr="004F68E0">
        <w:rPr>
          <w:rFonts w:ascii="Times New Roman" w:eastAsia="Times New Roman" w:hAnsi="Times New Roman" w:cs="Times New Roman"/>
          <w:sz w:val="24"/>
          <w:szCs w:val="24"/>
          <w:lang w:val="en-GB"/>
        </w:rPr>
        <w:t>may be warranted to help explain post</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meal patterns, to identify if a person has had an illness</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related increase or if a person has been prescribed a new medication or medication has changed. When meters are defective or the technique is not proper, it may lead to improper treatment changes.</w:t>
      </w:r>
    </w:p>
    <w:p w14:paraId="710B8AFA"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With CGM, you can obtain data such as time in range (TIR), time above range (TBR), time below range (TBR) and variability data. A 2024 meta-analysis of RCTs found a small beneficial effect on HbA1c and time in range (TIR) metrics when compared with finger</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prick monitoring, but there were not enough results to provide conclusions about long-term vascular outcomes. They should </w:t>
      </w:r>
      <w:r w:rsidRPr="004F68E0">
        <w:rPr>
          <w:rFonts w:ascii="Times New Roman" w:eastAsia="Times New Roman" w:hAnsi="Times New Roman" w:cs="Times New Roman"/>
          <w:sz w:val="24"/>
          <w:szCs w:val="24"/>
          <w:lang w:val="en-GB"/>
        </w:rPr>
        <w:lastRenderedPageBreak/>
        <w:t>therefore reali</w:t>
      </w:r>
      <w:r w:rsidR="004F68E0">
        <w:rPr>
          <w:rFonts w:ascii="Times New Roman" w:eastAsia="Times New Roman" w:hAnsi="Times New Roman" w:cs="Times New Roman"/>
          <w:sz w:val="24"/>
          <w:szCs w:val="24"/>
          <w:lang w:val="en-GB"/>
        </w:rPr>
        <w:t>s</w:t>
      </w:r>
      <w:r w:rsidRPr="004F68E0">
        <w:rPr>
          <w:rFonts w:ascii="Times New Roman" w:eastAsia="Times New Roman" w:hAnsi="Times New Roman" w:cs="Times New Roman"/>
          <w:sz w:val="24"/>
          <w:szCs w:val="24"/>
          <w:lang w:val="en-GB"/>
        </w:rPr>
        <w:t>e that CGM is primarily for education and treatment adjustment, rather than to simply increase anxiety from moment to moment with the slight variations that can occur in glucose levels (</w:t>
      </w:r>
      <w:proofErr w:type="spellStart"/>
      <w:r w:rsidRPr="004F68E0">
        <w:rPr>
          <w:rFonts w:ascii="Times New Roman" w:eastAsia="Times New Roman" w:hAnsi="Times New Roman" w:cs="Times New Roman"/>
          <w:sz w:val="24"/>
          <w:szCs w:val="24"/>
          <w:lang w:val="en-GB"/>
        </w:rPr>
        <w:t>Jancev</w:t>
      </w:r>
      <w:proofErr w:type="spellEnd"/>
      <w:r w:rsidRPr="004F68E0">
        <w:rPr>
          <w:rFonts w:ascii="Times New Roman" w:eastAsia="Times New Roman" w:hAnsi="Times New Roman" w:cs="Times New Roman"/>
          <w:sz w:val="24"/>
          <w:szCs w:val="24"/>
          <w:lang w:val="en-GB"/>
        </w:rPr>
        <w:t xml:space="preserve"> et al. 2024). Omitting a proper trend analysis can convey an impression that hyperglycaemia is achieved, or that hypoglycaemia is being built up, or that the medicines are ineffective, or that the system is failing, thus increasing unnecessary risk levels.</w:t>
      </w:r>
    </w:p>
    <w:p w14:paraId="62DF8A69" w14:textId="77777777" w:rsidR="0032279F" w:rsidRPr="004F68E0" w:rsidRDefault="009320F1" w:rsidP="004F68E0">
      <w:pPr>
        <w:pStyle w:val="Heading1"/>
        <w:rPr>
          <w:sz w:val="24"/>
          <w:szCs w:val="24"/>
          <w:lang w:val="en-GB"/>
        </w:rPr>
      </w:pPr>
      <w:bookmarkStart w:id="4" w:name="_Toc235460453"/>
      <w:r w:rsidRPr="004F68E0">
        <w:rPr>
          <w:lang w:val="en-GB"/>
        </w:rPr>
        <w:t>Evidence-Based Recommendations</w:t>
      </w:r>
      <w:bookmarkEnd w:id="4"/>
    </w:p>
    <w:p w14:paraId="34CDC612"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Nutrition and weight management. Care must not have “A Diabetic Diet”</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it must have an individualised eating plan. During meal services, a preference should be given to non-starchy vegetables, legumes, whole grain foods, whole fruits, lean protein, nuts and less sugar-sweetened beverages, refined grains and </w:t>
      </w:r>
      <w:proofErr w:type="spellStart"/>
      <w:r w:rsidRPr="004F68E0">
        <w:rPr>
          <w:rFonts w:ascii="Times New Roman" w:eastAsia="Times New Roman" w:hAnsi="Times New Roman" w:cs="Times New Roman"/>
          <w:sz w:val="24"/>
          <w:szCs w:val="24"/>
          <w:lang w:val="en-GB"/>
        </w:rPr>
        <w:t>ultraprocessed</w:t>
      </w:r>
      <w:proofErr w:type="spellEnd"/>
      <w:r w:rsidRPr="004F68E0">
        <w:rPr>
          <w:rFonts w:ascii="Times New Roman" w:eastAsia="Times New Roman" w:hAnsi="Times New Roman" w:cs="Times New Roman"/>
          <w:sz w:val="24"/>
          <w:szCs w:val="24"/>
          <w:lang w:val="en-GB"/>
        </w:rPr>
        <w:t xml:space="preserve"> foods. Carbohydrate quantities and timing need to be adjusted to fit medicine, culture</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costs and lik</w:t>
      </w:r>
      <w:r w:rsidR="004F68E0">
        <w:rPr>
          <w:rFonts w:ascii="Times New Roman" w:eastAsia="Times New Roman" w:hAnsi="Times New Roman" w:cs="Times New Roman"/>
          <w:sz w:val="24"/>
          <w:szCs w:val="24"/>
          <w:lang w:val="en-GB"/>
        </w:rPr>
        <w:t>e</w:t>
      </w:r>
      <w:r w:rsidRPr="004F68E0">
        <w:rPr>
          <w:rFonts w:ascii="Times New Roman" w:eastAsia="Times New Roman" w:hAnsi="Times New Roman" w:cs="Times New Roman"/>
          <w:sz w:val="24"/>
          <w:szCs w:val="24"/>
          <w:lang w:val="en-GB"/>
        </w:rPr>
        <w:t xml:space="preserve">s. If insulin resistance is likely due to being overweight or obese, a structured energy deficit and behaviour management </w:t>
      </w:r>
      <w:r w:rsidR="004F68E0">
        <w:rPr>
          <w:rFonts w:ascii="Times New Roman" w:eastAsia="Times New Roman" w:hAnsi="Times New Roman" w:cs="Times New Roman"/>
          <w:sz w:val="24"/>
          <w:szCs w:val="24"/>
          <w:lang w:val="en-GB"/>
        </w:rPr>
        <w:t>are</w:t>
      </w:r>
      <w:r w:rsidRPr="004F68E0">
        <w:rPr>
          <w:rFonts w:ascii="Times New Roman" w:eastAsia="Times New Roman" w:hAnsi="Times New Roman" w:cs="Times New Roman"/>
          <w:sz w:val="24"/>
          <w:szCs w:val="24"/>
          <w:lang w:val="en-GB"/>
        </w:rPr>
        <w:t xml:space="preserve"> more defensible than an unsupervised restriction (ADAPPC, 2025). Compliance and nutritional quality, as well as cardiometabolic outcomes, are more important than food labelling.</w:t>
      </w:r>
    </w:p>
    <w:p w14:paraId="553477E8"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Weight loss (a great loss of weight) can induce remission in some recently diagnosed patients by reducing the insulin sens</w:t>
      </w:r>
      <w:r w:rsidR="004F68E0">
        <w:rPr>
          <w:rFonts w:ascii="Times New Roman" w:eastAsia="Times New Roman" w:hAnsi="Times New Roman" w:cs="Times New Roman"/>
          <w:sz w:val="24"/>
          <w:szCs w:val="24"/>
          <w:lang w:val="en-GB"/>
        </w:rPr>
        <w:t>itiv</w:t>
      </w:r>
      <w:r w:rsidRPr="004F68E0">
        <w:rPr>
          <w:rFonts w:ascii="Times New Roman" w:eastAsia="Times New Roman" w:hAnsi="Times New Roman" w:cs="Times New Roman"/>
          <w:sz w:val="24"/>
          <w:szCs w:val="24"/>
          <w:lang w:val="en-GB"/>
        </w:rPr>
        <w:t>ity and beta-cell responsiveness and lowering liver and pancreatic fat. However, those are not cured – hyperglycaemia can c</w:t>
      </w:r>
      <w:r w:rsidR="004F68E0">
        <w:rPr>
          <w:rFonts w:ascii="Times New Roman" w:eastAsia="Times New Roman" w:hAnsi="Times New Roman" w:cs="Times New Roman"/>
          <w:sz w:val="24"/>
          <w:szCs w:val="24"/>
          <w:lang w:val="en-GB"/>
        </w:rPr>
        <w:t>om</w:t>
      </w:r>
      <w:r w:rsidRPr="004F68E0">
        <w:rPr>
          <w:rFonts w:ascii="Times New Roman" w:eastAsia="Times New Roman" w:hAnsi="Times New Roman" w:cs="Times New Roman"/>
          <w:sz w:val="24"/>
          <w:szCs w:val="24"/>
          <w:lang w:val="en-GB"/>
        </w:rPr>
        <w:t xml:space="preserve">e back with weight gain or beta-cell loss. Within the project </w:t>
      </w:r>
      <w:proofErr w:type="spellStart"/>
      <w:r w:rsidRPr="004F68E0">
        <w:rPr>
          <w:rFonts w:ascii="Times New Roman" w:eastAsia="Times New Roman" w:hAnsi="Times New Roman" w:cs="Times New Roman"/>
          <w:sz w:val="24"/>
          <w:szCs w:val="24"/>
          <w:lang w:val="en-GB"/>
        </w:rPr>
        <w:t>DiRECT</w:t>
      </w:r>
      <w:proofErr w:type="spellEnd"/>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post-stratification is conducted by 5-year contact, instead of by intensive one-off contact (Lean et al. 2024). Medication withdrawal/relapse monitoring is required, particularly if there is rapid dietary adjustment that may increase risk for hypoglycaemia.</w:t>
      </w:r>
    </w:p>
    <w:p w14:paraId="58E8D12D"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Physical activity. For most adults, continue to increase moderate to vigorous aerobic activity to at least 150 minutes per week spread out over at least three days per week, and weight training 2 to 3 days per week. Exercise enhances the uptake of glucose uptake by muscle via insulin-dependent and contraction-dependent mechanisms, improves insulin sensitivity, and </w:t>
      </w:r>
      <w:r w:rsidR="004F68E0">
        <w:rPr>
          <w:rFonts w:ascii="Times New Roman" w:eastAsia="Times New Roman" w:hAnsi="Times New Roman" w:cs="Times New Roman"/>
          <w:sz w:val="24"/>
          <w:szCs w:val="24"/>
          <w:lang w:val="en-GB"/>
        </w:rPr>
        <w:t xml:space="preserve">reduces </w:t>
      </w:r>
      <w:r w:rsidRPr="004F68E0">
        <w:rPr>
          <w:rFonts w:ascii="Times New Roman" w:eastAsia="Times New Roman" w:hAnsi="Times New Roman" w:cs="Times New Roman"/>
          <w:sz w:val="24"/>
          <w:szCs w:val="24"/>
          <w:lang w:val="en-GB"/>
        </w:rPr>
        <w:t>cardiovascular risk can be reduced (Hou et al. 2023). Medications that cause foot disease, neuropathy, cardiovascular symptoms or hypoglycaemia should be considered for prescriptions. For the latter, a network meta</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analysis of 106 RCTs revealed that supervised exercises generally offer benefits for the HbA1c outcome, thus supporting planned, progressive exercises instead of generally aiming for “exercise more” (Hou et al. 2023).</w:t>
      </w:r>
    </w:p>
    <w:p w14:paraId="76AD99A4"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lastRenderedPageBreak/>
        <w:t xml:space="preserve">Smoking cessation. Regular assessments of smoking and vaping should take place. Proper interventions involve clear instructions, behavioural counselling and medicine (if necessary). A smoking ban, as part of treatment, should be addressed for diabetes and smoking increases macrovascular and microvascular risks by causing more endothelial damage to the endothelial tissues. There is moderate confidence in the evidence on the complicating effects of smoking tobacco in people with Type 2 diabetes (T2D), and especially </w:t>
      </w:r>
      <w:r w:rsidR="004F68E0">
        <w:rPr>
          <w:rFonts w:ascii="Times New Roman" w:eastAsia="Times New Roman" w:hAnsi="Times New Roman" w:cs="Times New Roman"/>
          <w:sz w:val="24"/>
          <w:szCs w:val="24"/>
          <w:lang w:val="en-GB"/>
        </w:rPr>
        <w:t>concerning</w:t>
      </w:r>
      <w:r w:rsidRPr="004F68E0">
        <w:rPr>
          <w:rFonts w:ascii="Times New Roman" w:eastAsia="Times New Roman" w:hAnsi="Times New Roman" w:cs="Times New Roman"/>
          <w:sz w:val="24"/>
          <w:szCs w:val="24"/>
          <w:lang w:val="en-GB"/>
        </w:rPr>
        <w:t xml:space="preserve"> cardiovascular death; the evidence on magnitude and timing of beneficial effects of abstaining from smoking tobacco is less complete (Walicka et al. 2024). People needing support need to know they can count on it and that support will be available when they need it–and not only after they stop.</w:t>
      </w:r>
    </w:p>
    <w:p w14:paraId="7CEC10CD"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Continuous monitoring of complications, education and drug treatment. Medicines should be adhered to as agreed, evaluated for efficacy along with side effects and/or hypoglycaemic risk and the person's renal function, CV benefit and treatment/budgetary burden evaluated. Structured DSME, using shared goals and problem solving/culturally appropriate information</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should be used. Diabetes Care (2026) recommends the following annual assessment: eGFR, urine ACR, foot and neuropathy, retina and blood-pressure assessments, and lipid-management assessment. These checks find damage before the damage is done and enable treatment of that protection to be increased. Besides the implementation of sick</w:t>
      </w:r>
      <w:r w:rsid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sz w:val="24"/>
          <w:szCs w:val="24"/>
          <w:lang w:val="en-GB"/>
        </w:rPr>
        <w:t xml:space="preserve">day legislation, awareness and action in the event of hypo- and hyperglycaemia, and access to medicines, education should involve clear pathways for escalation (Diabetes Care, 2026). Consider other factors that may have led to additional difficulties </w:t>
      </w:r>
      <w:r w:rsidR="004F68E0">
        <w:rPr>
          <w:rFonts w:ascii="Times New Roman" w:eastAsia="Times New Roman" w:hAnsi="Times New Roman" w:cs="Times New Roman"/>
          <w:sz w:val="24"/>
          <w:szCs w:val="24"/>
          <w:lang w:val="en-GB"/>
        </w:rPr>
        <w:t>in</w:t>
      </w:r>
      <w:r w:rsidRPr="004F68E0">
        <w:rPr>
          <w:rFonts w:ascii="Times New Roman" w:eastAsia="Times New Roman" w:hAnsi="Times New Roman" w:cs="Times New Roman"/>
          <w:sz w:val="24"/>
          <w:szCs w:val="24"/>
          <w:lang w:val="en-GB"/>
        </w:rPr>
        <w:t xml:space="preserve"> receiving care: food insecurity, low health literacy, transportation problems, depression and medication costs. All these can render a seemingly viable plan </w:t>
      </w:r>
      <w:r w:rsidR="004F68E0">
        <w:rPr>
          <w:rFonts w:ascii="Times New Roman" w:eastAsia="Times New Roman" w:hAnsi="Times New Roman" w:cs="Times New Roman"/>
          <w:sz w:val="24"/>
          <w:szCs w:val="24"/>
          <w:lang w:val="en-GB"/>
        </w:rPr>
        <w:t xml:space="preserve">of </w:t>
      </w:r>
      <w:r w:rsidRPr="004F68E0">
        <w:rPr>
          <w:rFonts w:ascii="Times New Roman" w:eastAsia="Times New Roman" w:hAnsi="Times New Roman" w:cs="Times New Roman"/>
          <w:sz w:val="24"/>
          <w:szCs w:val="24"/>
          <w:lang w:val="en-GB"/>
        </w:rPr>
        <w:t xml:space="preserve">inaction. Therefore, there is </w:t>
      </w:r>
      <w:r w:rsidR="004F68E0">
        <w:rPr>
          <w:rFonts w:ascii="Times New Roman" w:eastAsia="Times New Roman" w:hAnsi="Times New Roman" w:cs="Times New Roman"/>
          <w:sz w:val="24"/>
          <w:szCs w:val="24"/>
          <w:lang w:val="en-GB"/>
        </w:rPr>
        <w:t>a</w:t>
      </w:r>
      <w:r w:rsidRPr="004F68E0">
        <w:rPr>
          <w:rFonts w:ascii="Times New Roman" w:eastAsia="Times New Roman" w:hAnsi="Times New Roman" w:cs="Times New Roman"/>
          <w:sz w:val="24"/>
          <w:szCs w:val="24"/>
          <w:lang w:val="en-GB"/>
        </w:rPr>
        <w:t xml:space="preserve"> need to use teach-back, agree </w:t>
      </w:r>
      <w:r w:rsidR="004F68E0">
        <w:rPr>
          <w:rFonts w:ascii="Times New Roman" w:eastAsia="Times New Roman" w:hAnsi="Times New Roman" w:cs="Times New Roman"/>
          <w:sz w:val="24"/>
          <w:szCs w:val="24"/>
          <w:lang w:val="en-GB"/>
        </w:rPr>
        <w:t xml:space="preserve">on </w:t>
      </w:r>
      <w:r w:rsidRPr="004F68E0">
        <w:rPr>
          <w:rFonts w:ascii="Times New Roman" w:eastAsia="Times New Roman" w:hAnsi="Times New Roman" w:cs="Times New Roman"/>
          <w:sz w:val="24"/>
          <w:szCs w:val="24"/>
          <w:lang w:val="en-GB"/>
        </w:rPr>
        <w:t>small measurable goals, set up follow</w:t>
      </w:r>
      <w:r w:rsidR="004F68E0">
        <w:rPr>
          <w:rFonts w:ascii="Times New Roman" w:eastAsia="Times New Roman" w:hAnsi="Times New Roman" w:cs="Times New Roman"/>
          <w:sz w:val="24"/>
          <w:szCs w:val="24"/>
          <w:lang w:val="en-GB"/>
        </w:rPr>
        <w:t>-up,</w:t>
      </w:r>
      <w:r w:rsidRPr="004F68E0">
        <w:rPr>
          <w:rFonts w:ascii="Times New Roman" w:eastAsia="Times New Roman" w:hAnsi="Times New Roman" w:cs="Times New Roman"/>
          <w:sz w:val="24"/>
          <w:szCs w:val="24"/>
          <w:lang w:val="en-GB"/>
        </w:rPr>
        <w:t xml:space="preserve"> and coordinate referrals, so as to prevent “information given once.”</w:t>
      </w:r>
    </w:p>
    <w:p w14:paraId="074D7BCB" w14:textId="77777777" w:rsidR="0032279F" w:rsidRPr="004F68E0" w:rsidRDefault="009320F1" w:rsidP="004F68E0">
      <w:pPr>
        <w:pStyle w:val="Heading1"/>
        <w:rPr>
          <w:lang w:val="en-GB"/>
        </w:rPr>
      </w:pPr>
      <w:bookmarkStart w:id="5" w:name="_Toc235460454"/>
      <w:r w:rsidRPr="004F68E0">
        <w:rPr>
          <w:lang w:val="en-GB"/>
        </w:rPr>
        <w:t>Conclusion</w:t>
      </w:r>
      <w:bookmarkEnd w:id="5"/>
    </w:p>
    <w:p w14:paraId="4292BCD7" w14:textId="77777777" w:rsidR="0032279F" w:rsidRPr="004F68E0" w:rsidRDefault="009320F1">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Type 2 diabetes is characteri</w:t>
      </w:r>
      <w:r w:rsidR="004F68E0">
        <w:rPr>
          <w:rFonts w:ascii="Times New Roman" w:eastAsia="Times New Roman" w:hAnsi="Times New Roman" w:cs="Times New Roman"/>
          <w:sz w:val="24"/>
          <w:szCs w:val="24"/>
          <w:lang w:val="en-GB"/>
        </w:rPr>
        <w:t>s</w:t>
      </w:r>
      <w:r w:rsidRPr="004F68E0">
        <w:rPr>
          <w:rFonts w:ascii="Times New Roman" w:eastAsia="Times New Roman" w:hAnsi="Times New Roman" w:cs="Times New Roman"/>
          <w:sz w:val="24"/>
          <w:szCs w:val="24"/>
          <w:lang w:val="en-GB"/>
        </w:rPr>
        <w:t xml:space="preserve">ed by an inability to maintain glucose homeostasis in the face of increasing insulin resistance and increasing glucose production by the liver and/or a progressive decrease in the ability of the pancreas' beta cells. Although glucose and O2 are still required for ATP production </w:t>
      </w:r>
      <w:r w:rsidR="004F68E0">
        <w:rPr>
          <w:rFonts w:ascii="Times New Roman" w:eastAsia="Times New Roman" w:hAnsi="Times New Roman" w:cs="Times New Roman"/>
          <w:sz w:val="24"/>
          <w:szCs w:val="24"/>
          <w:lang w:val="en-GB"/>
        </w:rPr>
        <w:t>in</w:t>
      </w:r>
      <w:r w:rsidRPr="004F68E0">
        <w:rPr>
          <w:rFonts w:ascii="Times New Roman" w:eastAsia="Times New Roman" w:hAnsi="Times New Roman" w:cs="Times New Roman"/>
          <w:sz w:val="24"/>
          <w:szCs w:val="24"/>
          <w:lang w:val="en-GB"/>
        </w:rPr>
        <w:t xml:space="preserve"> mitochondria, metabolic regulation is not carried out efficiently in multiple organs. Proper care includes glucose monitoring and food, weight, exercise, quit smoking programs and the appropriate medication</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t xml:space="preserve"> as well as systematic complication screening. Person</w:t>
      </w:r>
      <w:r w:rsidR="004F68E0">
        <w:rPr>
          <w:rFonts w:ascii="Times New Roman" w:eastAsia="Times New Roman" w:hAnsi="Times New Roman" w:cs="Times New Roman"/>
          <w:sz w:val="24"/>
          <w:szCs w:val="24"/>
          <w:lang w:val="en-GB"/>
        </w:rPr>
        <w:t>-</w:t>
      </w:r>
      <w:r w:rsidRPr="004F68E0">
        <w:rPr>
          <w:rFonts w:ascii="Times New Roman" w:eastAsia="Times New Roman" w:hAnsi="Times New Roman" w:cs="Times New Roman"/>
          <w:sz w:val="24"/>
          <w:szCs w:val="24"/>
          <w:lang w:val="en-GB"/>
        </w:rPr>
        <w:lastRenderedPageBreak/>
        <w:t>centred and analytical: data in service of action with targets specifically linked to benefit vs harm, and recommendations focused on biological</w:t>
      </w:r>
      <w:r w:rsidR="004F68E0">
        <w:rPr>
          <w:rFonts w:ascii="Times New Roman" w:eastAsia="Times New Roman" w:hAnsi="Times New Roman" w:cs="Times New Roman"/>
          <w:sz w:val="24"/>
          <w:szCs w:val="24"/>
          <w:lang w:val="en-GB"/>
        </w:rPr>
        <w:t xml:space="preserve"> and</w:t>
      </w:r>
      <w:r w:rsidRPr="004F68E0">
        <w:rPr>
          <w:rFonts w:ascii="Times New Roman" w:eastAsia="Times New Roman" w:hAnsi="Times New Roman" w:cs="Times New Roman"/>
          <w:sz w:val="24"/>
          <w:szCs w:val="24"/>
          <w:lang w:val="en-GB"/>
        </w:rPr>
        <w:t xml:space="preserve"> social issues, rather than blame.</w:t>
      </w:r>
      <w:r w:rsidRPr="004F68E0">
        <w:rPr>
          <w:lang w:val="en-GB"/>
        </w:rPr>
        <w:br w:type="page"/>
      </w:r>
    </w:p>
    <w:p w14:paraId="12635063" w14:textId="77777777" w:rsidR="0032279F" w:rsidRPr="004F68E0" w:rsidRDefault="009320F1" w:rsidP="004F68E0">
      <w:pPr>
        <w:pStyle w:val="Heading1"/>
        <w:rPr>
          <w:lang w:val="en-GB"/>
        </w:rPr>
      </w:pPr>
      <w:bookmarkStart w:id="6" w:name="_Toc235460455"/>
      <w:r w:rsidRPr="004F68E0">
        <w:rPr>
          <w:lang w:val="en-GB"/>
        </w:rPr>
        <w:lastRenderedPageBreak/>
        <w:t>References</w:t>
      </w:r>
      <w:bookmarkEnd w:id="6"/>
    </w:p>
    <w:p w14:paraId="070F95FF"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ADAPPC, 2024. Standards of Care in Diabetes—2024. </w:t>
      </w:r>
      <w:r w:rsidRPr="004F68E0">
        <w:rPr>
          <w:rFonts w:ascii="Times New Roman" w:hAnsi="Times New Roman" w:cs="Times New Roman"/>
          <w:i/>
          <w:iCs/>
          <w:color w:val="222222"/>
          <w:sz w:val="24"/>
          <w:szCs w:val="24"/>
          <w:highlight w:val="white"/>
          <w:lang w:val="en-GB"/>
        </w:rPr>
        <w:t>Diabetes Care</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47</w:t>
      </w:r>
      <w:r w:rsidRPr="004F68E0">
        <w:rPr>
          <w:rFonts w:ascii="Times New Roman" w:hAnsi="Times New Roman" w:cs="Times New Roman"/>
          <w:color w:val="222222"/>
          <w:sz w:val="24"/>
          <w:szCs w:val="24"/>
          <w:highlight w:val="white"/>
          <w:lang w:val="en-GB"/>
        </w:rPr>
        <w:t>, p.S77.</w:t>
      </w:r>
      <w:r w:rsidRPr="004F68E0">
        <w:rPr>
          <w:rFonts w:ascii="Times New Roman" w:eastAsia="Times New Roman" w:hAnsi="Times New Roman" w:cs="Times New Roman"/>
          <w:sz w:val="24"/>
          <w:szCs w:val="24"/>
          <w:lang w:val="en-GB"/>
        </w:rPr>
        <w:t xml:space="preserve">  Available at: </w:t>
      </w:r>
      <w:hyperlink r:id="rId10">
        <w:r w:rsidRPr="004F68E0">
          <w:rPr>
            <w:rFonts w:ascii="Times New Roman" w:eastAsia="Times New Roman" w:hAnsi="Times New Roman" w:cs="Times New Roman"/>
            <w:color w:val="1155CC"/>
            <w:sz w:val="24"/>
            <w:szCs w:val="24"/>
            <w:u w:val="single"/>
            <w:lang w:val="en-GB"/>
          </w:rPr>
          <w:t>https://europepmc.org/article/pmc/pmc10725816</w:t>
        </w:r>
      </w:hyperlink>
      <w:r w:rsidRPr="004F68E0">
        <w:rPr>
          <w:rFonts w:ascii="Times New Roman" w:eastAsia="Times New Roman" w:hAnsi="Times New Roman" w:cs="Times New Roman"/>
          <w:sz w:val="24"/>
          <w:szCs w:val="24"/>
          <w:lang w:val="en-GB"/>
        </w:rPr>
        <w:t xml:space="preserve"> (Accessed: 20 July 2026).</w:t>
      </w:r>
    </w:p>
    <w:p w14:paraId="7BFA1BAB"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Care, D., 2024. 2. Diagnosis and classification of diabetes: Standards of care in diabetes—2024. </w:t>
      </w:r>
      <w:r w:rsidRPr="004F68E0">
        <w:rPr>
          <w:rFonts w:ascii="Times New Roman" w:hAnsi="Times New Roman" w:cs="Times New Roman"/>
          <w:i/>
          <w:iCs/>
          <w:color w:val="222222"/>
          <w:sz w:val="24"/>
          <w:szCs w:val="24"/>
          <w:highlight w:val="white"/>
          <w:lang w:val="en-GB"/>
        </w:rPr>
        <w:t>Diabetes Care</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47</w:t>
      </w:r>
      <w:r w:rsidRPr="004F68E0">
        <w:rPr>
          <w:rFonts w:ascii="Times New Roman" w:hAnsi="Times New Roman" w:cs="Times New Roman"/>
          <w:color w:val="222222"/>
          <w:sz w:val="24"/>
          <w:szCs w:val="24"/>
          <w:highlight w:val="white"/>
          <w:lang w:val="en-GB"/>
        </w:rPr>
        <w:t xml:space="preserve">(Suppl 1), </w:t>
      </w:r>
      <w:proofErr w:type="gramStart"/>
      <w:r w:rsidRPr="004F68E0">
        <w:rPr>
          <w:rFonts w:ascii="Times New Roman" w:hAnsi="Times New Roman" w:cs="Times New Roman"/>
          <w:color w:val="222222"/>
          <w:sz w:val="24"/>
          <w:szCs w:val="24"/>
          <w:highlight w:val="white"/>
          <w:lang w:val="en-GB"/>
        </w:rPr>
        <w:t>pp.S</w:t>
      </w:r>
      <w:proofErr w:type="gramEnd"/>
      <w:r w:rsidRPr="004F68E0">
        <w:rPr>
          <w:rFonts w:ascii="Times New Roman" w:hAnsi="Times New Roman" w:cs="Times New Roman"/>
          <w:color w:val="222222"/>
          <w:sz w:val="24"/>
          <w:szCs w:val="24"/>
          <w:highlight w:val="white"/>
          <w:lang w:val="en-GB"/>
        </w:rPr>
        <w:t>20-s42.</w:t>
      </w:r>
      <w:r w:rsidRPr="004F68E0">
        <w:rPr>
          <w:rFonts w:ascii="Times New Roman" w:eastAsia="Times New Roman" w:hAnsi="Times New Roman" w:cs="Times New Roman"/>
          <w:sz w:val="24"/>
          <w:szCs w:val="24"/>
          <w:lang w:val="en-GB"/>
        </w:rPr>
        <w:t xml:space="preserve"> Available at: </w:t>
      </w:r>
      <w:hyperlink r:id="rId11">
        <w:r w:rsidRPr="004F68E0">
          <w:rPr>
            <w:rFonts w:ascii="Times New Roman" w:eastAsia="Times New Roman" w:hAnsi="Times New Roman" w:cs="Times New Roman"/>
            <w:color w:val="1155CC"/>
            <w:sz w:val="24"/>
            <w:szCs w:val="24"/>
            <w:u w:val="single"/>
            <w:lang w:val="en-GB"/>
          </w:rPr>
          <w:t>https://saigaiin.sakura.ne.jp/sblo_files/saigaiin/image/DM20E8A8BAE696AD.pdf</w:t>
        </w:r>
      </w:hyperlink>
      <w:r w:rsidRPr="004F68E0">
        <w:rPr>
          <w:rFonts w:ascii="Times New Roman" w:eastAsia="Times New Roman" w:hAnsi="Times New Roman" w:cs="Times New Roman"/>
          <w:sz w:val="24"/>
          <w:szCs w:val="24"/>
          <w:lang w:val="en-GB"/>
        </w:rPr>
        <w:t xml:space="preserve"> (Accessed: 20 July 2026).</w:t>
      </w:r>
    </w:p>
    <w:p w14:paraId="45046CA0"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Diabetes Care (2025) </w:t>
      </w:r>
      <w:r w:rsidRPr="004F68E0">
        <w:rPr>
          <w:rFonts w:ascii="Times New Roman" w:eastAsia="Times New Roman" w:hAnsi="Times New Roman" w:cs="Times New Roman"/>
          <w:i/>
          <w:iCs/>
          <w:sz w:val="24"/>
          <w:szCs w:val="24"/>
          <w:lang w:val="en-GB"/>
        </w:rPr>
        <w:t xml:space="preserve">6. </w:t>
      </w:r>
      <w:proofErr w:type="spellStart"/>
      <w:r w:rsidRPr="004F68E0">
        <w:rPr>
          <w:rFonts w:ascii="Times New Roman" w:eastAsia="Times New Roman" w:hAnsi="Times New Roman" w:cs="Times New Roman"/>
          <w:i/>
          <w:iCs/>
          <w:sz w:val="24"/>
          <w:szCs w:val="24"/>
          <w:lang w:val="en-GB"/>
        </w:rPr>
        <w:t>glycemic</w:t>
      </w:r>
      <w:proofErr w:type="spellEnd"/>
      <w:r w:rsidRPr="004F68E0">
        <w:rPr>
          <w:rFonts w:ascii="Times New Roman" w:eastAsia="Times New Roman" w:hAnsi="Times New Roman" w:cs="Times New Roman"/>
          <w:i/>
          <w:iCs/>
          <w:sz w:val="24"/>
          <w:szCs w:val="24"/>
          <w:lang w:val="en-GB"/>
        </w:rPr>
        <w:t xml:space="preserve"> goals and </w:t>
      </w:r>
      <w:proofErr w:type="spellStart"/>
      <w:r w:rsidRPr="004F68E0">
        <w:rPr>
          <w:rFonts w:ascii="Times New Roman" w:eastAsia="Times New Roman" w:hAnsi="Times New Roman" w:cs="Times New Roman"/>
          <w:i/>
          <w:iCs/>
          <w:sz w:val="24"/>
          <w:szCs w:val="24"/>
          <w:lang w:val="en-GB"/>
        </w:rPr>
        <w:t>hypoglycemia</w:t>
      </w:r>
      <w:proofErr w:type="spellEnd"/>
      <w:r w:rsidRPr="004F68E0">
        <w:rPr>
          <w:rFonts w:ascii="Times New Roman" w:eastAsia="Times New Roman" w:hAnsi="Times New Roman" w:cs="Times New Roman"/>
          <w:i/>
          <w:iCs/>
          <w:sz w:val="24"/>
          <w:szCs w:val="24"/>
          <w:lang w:val="en-GB"/>
        </w:rPr>
        <w:t xml:space="preserve">: Standards of care in diabetes—2025 | diabetes care | </w:t>
      </w:r>
      <w:proofErr w:type="spellStart"/>
      <w:r w:rsidRPr="004F68E0">
        <w:rPr>
          <w:rFonts w:ascii="Times New Roman" w:eastAsia="Times New Roman" w:hAnsi="Times New Roman" w:cs="Times New Roman"/>
          <w:i/>
          <w:iCs/>
          <w:sz w:val="24"/>
          <w:szCs w:val="24"/>
          <w:lang w:val="en-GB"/>
        </w:rPr>
        <w:t>american</w:t>
      </w:r>
      <w:proofErr w:type="spellEnd"/>
      <w:r w:rsidRPr="004F68E0">
        <w:rPr>
          <w:rFonts w:ascii="Times New Roman" w:eastAsia="Times New Roman" w:hAnsi="Times New Roman" w:cs="Times New Roman"/>
          <w:i/>
          <w:iCs/>
          <w:sz w:val="24"/>
          <w:szCs w:val="24"/>
          <w:lang w:val="en-GB"/>
        </w:rPr>
        <w:t xml:space="preserve"> diabetes association</w:t>
      </w:r>
      <w:r w:rsidRP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i/>
          <w:iCs/>
          <w:sz w:val="24"/>
          <w:szCs w:val="24"/>
          <w:lang w:val="en-GB"/>
        </w:rPr>
        <w:t>Diabetes Care</w:t>
      </w:r>
      <w:r w:rsidRPr="004F68E0">
        <w:rPr>
          <w:rFonts w:ascii="Times New Roman" w:eastAsia="Times New Roman" w:hAnsi="Times New Roman" w:cs="Times New Roman"/>
          <w:sz w:val="24"/>
          <w:szCs w:val="24"/>
          <w:lang w:val="en-GB"/>
        </w:rPr>
        <w:t>. Available at: https://diabetesjournals.org/care/article/48/Supplement_1/S128/157561/6-Glycemic-Goals-and-Hypoglycemia-Standards-of (Accessed: 20 July 2026).</w:t>
      </w:r>
    </w:p>
    <w:p w14:paraId="55C8198E"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Diabetes Care (2026) </w:t>
      </w:r>
      <w:r w:rsidRPr="004F68E0">
        <w:rPr>
          <w:rFonts w:ascii="Times New Roman" w:eastAsia="Times New Roman" w:hAnsi="Times New Roman" w:cs="Times New Roman"/>
          <w:i/>
          <w:iCs/>
          <w:sz w:val="24"/>
          <w:szCs w:val="24"/>
          <w:lang w:val="en-GB"/>
        </w:rPr>
        <w:t xml:space="preserve">12. retinopathy, neuropathy, and Foot Care: Standards of care in diabetes—2025 | diabetes care | </w:t>
      </w:r>
      <w:proofErr w:type="spellStart"/>
      <w:r w:rsidRPr="004F68E0">
        <w:rPr>
          <w:rFonts w:ascii="Times New Roman" w:eastAsia="Times New Roman" w:hAnsi="Times New Roman" w:cs="Times New Roman"/>
          <w:i/>
          <w:iCs/>
          <w:sz w:val="24"/>
          <w:szCs w:val="24"/>
          <w:lang w:val="en-GB"/>
        </w:rPr>
        <w:t>american</w:t>
      </w:r>
      <w:proofErr w:type="spellEnd"/>
      <w:r w:rsidRPr="004F68E0">
        <w:rPr>
          <w:rFonts w:ascii="Times New Roman" w:eastAsia="Times New Roman" w:hAnsi="Times New Roman" w:cs="Times New Roman"/>
          <w:i/>
          <w:iCs/>
          <w:sz w:val="24"/>
          <w:szCs w:val="24"/>
          <w:lang w:val="en-GB"/>
        </w:rPr>
        <w:t xml:space="preserve"> diabetes association</w:t>
      </w:r>
      <w:r w:rsidRP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i/>
          <w:iCs/>
          <w:sz w:val="24"/>
          <w:szCs w:val="24"/>
          <w:lang w:val="en-GB"/>
        </w:rPr>
        <w:t>American Diabetes Association Professional Practice Committee</w:t>
      </w:r>
      <w:r w:rsidRPr="004F68E0">
        <w:rPr>
          <w:rFonts w:ascii="Times New Roman" w:eastAsia="Times New Roman" w:hAnsi="Times New Roman" w:cs="Times New Roman"/>
          <w:sz w:val="24"/>
          <w:szCs w:val="24"/>
          <w:lang w:val="en-GB"/>
        </w:rPr>
        <w:t>. Available at: https://diabetesjournals.org/care/article/48/Supplement_1/S252/157552/12-Retinopathy-Neuropathy-and-Foot-Care-Standards (Accessed: 20 July 2026).</w:t>
      </w:r>
    </w:p>
    <w:p w14:paraId="788937D8"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Diabetes Journal., 2025. 7. Diabetes Technology: Standards of Care in Diabetes—2026. </w:t>
      </w:r>
      <w:r w:rsidRPr="004F68E0">
        <w:rPr>
          <w:rFonts w:ascii="Times New Roman" w:hAnsi="Times New Roman" w:cs="Times New Roman"/>
          <w:i/>
          <w:iCs/>
          <w:color w:val="222222"/>
          <w:sz w:val="24"/>
          <w:szCs w:val="24"/>
          <w:highlight w:val="white"/>
          <w:lang w:val="en-GB"/>
        </w:rPr>
        <w:t>Diabetes Care</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49</w:t>
      </w:r>
      <w:r w:rsidRPr="004F68E0">
        <w:rPr>
          <w:rFonts w:ascii="Times New Roman" w:hAnsi="Times New Roman" w:cs="Times New Roman"/>
          <w:color w:val="222222"/>
          <w:sz w:val="24"/>
          <w:szCs w:val="24"/>
          <w:highlight w:val="white"/>
          <w:lang w:val="en-GB"/>
        </w:rPr>
        <w:t>(Suppl 1), p.S150.</w:t>
      </w:r>
      <w:r w:rsidRPr="004F68E0">
        <w:rPr>
          <w:rFonts w:ascii="Times New Roman" w:eastAsia="Times New Roman" w:hAnsi="Times New Roman" w:cs="Times New Roman"/>
          <w:sz w:val="24"/>
          <w:szCs w:val="24"/>
          <w:lang w:val="en-GB"/>
        </w:rPr>
        <w:t xml:space="preserve"> Available </w:t>
      </w:r>
      <w:proofErr w:type="spellStart"/>
      <w:r w:rsidRPr="004F68E0">
        <w:rPr>
          <w:rFonts w:ascii="Times New Roman" w:eastAsia="Times New Roman" w:hAnsi="Times New Roman" w:cs="Times New Roman"/>
          <w:sz w:val="24"/>
          <w:szCs w:val="24"/>
          <w:lang w:val="en-GB"/>
        </w:rPr>
        <w:t>at:</w:t>
      </w:r>
      <w:hyperlink r:id="rId12">
        <w:r w:rsidRPr="004F68E0">
          <w:rPr>
            <w:rFonts w:ascii="Times New Roman" w:eastAsia="Times New Roman" w:hAnsi="Times New Roman" w:cs="Times New Roman"/>
            <w:color w:val="1155CC"/>
            <w:sz w:val="24"/>
            <w:szCs w:val="24"/>
            <w:u w:val="single"/>
            <w:lang w:val="en-GB"/>
          </w:rPr>
          <w:t>https</w:t>
        </w:r>
        <w:proofErr w:type="spellEnd"/>
        <w:r w:rsidRPr="004F68E0">
          <w:rPr>
            <w:rFonts w:ascii="Times New Roman" w:eastAsia="Times New Roman" w:hAnsi="Times New Roman" w:cs="Times New Roman"/>
            <w:color w:val="1155CC"/>
            <w:sz w:val="24"/>
            <w:szCs w:val="24"/>
            <w:u w:val="single"/>
            <w:lang w:val="en-GB"/>
          </w:rPr>
          <w:t>://pmc.ncbi.nlm.nih.gov/articles/PMC12690173/</w:t>
        </w:r>
      </w:hyperlink>
      <w:r w:rsidRPr="004F68E0">
        <w:rPr>
          <w:rFonts w:ascii="Times New Roman" w:eastAsia="Times New Roman" w:hAnsi="Times New Roman" w:cs="Times New Roman"/>
          <w:sz w:val="24"/>
          <w:szCs w:val="24"/>
          <w:lang w:val="en-GB"/>
        </w:rPr>
        <w:t xml:space="preserve"> (Accessed: 20 July 2026).</w:t>
      </w:r>
    </w:p>
    <w:p w14:paraId="433062D0"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Hou, L., Wang, Q., Pan, B., Li, R., Li, Y., He, J., Qin, T., Cao, L., Zhang, N., Cao, C. and Ge, L., 2023. Exercise modalities for type 2 diabetes: A systematic review and network meta‐analysis of randomized trials. </w:t>
      </w:r>
      <w:r w:rsidRPr="004F68E0">
        <w:rPr>
          <w:rFonts w:ascii="Times New Roman" w:hAnsi="Times New Roman" w:cs="Times New Roman"/>
          <w:i/>
          <w:iCs/>
          <w:color w:val="222222"/>
          <w:sz w:val="24"/>
          <w:szCs w:val="24"/>
          <w:highlight w:val="white"/>
          <w:lang w:val="en-GB"/>
        </w:rPr>
        <w:t>Diabetes/metabolism research and reviews</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39</w:t>
      </w:r>
      <w:r w:rsidRPr="004F68E0">
        <w:rPr>
          <w:rFonts w:ascii="Times New Roman" w:hAnsi="Times New Roman" w:cs="Times New Roman"/>
          <w:color w:val="222222"/>
          <w:sz w:val="24"/>
          <w:szCs w:val="24"/>
          <w:highlight w:val="white"/>
          <w:lang w:val="en-GB"/>
        </w:rPr>
        <w:t>(1), p.e3591.</w:t>
      </w:r>
      <w:r w:rsidRPr="004F68E0">
        <w:rPr>
          <w:rFonts w:ascii="Times New Roman" w:eastAsia="Times New Roman" w:hAnsi="Times New Roman" w:cs="Times New Roman"/>
          <w:sz w:val="24"/>
          <w:szCs w:val="24"/>
          <w:lang w:val="en-GB"/>
        </w:rPr>
        <w:t xml:space="preserve"> Available at:  </w:t>
      </w:r>
      <w:hyperlink r:id="rId13">
        <w:r w:rsidRPr="004F68E0">
          <w:rPr>
            <w:rFonts w:ascii="Times New Roman" w:eastAsia="Times New Roman" w:hAnsi="Times New Roman" w:cs="Times New Roman"/>
            <w:color w:val="1155CC"/>
            <w:sz w:val="24"/>
            <w:szCs w:val="24"/>
            <w:u w:val="single"/>
            <w:lang w:val="en-GB"/>
          </w:rPr>
          <w:t>https://onlinelibrary.wiley.com/doi/abs/10.1002/dmrr.3591</w:t>
        </w:r>
      </w:hyperlink>
      <w:r w:rsidRPr="004F68E0">
        <w:rPr>
          <w:rFonts w:ascii="Times New Roman" w:eastAsia="Times New Roman" w:hAnsi="Times New Roman" w:cs="Times New Roman"/>
          <w:sz w:val="24"/>
          <w:szCs w:val="24"/>
          <w:lang w:val="en-GB"/>
        </w:rPr>
        <w:t xml:space="preserve">(Accessed: 20 July 2026). </w:t>
      </w:r>
    </w:p>
    <w:p w14:paraId="324B9D74"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Jancev, M., Vissers, T.A., </w:t>
      </w:r>
      <w:proofErr w:type="spellStart"/>
      <w:r w:rsidRPr="004F68E0">
        <w:rPr>
          <w:rFonts w:ascii="Times New Roman" w:hAnsi="Times New Roman" w:cs="Times New Roman"/>
          <w:color w:val="222222"/>
          <w:sz w:val="24"/>
          <w:szCs w:val="24"/>
          <w:highlight w:val="white"/>
          <w:lang w:val="en-GB"/>
        </w:rPr>
        <w:t>Visseren</w:t>
      </w:r>
      <w:proofErr w:type="spellEnd"/>
      <w:r w:rsidRPr="004F68E0">
        <w:rPr>
          <w:rFonts w:ascii="Times New Roman" w:hAnsi="Times New Roman" w:cs="Times New Roman"/>
          <w:color w:val="222222"/>
          <w:sz w:val="24"/>
          <w:szCs w:val="24"/>
          <w:highlight w:val="white"/>
          <w:lang w:val="en-GB"/>
        </w:rPr>
        <w:t xml:space="preserve">, F.L., van Bon, A.C., </w:t>
      </w:r>
      <w:proofErr w:type="spellStart"/>
      <w:r w:rsidRPr="004F68E0">
        <w:rPr>
          <w:rFonts w:ascii="Times New Roman" w:hAnsi="Times New Roman" w:cs="Times New Roman"/>
          <w:color w:val="222222"/>
          <w:sz w:val="24"/>
          <w:szCs w:val="24"/>
          <w:highlight w:val="white"/>
          <w:lang w:val="en-GB"/>
        </w:rPr>
        <w:t>Serné</w:t>
      </w:r>
      <w:proofErr w:type="spellEnd"/>
      <w:r w:rsidRPr="004F68E0">
        <w:rPr>
          <w:rFonts w:ascii="Times New Roman" w:hAnsi="Times New Roman" w:cs="Times New Roman"/>
          <w:color w:val="222222"/>
          <w:sz w:val="24"/>
          <w:szCs w:val="24"/>
          <w:highlight w:val="white"/>
          <w:lang w:val="en-GB"/>
        </w:rPr>
        <w:t xml:space="preserve">, E.H., DeVries, J.H., de Valk, H.W. and van </w:t>
      </w:r>
      <w:proofErr w:type="spellStart"/>
      <w:r w:rsidRPr="004F68E0">
        <w:rPr>
          <w:rFonts w:ascii="Times New Roman" w:hAnsi="Times New Roman" w:cs="Times New Roman"/>
          <w:color w:val="222222"/>
          <w:sz w:val="24"/>
          <w:szCs w:val="24"/>
          <w:highlight w:val="white"/>
          <w:lang w:val="en-GB"/>
        </w:rPr>
        <w:t>Sloten</w:t>
      </w:r>
      <w:proofErr w:type="spellEnd"/>
      <w:r w:rsidRPr="004F68E0">
        <w:rPr>
          <w:rFonts w:ascii="Times New Roman" w:hAnsi="Times New Roman" w:cs="Times New Roman"/>
          <w:color w:val="222222"/>
          <w:sz w:val="24"/>
          <w:szCs w:val="24"/>
          <w:highlight w:val="white"/>
          <w:lang w:val="en-GB"/>
        </w:rPr>
        <w:t xml:space="preserve">, T.T., 2024. Continuous glucose monitoring in adults with type 2 diabetes: a systematic review and meta-analysis. </w:t>
      </w:r>
      <w:proofErr w:type="spellStart"/>
      <w:r w:rsidRPr="004F68E0">
        <w:rPr>
          <w:rFonts w:ascii="Times New Roman" w:hAnsi="Times New Roman" w:cs="Times New Roman"/>
          <w:i/>
          <w:iCs/>
          <w:color w:val="222222"/>
          <w:sz w:val="24"/>
          <w:szCs w:val="24"/>
          <w:highlight w:val="white"/>
          <w:lang w:val="en-GB"/>
        </w:rPr>
        <w:t>Diabetologia</w:t>
      </w:r>
      <w:proofErr w:type="spellEnd"/>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67</w:t>
      </w:r>
      <w:r w:rsidRPr="004F68E0">
        <w:rPr>
          <w:rFonts w:ascii="Times New Roman" w:hAnsi="Times New Roman" w:cs="Times New Roman"/>
          <w:color w:val="222222"/>
          <w:sz w:val="24"/>
          <w:szCs w:val="24"/>
          <w:highlight w:val="white"/>
          <w:lang w:val="en-GB"/>
        </w:rPr>
        <w:t>(5), pp.798-810.</w:t>
      </w:r>
      <w:r w:rsidRPr="004F68E0">
        <w:rPr>
          <w:rFonts w:ascii="Times New Roman" w:eastAsia="Times New Roman" w:hAnsi="Times New Roman" w:cs="Times New Roman"/>
          <w:sz w:val="24"/>
          <w:szCs w:val="24"/>
          <w:lang w:val="en-GB"/>
        </w:rPr>
        <w:t xml:space="preserve">  Available at: </w:t>
      </w:r>
      <w:hyperlink r:id="rId14">
        <w:r w:rsidRPr="004F68E0">
          <w:rPr>
            <w:rFonts w:ascii="Times New Roman" w:eastAsia="Times New Roman" w:hAnsi="Times New Roman" w:cs="Times New Roman"/>
            <w:color w:val="1155CC"/>
            <w:sz w:val="24"/>
            <w:szCs w:val="24"/>
            <w:u w:val="single"/>
            <w:lang w:val="en-GB"/>
          </w:rPr>
          <w:t>https://link.springer.com/article/10.1007/s00125-024-06107-6</w:t>
        </w:r>
      </w:hyperlink>
      <w:r w:rsidRPr="004F68E0">
        <w:rPr>
          <w:rFonts w:ascii="Times New Roman" w:eastAsia="Times New Roman" w:hAnsi="Times New Roman" w:cs="Times New Roman"/>
          <w:sz w:val="24"/>
          <w:szCs w:val="24"/>
          <w:lang w:val="en-GB"/>
        </w:rPr>
        <w:t xml:space="preserve"> (Accessed: 20 July 2026).</w:t>
      </w:r>
    </w:p>
    <w:p w14:paraId="19E44774"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Lean, M.E., Leslie, W.S., Barnes, A.C., Brosnahan, N., Thom, G., McCombie, L., Kelly, T., Irvine, K., Peters, C., </w:t>
      </w:r>
      <w:proofErr w:type="spellStart"/>
      <w:r w:rsidRPr="004F68E0">
        <w:rPr>
          <w:rFonts w:ascii="Times New Roman" w:hAnsi="Times New Roman" w:cs="Times New Roman"/>
          <w:color w:val="222222"/>
          <w:sz w:val="24"/>
          <w:szCs w:val="24"/>
          <w:highlight w:val="white"/>
          <w:lang w:val="en-GB"/>
        </w:rPr>
        <w:t>Zhyzhneuskaya</w:t>
      </w:r>
      <w:proofErr w:type="spellEnd"/>
      <w:r w:rsidRPr="004F68E0">
        <w:rPr>
          <w:rFonts w:ascii="Times New Roman" w:hAnsi="Times New Roman" w:cs="Times New Roman"/>
          <w:color w:val="222222"/>
          <w:sz w:val="24"/>
          <w:szCs w:val="24"/>
          <w:highlight w:val="white"/>
          <w:lang w:val="en-GB"/>
        </w:rPr>
        <w:t>, S. and Hollingsworth, K.G., 2024. 5-year follow-up of the randomised Diabetes Remission Clinical Trial (</w:t>
      </w:r>
      <w:proofErr w:type="spellStart"/>
      <w:r w:rsidRPr="004F68E0">
        <w:rPr>
          <w:rFonts w:ascii="Times New Roman" w:hAnsi="Times New Roman" w:cs="Times New Roman"/>
          <w:color w:val="222222"/>
          <w:sz w:val="24"/>
          <w:szCs w:val="24"/>
          <w:highlight w:val="white"/>
          <w:lang w:val="en-GB"/>
        </w:rPr>
        <w:t>DiRECT</w:t>
      </w:r>
      <w:proofErr w:type="spellEnd"/>
      <w:r w:rsidRPr="004F68E0">
        <w:rPr>
          <w:rFonts w:ascii="Times New Roman" w:hAnsi="Times New Roman" w:cs="Times New Roman"/>
          <w:color w:val="222222"/>
          <w:sz w:val="24"/>
          <w:szCs w:val="24"/>
          <w:highlight w:val="white"/>
          <w:lang w:val="en-GB"/>
        </w:rPr>
        <w:t xml:space="preserve">) of continued support for weight loss maintenance in the UK: an extension study. </w:t>
      </w:r>
      <w:r w:rsidRPr="004F68E0">
        <w:rPr>
          <w:rFonts w:ascii="Times New Roman" w:hAnsi="Times New Roman" w:cs="Times New Roman"/>
          <w:i/>
          <w:iCs/>
          <w:color w:val="222222"/>
          <w:sz w:val="24"/>
          <w:szCs w:val="24"/>
          <w:highlight w:val="white"/>
          <w:lang w:val="en-GB"/>
        </w:rPr>
        <w:t>The Lancet Diabetes &amp; Endocrinology</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12</w:t>
      </w:r>
      <w:r w:rsidRPr="004F68E0">
        <w:rPr>
          <w:rFonts w:ascii="Times New Roman" w:hAnsi="Times New Roman" w:cs="Times New Roman"/>
          <w:color w:val="222222"/>
          <w:sz w:val="24"/>
          <w:szCs w:val="24"/>
          <w:highlight w:val="white"/>
          <w:lang w:val="en-GB"/>
        </w:rPr>
        <w:t>(4), pp.233-</w:t>
      </w:r>
      <w:r w:rsidRPr="004F68E0">
        <w:rPr>
          <w:rFonts w:ascii="Times New Roman" w:hAnsi="Times New Roman" w:cs="Times New Roman"/>
          <w:color w:val="222222"/>
          <w:sz w:val="24"/>
          <w:szCs w:val="24"/>
          <w:highlight w:val="white"/>
          <w:lang w:val="en-GB"/>
        </w:rPr>
        <w:lastRenderedPageBreak/>
        <w:t>246.</w:t>
      </w:r>
      <w:r w:rsidRPr="004F68E0">
        <w:rPr>
          <w:rFonts w:ascii="Times New Roman" w:eastAsia="Times New Roman" w:hAnsi="Times New Roman" w:cs="Times New Roman"/>
          <w:sz w:val="24"/>
          <w:szCs w:val="24"/>
          <w:lang w:val="en-GB"/>
        </w:rPr>
        <w:t xml:space="preserve"> Available at: </w:t>
      </w:r>
      <w:hyperlink r:id="rId15">
        <w:r w:rsidRPr="004F68E0">
          <w:rPr>
            <w:rFonts w:ascii="Times New Roman" w:eastAsia="Times New Roman" w:hAnsi="Times New Roman" w:cs="Times New Roman"/>
            <w:color w:val="1155CC"/>
            <w:sz w:val="24"/>
            <w:szCs w:val="24"/>
            <w:u w:val="single"/>
            <w:lang w:val="en-GB"/>
          </w:rPr>
          <w:t>https://www.thelancet.com/journals/landia/article/PIIS2213-8587(23)00385-6/fulltext</w:t>
        </w:r>
      </w:hyperlink>
      <w:r w:rsidRPr="004F68E0">
        <w:rPr>
          <w:rFonts w:ascii="Times New Roman" w:eastAsia="Times New Roman" w:hAnsi="Times New Roman" w:cs="Times New Roman"/>
          <w:sz w:val="24"/>
          <w:szCs w:val="24"/>
          <w:lang w:val="en-GB"/>
        </w:rPr>
        <w:t xml:space="preserve">  (Accessed: 20 July 2026).</w:t>
      </w:r>
    </w:p>
    <w:p w14:paraId="6595FE96"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Li, H., Ren, J., Li, Y., Wu, Q. and Wei, J., 2023. Oxidative stress: The nexus of obesity and cognitive dysfunction in diabetes. </w:t>
      </w:r>
      <w:r w:rsidRPr="004F68E0">
        <w:rPr>
          <w:rFonts w:ascii="Times New Roman" w:hAnsi="Times New Roman" w:cs="Times New Roman"/>
          <w:i/>
          <w:iCs/>
          <w:color w:val="222222"/>
          <w:sz w:val="24"/>
          <w:szCs w:val="24"/>
          <w:highlight w:val="white"/>
          <w:lang w:val="en-GB"/>
        </w:rPr>
        <w:t>Frontiers in endocrinology</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14</w:t>
      </w:r>
      <w:r w:rsidRPr="004F68E0">
        <w:rPr>
          <w:rFonts w:ascii="Times New Roman" w:hAnsi="Times New Roman" w:cs="Times New Roman"/>
          <w:color w:val="222222"/>
          <w:sz w:val="24"/>
          <w:szCs w:val="24"/>
          <w:highlight w:val="white"/>
          <w:lang w:val="en-GB"/>
        </w:rPr>
        <w:t>, p.1134025.</w:t>
      </w:r>
      <w:r w:rsidRPr="004F68E0">
        <w:rPr>
          <w:rFonts w:ascii="Times New Roman" w:eastAsia="Times New Roman" w:hAnsi="Times New Roman" w:cs="Times New Roman"/>
          <w:sz w:val="24"/>
          <w:szCs w:val="24"/>
          <w:lang w:val="en-GB"/>
        </w:rPr>
        <w:t xml:space="preserve"> Available at: </w:t>
      </w:r>
      <w:hyperlink r:id="rId16">
        <w:r w:rsidRPr="004F68E0">
          <w:rPr>
            <w:rFonts w:ascii="Times New Roman" w:eastAsia="Times New Roman" w:hAnsi="Times New Roman" w:cs="Times New Roman"/>
            <w:color w:val="1155CC"/>
            <w:sz w:val="24"/>
            <w:szCs w:val="24"/>
            <w:u w:val="single"/>
            <w:lang w:val="en-GB"/>
          </w:rPr>
          <w:t>https://www.frontiersin.org/journals/endocrinology/articles/10.3389/fendo.2023.1134025/full</w:t>
        </w:r>
      </w:hyperlink>
      <w:r w:rsidRPr="004F68E0">
        <w:rPr>
          <w:rFonts w:ascii="Times New Roman" w:eastAsia="Times New Roman" w:hAnsi="Times New Roman" w:cs="Times New Roman"/>
          <w:sz w:val="24"/>
          <w:szCs w:val="24"/>
          <w:lang w:val="en-GB"/>
        </w:rPr>
        <w:t xml:space="preserve">  (Accessed: 20 July 2026).</w:t>
      </w:r>
    </w:p>
    <w:p w14:paraId="4654AB57"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Logesh, R., Hari, B., Chidambaram, K. and Das, N., 2024. Molecular effects of Vitamin-D and PUFAs metabolism in skeletal muscle combating Type-II diabetes mellitus. </w:t>
      </w:r>
      <w:r w:rsidRPr="004F68E0">
        <w:rPr>
          <w:rFonts w:ascii="Times New Roman" w:hAnsi="Times New Roman" w:cs="Times New Roman"/>
          <w:i/>
          <w:iCs/>
          <w:color w:val="222222"/>
          <w:sz w:val="24"/>
          <w:szCs w:val="24"/>
          <w:highlight w:val="white"/>
          <w:lang w:val="en-GB"/>
        </w:rPr>
        <w:t>Gene</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904</w:t>
      </w:r>
      <w:r w:rsidRPr="004F68E0">
        <w:rPr>
          <w:rFonts w:ascii="Times New Roman" w:hAnsi="Times New Roman" w:cs="Times New Roman"/>
          <w:color w:val="222222"/>
          <w:sz w:val="24"/>
          <w:szCs w:val="24"/>
          <w:highlight w:val="white"/>
          <w:lang w:val="en-GB"/>
        </w:rPr>
        <w:t>, p.148216.</w:t>
      </w:r>
      <w:r w:rsidRPr="004F68E0">
        <w:rPr>
          <w:rFonts w:ascii="Times New Roman" w:eastAsia="Times New Roman" w:hAnsi="Times New Roman" w:cs="Times New Roman"/>
          <w:sz w:val="24"/>
          <w:szCs w:val="24"/>
          <w:lang w:val="en-GB"/>
        </w:rPr>
        <w:t xml:space="preserve"> Available at: </w:t>
      </w:r>
      <w:hyperlink r:id="rId17">
        <w:r w:rsidRPr="004F68E0">
          <w:rPr>
            <w:rFonts w:ascii="Times New Roman" w:eastAsia="Times New Roman" w:hAnsi="Times New Roman" w:cs="Times New Roman"/>
            <w:color w:val="1155CC"/>
            <w:sz w:val="24"/>
            <w:szCs w:val="24"/>
            <w:u w:val="single"/>
            <w:lang w:val="en-GB"/>
          </w:rPr>
          <w:t>https://www.sciencedirect.com/science/article/pii/S0378111924000970?__cf_chl_tk=OOqAy35eMJNmH4WgOSM_lpArsvOVdLhh7Opri5I4Bqk-1784546431-1.0.1.1-vCwQRXCIyKgvwT8.n25ux4r8wuyu3YQiP4lCt2ElnIs</w:t>
        </w:r>
      </w:hyperlink>
      <w:r w:rsidRPr="004F68E0">
        <w:rPr>
          <w:rFonts w:ascii="Times New Roman" w:eastAsia="Times New Roman" w:hAnsi="Times New Roman" w:cs="Times New Roman"/>
          <w:sz w:val="24"/>
          <w:szCs w:val="24"/>
          <w:lang w:val="en-GB"/>
        </w:rPr>
        <w:t xml:space="preserve"> (Accessed: 20 July 2026).</w:t>
      </w:r>
    </w:p>
    <w:p w14:paraId="393E0332"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NICE (2025) </w:t>
      </w:r>
      <w:r w:rsidRPr="004F68E0">
        <w:rPr>
          <w:rFonts w:ascii="Times New Roman" w:eastAsia="Times New Roman" w:hAnsi="Times New Roman" w:cs="Times New Roman"/>
          <w:i/>
          <w:iCs/>
          <w:sz w:val="24"/>
          <w:szCs w:val="24"/>
          <w:lang w:val="en-GB"/>
        </w:rPr>
        <w:t>Blood glucose management | type 2 diabetes in adults: Management | guidance | nice</w:t>
      </w:r>
      <w:r w:rsidRP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i/>
          <w:iCs/>
          <w:sz w:val="24"/>
          <w:szCs w:val="24"/>
          <w:lang w:val="en-GB"/>
        </w:rPr>
        <w:t>NICE</w:t>
      </w:r>
      <w:r w:rsidRPr="004F68E0">
        <w:rPr>
          <w:rFonts w:ascii="Times New Roman" w:eastAsia="Times New Roman" w:hAnsi="Times New Roman" w:cs="Times New Roman"/>
          <w:sz w:val="24"/>
          <w:szCs w:val="24"/>
          <w:lang w:val="en-GB"/>
        </w:rPr>
        <w:t>. Available at: https://www.nice.org.uk/guidance/ng28/chapter/Blood-glucose-management (Accessed: 20 July 2026).</w:t>
      </w:r>
    </w:p>
    <w:p w14:paraId="1B0D5FCC"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Rutter, G.A. and Sweet, I.R., 2024. Glucose regulation of β-Cell KATP channels: is a new model </w:t>
      </w:r>
      <w:proofErr w:type="gramStart"/>
      <w:r w:rsidRPr="004F68E0">
        <w:rPr>
          <w:rFonts w:ascii="Times New Roman" w:hAnsi="Times New Roman" w:cs="Times New Roman"/>
          <w:color w:val="222222"/>
          <w:sz w:val="24"/>
          <w:szCs w:val="24"/>
          <w:highlight w:val="white"/>
          <w:lang w:val="en-GB"/>
        </w:rPr>
        <w:t>needed?.</w:t>
      </w:r>
      <w:proofErr w:type="gramEnd"/>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Diabetes</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73</w:t>
      </w:r>
      <w:r w:rsidRPr="004F68E0">
        <w:rPr>
          <w:rFonts w:ascii="Times New Roman" w:hAnsi="Times New Roman" w:cs="Times New Roman"/>
          <w:color w:val="222222"/>
          <w:sz w:val="24"/>
          <w:szCs w:val="24"/>
          <w:highlight w:val="white"/>
          <w:lang w:val="en-GB"/>
        </w:rPr>
        <w:t>(6), pp.849-855.</w:t>
      </w:r>
      <w:r w:rsidRPr="004F68E0">
        <w:rPr>
          <w:rFonts w:ascii="Times New Roman" w:eastAsia="Times New Roman" w:hAnsi="Times New Roman" w:cs="Times New Roman"/>
          <w:sz w:val="24"/>
          <w:szCs w:val="24"/>
          <w:lang w:val="en-GB"/>
        </w:rPr>
        <w:t xml:space="preserve"> Available at: </w:t>
      </w:r>
      <w:hyperlink r:id="rId18">
        <w:r w:rsidRPr="004F68E0">
          <w:rPr>
            <w:rFonts w:ascii="Times New Roman" w:eastAsia="Times New Roman" w:hAnsi="Times New Roman" w:cs="Times New Roman"/>
            <w:color w:val="1155CC"/>
            <w:sz w:val="24"/>
            <w:szCs w:val="24"/>
            <w:u w:val="single"/>
            <w:lang w:val="en-GB"/>
          </w:rPr>
          <w:t>https://diabetesjournals.org/diabetes/article/73/6/849/154109/Glucose-Regulation-of-Cell-KATP-Channels-Is-a-New</w:t>
        </w:r>
      </w:hyperlink>
      <w:r w:rsidRPr="004F68E0">
        <w:rPr>
          <w:rFonts w:ascii="Times New Roman" w:eastAsia="Times New Roman" w:hAnsi="Times New Roman" w:cs="Times New Roman"/>
          <w:sz w:val="24"/>
          <w:szCs w:val="24"/>
          <w:lang w:val="en-GB"/>
        </w:rPr>
        <w:t xml:space="preserve">  (Accessed: 20 July 2026).</w:t>
      </w:r>
    </w:p>
    <w:p w14:paraId="6B20C549"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Son, J. and </w:t>
      </w:r>
      <w:proofErr w:type="spellStart"/>
      <w:r w:rsidRPr="004F68E0">
        <w:rPr>
          <w:rFonts w:ascii="Times New Roman" w:hAnsi="Times New Roman" w:cs="Times New Roman"/>
          <w:color w:val="222222"/>
          <w:sz w:val="24"/>
          <w:szCs w:val="24"/>
          <w:highlight w:val="white"/>
          <w:lang w:val="en-GB"/>
        </w:rPr>
        <w:t>Accili</w:t>
      </w:r>
      <w:proofErr w:type="spellEnd"/>
      <w:r w:rsidRPr="004F68E0">
        <w:rPr>
          <w:rFonts w:ascii="Times New Roman" w:hAnsi="Times New Roman" w:cs="Times New Roman"/>
          <w:color w:val="222222"/>
          <w:sz w:val="24"/>
          <w:szCs w:val="24"/>
          <w:highlight w:val="white"/>
          <w:lang w:val="en-GB"/>
        </w:rPr>
        <w:t xml:space="preserve">, D., 2023. Reversing pancreatic β-cell dedifferentiation in the treatment of type 2 diabetes. </w:t>
      </w:r>
      <w:r w:rsidRPr="004F68E0">
        <w:rPr>
          <w:rFonts w:ascii="Times New Roman" w:hAnsi="Times New Roman" w:cs="Times New Roman"/>
          <w:i/>
          <w:iCs/>
          <w:color w:val="222222"/>
          <w:sz w:val="24"/>
          <w:szCs w:val="24"/>
          <w:highlight w:val="white"/>
          <w:lang w:val="en-GB"/>
        </w:rPr>
        <w:t>Experimental &amp; Molecular Medicine</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55</w:t>
      </w:r>
      <w:r w:rsidRPr="004F68E0">
        <w:rPr>
          <w:rFonts w:ascii="Times New Roman" w:hAnsi="Times New Roman" w:cs="Times New Roman"/>
          <w:color w:val="222222"/>
          <w:sz w:val="24"/>
          <w:szCs w:val="24"/>
          <w:highlight w:val="white"/>
          <w:lang w:val="en-GB"/>
        </w:rPr>
        <w:t>(8), pp.1652-1658.</w:t>
      </w:r>
      <w:r w:rsidRPr="004F68E0">
        <w:rPr>
          <w:rFonts w:ascii="Times New Roman" w:eastAsia="Times New Roman" w:hAnsi="Times New Roman" w:cs="Times New Roman"/>
          <w:sz w:val="24"/>
          <w:szCs w:val="24"/>
          <w:lang w:val="en-GB"/>
        </w:rPr>
        <w:t xml:space="preserve"> Available at: </w:t>
      </w:r>
      <w:hyperlink r:id="rId19">
        <w:r w:rsidRPr="004F68E0">
          <w:rPr>
            <w:rFonts w:ascii="Times New Roman" w:eastAsia="Times New Roman" w:hAnsi="Times New Roman" w:cs="Times New Roman"/>
            <w:color w:val="1155CC"/>
            <w:sz w:val="24"/>
            <w:szCs w:val="24"/>
            <w:u w:val="single"/>
            <w:lang w:val="en-GB"/>
          </w:rPr>
          <w:t>https://www.nature.com/articles/s12276-023-01043-8</w:t>
        </w:r>
      </w:hyperlink>
      <w:r w:rsidRPr="004F68E0">
        <w:rPr>
          <w:rFonts w:ascii="Times New Roman" w:eastAsia="Times New Roman" w:hAnsi="Times New Roman" w:cs="Times New Roman"/>
          <w:sz w:val="24"/>
          <w:szCs w:val="24"/>
          <w:lang w:val="en-GB"/>
        </w:rPr>
        <w:t xml:space="preserve">  (Accessed: 20 July 2026).</w:t>
      </w:r>
    </w:p>
    <w:p w14:paraId="633D79DA"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Walicka, M., Krysiński, A., La Rosa, G.R.M., Sun, A., Campagna, D., Di Ciaula, A., Dugal, T., Kengne, A., Le Dinh, P., Misra, A. and </w:t>
      </w:r>
      <w:proofErr w:type="spellStart"/>
      <w:r w:rsidRPr="004F68E0">
        <w:rPr>
          <w:rFonts w:ascii="Times New Roman" w:hAnsi="Times New Roman" w:cs="Times New Roman"/>
          <w:color w:val="222222"/>
          <w:sz w:val="24"/>
          <w:szCs w:val="24"/>
          <w:highlight w:val="white"/>
          <w:lang w:val="en-GB"/>
        </w:rPr>
        <w:t>Polosa</w:t>
      </w:r>
      <w:proofErr w:type="spellEnd"/>
      <w:r w:rsidRPr="004F68E0">
        <w:rPr>
          <w:rFonts w:ascii="Times New Roman" w:hAnsi="Times New Roman" w:cs="Times New Roman"/>
          <w:color w:val="222222"/>
          <w:sz w:val="24"/>
          <w:szCs w:val="24"/>
          <w:highlight w:val="white"/>
          <w:lang w:val="en-GB"/>
        </w:rPr>
        <w:t xml:space="preserve">, R., 2024. Influence of quitting smoking on diabetes-related complications: A scoping review with a systematic search strategy. </w:t>
      </w:r>
      <w:r w:rsidRPr="004F68E0">
        <w:rPr>
          <w:rFonts w:ascii="Times New Roman" w:hAnsi="Times New Roman" w:cs="Times New Roman"/>
          <w:i/>
          <w:iCs/>
          <w:color w:val="222222"/>
          <w:sz w:val="24"/>
          <w:szCs w:val="24"/>
          <w:highlight w:val="white"/>
          <w:lang w:val="en-GB"/>
        </w:rPr>
        <w:t>Diabetes &amp; Metabolic Syndrome: Clinical Research &amp; Reviews</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18</w:t>
      </w:r>
      <w:r w:rsidRPr="004F68E0">
        <w:rPr>
          <w:rFonts w:ascii="Times New Roman" w:hAnsi="Times New Roman" w:cs="Times New Roman"/>
          <w:color w:val="222222"/>
          <w:sz w:val="24"/>
          <w:szCs w:val="24"/>
          <w:highlight w:val="white"/>
          <w:lang w:val="en-GB"/>
        </w:rPr>
        <w:t>(5), p.103044.</w:t>
      </w:r>
      <w:r w:rsidRPr="004F68E0">
        <w:rPr>
          <w:rFonts w:ascii="Times New Roman" w:eastAsia="Times New Roman" w:hAnsi="Times New Roman" w:cs="Times New Roman"/>
          <w:sz w:val="24"/>
          <w:szCs w:val="24"/>
          <w:lang w:val="en-GB"/>
        </w:rPr>
        <w:t xml:space="preserve"> Available at:  </w:t>
      </w:r>
      <w:hyperlink r:id="rId20">
        <w:r w:rsidRPr="004F68E0">
          <w:rPr>
            <w:rFonts w:ascii="Times New Roman" w:eastAsia="Times New Roman" w:hAnsi="Times New Roman" w:cs="Times New Roman"/>
            <w:color w:val="1155CC"/>
            <w:sz w:val="24"/>
            <w:szCs w:val="24"/>
            <w:u w:val="single"/>
            <w:lang w:val="en-GB"/>
          </w:rPr>
          <w:t>https://www.sciencedirect.com/science/article/pii/S187140212400105X</w:t>
        </w:r>
      </w:hyperlink>
      <w:r w:rsidRPr="004F68E0">
        <w:rPr>
          <w:rFonts w:ascii="Times New Roman" w:eastAsia="Times New Roman" w:hAnsi="Times New Roman" w:cs="Times New Roman"/>
          <w:sz w:val="24"/>
          <w:szCs w:val="24"/>
          <w:lang w:val="en-GB"/>
        </w:rPr>
        <w:t xml:space="preserve"> (Accessed: 20 July 2026). </w:t>
      </w:r>
    </w:p>
    <w:p w14:paraId="4878959C"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hAnsi="Times New Roman" w:cs="Times New Roman"/>
          <w:color w:val="222222"/>
          <w:sz w:val="24"/>
          <w:szCs w:val="24"/>
          <w:highlight w:val="white"/>
          <w:lang w:val="en-GB"/>
        </w:rPr>
        <w:t xml:space="preserve">Wang, S., Zhao, H., Lin, S., </w:t>
      </w:r>
      <w:proofErr w:type="spellStart"/>
      <w:r w:rsidRPr="004F68E0">
        <w:rPr>
          <w:rFonts w:ascii="Times New Roman" w:hAnsi="Times New Roman" w:cs="Times New Roman"/>
          <w:color w:val="222222"/>
          <w:sz w:val="24"/>
          <w:szCs w:val="24"/>
          <w:highlight w:val="white"/>
          <w:lang w:val="en-GB"/>
        </w:rPr>
        <w:t>Lv</w:t>
      </w:r>
      <w:proofErr w:type="spellEnd"/>
      <w:r w:rsidRPr="004F68E0">
        <w:rPr>
          <w:rFonts w:ascii="Times New Roman" w:hAnsi="Times New Roman" w:cs="Times New Roman"/>
          <w:color w:val="222222"/>
          <w:sz w:val="24"/>
          <w:szCs w:val="24"/>
          <w:highlight w:val="white"/>
          <w:lang w:val="en-GB"/>
        </w:rPr>
        <w:t xml:space="preserve">, Y., Lin, Y., Liu, Y., Peng, R. and Jin, H., 2023. New therapeutic directions in type II diabetes and its complications: mitochondrial dynamics. </w:t>
      </w:r>
      <w:r w:rsidRPr="004F68E0">
        <w:rPr>
          <w:rFonts w:ascii="Times New Roman" w:hAnsi="Times New Roman" w:cs="Times New Roman"/>
          <w:i/>
          <w:iCs/>
          <w:color w:val="222222"/>
          <w:sz w:val="24"/>
          <w:szCs w:val="24"/>
          <w:highlight w:val="white"/>
          <w:lang w:val="en-GB"/>
        </w:rPr>
        <w:t>Frontiers in endocrinology</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14</w:t>
      </w:r>
      <w:r w:rsidRPr="004F68E0">
        <w:rPr>
          <w:rFonts w:ascii="Times New Roman" w:hAnsi="Times New Roman" w:cs="Times New Roman"/>
          <w:color w:val="222222"/>
          <w:sz w:val="24"/>
          <w:szCs w:val="24"/>
          <w:highlight w:val="white"/>
          <w:lang w:val="en-GB"/>
        </w:rPr>
        <w:t>, p.1230168.</w:t>
      </w:r>
      <w:r w:rsidRPr="004F68E0">
        <w:rPr>
          <w:rFonts w:ascii="Times New Roman" w:eastAsia="Times New Roman" w:hAnsi="Times New Roman" w:cs="Times New Roman"/>
          <w:sz w:val="24"/>
          <w:szCs w:val="24"/>
          <w:lang w:val="en-GB"/>
        </w:rPr>
        <w:t xml:space="preserve"> Available at: </w:t>
      </w:r>
      <w:hyperlink r:id="rId21">
        <w:r w:rsidRPr="004F68E0">
          <w:rPr>
            <w:rFonts w:ascii="Times New Roman" w:eastAsia="Times New Roman" w:hAnsi="Times New Roman" w:cs="Times New Roman"/>
            <w:color w:val="1155CC"/>
            <w:sz w:val="24"/>
            <w:szCs w:val="24"/>
            <w:u w:val="single"/>
            <w:lang w:val="en-GB"/>
          </w:rPr>
          <w:t>https://www.frontiersin.org/journals/endocrinology/articles/10.3389/fendo.2023.1230168/full</w:t>
        </w:r>
      </w:hyperlink>
      <w:r w:rsidRPr="004F68E0">
        <w:rPr>
          <w:rFonts w:ascii="Times New Roman" w:eastAsia="Times New Roman" w:hAnsi="Times New Roman" w:cs="Times New Roman"/>
          <w:sz w:val="24"/>
          <w:szCs w:val="24"/>
          <w:lang w:val="en-GB"/>
        </w:rPr>
        <w:t xml:space="preserve">  (Accessed: 20 July 2026).</w:t>
      </w:r>
    </w:p>
    <w:p w14:paraId="55104D59"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r w:rsidRPr="004F68E0">
        <w:rPr>
          <w:rFonts w:ascii="Times New Roman" w:eastAsia="Times New Roman" w:hAnsi="Times New Roman" w:cs="Times New Roman"/>
          <w:sz w:val="24"/>
          <w:szCs w:val="24"/>
          <w:lang w:val="en-GB"/>
        </w:rPr>
        <w:t xml:space="preserve">WHO (2024) </w:t>
      </w:r>
      <w:r w:rsidRPr="004F68E0">
        <w:rPr>
          <w:rFonts w:ascii="Times New Roman" w:eastAsia="Times New Roman" w:hAnsi="Times New Roman" w:cs="Times New Roman"/>
          <w:i/>
          <w:iCs/>
          <w:sz w:val="24"/>
          <w:szCs w:val="24"/>
          <w:lang w:val="en-GB"/>
        </w:rPr>
        <w:t>Diabetes</w:t>
      </w:r>
      <w:r w:rsidRPr="004F68E0">
        <w:rPr>
          <w:rFonts w:ascii="Times New Roman" w:eastAsia="Times New Roman" w:hAnsi="Times New Roman" w:cs="Times New Roman"/>
          <w:sz w:val="24"/>
          <w:szCs w:val="24"/>
          <w:lang w:val="en-GB"/>
        </w:rPr>
        <w:t xml:space="preserve">, </w:t>
      </w:r>
      <w:r w:rsidRPr="004F68E0">
        <w:rPr>
          <w:rFonts w:ascii="Times New Roman" w:eastAsia="Times New Roman" w:hAnsi="Times New Roman" w:cs="Times New Roman"/>
          <w:i/>
          <w:iCs/>
          <w:sz w:val="24"/>
          <w:szCs w:val="24"/>
          <w:lang w:val="en-GB"/>
        </w:rPr>
        <w:t>World Health Organization</w:t>
      </w:r>
      <w:r w:rsidRPr="004F68E0">
        <w:rPr>
          <w:rFonts w:ascii="Times New Roman" w:eastAsia="Times New Roman" w:hAnsi="Times New Roman" w:cs="Times New Roman"/>
          <w:sz w:val="24"/>
          <w:szCs w:val="24"/>
          <w:lang w:val="en-GB"/>
        </w:rPr>
        <w:t>. Available at: https://www.who.int/news-room/fact-sheets/detail/diabetes (Accessed: 20 July 2026).</w:t>
      </w:r>
    </w:p>
    <w:p w14:paraId="6D743AB4" w14:textId="77777777" w:rsidR="004F68E0" w:rsidRPr="004F68E0" w:rsidRDefault="004F68E0" w:rsidP="004F68E0">
      <w:pPr>
        <w:spacing w:line="360" w:lineRule="auto"/>
        <w:jc w:val="both"/>
        <w:rPr>
          <w:rFonts w:ascii="Times New Roman" w:eastAsia="Times New Roman" w:hAnsi="Times New Roman" w:cs="Times New Roman"/>
          <w:sz w:val="24"/>
          <w:szCs w:val="24"/>
          <w:lang w:val="en-GB"/>
        </w:rPr>
      </w:pPr>
      <w:proofErr w:type="spellStart"/>
      <w:r w:rsidRPr="004F68E0">
        <w:rPr>
          <w:rFonts w:ascii="Times New Roman" w:hAnsi="Times New Roman" w:cs="Times New Roman"/>
          <w:color w:val="222222"/>
          <w:sz w:val="24"/>
          <w:szCs w:val="24"/>
          <w:highlight w:val="white"/>
          <w:lang w:val="en-GB"/>
        </w:rPr>
        <w:t>Xourafa</w:t>
      </w:r>
      <w:proofErr w:type="spellEnd"/>
      <w:r w:rsidRPr="004F68E0">
        <w:rPr>
          <w:rFonts w:ascii="Times New Roman" w:hAnsi="Times New Roman" w:cs="Times New Roman"/>
          <w:color w:val="222222"/>
          <w:sz w:val="24"/>
          <w:szCs w:val="24"/>
          <w:highlight w:val="white"/>
          <w:lang w:val="en-GB"/>
        </w:rPr>
        <w:t xml:space="preserve">, G., </w:t>
      </w:r>
      <w:proofErr w:type="spellStart"/>
      <w:r w:rsidRPr="004F68E0">
        <w:rPr>
          <w:rFonts w:ascii="Times New Roman" w:hAnsi="Times New Roman" w:cs="Times New Roman"/>
          <w:color w:val="222222"/>
          <w:sz w:val="24"/>
          <w:szCs w:val="24"/>
          <w:highlight w:val="white"/>
          <w:lang w:val="en-GB"/>
        </w:rPr>
        <w:t>Korbmacher</w:t>
      </w:r>
      <w:proofErr w:type="spellEnd"/>
      <w:r w:rsidRPr="004F68E0">
        <w:rPr>
          <w:rFonts w:ascii="Times New Roman" w:hAnsi="Times New Roman" w:cs="Times New Roman"/>
          <w:color w:val="222222"/>
          <w:sz w:val="24"/>
          <w:szCs w:val="24"/>
          <w:highlight w:val="white"/>
          <w:lang w:val="en-GB"/>
        </w:rPr>
        <w:t xml:space="preserve">, M. and Roden, M., 2024. Inter-organ crosstalk during development and progression of type 2 diabetes mellitus. </w:t>
      </w:r>
      <w:r w:rsidRPr="004F68E0">
        <w:rPr>
          <w:rFonts w:ascii="Times New Roman" w:hAnsi="Times New Roman" w:cs="Times New Roman"/>
          <w:i/>
          <w:iCs/>
          <w:color w:val="222222"/>
          <w:sz w:val="24"/>
          <w:szCs w:val="24"/>
          <w:highlight w:val="white"/>
          <w:lang w:val="en-GB"/>
        </w:rPr>
        <w:t>Nature Reviews Endocrinology</w:t>
      </w:r>
      <w:r w:rsidRPr="004F68E0">
        <w:rPr>
          <w:rFonts w:ascii="Times New Roman" w:hAnsi="Times New Roman" w:cs="Times New Roman"/>
          <w:color w:val="222222"/>
          <w:sz w:val="24"/>
          <w:szCs w:val="24"/>
          <w:highlight w:val="white"/>
          <w:lang w:val="en-GB"/>
        </w:rPr>
        <w:t xml:space="preserve">, </w:t>
      </w:r>
      <w:r w:rsidRPr="004F68E0">
        <w:rPr>
          <w:rFonts w:ascii="Times New Roman" w:hAnsi="Times New Roman" w:cs="Times New Roman"/>
          <w:i/>
          <w:iCs/>
          <w:color w:val="222222"/>
          <w:sz w:val="24"/>
          <w:szCs w:val="24"/>
          <w:highlight w:val="white"/>
          <w:lang w:val="en-GB"/>
        </w:rPr>
        <w:t>20</w:t>
      </w:r>
      <w:r w:rsidRPr="004F68E0">
        <w:rPr>
          <w:rFonts w:ascii="Times New Roman" w:hAnsi="Times New Roman" w:cs="Times New Roman"/>
          <w:color w:val="222222"/>
          <w:sz w:val="24"/>
          <w:szCs w:val="24"/>
          <w:highlight w:val="white"/>
          <w:lang w:val="en-GB"/>
        </w:rPr>
        <w:t>(1), pp.27-49.</w:t>
      </w:r>
      <w:r w:rsidRPr="004F68E0">
        <w:rPr>
          <w:rFonts w:ascii="Times New Roman" w:eastAsia="Times New Roman" w:hAnsi="Times New Roman" w:cs="Times New Roman"/>
          <w:sz w:val="24"/>
          <w:szCs w:val="24"/>
          <w:lang w:val="en-GB"/>
        </w:rPr>
        <w:t xml:space="preserve"> Available at: </w:t>
      </w:r>
      <w:hyperlink r:id="rId22">
        <w:r w:rsidRPr="004F68E0">
          <w:rPr>
            <w:rFonts w:ascii="Times New Roman" w:eastAsia="Times New Roman" w:hAnsi="Times New Roman" w:cs="Times New Roman"/>
            <w:color w:val="1155CC"/>
            <w:sz w:val="24"/>
            <w:szCs w:val="24"/>
            <w:u w:val="single"/>
            <w:lang w:val="en-GB"/>
          </w:rPr>
          <w:t>https://www.nature.com/articles/s41574-023-00898-1</w:t>
        </w:r>
      </w:hyperlink>
      <w:r w:rsidRPr="004F68E0">
        <w:rPr>
          <w:rFonts w:ascii="Times New Roman" w:eastAsia="Times New Roman" w:hAnsi="Times New Roman" w:cs="Times New Roman"/>
          <w:sz w:val="24"/>
          <w:szCs w:val="24"/>
          <w:lang w:val="en-GB"/>
        </w:rPr>
        <w:t xml:space="preserve"> (Accessed: 20 July 2026).</w:t>
      </w:r>
    </w:p>
    <w:p w14:paraId="1EFCF065" w14:textId="77777777" w:rsidR="0032279F" w:rsidRPr="004F68E0" w:rsidRDefault="0032279F">
      <w:pPr>
        <w:spacing w:line="360" w:lineRule="auto"/>
        <w:jc w:val="both"/>
        <w:rPr>
          <w:rFonts w:ascii="Times New Roman" w:eastAsia="Times New Roman" w:hAnsi="Times New Roman" w:cs="Times New Roman"/>
          <w:sz w:val="24"/>
          <w:szCs w:val="24"/>
          <w:lang w:val="en-GB"/>
        </w:rPr>
      </w:pPr>
    </w:p>
    <w:p w14:paraId="689F26D5" w14:textId="77777777" w:rsidR="0032279F" w:rsidRPr="004F68E0" w:rsidRDefault="0032279F">
      <w:pPr>
        <w:spacing w:line="360" w:lineRule="auto"/>
        <w:jc w:val="both"/>
        <w:rPr>
          <w:rFonts w:ascii="Times New Roman" w:eastAsia="Times New Roman" w:hAnsi="Times New Roman" w:cs="Times New Roman"/>
          <w:sz w:val="24"/>
          <w:szCs w:val="24"/>
          <w:lang w:val="en-GB"/>
        </w:rPr>
      </w:pPr>
    </w:p>
    <w:p w14:paraId="3CA1B8E8" w14:textId="77777777" w:rsidR="0032279F" w:rsidRPr="004F68E0" w:rsidRDefault="0032279F">
      <w:pPr>
        <w:spacing w:line="360" w:lineRule="auto"/>
        <w:jc w:val="both"/>
        <w:rPr>
          <w:rFonts w:ascii="Times New Roman" w:eastAsia="Times New Roman" w:hAnsi="Times New Roman" w:cs="Times New Roman"/>
          <w:sz w:val="24"/>
          <w:szCs w:val="24"/>
          <w:lang w:val="en-GB"/>
        </w:rPr>
      </w:pPr>
    </w:p>
    <w:p w14:paraId="233F7BF7" w14:textId="77777777" w:rsidR="0032279F" w:rsidRPr="004F68E0" w:rsidRDefault="0032279F">
      <w:pPr>
        <w:spacing w:line="360" w:lineRule="auto"/>
        <w:jc w:val="both"/>
        <w:rPr>
          <w:rFonts w:ascii="Times New Roman" w:eastAsia="Times New Roman" w:hAnsi="Times New Roman" w:cs="Times New Roman"/>
          <w:sz w:val="24"/>
          <w:szCs w:val="24"/>
          <w:lang w:val="en-GB"/>
        </w:rPr>
      </w:pPr>
    </w:p>
    <w:p w14:paraId="55838AD8" w14:textId="77777777" w:rsidR="0032279F" w:rsidRPr="004F68E0" w:rsidRDefault="0032279F">
      <w:pPr>
        <w:spacing w:line="360" w:lineRule="auto"/>
        <w:jc w:val="both"/>
        <w:rPr>
          <w:rFonts w:ascii="Times New Roman" w:eastAsia="Times New Roman" w:hAnsi="Times New Roman" w:cs="Times New Roman"/>
          <w:sz w:val="24"/>
          <w:szCs w:val="24"/>
          <w:lang w:val="en-GB"/>
        </w:rPr>
      </w:pPr>
    </w:p>
    <w:p w14:paraId="327271B0" w14:textId="77777777" w:rsidR="0032279F" w:rsidRPr="004F68E0" w:rsidRDefault="0032279F">
      <w:pPr>
        <w:spacing w:line="360" w:lineRule="auto"/>
        <w:jc w:val="both"/>
        <w:rPr>
          <w:rFonts w:ascii="Times New Roman" w:eastAsia="Times New Roman" w:hAnsi="Times New Roman" w:cs="Times New Roman"/>
          <w:sz w:val="24"/>
          <w:szCs w:val="24"/>
          <w:lang w:val="en-GB"/>
        </w:rPr>
      </w:pPr>
    </w:p>
    <w:sectPr w:rsidR="0032279F" w:rsidRPr="004F68E0" w:rsidSect="004F68E0">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22B0F9" w14:textId="77777777" w:rsidR="00802140" w:rsidRDefault="00802140" w:rsidP="004F68E0">
      <w:pPr>
        <w:spacing w:line="240" w:lineRule="auto"/>
      </w:pPr>
      <w:r>
        <w:separator/>
      </w:r>
    </w:p>
  </w:endnote>
  <w:endnote w:type="continuationSeparator" w:id="0">
    <w:p w14:paraId="46C72D29" w14:textId="77777777" w:rsidR="00802140" w:rsidRDefault="00802140" w:rsidP="004F68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E5454B2-B85A-4824-8B62-4FCF02E3DD78}"/>
  </w:font>
  <w:font w:name="Cambria">
    <w:altName w:val="Cambria"/>
    <w:panose1 w:val="02040503050406030204"/>
    <w:charset w:val="00"/>
    <w:family w:val="roman"/>
    <w:pitch w:val="variable"/>
    <w:sig w:usb0="E00006FF" w:usb1="420024FF" w:usb2="02000000" w:usb3="00000000" w:csb0="0000019F" w:csb1="00000000"/>
    <w:embedRegular r:id="rId2" w:fontKey="{8E5B6129-9EE8-4F78-828D-4C80B20EDF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505074"/>
      <w:docPartObj>
        <w:docPartGallery w:val="Page Numbers (Bottom of Page)"/>
        <w:docPartUnique/>
      </w:docPartObj>
    </w:sdtPr>
    <w:sdtEndPr>
      <w:rPr>
        <w:noProof/>
      </w:rPr>
    </w:sdtEndPr>
    <w:sdtContent>
      <w:p w14:paraId="7FEFCA6A" w14:textId="77777777" w:rsidR="004F68E0" w:rsidRDefault="004F68E0">
        <w:pPr>
          <w:pStyle w:val="Footer"/>
          <w:jc w:val="right"/>
        </w:pPr>
        <w:r>
          <w:fldChar w:fldCharType="begin"/>
        </w:r>
        <w:r>
          <w:instrText xml:space="preserve"> PAGE   \* MERGEFORMAT </w:instrText>
        </w:r>
        <w:r>
          <w:fldChar w:fldCharType="separate"/>
        </w:r>
        <w:r w:rsidR="00FF146B">
          <w:rPr>
            <w:noProof/>
          </w:rPr>
          <w:t>2</w:t>
        </w:r>
        <w:r>
          <w:rPr>
            <w:noProof/>
          </w:rPr>
          <w:fldChar w:fldCharType="end"/>
        </w:r>
      </w:p>
    </w:sdtContent>
  </w:sdt>
  <w:p w14:paraId="2D353B58" w14:textId="77777777" w:rsidR="004F68E0" w:rsidRDefault="004F6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C9298" w14:textId="77777777" w:rsidR="00802140" w:rsidRDefault="00802140" w:rsidP="004F68E0">
      <w:pPr>
        <w:spacing w:line="240" w:lineRule="auto"/>
      </w:pPr>
      <w:r>
        <w:separator/>
      </w:r>
    </w:p>
  </w:footnote>
  <w:footnote w:type="continuationSeparator" w:id="0">
    <w:p w14:paraId="51056C3E" w14:textId="77777777" w:rsidR="00802140" w:rsidRDefault="00802140" w:rsidP="004F68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40656"/>
    <w:multiLevelType w:val="hybridMultilevel"/>
    <w:tmpl w:val="9CF86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790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QwMjSzMDE1NjOzsDRR0lEKTi0uzszPAykwqgUAuDwv9SwAAAA="/>
  </w:docVars>
  <w:rsids>
    <w:rsidRoot w:val="0032279F"/>
    <w:rsid w:val="00111C35"/>
    <w:rsid w:val="0032279F"/>
    <w:rsid w:val="004925A0"/>
    <w:rsid w:val="004F68E0"/>
    <w:rsid w:val="00565E39"/>
    <w:rsid w:val="00673AA5"/>
    <w:rsid w:val="00802140"/>
    <w:rsid w:val="009320F1"/>
    <w:rsid w:val="00FF1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BF0EF"/>
  <w15:docId w15:val="{717735CC-0862-4E33-B9CC-B92BEBD1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4F68E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4F68E0"/>
    <w:pPr>
      <w:spacing w:line="240" w:lineRule="auto"/>
    </w:pPr>
  </w:style>
  <w:style w:type="paragraph" w:styleId="ListParagraph">
    <w:name w:val="List Paragraph"/>
    <w:basedOn w:val="Normal"/>
    <w:uiPriority w:val="34"/>
    <w:qFormat/>
    <w:rsid w:val="004F68E0"/>
    <w:pPr>
      <w:ind w:left="720"/>
      <w:contextualSpacing/>
    </w:pPr>
  </w:style>
  <w:style w:type="paragraph" w:styleId="TOCHeading">
    <w:name w:val="TOC Heading"/>
    <w:basedOn w:val="Heading1"/>
    <w:next w:val="Normal"/>
    <w:uiPriority w:val="39"/>
    <w:unhideWhenUsed/>
    <w:qFormat/>
    <w:rsid w:val="004F68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F68E0"/>
    <w:pPr>
      <w:spacing w:after="100"/>
    </w:pPr>
  </w:style>
  <w:style w:type="character" w:styleId="Hyperlink">
    <w:name w:val="Hyperlink"/>
    <w:basedOn w:val="DefaultParagraphFont"/>
    <w:uiPriority w:val="99"/>
    <w:unhideWhenUsed/>
    <w:rsid w:val="004F68E0"/>
    <w:rPr>
      <w:color w:val="0000FF" w:themeColor="hyperlink"/>
      <w:u w:val="single"/>
    </w:rPr>
  </w:style>
  <w:style w:type="paragraph" w:styleId="Header">
    <w:name w:val="header"/>
    <w:basedOn w:val="Normal"/>
    <w:link w:val="HeaderChar"/>
    <w:uiPriority w:val="99"/>
    <w:unhideWhenUsed/>
    <w:rsid w:val="004F68E0"/>
    <w:pPr>
      <w:tabs>
        <w:tab w:val="center" w:pos="4513"/>
        <w:tab w:val="right" w:pos="9026"/>
      </w:tabs>
      <w:spacing w:line="240" w:lineRule="auto"/>
    </w:pPr>
  </w:style>
  <w:style w:type="character" w:customStyle="1" w:styleId="HeaderChar">
    <w:name w:val="Header Char"/>
    <w:basedOn w:val="DefaultParagraphFont"/>
    <w:link w:val="Header"/>
    <w:uiPriority w:val="99"/>
    <w:rsid w:val="004F68E0"/>
  </w:style>
  <w:style w:type="paragraph" w:styleId="Footer">
    <w:name w:val="footer"/>
    <w:basedOn w:val="Normal"/>
    <w:link w:val="FooterChar"/>
    <w:uiPriority w:val="99"/>
    <w:unhideWhenUsed/>
    <w:rsid w:val="004F68E0"/>
    <w:pPr>
      <w:tabs>
        <w:tab w:val="center" w:pos="4513"/>
        <w:tab w:val="right" w:pos="9026"/>
      </w:tabs>
      <w:spacing w:line="240" w:lineRule="auto"/>
    </w:pPr>
  </w:style>
  <w:style w:type="character" w:customStyle="1" w:styleId="FooterChar">
    <w:name w:val="Footer Char"/>
    <w:basedOn w:val="DefaultParagraphFont"/>
    <w:link w:val="Footer"/>
    <w:uiPriority w:val="99"/>
    <w:rsid w:val="004F6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abs/10.1002/dmrr.3591" TargetMode="External"/><Relationship Id="rId18" Type="http://schemas.openxmlformats.org/officeDocument/2006/relationships/hyperlink" Target="https://diabetesjournals.org/diabetes/article/73/6/849/154109/Glucose-Regulation-of-Cell-KATP-Channels-Is-a-New" TargetMode="External"/><Relationship Id="rId3" Type="http://schemas.openxmlformats.org/officeDocument/2006/relationships/styles" Target="styles.xml"/><Relationship Id="rId21" Type="http://schemas.openxmlformats.org/officeDocument/2006/relationships/hyperlink" Target="https://www.frontiersin.org/journals/endocrinology/articles/10.3389/fendo.2023.1230168/full" TargetMode="External"/><Relationship Id="rId7" Type="http://schemas.openxmlformats.org/officeDocument/2006/relationships/endnotes" Target="endnotes.xml"/><Relationship Id="rId12" Type="http://schemas.openxmlformats.org/officeDocument/2006/relationships/hyperlink" Target="https://pmc.ncbi.nlm.nih.gov/articles/PMC12690173/" TargetMode="External"/><Relationship Id="rId17" Type="http://schemas.openxmlformats.org/officeDocument/2006/relationships/hyperlink" Target="https://www.sciencedirect.com/science/article/pii/S0378111924000970?__cf_chl_tk=OOqAy35eMJNmH4WgOSM_lpArsvOVdLhh7Opri5I4Bqk-1784546431-1.0.1.1-vCwQRXCIyKgvwT8.n25ux4r8wuyu3YQiP4lCt2Eln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rontiersin.org/journals/endocrinology/articles/10.3389/fendo.2023.1134025/full" TargetMode="External"/><Relationship Id="rId20" Type="http://schemas.openxmlformats.org/officeDocument/2006/relationships/hyperlink" Target="https://www.sciencedirect.com/science/article/pii/S187140212400105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igaiin.sakura.ne.jp/sblo_files/saigaiin/image/DM20E8A8BAE696AD.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lancet.com/journals/landia/article/PIIS2213-8587(23)00385-6/fulltext" TargetMode="External"/><Relationship Id="rId23" Type="http://schemas.openxmlformats.org/officeDocument/2006/relationships/footer" Target="footer1.xml"/><Relationship Id="rId10" Type="http://schemas.openxmlformats.org/officeDocument/2006/relationships/hyperlink" Target="https://europepmc.org/article/pmc/pmc10725816" TargetMode="External"/><Relationship Id="rId19" Type="http://schemas.openxmlformats.org/officeDocument/2006/relationships/hyperlink" Target="https://www.nature.com/articles/s12276-023-01043-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00125-024-06107-6" TargetMode="External"/><Relationship Id="rId22" Type="http://schemas.openxmlformats.org/officeDocument/2006/relationships/hyperlink" Target="https://www.nature.com/articles/s41574-023-00898-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5FAC4E-75A5-48EC-8886-6E7118DA6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3301</Words>
  <Characters>18819</Characters>
  <Application>Microsoft Office Word</Application>
  <DocSecurity>0</DocSecurity>
  <Lines>156</Lines>
  <Paragraphs>44</Paragraphs>
  <ScaleCrop>false</ScaleCrop>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Alok Kumar</cp:lastModifiedBy>
  <cp:revision>5</cp:revision>
  <dcterms:created xsi:type="dcterms:W3CDTF">2026-07-20T11:48:00Z</dcterms:created>
  <dcterms:modified xsi:type="dcterms:W3CDTF">2026-07-20T17:31:00Z</dcterms:modified>
</cp:coreProperties>
</file>