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09E602AE" w14:textId="77777777" w:rsidR="003C154B" w:rsidRDefault="009A5B4A" w:rsidP="00945CEC">
            <w:pPr>
              <w:rPr>
                <w:sz w:val="28"/>
                <w:szCs w:val="28"/>
              </w:rPr>
            </w:pPr>
            <w:r>
              <w:rPr>
                <w:sz w:val="28"/>
                <w:szCs w:val="28"/>
              </w:rPr>
              <w:t>William Page</w:t>
            </w:r>
          </w:p>
          <w:p w14:paraId="4407CD15" w14:textId="3C276BE8" w:rsidR="009A5B4A" w:rsidRPr="00753CE4" w:rsidRDefault="009A5B4A" w:rsidP="00945CEC">
            <w:pPr>
              <w:rPr>
                <w:sz w:val="28"/>
                <w:szCs w:val="28"/>
              </w:rPr>
            </w:pPr>
            <w:r>
              <w:rPr>
                <w:sz w:val="28"/>
                <w:szCs w:val="28"/>
              </w:rPr>
              <w:t>2113430</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48FD7F58" w:rsidR="003C154B" w:rsidRPr="009A5B4A" w:rsidRDefault="009A5B4A" w:rsidP="00945CEC">
            <w:pPr>
              <w:rPr>
                <w:iCs/>
                <w:sz w:val="28"/>
                <w:szCs w:val="28"/>
              </w:rPr>
            </w:pPr>
            <w:r>
              <w:rPr>
                <w:iCs/>
                <w:sz w:val="28"/>
                <w:szCs w:val="28"/>
              </w:rPr>
              <w:t>Stacey Coleman</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400B4203" w:rsidR="009648D6" w:rsidRPr="00A05E89" w:rsidRDefault="00F80900" w:rsidP="00C15547">
            <w:pPr>
              <w:rPr>
                <w:rFonts w:ascii="Arial" w:hAnsi="Arial" w:cs="Arial"/>
                <w:sz w:val="20"/>
                <w:szCs w:val="20"/>
              </w:rPr>
            </w:pPr>
            <w:r>
              <w:rPr>
                <w:rFonts w:ascii="Arial" w:hAnsi="Arial" w:cs="Arial"/>
                <w:sz w:val="20"/>
                <w:szCs w:val="20"/>
              </w:rPr>
              <w:t xml:space="preserve">Clinical Psychology </w:t>
            </w:r>
            <w:r w:rsidR="009A5B4A">
              <w:rPr>
                <w:rFonts w:ascii="MS Gothic" w:eastAsia="MS Gothic" w:hAnsi="MS Gothic" w:cs="Arial" w:hint="eastAsia"/>
                <w:sz w:val="20"/>
                <w:szCs w:val="20"/>
              </w:rPr>
              <w:t>✓</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54179E5A"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r w:rsidR="000C1724">
              <w:rPr>
                <w:rFonts w:ascii="MS Gothic" w:eastAsia="MS Gothic" w:hAnsi="MS Gothic" w:cs="Arial" w:hint="eastAsia"/>
                <w:sz w:val="20"/>
                <w:szCs w:val="20"/>
              </w:rPr>
              <w:t>✓</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433CA81D"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18616045" w:rsidR="002F3741" w:rsidRPr="00A05E89" w:rsidRDefault="000C1724" w:rsidP="00F73A03">
            <w:pPr>
              <w:rPr>
                <w:rFonts w:ascii="Arial" w:hAnsi="Arial" w:cs="Arial"/>
                <w:sz w:val="20"/>
                <w:szCs w:val="20"/>
              </w:rPr>
            </w:pPr>
            <w:r>
              <w:rPr>
                <w:rFonts w:ascii="MS Gothic" w:eastAsia="MS Gothic" w:hAnsi="MS Gothic" w:cs="Arial" w:hint="eastAsia"/>
                <w:sz w:val="20"/>
                <w:szCs w:val="20"/>
              </w:rPr>
              <w:t>✓</w:t>
            </w: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3A397173" w14:textId="48C228D6" w:rsidR="009A5B4A" w:rsidRPr="009A5B4A" w:rsidRDefault="00A5268F" w:rsidP="00C15547">
            <w:pPr>
              <w:rPr>
                <w:rFonts w:ascii="Arial" w:hAnsi="Arial" w:cs="Arial"/>
                <w:b/>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/Area</w:t>
            </w:r>
          </w:p>
          <w:p w14:paraId="0083A96E" w14:textId="6B20D7EE" w:rsidR="009A5B4A" w:rsidRDefault="009A5B4A" w:rsidP="00C15547">
            <w:pPr>
              <w:rPr>
                <w:rFonts w:ascii="Arial" w:hAnsi="Arial" w:cs="Arial"/>
                <w:sz w:val="20"/>
              </w:rPr>
            </w:pPr>
            <w:r>
              <w:rPr>
                <w:rFonts w:ascii="Arial" w:hAnsi="Arial" w:cs="Arial"/>
                <w:sz w:val="20"/>
              </w:rPr>
              <w:t>Identifying what aspects of mental health and wellbeing self-reporting processes are likely to be engaged with dishonestly or inaccurately</w:t>
            </w:r>
            <w:r w:rsidR="000C1724">
              <w:rPr>
                <w:rFonts w:ascii="Arial" w:hAnsi="Arial" w:cs="Arial"/>
                <w:sz w:val="20"/>
              </w:rPr>
              <w:t>.</w:t>
            </w:r>
            <w:r>
              <w:rPr>
                <w:rFonts w:ascii="Arial" w:hAnsi="Arial" w:cs="Arial"/>
                <w:sz w:val="20"/>
              </w:rPr>
              <w:t xml:space="preserve"> </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7B84ECA1" w14:textId="32B4037F" w:rsidR="00992264" w:rsidRDefault="007F63C7" w:rsidP="00360E4B">
            <w:pPr>
              <w:rPr>
                <w:rFonts w:ascii="Arial" w:hAnsi="Arial" w:cs="Arial"/>
                <w:bCs/>
                <w:sz w:val="22"/>
                <w:szCs w:val="22"/>
              </w:rPr>
            </w:pPr>
            <w:r>
              <w:rPr>
                <w:rFonts w:ascii="Arial" w:hAnsi="Arial" w:cs="Arial"/>
                <w:bCs/>
                <w:sz w:val="22"/>
                <w:szCs w:val="22"/>
              </w:rPr>
              <w:t xml:space="preserve">Research suggests that up to 50% of people will </w:t>
            </w:r>
            <w:r w:rsidR="004E7C8F">
              <w:rPr>
                <w:rFonts w:ascii="Arial" w:hAnsi="Arial" w:cs="Arial"/>
                <w:bCs/>
                <w:sz w:val="22"/>
                <w:szCs w:val="22"/>
              </w:rPr>
              <w:t xml:space="preserve">intentionally </w:t>
            </w:r>
            <w:r>
              <w:rPr>
                <w:rFonts w:ascii="Arial" w:hAnsi="Arial" w:cs="Arial"/>
                <w:bCs/>
                <w:sz w:val="22"/>
                <w:szCs w:val="22"/>
              </w:rPr>
              <w:t>provide misinformation when engaging with any type of survey (</w:t>
            </w:r>
            <w:r w:rsidR="00C81899">
              <w:rPr>
                <w:rFonts w:ascii="Arial" w:hAnsi="Arial" w:cs="Arial"/>
                <w:bCs/>
                <w:sz w:val="22"/>
                <w:szCs w:val="22"/>
              </w:rPr>
              <w:t>Sevec, 2016</w:t>
            </w:r>
            <w:r>
              <w:rPr>
                <w:rFonts w:ascii="Arial" w:hAnsi="Arial" w:cs="Arial"/>
                <w:bCs/>
                <w:sz w:val="22"/>
                <w:szCs w:val="22"/>
              </w:rPr>
              <w:t>) and one in four individuals will provide inaccurate responses during a psychometric test (</w:t>
            </w:r>
            <w:r w:rsidR="009D373F">
              <w:rPr>
                <w:rFonts w:ascii="Arial" w:hAnsi="Arial" w:cs="Arial"/>
                <w:bCs/>
                <w:sz w:val="22"/>
                <w:szCs w:val="22"/>
              </w:rPr>
              <w:t>Ziegler et al., 2012</w:t>
            </w:r>
            <w:r>
              <w:rPr>
                <w:rFonts w:ascii="Arial" w:hAnsi="Arial" w:cs="Arial"/>
                <w:bCs/>
                <w:sz w:val="22"/>
                <w:szCs w:val="22"/>
              </w:rPr>
              <w:t>). There exists limited research into the extent to which this may include the general and psychometric data required for self-referral for mental health and wellbeing services.</w:t>
            </w:r>
            <w:r w:rsidR="004E7C8F">
              <w:rPr>
                <w:rFonts w:ascii="Arial" w:hAnsi="Arial" w:cs="Arial"/>
                <w:bCs/>
                <w:sz w:val="22"/>
                <w:szCs w:val="22"/>
              </w:rPr>
              <w:t xml:space="preserve"> Relevant research that does exist, however, has been conducted with the aim of determining if such digital processes are more likely to facilitate ‘faking’ in responses when compared to using more traditional formats such as paper forms (Grieve &amp; Tania de Groot, 2011). </w:t>
            </w:r>
            <w:r>
              <w:rPr>
                <w:rFonts w:ascii="Arial" w:hAnsi="Arial" w:cs="Arial"/>
                <w:bCs/>
                <w:sz w:val="22"/>
                <w:szCs w:val="22"/>
              </w:rPr>
              <w:t>The research topic</w:t>
            </w:r>
            <w:r w:rsidR="004E7C8F">
              <w:rPr>
                <w:rFonts w:ascii="Arial" w:hAnsi="Arial" w:cs="Arial"/>
                <w:bCs/>
                <w:sz w:val="22"/>
                <w:szCs w:val="22"/>
              </w:rPr>
              <w:t xml:space="preserve"> </w:t>
            </w:r>
            <w:r>
              <w:rPr>
                <w:rFonts w:ascii="Arial" w:hAnsi="Arial" w:cs="Arial"/>
                <w:bCs/>
                <w:sz w:val="22"/>
                <w:szCs w:val="22"/>
              </w:rPr>
              <w:t>of this study has been drawn from a compilation of evidence surrounding the critique of reliability of psychometric scales (</w:t>
            </w:r>
            <w:r w:rsidR="00505272">
              <w:rPr>
                <w:rFonts w:ascii="Arial" w:hAnsi="Arial" w:cs="Arial"/>
                <w:bCs/>
                <w:sz w:val="22"/>
                <w:szCs w:val="22"/>
              </w:rPr>
              <w:t>Gaffaney et al., 2022</w:t>
            </w:r>
            <w:r>
              <w:rPr>
                <w:rFonts w:ascii="Arial" w:hAnsi="Arial" w:cs="Arial"/>
                <w:bCs/>
                <w:sz w:val="22"/>
                <w:szCs w:val="22"/>
              </w:rPr>
              <w:t>) and the conditions under which an individual may not honestly or accurately disclose information regarding their mental wellbeing (</w:t>
            </w:r>
            <w:r w:rsidR="00727118">
              <w:rPr>
                <w:rFonts w:ascii="Arial" w:hAnsi="Arial" w:cs="Arial"/>
                <w:bCs/>
                <w:sz w:val="22"/>
                <w:szCs w:val="22"/>
              </w:rPr>
              <w:t>Dale et al., 2021</w:t>
            </w:r>
            <w:r>
              <w:rPr>
                <w:rFonts w:ascii="Arial" w:hAnsi="Arial" w:cs="Arial"/>
                <w:bCs/>
                <w:sz w:val="22"/>
                <w:szCs w:val="22"/>
              </w:rPr>
              <w:t xml:space="preserve">). Therefore, </w:t>
            </w:r>
            <w:r w:rsidR="0008459E">
              <w:rPr>
                <w:rFonts w:ascii="Arial" w:hAnsi="Arial" w:cs="Arial"/>
                <w:bCs/>
                <w:sz w:val="22"/>
                <w:szCs w:val="22"/>
              </w:rPr>
              <w:t xml:space="preserve">these two distinct features are being considered as potentially interdependent in the possible implication of self-referral inaccuracy. Further research has been conducted to observe the validity of questionnaires and responses of individuals with specific conditions </w:t>
            </w:r>
            <w:r w:rsidR="00FD3690">
              <w:rPr>
                <w:rFonts w:ascii="Arial" w:hAnsi="Arial" w:cs="Arial"/>
                <w:bCs/>
                <w:sz w:val="22"/>
                <w:szCs w:val="22"/>
              </w:rPr>
              <w:t xml:space="preserve">including anxiety and drug use </w:t>
            </w:r>
            <w:r w:rsidR="0008459E">
              <w:rPr>
                <w:rFonts w:ascii="Arial" w:hAnsi="Arial" w:cs="Arial"/>
                <w:bCs/>
                <w:sz w:val="22"/>
                <w:szCs w:val="22"/>
              </w:rPr>
              <w:t>(</w:t>
            </w:r>
            <w:r w:rsidR="00DC2AAA">
              <w:rPr>
                <w:rFonts w:ascii="Arial" w:hAnsi="Arial" w:cs="Arial"/>
                <w:bCs/>
                <w:sz w:val="22"/>
                <w:szCs w:val="22"/>
              </w:rPr>
              <w:t>Fox et al., 2020 &amp; Leeman et al.,2021</w:t>
            </w:r>
            <w:r w:rsidR="0008459E">
              <w:rPr>
                <w:rFonts w:ascii="Arial" w:hAnsi="Arial" w:cs="Arial"/>
                <w:bCs/>
                <w:sz w:val="22"/>
                <w:szCs w:val="22"/>
              </w:rPr>
              <w:t>).</w:t>
            </w:r>
            <w:r w:rsidR="0047375D">
              <w:rPr>
                <w:rFonts w:ascii="Arial" w:hAnsi="Arial" w:cs="Arial"/>
                <w:bCs/>
                <w:sz w:val="22"/>
                <w:szCs w:val="22"/>
              </w:rPr>
              <w:t xml:space="preserve"> Such research suggests that individuals experiencing these circumstances may be displaying impression management (Krauss, 2022), though flaws is methods of data collection are also considered to be an impacting factor</w:t>
            </w:r>
            <w:r w:rsidR="00583459">
              <w:rPr>
                <w:rFonts w:ascii="Arial" w:hAnsi="Arial" w:cs="Arial"/>
                <w:bCs/>
                <w:sz w:val="22"/>
                <w:szCs w:val="22"/>
              </w:rPr>
              <w:t xml:space="preserve"> (Roberts &amp; Maxfield, 2021).</w:t>
            </w:r>
            <w:r w:rsidR="00892018">
              <w:rPr>
                <w:rFonts w:ascii="Arial" w:hAnsi="Arial" w:cs="Arial"/>
                <w:bCs/>
                <w:sz w:val="22"/>
                <w:szCs w:val="22"/>
              </w:rPr>
              <w:t xml:space="preserve"> However, </w:t>
            </w:r>
            <w:r w:rsidR="008C1FEA">
              <w:rPr>
                <w:rFonts w:ascii="Arial" w:hAnsi="Arial" w:cs="Arial"/>
                <w:bCs/>
                <w:sz w:val="22"/>
                <w:szCs w:val="22"/>
              </w:rPr>
              <w:t>i</w:t>
            </w:r>
            <w:r w:rsidR="00892018">
              <w:rPr>
                <w:rFonts w:ascii="Arial" w:hAnsi="Arial" w:cs="Arial"/>
                <w:bCs/>
                <w:sz w:val="22"/>
                <w:szCs w:val="22"/>
              </w:rPr>
              <w:t xml:space="preserve">t appears to be seldom considered that there may be a closer relationship between an individual’s condition and the way in which the self-reporting measures are presented. </w:t>
            </w:r>
          </w:p>
          <w:p w14:paraId="7ED2BC80" w14:textId="77777777" w:rsidR="008C1FEA" w:rsidRPr="008C1FEA" w:rsidRDefault="008C1FEA" w:rsidP="00360E4B">
            <w:pPr>
              <w:rPr>
                <w:rFonts w:ascii="Arial" w:hAnsi="Arial" w:cs="Arial"/>
                <w:b/>
                <w:bCs/>
                <w:sz w:val="20"/>
                <w:szCs w:val="20"/>
              </w:rPr>
            </w:pPr>
          </w:p>
          <w:p w14:paraId="29303A3D" w14:textId="051F61D4" w:rsidR="008C1FEA" w:rsidRDefault="008C1FEA" w:rsidP="00360E4B">
            <w:pPr>
              <w:rPr>
                <w:rFonts w:ascii="Arial" w:hAnsi="Arial" w:cs="Arial"/>
                <w:b/>
                <w:bCs/>
                <w:sz w:val="20"/>
                <w:szCs w:val="20"/>
              </w:rPr>
            </w:pPr>
            <w:r w:rsidRPr="008C1FEA">
              <w:rPr>
                <w:rFonts w:ascii="Arial" w:hAnsi="Arial" w:cs="Arial"/>
                <w:b/>
                <w:bCs/>
                <w:sz w:val="20"/>
                <w:szCs w:val="20"/>
              </w:rPr>
              <w:t>Reference List:</w:t>
            </w:r>
          </w:p>
          <w:p w14:paraId="05B5D882" w14:textId="77777777" w:rsidR="008C1FEA" w:rsidRDefault="008C1FEA" w:rsidP="00360E4B">
            <w:pPr>
              <w:rPr>
                <w:rFonts w:ascii="Arial" w:hAnsi="Arial" w:cs="Arial"/>
                <w:b/>
                <w:bCs/>
                <w:sz w:val="20"/>
                <w:szCs w:val="20"/>
              </w:rPr>
            </w:pPr>
          </w:p>
          <w:p w14:paraId="6A502C58"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Adams, D. R., Wroblewski, K. E., Kern, D. W., Kozloski, M. J., Dale, W., McClintock, M. K., &amp; Pinto, J. M. (2017). Factors Associated with Inaccurate Self-Reporting of Olfactory Dysfunction in Older US Adults. </w:t>
            </w:r>
            <w:r w:rsidRPr="008C1FEA">
              <w:rPr>
                <w:rFonts w:ascii="Calibri" w:eastAsia="Calibri" w:hAnsi="Calibri"/>
                <w:i/>
                <w:iCs/>
                <w:kern w:val="2"/>
                <w:sz w:val="22"/>
                <w:szCs w:val="22"/>
                <w:lang w:eastAsia="en-US"/>
                <w14:ligatures w14:val="standardContextual"/>
              </w:rPr>
              <w:t>Chemical Senses, 42</w:t>
            </w:r>
            <w:r w:rsidRPr="008C1FEA">
              <w:rPr>
                <w:rFonts w:ascii="Calibri" w:eastAsia="Calibri" w:hAnsi="Calibri"/>
                <w:kern w:val="2"/>
                <w:sz w:val="22"/>
                <w:szCs w:val="22"/>
                <w:lang w:eastAsia="en-US"/>
                <w14:ligatures w14:val="standardContextual"/>
              </w:rPr>
              <w:t>(3), 223-231.</w:t>
            </w:r>
          </w:p>
          <w:p w14:paraId="20C215EB"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Babin, J. J., Chauhan, H. S., &amp; Liu, F. (2022), You Can’t Hide Your Lying Eyes: Honesty Oaths and Misrepresentation. </w:t>
            </w:r>
            <w:r w:rsidRPr="008C1FEA">
              <w:rPr>
                <w:rFonts w:ascii="Calibri" w:eastAsia="Calibri" w:hAnsi="Calibri"/>
                <w:i/>
                <w:iCs/>
                <w:kern w:val="2"/>
                <w:sz w:val="22"/>
                <w:szCs w:val="22"/>
                <w:lang w:eastAsia="en-US"/>
                <w14:ligatures w14:val="standardContextual"/>
              </w:rPr>
              <w:t>Journal of Behavioural and Experimental Economics, 98</w:t>
            </w:r>
            <w:r w:rsidRPr="008C1FEA">
              <w:rPr>
                <w:rFonts w:ascii="Calibri" w:eastAsia="Calibri" w:hAnsi="Calibri"/>
                <w:kern w:val="2"/>
                <w:sz w:val="22"/>
                <w:szCs w:val="22"/>
                <w:lang w:eastAsia="en-US"/>
                <w14:ligatures w14:val="standardContextual"/>
              </w:rPr>
              <w:t xml:space="preserve">, 101880. </w:t>
            </w:r>
            <w:hyperlink r:id="rId9" w:history="1">
              <w:r w:rsidRPr="008C1FEA">
                <w:rPr>
                  <w:rFonts w:ascii="Calibri" w:eastAsia="Calibri" w:hAnsi="Calibri"/>
                  <w:color w:val="0563C1"/>
                  <w:kern w:val="2"/>
                  <w:sz w:val="22"/>
                  <w:szCs w:val="22"/>
                  <w:u w:val="single"/>
                  <w:lang w:eastAsia="en-US"/>
                  <w14:ligatures w14:val="standardContextual"/>
                </w:rPr>
                <w:t>https://doi.org/10.1016/j.socec.2022.101880</w:t>
              </w:r>
            </w:hyperlink>
            <w:r w:rsidRPr="008C1FEA">
              <w:rPr>
                <w:rFonts w:ascii="Calibri" w:eastAsia="Calibri" w:hAnsi="Calibri"/>
                <w:kern w:val="2"/>
                <w:sz w:val="22"/>
                <w:szCs w:val="22"/>
                <w:lang w:eastAsia="en-US"/>
                <w14:ligatures w14:val="standardContextual"/>
              </w:rPr>
              <w:t>.</w:t>
            </w:r>
          </w:p>
          <w:p w14:paraId="50CFAC11"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proofErr w:type="spellStart"/>
            <w:r w:rsidRPr="008C1FEA">
              <w:rPr>
                <w:rFonts w:ascii="Calibri" w:eastAsia="Calibri" w:hAnsi="Calibri"/>
                <w:kern w:val="2"/>
                <w:sz w:val="22"/>
                <w:szCs w:val="22"/>
                <w:lang w:eastAsia="en-US"/>
                <w14:ligatures w14:val="standardContextual"/>
              </w:rPr>
              <w:t>Bakhireva</w:t>
            </w:r>
            <w:proofErr w:type="spellEnd"/>
            <w:r w:rsidRPr="008C1FEA">
              <w:rPr>
                <w:rFonts w:ascii="Calibri" w:eastAsia="Calibri" w:hAnsi="Calibri"/>
                <w:kern w:val="2"/>
                <w:sz w:val="22"/>
                <w:szCs w:val="22"/>
                <w:lang w:eastAsia="en-US"/>
                <w14:ligatures w14:val="standardContextual"/>
              </w:rPr>
              <w:t xml:space="preserve">, L. N., Leeman, L., Roberts, M., Rodriguez, D. E., &amp; Jacobson, S. W. (2021). You didn’t drink during pregnancy, did you? </w:t>
            </w:r>
            <w:r w:rsidRPr="008C1FEA">
              <w:rPr>
                <w:rFonts w:ascii="Calibri" w:eastAsia="Calibri" w:hAnsi="Calibri"/>
                <w:i/>
                <w:iCs/>
                <w:kern w:val="2"/>
                <w:sz w:val="22"/>
                <w:szCs w:val="22"/>
                <w:lang w:eastAsia="en-US"/>
                <w14:ligatures w14:val="standardContextual"/>
              </w:rPr>
              <w:t>Alcohol clinical and experimental research, 45</w:t>
            </w:r>
            <w:r w:rsidRPr="008C1FEA">
              <w:rPr>
                <w:rFonts w:ascii="Calibri" w:eastAsia="Calibri" w:hAnsi="Calibri"/>
                <w:kern w:val="2"/>
                <w:sz w:val="22"/>
                <w:szCs w:val="22"/>
                <w:lang w:eastAsia="en-US"/>
                <w14:ligatures w14:val="standardContextual"/>
              </w:rPr>
              <w:t xml:space="preserve">(3), 543-547. </w:t>
            </w:r>
            <w:hyperlink r:id="rId10" w:history="1">
              <w:r w:rsidRPr="008C1FEA">
                <w:rPr>
                  <w:rFonts w:ascii="Calibri" w:eastAsia="Calibri" w:hAnsi="Calibri"/>
                  <w:color w:val="0563C1"/>
                  <w:kern w:val="2"/>
                  <w:sz w:val="22"/>
                  <w:szCs w:val="22"/>
                  <w:u w:val="single"/>
                  <w:lang w:eastAsia="en-US"/>
                  <w14:ligatures w14:val="standardContextual"/>
                </w:rPr>
                <w:t>https://doi.org/10.1111/acer.14545</w:t>
              </w:r>
            </w:hyperlink>
          </w:p>
          <w:p w14:paraId="4A08DDE5"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Bolarinwa, O. A. (2015). Principles and methods of validity and reliability testing of questionnaires used in social and health science researches. </w:t>
            </w:r>
            <w:r w:rsidRPr="008C1FEA">
              <w:rPr>
                <w:rFonts w:ascii="Calibri" w:eastAsia="Calibri" w:hAnsi="Calibri"/>
                <w:i/>
                <w:iCs/>
                <w:kern w:val="2"/>
                <w:sz w:val="22"/>
                <w:szCs w:val="22"/>
                <w:lang w:eastAsia="en-US"/>
                <w14:ligatures w14:val="standardContextual"/>
              </w:rPr>
              <w:t>Nigerian Postgraduate Medical Journal</w:t>
            </w:r>
            <w:r w:rsidRPr="008C1FEA">
              <w:rPr>
                <w:rFonts w:ascii="Calibri" w:eastAsia="Calibri" w:hAnsi="Calibri"/>
                <w:kern w:val="2"/>
                <w:sz w:val="22"/>
                <w:szCs w:val="22"/>
                <w:lang w:eastAsia="en-US"/>
                <w14:ligatures w14:val="standardContextual"/>
              </w:rPr>
              <w:t xml:space="preserve">, </w:t>
            </w:r>
            <w:r w:rsidRPr="008C1FEA">
              <w:rPr>
                <w:rFonts w:ascii="Calibri" w:eastAsia="Calibri" w:hAnsi="Calibri"/>
                <w:i/>
                <w:iCs/>
                <w:kern w:val="2"/>
                <w:sz w:val="22"/>
                <w:szCs w:val="22"/>
                <w:lang w:eastAsia="en-US"/>
                <w14:ligatures w14:val="standardContextual"/>
              </w:rPr>
              <w:t>22</w:t>
            </w:r>
            <w:r w:rsidRPr="008C1FEA">
              <w:rPr>
                <w:rFonts w:ascii="Calibri" w:eastAsia="Calibri" w:hAnsi="Calibri"/>
                <w:kern w:val="2"/>
                <w:sz w:val="22"/>
                <w:szCs w:val="22"/>
                <w:lang w:eastAsia="en-US"/>
                <w14:ligatures w14:val="standardContextual"/>
              </w:rPr>
              <w:t>, 195–201.</w:t>
            </w:r>
          </w:p>
          <w:p w14:paraId="51356C3D"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Chung, M. L., Forstner, A. J., Mücke, M., Geiser, F., Schumacher, J., &amp; Conrad, R. (2022). Predictors of suicidal ideation in social anxiety disorder – evidence for the validity of the Interpersonal Theory of Suicide. </w:t>
            </w:r>
            <w:r w:rsidRPr="008C1FEA">
              <w:rPr>
                <w:rFonts w:ascii="Calibri" w:eastAsia="Calibri" w:hAnsi="Calibri"/>
                <w:i/>
                <w:iCs/>
                <w:kern w:val="2"/>
                <w:sz w:val="22"/>
                <w:szCs w:val="22"/>
                <w:lang w:eastAsia="en-US"/>
                <w14:ligatures w14:val="standardContextual"/>
              </w:rPr>
              <w:t xml:space="preserve">Journal of Affective Disorders, 298, </w:t>
            </w:r>
            <w:r w:rsidRPr="008C1FEA">
              <w:rPr>
                <w:rFonts w:ascii="Calibri" w:eastAsia="Calibri" w:hAnsi="Calibri"/>
                <w:kern w:val="2"/>
                <w:sz w:val="22"/>
                <w:szCs w:val="22"/>
                <w:lang w:eastAsia="en-US"/>
                <w14:ligatures w14:val="standardContextual"/>
              </w:rPr>
              <w:t xml:space="preserve">400-407. </w:t>
            </w:r>
            <w:hyperlink r:id="rId11" w:history="1">
              <w:r w:rsidRPr="008C1FEA">
                <w:rPr>
                  <w:rFonts w:ascii="Calibri" w:eastAsia="Calibri" w:hAnsi="Calibri"/>
                  <w:color w:val="0563C1"/>
                  <w:kern w:val="2"/>
                  <w:sz w:val="22"/>
                  <w:szCs w:val="22"/>
                  <w:u w:val="single"/>
                  <w:lang w:eastAsia="en-US"/>
                  <w14:ligatures w14:val="standardContextual"/>
                </w:rPr>
                <w:t>https://doi.org/10.1016/j.jad.2021.11.017</w:t>
              </w:r>
            </w:hyperlink>
            <w:r w:rsidRPr="008C1FEA">
              <w:rPr>
                <w:rFonts w:ascii="Calibri" w:eastAsia="Calibri" w:hAnsi="Calibri"/>
                <w:kern w:val="2"/>
                <w:sz w:val="22"/>
                <w:szCs w:val="22"/>
                <w:lang w:eastAsia="en-US"/>
                <w14:ligatures w14:val="standardContextual"/>
              </w:rPr>
              <w:t>.</w:t>
            </w:r>
          </w:p>
          <w:p w14:paraId="09863608"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Connor, K. M., Davidson, J. R. T., Churchill, E., Sherwood, A., </w:t>
            </w:r>
            <w:proofErr w:type="spellStart"/>
            <w:r w:rsidRPr="008C1FEA">
              <w:rPr>
                <w:rFonts w:ascii="Calibri" w:eastAsia="Calibri" w:hAnsi="Calibri"/>
                <w:kern w:val="2"/>
                <w:sz w:val="22"/>
                <w:szCs w:val="22"/>
                <w:lang w:eastAsia="en-US"/>
                <w14:ligatures w14:val="standardContextual"/>
              </w:rPr>
              <w:t>Foa</w:t>
            </w:r>
            <w:proofErr w:type="spellEnd"/>
            <w:r w:rsidRPr="008C1FEA">
              <w:rPr>
                <w:rFonts w:ascii="Calibri" w:eastAsia="Calibri" w:hAnsi="Calibri"/>
                <w:kern w:val="2"/>
                <w:sz w:val="22"/>
                <w:szCs w:val="22"/>
                <w:lang w:eastAsia="en-US"/>
                <w14:ligatures w14:val="standardContextual"/>
              </w:rPr>
              <w:t xml:space="preserve">, E., &amp; Weisler, R. H. (2000). Psychometric properties of the Social Phobia Inventory (SPIN). </w:t>
            </w:r>
            <w:r w:rsidRPr="008C1FEA">
              <w:rPr>
                <w:rFonts w:ascii="Calibri" w:eastAsia="Calibri" w:hAnsi="Calibri"/>
                <w:i/>
                <w:iCs/>
                <w:kern w:val="2"/>
                <w:sz w:val="22"/>
                <w:szCs w:val="22"/>
                <w:lang w:eastAsia="en-US"/>
                <w14:ligatures w14:val="standardContextual"/>
              </w:rPr>
              <w:t>British Journal of Psychiatry, 176</w:t>
            </w:r>
            <w:r w:rsidRPr="008C1FEA">
              <w:rPr>
                <w:rFonts w:ascii="Calibri" w:eastAsia="Calibri" w:hAnsi="Calibri"/>
                <w:kern w:val="2"/>
                <w:sz w:val="22"/>
                <w:szCs w:val="22"/>
                <w:lang w:eastAsia="en-US"/>
                <w14:ligatures w14:val="standardContextual"/>
              </w:rPr>
              <w:t xml:space="preserve">, 379-386. </w:t>
            </w:r>
          </w:p>
          <w:p w14:paraId="7CD38A86"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Dale, N. F., Johns, R., &amp; Walsh, M. J. (2021). “That's not true!” paired interviews as a method for contemporaneous moderation of self-reporting on a shared service experience. </w:t>
            </w:r>
            <w:r w:rsidRPr="008C1FEA">
              <w:rPr>
                <w:rFonts w:ascii="Calibri" w:eastAsia="Calibri" w:hAnsi="Calibri"/>
                <w:i/>
                <w:iCs/>
                <w:kern w:val="2"/>
                <w:sz w:val="22"/>
                <w:szCs w:val="22"/>
                <w:lang w:eastAsia="en-US"/>
                <w14:ligatures w14:val="standardContextual"/>
              </w:rPr>
              <w:t>Journal of Hospitality and Tourism Management, 49</w:t>
            </w:r>
            <w:r w:rsidRPr="008C1FEA">
              <w:rPr>
                <w:rFonts w:ascii="Calibri" w:eastAsia="Calibri" w:hAnsi="Calibri"/>
                <w:kern w:val="2"/>
                <w:sz w:val="22"/>
                <w:szCs w:val="22"/>
                <w:lang w:eastAsia="en-US"/>
                <w14:ligatures w14:val="standardContextual"/>
              </w:rPr>
              <w:t xml:space="preserve">, 580-591. </w:t>
            </w:r>
            <w:hyperlink r:id="rId12" w:history="1">
              <w:r w:rsidRPr="008C1FEA">
                <w:rPr>
                  <w:rFonts w:ascii="Calibri" w:eastAsia="Calibri" w:hAnsi="Calibri"/>
                  <w:color w:val="0563C1"/>
                  <w:kern w:val="2"/>
                  <w:sz w:val="22"/>
                  <w:szCs w:val="22"/>
                  <w:u w:val="single"/>
                  <w:lang w:eastAsia="en-US"/>
                  <w14:ligatures w14:val="standardContextual"/>
                </w:rPr>
                <w:t>https://doi.org/10.1016/j.jhtm.2021.11.010</w:t>
              </w:r>
            </w:hyperlink>
            <w:r w:rsidRPr="008C1FEA">
              <w:rPr>
                <w:rFonts w:ascii="Calibri" w:eastAsia="Calibri" w:hAnsi="Calibri"/>
                <w:kern w:val="2"/>
                <w:sz w:val="22"/>
                <w:szCs w:val="22"/>
                <w:lang w:eastAsia="en-US"/>
                <w14:ligatures w14:val="standardContextual"/>
              </w:rPr>
              <w:t>.</w:t>
            </w:r>
          </w:p>
          <w:p w14:paraId="5A762AAB"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Davies, M. R., Glen, K., Mundy, J., </w:t>
            </w:r>
            <w:proofErr w:type="spellStart"/>
            <w:r w:rsidRPr="008C1FEA">
              <w:rPr>
                <w:rFonts w:ascii="Calibri" w:eastAsia="Calibri" w:hAnsi="Calibri"/>
                <w:kern w:val="2"/>
                <w:sz w:val="22"/>
                <w:szCs w:val="22"/>
                <w:lang w:eastAsia="en-US"/>
                <w14:ligatures w14:val="standardContextual"/>
              </w:rPr>
              <w:t>Kuile</w:t>
            </w:r>
            <w:proofErr w:type="spellEnd"/>
            <w:r w:rsidRPr="008C1FEA">
              <w:rPr>
                <w:rFonts w:ascii="Calibri" w:eastAsia="Calibri" w:hAnsi="Calibri"/>
                <w:kern w:val="2"/>
                <w:sz w:val="22"/>
                <w:szCs w:val="22"/>
                <w:lang w:eastAsia="en-US"/>
                <w14:ligatures w14:val="standardContextual"/>
              </w:rPr>
              <w:t xml:space="preserve">, A. R., Adey, B. N., Armour, C., </w:t>
            </w:r>
            <w:proofErr w:type="spellStart"/>
            <w:r w:rsidRPr="008C1FEA">
              <w:rPr>
                <w:rFonts w:ascii="Calibri" w:eastAsia="Calibri" w:hAnsi="Calibri"/>
                <w:kern w:val="2"/>
                <w:sz w:val="22"/>
                <w:szCs w:val="22"/>
                <w:lang w:eastAsia="en-US"/>
                <w14:ligatures w14:val="standardContextual"/>
              </w:rPr>
              <w:t>Assary</w:t>
            </w:r>
            <w:proofErr w:type="spellEnd"/>
            <w:r w:rsidRPr="008C1FEA">
              <w:rPr>
                <w:rFonts w:ascii="Calibri" w:eastAsia="Calibri" w:hAnsi="Calibri"/>
                <w:kern w:val="2"/>
                <w:sz w:val="22"/>
                <w:szCs w:val="22"/>
                <w:lang w:eastAsia="en-US"/>
                <w14:ligatures w14:val="standardContextual"/>
              </w:rPr>
              <w:t xml:space="preserve">, E., Coleman, J. R. I., Goldsmith, K. A., Hirsch, C. R., </w:t>
            </w:r>
            <w:proofErr w:type="spellStart"/>
            <w:r w:rsidRPr="008C1FEA">
              <w:rPr>
                <w:rFonts w:ascii="Calibri" w:eastAsia="Calibri" w:hAnsi="Calibri"/>
                <w:kern w:val="2"/>
                <w:sz w:val="22"/>
                <w:szCs w:val="22"/>
                <w:lang w:eastAsia="en-US"/>
                <w14:ligatures w14:val="standardContextual"/>
              </w:rPr>
              <w:t>Hotopf</w:t>
            </w:r>
            <w:proofErr w:type="spellEnd"/>
            <w:r w:rsidRPr="008C1FEA">
              <w:rPr>
                <w:rFonts w:ascii="Calibri" w:eastAsia="Calibri" w:hAnsi="Calibri"/>
                <w:kern w:val="2"/>
                <w:sz w:val="22"/>
                <w:szCs w:val="22"/>
                <w:lang w:eastAsia="en-US"/>
                <w14:ligatures w14:val="standardContextual"/>
              </w:rPr>
              <w:t xml:space="preserve">, M., Hübel, C., Jones, I. R., Kalsi, G., Krebs, G., McIntosh, A. M., Morneau-Vaillancourt, G., Peel, A. J., Purves, K. L., Lee, S. H., Skelton, M., Smith, D. J., Veale, D., Walters, J. T. R., </w:t>
            </w:r>
            <w:r w:rsidRPr="008C1FEA">
              <w:rPr>
                <w:rFonts w:ascii="Calibri" w:eastAsia="Calibri" w:hAnsi="Calibri"/>
                <w:kern w:val="2"/>
                <w:sz w:val="22"/>
                <w:szCs w:val="22"/>
                <w:lang w:eastAsia="en-US"/>
                <w14:ligatures w14:val="standardContextual"/>
              </w:rPr>
              <w:lastRenderedPageBreak/>
              <w:t xml:space="preserve">Young, K. S., </w:t>
            </w:r>
            <w:proofErr w:type="spellStart"/>
            <w:r w:rsidRPr="008C1FEA">
              <w:rPr>
                <w:rFonts w:ascii="Calibri" w:eastAsia="Calibri" w:hAnsi="Calibri"/>
                <w:kern w:val="2"/>
                <w:sz w:val="22"/>
                <w:szCs w:val="22"/>
                <w:lang w:eastAsia="en-US"/>
                <w14:ligatures w14:val="standardContextual"/>
              </w:rPr>
              <w:t>Zvrskovec</w:t>
            </w:r>
            <w:proofErr w:type="spellEnd"/>
            <w:r w:rsidRPr="008C1FEA">
              <w:rPr>
                <w:rFonts w:ascii="Calibri" w:eastAsia="Calibri" w:hAnsi="Calibri"/>
                <w:kern w:val="2"/>
                <w:sz w:val="22"/>
                <w:szCs w:val="22"/>
                <w:lang w:eastAsia="en-US"/>
                <w14:ligatures w14:val="standardContextual"/>
              </w:rPr>
              <w:t xml:space="preserve">, J., Breen, G., &amp; Eley, T. C. (2023). Factors associated with anxiety disorder comorbidity. </w:t>
            </w:r>
            <w:r w:rsidRPr="008C1FEA">
              <w:rPr>
                <w:rFonts w:ascii="Calibri" w:eastAsia="Calibri" w:hAnsi="Calibri"/>
                <w:i/>
                <w:iCs/>
                <w:kern w:val="2"/>
                <w:sz w:val="22"/>
                <w:szCs w:val="22"/>
                <w:lang w:eastAsia="en-US"/>
                <w14:ligatures w14:val="standardContextual"/>
              </w:rPr>
              <w:t>Journal of Affective Disorders, 323,</w:t>
            </w:r>
            <w:r w:rsidRPr="008C1FEA">
              <w:rPr>
                <w:rFonts w:ascii="Calibri" w:eastAsia="Calibri" w:hAnsi="Calibri"/>
                <w:kern w:val="2"/>
                <w:sz w:val="22"/>
                <w:szCs w:val="22"/>
                <w:lang w:eastAsia="en-US"/>
                <w14:ligatures w14:val="standardContextual"/>
              </w:rPr>
              <w:t xml:space="preserve"> 280-291. </w:t>
            </w:r>
            <w:hyperlink r:id="rId13" w:history="1">
              <w:r w:rsidRPr="008C1FEA">
                <w:rPr>
                  <w:rFonts w:ascii="Calibri" w:eastAsia="Calibri" w:hAnsi="Calibri"/>
                  <w:color w:val="0563C1"/>
                  <w:kern w:val="2"/>
                  <w:sz w:val="22"/>
                  <w:szCs w:val="22"/>
                  <w:u w:val="single"/>
                  <w:lang w:eastAsia="en-US"/>
                  <w14:ligatures w14:val="standardContextual"/>
                </w:rPr>
                <w:t>https://doi.org/10.1016/j.jad.2022.11.051</w:t>
              </w:r>
            </w:hyperlink>
            <w:r w:rsidRPr="008C1FEA">
              <w:rPr>
                <w:rFonts w:ascii="Calibri" w:eastAsia="Calibri" w:hAnsi="Calibri"/>
                <w:kern w:val="2"/>
                <w:sz w:val="22"/>
                <w:szCs w:val="22"/>
                <w:lang w:eastAsia="en-US"/>
                <w14:ligatures w14:val="standardContextual"/>
              </w:rPr>
              <w:t>.</w:t>
            </w:r>
          </w:p>
          <w:p w14:paraId="024FC2DC" w14:textId="77777777" w:rsidR="008C1FEA" w:rsidRPr="008C1FEA" w:rsidRDefault="008C1FEA" w:rsidP="008C1FEA">
            <w:pPr>
              <w:spacing w:after="160" w:line="259" w:lineRule="auto"/>
              <w:ind w:left="720" w:hanging="720"/>
              <w:rPr>
                <w:rFonts w:ascii="Calibri" w:eastAsia="Calibri" w:hAnsi="Calibri"/>
                <w:color w:val="0563C1"/>
                <w:kern w:val="2"/>
                <w:sz w:val="22"/>
                <w:szCs w:val="22"/>
                <w:u w:val="single"/>
                <w:lang w:eastAsia="en-US"/>
                <w14:ligatures w14:val="standardContextual"/>
              </w:rPr>
            </w:pPr>
            <w:r w:rsidRPr="008C1FEA">
              <w:rPr>
                <w:rFonts w:ascii="Calibri" w:eastAsia="Calibri" w:hAnsi="Calibri"/>
                <w:kern w:val="2"/>
                <w:sz w:val="22"/>
                <w:szCs w:val="22"/>
                <w:lang w:eastAsia="en-US"/>
                <w14:ligatures w14:val="standardContextual"/>
              </w:rPr>
              <w:t xml:space="preserve">Fox, K. R., Harris, J. A., Wang, S. B., Millner, A. J., Deming, C. A., &amp; Nock, M. K. (2020). Self-Injurious Thoughts and Behaviours Interview—Revised: Development, reliability, and validity. </w:t>
            </w:r>
            <w:r w:rsidRPr="008C1FEA">
              <w:rPr>
                <w:rFonts w:ascii="Calibri" w:eastAsia="Calibri" w:hAnsi="Calibri"/>
                <w:i/>
                <w:iCs/>
                <w:kern w:val="2"/>
                <w:sz w:val="22"/>
                <w:szCs w:val="22"/>
                <w:lang w:eastAsia="en-US"/>
                <w14:ligatures w14:val="standardContextual"/>
              </w:rPr>
              <w:t>Psychological Assessment, 32</w:t>
            </w:r>
            <w:r w:rsidRPr="008C1FEA">
              <w:rPr>
                <w:rFonts w:ascii="Calibri" w:eastAsia="Calibri" w:hAnsi="Calibri"/>
                <w:kern w:val="2"/>
                <w:sz w:val="22"/>
                <w:szCs w:val="22"/>
                <w:lang w:eastAsia="en-US"/>
                <w14:ligatures w14:val="standardContextual"/>
              </w:rPr>
              <w:t xml:space="preserve">(7), 677–689. </w:t>
            </w:r>
            <w:hyperlink r:id="rId14" w:history="1">
              <w:r w:rsidRPr="008C1FEA">
                <w:rPr>
                  <w:rFonts w:ascii="Calibri" w:eastAsia="Calibri" w:hAnsi="Calibri"/>
                  <w:color w:val="0563C1"/>
                  <w:kern w:val="2"/>
                  <w:sz w:val="22"/>
                  <w:szCs w:val="22"/>
                  <w:u w:val="single"/>
                  <w:lang w:eastAsia="en-US"/>
                  <w14:ligatures w14:val="standardContextual"/>
                </w:rPr>
                <w:t>https://doi.org/10.1037/pas0000819</w:t>
              </w:r>
            </w:hyperlink>
          </w:p>
          <w:p w14:paraId="48F31224"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Gaffaney, J., Donaldson, S., &amp; Cabrera, V. (2021). Following the science to generate well-being: Using the highest-quality experimental evidence to design interventions. </w:t>
            </w:r>
            <w:r w:rsidRPr="008C1FEA">
              <w:rPr>
                <w:rFonts w:ascii="Calibri" w:eastAsia="Calibri" w:hAnsi="Calibri"/>
                <w:i/>
                <w:iCs/>
                <w:kern w:val="2"/>
                <w:sz w:val="22"/>
                <w:szCs w:val="22"/>
                <w:lang w:eastAsia="en-US"/>
                <w14:ligatures w14:val="standardContextual"/>
              </w:rPr>
              <w:t xml:space="preserve">Positive Psychology, 20. </w:t>
            </w:r>
            <w:r w:rsidRPr="008C1FEA">
              <w:rPr>
                <w:rFonts w:ascii="Calibri" w:eastAsia="Calibri" w:hAnsi="Calibri"/>
                <w:kern w:val="2"/>
                <w:sz w:val="22"/>
                <w:szCs w:val="22"/>
                <w:lang w:eastAsia="en-US"/>
                <w14:ligatures w14:val="standardContextual"/>
              </w:rPr>
              <w:t xml:space="preserve"> </w:t>
            </w:r>
            <w:hyperlink r:id="rId15" w:history="1">
              <w:r w:rsidRPr="008C1FEA">
                <w:rPr>
                  <w:rFonts w:ascii="Calibri" w:eastAsia="Calibri" w:hAnsi="Calibri"/>
                  <w:color w:val="0563C1"/>
                  <w:kern w:val="2"/>
                  <w:sz w:val="22"/>
                  <w:szCs w:val="22"/>
                  <w:u w:val="single"/>
                  <w:lang w:eastAsia="en-US"/>
                  <w14:ligatures w14:val="standardContextual"/>
                </w:rPr>
                <w:t>https://doi.org/10.3389/fpsyg.2021.739352</w:t>
              </w:r>
            </w:hyperlink>
          </w:p>
          <w:p w14:paraId="300BCCF8"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Grieve, R., &amp; Tania de Groot, H. (2011). Does online psychological test administration facilitate faking? </w:t>
            </w:r>
            <w:r w:rsidRPr="008C1FEA">
              <w:rPr>
                <w:rFonts w:ascii="Calibri" w:eastAsia="Calibri" w:hAnsi="Calibri"/>
                <w:i/>
                <w:iCs/>
                <w:kern w:val="2"/>
                <w:sz w:val="22"/>
                <w:szCs w:val="22"/>
                <w:lang w:eastAsia="en-US"/>
                <w14:ligatures w14:val="standardContextual"/>
              </w:rPr>
              <w:t>Computers in Human Behaviour, 27</w:t>
            </w:r>
            <w:r w:rsidRPr="008C1FEA">
              <w:rPr>
                <w:rFonts w:ascii="Calibri" w:eastAsia="Calibri" w:hAnsi="Calibri"/>
                <w:kern w:val="2"/>
                <w:sz w:val="22"/>
                <w:szCs w:val="22"/>
                <w:lang w:eastAsia="en-US"/>
                <w14:ligatures w14:val="standardContextual"/>
              </w:rPr>
              <w:t xml:space="preserve">(6), 2386-2391. </w:t>
            </w:r>
            <w:hyperlink r:id="rId16" w:history="1">
              <w:r w:rsidRPr="008C1FEA">
                <w:rPr>
                  <w:rFonts w:ascii="Calibri" w:eastAsia="Calibri" w:hAnsi="Calibri"/>
                  <w:color w:val="0563C1"/>
                  <w:kern w:val="2"/>
                  <w:sz w:val="22"/>
                  <w:szCs w:val="22"/>
                  <w:u w:val="single"/>
                  <w:lang w:eastAsia="en-US"/>
                  <w14:ligatures w14:val="standardContextual"/>
                </w:rPr>
                <w:t>https://doi.org/10.1016/j.chb.2011.08.001</w:t>
              </w:r>
            </w:hyperlink>
          </w:p>
          <w:p w14:paraId="4FC30110"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Harris, K. M., Griffin, B. A., McCaffrey, D. F., &amp; Morral, A. R. (2008). Inconsistencies in self-reported drug use by adolescents in substance abuse treatment: Implications for outcome and performance measurements. </w:t>
            </w:r>
            <w:r w:rsidRPr="008C1FEA">
              <w:rPr>
                <w:rFonts w:ascii="Calibri" w:eastAsia="Calibri" w:hAnsi="Calibri"/>
                <w:i/>
                <w:iCs/>
                <w:kern w:val="2"/>
                <w:sz w:val="22"/>
                <w:szCs w:val="22"/>
                <w:lang w:eastAsia="en-US"/>
                <w14:ligatures w14:val="standardContextual"/>
              </w:rPr>
              <w:t>Journal of substance abuse treatment, 34</w:t>
            </w:r>
            <w:r w:rsidRPr="008C1FEA">
              <w:rPr>
                <w:rFonts w:ascii="Calibri" w:eastAsia="Calibri" w:hAnsi="Calibri"/>
                <w:kern w:val="2"/>
                <w:sz w:val="22"/>
                <w:szCs w:val="22"/>
                <w:lang w:eastAsia="en-US"/>
                <w14:ligatures w14:val="standardContextual"/>
              </w:rPr>
              <w:t>(3), 347-355.</w:t>
            </w:r>
          </w:p>
          <w:p w14:paraId="070C9AC8"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proofErr w:type="spellStart"/>
            <w:r w:rsidRPr="008C1FEA">
              <w:rPr>
                <w:rFonts w:ascii="Calibri" w:eastAsia="Calibri" w:hAnsi="Calibri"/>
                <w:kern w:val="2"/>
                <w:sz w:val="22"/>
                <w:szCs w:val="22"/>
                <w:lang w:eastAsia="en-US"/>
                <w14:ligatures w14:val="standardContextual"/>
              </w:rPr>
              <w:t>Katrompas</w:t>
            </w:r>
            <w:proofErr w:type="spellEnd"/>
            <w:r w:rsidRPr="008C1FEA">
              <w:rPr>
                <w:rFonts w:ascii="Calibri" w:eastAsia="Calibri" w:hAnsi="Calibri"/>
                <w:kern w:val="2"/>
                <w:sz w:val="22"/>
                <w:szCs w:val="22"/>
                <w:lang w:eastAsia="en-US"/>
                <w14:ligatures w14:val="standardContextual"/>
              </w:rPr>
              <w:t xml:space="preserve">, A., &amp; </w:t>
            </w:r>
            <w:proofErr w:type="spellStart"/>
            <w:r w:rsidRPr="008C1FEA">
              <w:rPr>
                <w:rFonts w:ascii="Calibri" w:eastAsia="Calibri" w:hAnsi="Calibri"/>
                <w:kern w:val="2"/>
                <w:sz w:val="22"/>
                <w:szCs w:val="22"/>
                <w:lang w:eastAsia="en-US"/>
                <w14:ligatures w14:val="standardContextual"/>
              </w:rPr>
              <w:t>Metsis</w:t>
            </w:r>
            <w:proofErr w:type="spellEnd"/>
            <w:r w:rsidRPr="008C1FEA">
              <w:rPr>
                <w:rFonts w:ascii="Calibri" w:eastAsia="Calibri" w:hAnsi="Calibri"/>
                <w:kern w:val="2"/>
                <w:sz w:val="22"/>
                <w:szCs w:val="22"/>
                <w:lang w:eastAsia="en-US"/>
                <w14:ligatures w14:val="standardContextual"/>
              </w:rPr>
              <w:t xml:space="preserve">, V. (2021). "Rate My Professors: A Study Of Bias and Inaccuracies In Anonymous Self-Reporting," </w:t>
            </w:r>
            <w:r w:rsidRPr="008C1FEA">
              <w:rPr>
                <w:rFonts w:ascii="Calibri" w:eastAsia="Calibri" w:hAnsi="Calibri"/>
                <w:i/>
                <w:iCs/>
                <w:kern w:val="2"/>
                <w:sz w:val="22"/>
                <w:szCs w:val="22"/>
                <w:lang w:eastAsia="en-US"/>
                <w14:ligatures w14:val="standardContextual"/>
              </w:rPr>
              <w:t>2nd International Conference on Computing and Data Science</w:t>
            </w:r>
            <w:r w:rsidRPr="008C1FEA">
              <w:rPr>
                <w:rFonts w:ascii="Calibri" w:eastAsia="Calibri" w:hAnsi="Calibri"/>
                <w:kern w:val="2"/>
                <w:sz w:val="22"/>
                <w:szCs w:val="22"/>
                <w:lang w:eastAsia="en-US"/>
                <w14:ligatures w14:val="standardContextual"/>
              </w:rPr>
              <w:t xml:space="preserve"> </w:t>
            </w:r>
            <w:r w:rsidRPr="008C1FEA">
              <w:rPr>
                <w:rFonts w:ascii="Calibri" w:eastAsia="Calibri" w:hAnsi="Calibri"/>
                <w:i/>
                <w:iCs/>
                <w:kern w:val="2"/>
                <w:sz w:val="22"/>
                <w:szCs w:val="22"/>
                <w:lang w:eastAsia="en-US"/>
                <w14:ligatures w14:val="standardContextual"/>
              </w:rPr>
              <w:t>(CDS)</w:t>
            </w:r>
            <w:r w:rsidRPr="008C1FEA">
              <w:rPr>
                <w:rFonts w:ascii="Calibri" w:eastAsia="Calibri" w:hAnsi="Calibri"/>
                <w:kern w:val="2"/>
                <w:sz w:val="22"/>
                <w:szCs w:val="22"/>
                <w:lang w:eastAsia="en-US"/>
                <w14:ligatures w14:val="standardContextual"/>
              </w:rPr>
              <w:t xml:space="preserve">, 536-542. </w:t>
            </w:r>
            <w:hyperlink r:id="rId17" w:history="1">
              <w:r w:rsidRPr="008C1FEA">
                <w:rPr>
                  <w:rFonts w:ascii="Calibri" w:eastAsia="Calibri" w:hAnsi="Calibri"/>
                  <w:color w:val="0563C1"/>
                  <w:kern w:val="2"/>
                  <w:sz w:val="22"/>
                  <w:szCs w:val="22"/>
                  <w:u w:val="single"/>
                  <w:lang w:eastAsia="en-US"/>
                  <w14:ligatures w14:val="standardContextual"/>
                </w:rPr>
                <w:t>https://doi.org/10.1109/CDS52072.2021.00098</w:t>
              </w:r>
            </w:hyperlink>
            <w:r w:rsidRPr="008C1FEA">
              <w:rPr>
                <w:rFonts w:ascii="Calibri" w:eastAsia="Calibri" w:hAnsi="Calibri"/>
                <w:kern w:val="2"/>
                <w:sz w:val="22"/>
                <w:szCs w:val="22"/>
                <w:lang w:eastAsia="en-US"/>
                <w14:ligatures w14:val="standardContextual"/>
              </w:rPr>
              <w:t>.</w:t>
            </w:r>
          </w:p>
          <w:p w14:paraId="099AA794"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Krauss, R. M. (2022). </w:t>
            </w:r>
            <w:r w:rsidRPr="008C1FEA">
              <w:rPr>
                <w:rFonts w:ascii="Calibri" w:eastAsia="Calibri" w:hAnsi="Calibri"/>
                <w:i/>
                <w:iCs/>
                <w:kern w:val="2"/>
                <w:sz w:val="22"/>
                <w:szCs w:val="22"/>
                <w:lang w:eastAsia="en-US"/>
                <w14:ligatures w14:val="standardContextual"/>
              </w:rPr>
              <w:t xml:space="preserve">Social Cognition. </w:t>
            </w:r>
            <w:r w:rsidRPr="008C1FEA">
              <w:rPr>
                <w:rFonts w:ascii="Calibri" w:eastAsia="Calibri" w:hAnsi="Calibri"/>
                <w:kern w:val="2"/>
                <w:sz w:val="22"/>
                <w:szCs w:val="22"/>
                <w:lang w:eastAsia="en-US"/>
                <w14:ligatures w14:val="standardContextual"/>
              </w:rPr>
              <w:t xml:space="preserve">Routledge. </w:t>
            </w:r>
          </w:p>
          <w:p w14:paraId="0D1B7FBB"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Kriegsman, D., </w:t>
            </w:r>
            <w:proofErr w:type="spellStart"/>
            <w:r w:rsidRPr="008C1FEA">
              <w:rPr>
                <w:rFonts w:ascii="Calibri" w:eastAsia="Calibri" w:hAnsi="Calibri"/>
                <w:kern w:val="2"/>
                <w:sz w:val="22"/>
                <w:szCs w:val="22"/>
                <w:lang w:eastAsia="en-US"/>
                <w14:ligatures w14:val="standardContextual"/>
              </w:rPr>
              <w:t>Penninx</w:t>
            </w:r>
            <w:proofErr w:type="spellEnd"/>
            <w:r w:rsidRPr="008C1FEA">
              <w:rPr>
                <w:rFonts w:ascii="Calibri" w:eastAsia="Calibri" w:hAnsi="Calibri"/>
                <w:kern w:val="2"/>
                <w:sz w:val="22"/>
                <w:szCs w:val="22"/>
                <w:lang w:eastAsia="en-US"/>
                <w14:ligatures w14:val="standardContextual"/>
              </w:rPr>
              <w:t xml:space="preserve">, B., Van </w:t>
            </w:r>
            <w:proofErr w:type="spellStart"/>
            <w:r w:rsidRPr="008C1FEA">
              <w:rPr>
                <w:rFonts w:ascii="Calibri" w:eastAsia="Calibri" w:hAnsi="Calibri"/>
                <w:kern w:val="2"/>
                <w:sz w:val="22"/>
                <w:szCs w:val="22"/>
                <w:lang w:eastAsia="en-US"/>
                <w14:ligatures w14:val="standardContextual"/>
              </w:rPr>
              <w:t>Eijk</w:t>
            </w:r>
            <w:proofErr w:type="spellEnd"/>
            <w:r w:rsidRPr="008C1FEA">
              <w:rPr>
                <w:rFonts w:ascii="Calibri" w:eastAsia="Calibri" w:hAnsi="Calibri"/>
                <w:kern w:val="2"/>
                <w:sz w:val="22"/>
                <w:szCs w:val="22"/>
                <w:lang w:eastAsia="en-US"/>
                <w14:ligatures w14:val="standardContextual"/>
              </w:rPr>
              <w:t xml:space="preserve">, J., Boeke, A., Joan, P., &amp; Deeg, D. (1995). Self-reports and general practitioner information on the presence of chronic diseases in community dwelling elderly: A study on the accuracy of patients' self-reports and on determinants of inaccuracy. </w:t>
            </w:r>
            <w:r w:rsidRPr="008C1FEA">
              <w:rPr>
                <w:rFonts w:ascii="Calibri" w:eastAsia="Calibri" w:hAnsi="Calibri"/>
                <w:i/>
                <w:iCs/>
                <w:kern w:val="2"/>
                <w:sz w:val="22"/>
                <w:szCs w:val="22"/>
                <w:lang w:eastAsia="en-US"/>
                <w14:ligatures w14:val="standardContextual"/>
              </w:rPr>
              <w:t>Journal of clinical epidemiology, 49</w:t>
            </w:r>
            <w:r w:rsidRPr="008C1FEA">
              <w:rPr>
                <w:rFonts w:ascii="Calibri" w:eastAsia="Calibri" w:hAnsi="Calibri"/>
                <w:kern w:val="2"/>
                <w:sz w:val="22"/>
                <w:szCs w:val="22"/>
                <w:lang w:eastAsia="en-US"/>
                <w14:ligatures w14:val="standardContextual"/>
              </w:rPr>
              <w:t>(12), 1407-1417.</w:t>
            </w:r>
          </w:p>
          <w:p w14:paraId="72FFEDCA"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Leeman, L., Garg, M., Garrison, L., Hamidovic, A., Borrego, M., Rayburn, W. F., &amp; </w:t>
            </w:r>
            <w:proofErr w:type="spellStart"/>
            <w:r w:rsidRPr="008C1FEA">
              <w:rPr>
                <w:rFonts w:ascii="Calibri" w:eastAsia="Calibri" w:hAnsi="Calibri"/>
                <w:kern w:val="2"/>
                <w:sz w:val="22"/>
                <w:szCs w:val="22"/>
                <w:lang w:eastAsia="en-US"/>
                <w14:ligatures w14:val="standardContextual"/>
              </w:rPr>
              <w:t>Bakhiriva</w:t>
            </w:r>
            <w:proofErr w:type="spellEnd"/>
            <w:r w:rsidRPr="008C1FEA">
              <w:rPr>
                <w:rFonts w:ascii="Calibri" w:eastAsia="Calibri" w:hAnsi="Calibri"/>
                <w:kern w:val="2"/>
                <w:sz w:val="22"/>
                <w:szCs w:val="22"/>
                <w:lang w:eastAsia="en-US"/>
                <w14:ligatures w14:val="standardContextual"/>
              </w:rPr>
              <w:t xml:space="preserve">, L. (2021). Validity of self-reported drug use information among pregnant women. </w:t>
            </w:r>
            <w:r w:rsidRPr="008C1FEA">
              <w:rPr>
                <w:rFonts w:ascii="Calibri" w:eastAsia="Calibri" w:hAnsi="Calibri"/>
                <w:i/>
                <w:iCs/>
                <w:kern w:val="2"/>
                <w:sz w:val="22"/>
                <w:szCs w:val="22"/>
                <w:lang w:eastAsia="en-US"/>
                <w14:ligatures w14:val="standardContextual"/>
              </w:rPr>
              <w:t xml:space="preserve">Maternal and Child Health Journal, 20, </w:t>
            </w:r>
            <w:r w:rsidRPr="008C1FEA">
              <w:rPr>
                <w:rFonts w:ascii="Calibri" w:eastAsia="Calibri" w:hAnsi="Calibri"/>
                <w:kern w:val="2"/>
                <w:sz w:val="22"/>
                <w:szCs w:val="22"/>
                <w:lang w:eastAsia="en-US"/>
                <w14:ligatures w14:val="standardContextual"/>
              </w:rPr>
              <w:t xml:space="preserve">41-47. </w:t>
            </w:r>
            <w:hyperlink r:id="rId18" w:history="1">
              <w:r w:rsidRPr="008C1FEA">
                <w:rPr>
                  <w:rFonts w:ascii="Calibri" w:eastAsia="Calibri" w:hAnsi="Calibri"/>
                  <w:color w:val="0563C1"/>
                  <w:kern w:val="2"/>
                  <w:sz w:val="22"/>
                  <w:szCs w:val="22"/>
                  <w:u w:val="single"/>
                  <w:lang w:eastAsia="en-US"/>
                  <w14:ligatures w14:val="standardContextual"/>
                </w:rPr>
                <w:t>https://doi.org/10.1007/s10995-015-1799-6</w:t>
              </w:r>
            </w:hyperlink>
          </w:p>
          <w:p w14:paraId="5F525BD0"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Peer, E., &amp; Feldman, Y. (2021). Honesty pledges for the behaviourally-based regulation of dishonesty. </w:t>
            </w:r>
            <w:r w:rsidRPr="008C1FEA">
              <w:rPr>
                <w:rFonts w:ascii="Calibri" w:eastAsia="Calibri" w:hAnsi="Calibri"/>
                <w:i/>
                <w:iCs/>
                <w:kern w:val="2"/>
                <w:sz w:val="22"/>
                <w:szCs w:val="22"/>
                <w:lang w:eastAsia="en-US"/>
                <w14:ligatures w14:val="standardContextual"/>
              </w:rPr>
              <w:t>Journal of European Public Policy, 28</w:t>
            </w:r>
            <w:r w:rsidRPr="008C1FEA">
              <w:rPr>
                <w:rFonts w:ascii="Calibri" w:eastAsia="Calibri" w:hAnsi="Calibri"/>
                <w:kern w:val="2"/>
                <w:sz w:val="22"/>
                <w:szCs w:val="22"/>
                <w:lang w:eastAsia="en-US"/>
                <w14:ligatures w14:val="standardContextual"/>
              </w:rPr>
              <w:t xml:space="preserve">(5), 761-781. </w:t>
            </w:r>
            <w:hyperlink r:id="rId19" w:history="1">
              <w:r w:rsidRPr="008C1FEA">
                <w:rPr>
                  <w:rFonts w:ascii="Calibri" w:eastAsia="Calibri" w:hAnsi="Calibri"/>
                  <w:color w:val="0563C1"/>
                  <w:kern w:val="2"/>
                  <w:sz w:val="22"/>
                  <w:szCs w:val="22"/>
                  <w:u w:val="single"/>
                  <w:lang w:eastAsia="en-US"/>
                  <w14:ligatures w14:val="standardContextual"/>
                </w:rPr>
                <w:t>https://doi.org/10.1080/13501763.2021.1912149</w:t>
              </w:r>
            </w:hyperlink>
          </w:p>
          <w:p w14:paraId="75991719"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Riley, V. A., Gidlow, C., &amp; Ellis, N. J. (2018). Uptake of NHS health check: issues in monitoring</w:t>
            </w:r>
            <w:r w:rsidRPr="008C1FEA">
              <w:rPr>
                <w:rFonts w:ascii="Calibri" w:eastAsia="Calibri" w:hAnsi="Calibri"/>
                <w:i/>
                <w:iCs/>
                <w:kern w:val="2"/>
                <w:sz w:val="22"/>
                <w:szCs w:val="22"/>
                <w:lang w:eastAsia="en-US"/>
                <w14:ligatures w14:val="standardContextual"/>
              </w:rPr>
              <w:t xml:space="preserve">. Primary health care research &amp; development, 20, </w:t>
            </w:r>
            <w:r w:rsidRPr="008C1FEA">
              <w:rPr>
                <w:rFonts w:ascii="Calibri" w:eastAsia="Calibri" w:hAnsi="Calibri"/>
                <w:kern w:val="2"/>
                <w:sz w:val="22"/>
                <w:szCs w:val="22"/>
                <w:lang w:eastAsia="en-US"/>
                <w14:ligatures w14:val="standardContextual"/>
              </w:rPr>
              <w:t>1-64.</w:t>
            </w:r>
          </w:p>
          <w:p w14:paraId="0D180070"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Roberts, J. R., &amp; Maxfield, M. (2021). A 2-study psychometric evaluation of the modified dementia worry scale. </w:t>
            </w:r>
            <w:r w:rsidRPr="008C1FEA">
              <w:rPr>
                <w:rFonts w:ascii="Calibri" w:eastAsia="Calibri" w:hAnsi="Calibri"/>
                <w:i/>
                <w:iCs/>
                <w:kern w:val="2"/>
                <w:sz w:val="22"/>
                <w:szCs w:val="22"/>
                <w:lang w:eastAsia="en-US"/>
                <w14:ligatures w14:val="standardContextual"/>
              </w:rPr>
              <w:t xml:space="preserve">American Journal of Alzheimer’s Disease and Other Dementias, 36.  </w:t>
            </w:r>
            <w:hyperlink r:id="rId20" w:history="1">
              <w:r w:rsidRPr="008C1FEA">
                <w:rPr>
                  <w:rFonts w:ascii="Calibri" w:eastAsia="Calibri" w:hAnsi="Calibri"/>
                  <w:color w:val="0563C1"/>
                  <w:kern w:val="2"/>
                  <w:sz w:val="22"/>
                  <w:szCs w:val="22"/>
                  <w:u w:val="single"/>
                  <w:lang w:eastAsia="en-US"/>
                  <w14:ligatures w14:val="standardContextual"/>
                </w:rPr>
                <w:t>https://doi.org/10.1177/1533317521995322</w:t>
              </w:r>
            </w:hyperlink>
          </w:p>
          <w:p w14:paraId="6CD580F5"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Toy, S., &amp; Daly Guris, R. J. (2022). How to conduct survey-based research. </w:t>
            </w:r>
            <w:r w:rsidRPr="008C1FEA">
              <w:rPr>
                <w:rFonts w:ascii="Calibri" w:eastAsia="Calibri" w:hAnsi="Calibri"/>
                <w:i/>
                <w:iCs/>
                <w:kern w:val="2"/>
                <w:sz w:val="22"/>
                <w:szCs w:val="22"/>
                <w:lang w:eastAsia="en-US"/>
                <w14:ligatures w14:val="standardContextual"/>
              </w:rPr>
              <w:t>Association of Anaesthetists</w:t>
            </w:r>
            <w:r w:rsidRPr="008C1FEA">
              <w:rPr>
                <w:rFonts w:ascii="Calibri" w:eastAsia="Calibri" w:hAnsi="Calibri"/>
                <w:kern w:val="2"/>
                <w:sz w:val="22"/>
                <w:szCs w:val="22"/>
                <w:lang w:eastAsia="en-US"/>
                <w14:ligatures w14:val="standardContextual"/>
              </w:rPr>
              <w:t xml:space="preserve">.  </w:t>
            </w:r>
            <w:hyperlink r:id="rId21" w:history="1">
              <w:r w:rsidRPr="008C1FEA">
                <w:rPr>
                  <w:rFonts w:ascii="Calibri" w:eastAsia="Calibri" w:hAnsi="Calibri"/>
                  <w:color w:val="0563C1"/>
                  <w:kern w:val="2"/>
                  <w:sz w:val="22"/>
                  <w:szCs w:val="22"/>
                  <w:u w:val="single"/>
                  <w:lang w:eastAsia="en-US"/>
                  <w14:ligatures w14:val="standardContextual"/>
                </w:rPr>
                <w:t>https://doi.org/10.1111/anae.15943</w:t>
              </w:r>
            </w:hyperlink>
          </w:p>
          <w:p w14:paraId="55C120A7" w14:textId="77777777" w:rsidR="008C1FEA" w:rsidRPr="008C1FEA" w:rsidRDefault="008C1FEA" w:rsidP="008C1FEA">
            <w:pPr>
              <w:spacing w:after="160" w:line="259" w:lineRule="auto"/>
              <w:ind w:left="720" w:hanging="720"/>
              <w:rPr>
                <w:rFonts w:ascii="Calibri" w:eastAsia="Calibri" w:hAnsi="Calibri"/>
                <w:kern w:val="2"/>
                <w:sz w:val="22"/>
                <w:szCs w:val="22"/>
                <w:lang w:eastAsia="en-US"/>
                <w14:ligatures w14:val="standardContextual"/>
              </w:rPr>
            </w:pPr>
            <w:r w:rsidRPr="008C1FEA">
              <w:rPr>
                <w:rFonts w:ascii="Calibri" w:eastAsia="Calibri" w:hAnsi="Calibri"/>
                <w:kern w:val="2"/>
                <w:sz w:val="22"/>
                <w:szCs w:val="22"/>
                <w:lang w:eastAsia="en-US"/>
                <w14:ligatures w14:val="standardContextual"/>
              </w:rPr>
              <w:t xml:space="preserve">Ziegler, M., MacCann, C., &amp; Roberts, R. (2012). </w:t>
            </w:r>
            <w:r w:rsidRPr="008C1FEA">
              <w:rPr>
                <w:rFonts w:ascii="Calibri" w:eastAsia="Calibri" w:hAnsi="Calibri"/>
                <w:i/>
                <w:iCs/>
                <w:kern w:val="2"/>
                <w:sz w:val="22"/>
                <w:szCs w:val="22"/>
                <w:lang w:eastAsia="en-US"/>
                <w14:ligatures w14:val="standardContextual"/>
              </w:rPr>
              <w:t>New perspective on faking in personality assessments.</w:t>
            </w:r>
            <w:r w:rsidRPr="008C1FEA">
              <w:rPr>
                <w:rFonts w:ascii="Calibri" w:eastAsia="Calibri" w:hAnsi="Calibri"/>
                <w:kern w:val="2"/>
                <w:sz w:val="22"/>
                <w:szCs w:val="22"/>
                <w:lang w:eastAsia="en-US"/>
                <w14:ligatures w14:val="standardContextual"/>
              </w:rPr>
              <w:t xml:space="preserve"> Oxford University Press.</w:t>
            </w:r>
          </w:p>
          <w:p w14:paraId="220A8C22" w14:textId="77777777" w:rsidR="008C1FEA" w:rsidRPr="008C1FEA" w:rsidRDefault="008C1FEA" w:rsidP="00360E4B">
            <w:pPr>
              <w:rPr>
                <w:rFonts w:ascii="Arial" w:hAnsi="Arial" w:cs="Arial"/>
                <w:b/>
                <w:sz w:val="20"/>
                <w:szCs w:val="20"/>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36935072" w14:textId="15DD84A0" w:rsidR="003B4AA4" w:rsidRPr="003B4AA4" w:rsidRDefault="003B4AA4" w:rsidP="00B24417">
            <w:pPr>
              <w:rPr>
                <w:rFonts w:ascii="Arial" w:hAnsi="Arial" w:cs="Arial"/>
                <w:bCs/>
                <w:sz w:val="20"/>
              </w:rPr>
            </w:pPr>
            <w:r>
              <w:rPr>
                <w:rFonts w:ascii="Arial" w:hAnsi="Arial" w:cs="Arial"/>
                <w:bCs/>
                <w:sz w:val="20"/>
              </w:rPr>
              <w:t xml:space="preserve">What aspects of mental health and wellbeing self-reporting processes are likely to </w:t>
            </w:r>
            <w:r w:rsidR="00F34406">
              <w:rPr>
                <w:rFonts w:ascii="Arial" w:hAnsi="Arial" w:cs="Arial"/>
                <w:bCs/>
                <w:sz w:val="20"/>
              </w:rPr>
              <w:t>el</w:t>
            </w:r>
            <w:r>
              <w:rPr>
                <w:rFonts w:ascii="Arial" w:hAnsi="Arial" w:cs="Arial"/>
                <w:bCs/>
                <w:sz w:val="20"/>
              </w:rPr>
              <w:t>icit dishonest or inaccurate responses from individuals seeking mental health support and why?</w:t>
            </w:r>
          </w:p>
          <w:p w14:paraId="69438E4F" w14:textId="77777777" w:rsidR="009B18C4" w:rsidRDefault="009B18C4" w:rsidP="00B24417">
            <w:pPr>
              <w:rPr>
                <w:rFonts w:ascii="Arial" w:hAnsi="Arial" w:cs="Arial"/>
                <w:bCs/>
                <w:sz w:val="20"/>
              </w:rPr>
            </w:pPr>
          </w:p>
          <w:p w14:paraId="2162D533" w14:textId="77777777" w:rsidR="00B24417" w:rsidRDefault="00B24417" w:rsidP="00A01FA0"/>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0F37DF6B" w14:textId="77777777" w:rsidR="00EE2D54" w:rsidRDefault="00EE2D54" w:rsidP="00360E4B">
            <w:pPr>
              <w:rPr>
                <w:rFonts w:ascii="Arial" w:hAnsi="Arial" w:cs="Arial"/>
                <w:b/>
              </w:rPr>
            </w:pPr>
          </w:p>
          <w:p w14:paraId="6E355057" w14:textId="42A3D679" w:rsidR="00EE2D54" w:rsidRPr="00AD7A25" w:rsidRDefault="00EE2D54" w:rsidP="00EE2D54">
            <w:pPr>
              <w:pStyle w:val="ListParagraph"/>
              <w:numPr>
                <w:ilvl w:val="0"/>
                <w:numId w:val="4"/>
              </w:numPr>
              <w:rPr>
                <w:rFonts w:ascii="Arial" w:hAnsi="Arial" w:cs="Arial"/>
                <w:b/>
              </w:rPr>
            </w:pPr>
            <w:r>
              <w:rPr>
                <w:rFonts w:ascii="Arial" w:hAnsi="Arial" w:cs="Arial"/>
                <w:bCs/>
                <w:sz w:val="22"/>
                <w:szCs w:val="22"/>
              </w:rPr>
              <w:t xml:space="preserve">Participants: </w:t>
            </w:r>
            <w:r w:rsidR="00AD7A25">
              <w:rPr>
                <w:rFonts w:ascii="Arial" w:hAnsi="Arial" w:cs="Arial"/>
                <w:bCs/>
                <w:sz w:val="22"/>
                <w:szCs w:val="22"/>
              </w:rPr>
              <w:t>Research participants will be comprised of UWTSD students</w:t>
            </w:r>
            <w:r w:rsidR="009B18C4">
              <w:rPr>
                <w:rFonts w:ascii="Arial" w:hAnsi="Arial" w:cs="Arial"/>
                <w:bCs/>
                <w:sz w:val="22"/>
                <w:szCs w:val="22"/>
              </w:rPr>
              <w:t xml:space="preserve"> studying a psychology related degree.</w:t>
            </w:r>
            <w:r w:rsidR="00AD7A25">
              <w:rPr>
                <w:rFonts w:ascii="Arial" w:hAnsi="Arial" w:cs="Arial"/>
                <w:bCs/>
                <w:sz w:val="22"/>
                <w:szCs w:val="22"/>
              </w:rPr>
              <w:t xml:space="preserve"> </w:t>
            </w:r>
            <w:r w:rsidR="009B18C4">
              <w:rPr>
                <w:rFonts w:ascii="Arial" w:hAnsi="Arial" w:cs="Arial"/>
                <w:bCs/>
                <w:sz w:val="22"/>
                <w:szCs w:val="22"/>
              </w:rPr>
              <w:t xml:space="preserve">They will be </w:t>
            </w:r>
            <w:r w:rsidR="00AD7A25">
              <w:rPr>
                <w:rFonts w:ascii="Arial" w:hAnsi="Arial" w:cs="Arial"/>
                <w:bCs/>
                <w:sz w:val="22"/>
                <w:szCs w:val="22"/>
              </w:rPr>
              <w:t>recruited from the online Experiment Management System. Demographic information will not be a factor in determining eligibility apart from the age requirement of being 18 years of age or older. At least 10 participants will be required for this study.</w:t>
            </w:r>
          </w:p>
          <w:p w14:paraId="04760534" w14:textId="77777777" w:rsidR="00AD7A25" w:rsidRPr="00AD7A25" w:rsidRDefault="00AD7A25" w:rsidP="00AD7A25">
            <w:pPr>
              <w:pStyle w:val="ListParagraph"/>
              <w:rPr>
                <w:rFonts w:ascii="Arial" w:hAnsi="Arial" w:cs="Arial"/>
                <w:b/>
              </w:rPr>
            </w:pPr>
          </w:p>
          <w:p w14:paraId="30E9628A" w14:textId="29901FD0" w:rsidR="00AD7A25" w:rsidRPr="00AD7A25" w:rsidRDefault="00AD7A25" w:rsidP="00EE2D54">
            <w:pPr>
              <w:pStyle w:val="ListParagraph"/>
              <w:numPr>
                <w:ilvl w:val="0"/>
                <w:numId w:val="4"/>
              </w:numPr>
              <w:rPr>
                <w:rFonts w:ascii="Arial" w:hAnsi="Arial" w:cs="Arial"/>
                <w:b/>
              </w:rPr>
            </w:pPr>
            <w:r>
              <w:rPr>
                <w:rFonts w:ascii="Arial" w:hAnsi="Arial" w:cs="Arial"/>
                <w:bCs/>
                <w:sz w:val="22"/>
                <w:szCs w:val="22"/>
              </w:rPr>
              <w:t xml:space="preserve">Design: A qualitative approach will be employed for this study. Interviews will be conducted individually with each participant. Each interview will be recorded and transcribed after which a thematic analysis will be conducted for each interview to determine and encode significant and/or reoccurring themes. </w:t>
            </w:r>
            <w:r w:rsidR="009B18C4">
              <w:rPr>
                <w:rFonts w:ascii="Arial" w:hAnsi="Arial" w:cs="Arial"/>
                <w:bCs/>
                <w:sz w:val="22"/>
                <w:szCs w:val="22"/>
              </w:rPr>
              <w:t>A quantitative approach will also be employed as a control experiment. Participants will be provided with the CORE-10 measurement tool</w:t>
            </w:r>
            <w:r w:rsidR="000939FD">
              <w:rPr>
                <w:rFonts w:ascii="Arial" w:hAnsi="Arial" w:cs="Arial"/>
                <w:bCs/>
                <w:sz w:val="22"/>
                <w:szCs w:val="22"/>
              </w:rPr>
              <w:t xml:space="preserve"> using Qualtrics accessible via</w:t>
            </w:r>
            <w:r w:rsidR="009B18C4">
              <w:rPr>
                <w:rFonts w:ascii="Arial" w:hAnsi="Arial" w:cs="Arial"/>
                <w:bCs/>
                <w:sz w:val="22"/>
                <w:szCs w:val="22"/>
              </w:rPr>
              <w:t xml:space="preserve"> EMS</w:t>
            </w:r>
            <w:r w:rsidR="005C5D7C">
              <w:rPr>
                <w:rFonts w:ascii="Arial" w:hAnsi="Arial" w:cs="Arial"/>
                <w:bCs/>
                <w:sz w:val="22"/>
                <w:szCs w:val="22"/>
              </w:rPr>
              <w:t xml:space="preserve">, however, they will be completing this form twice under two different conditions. When completing the form for the first time, they will be asked to do so as a simple reflection of their own mental wellbeing. For the second time, they will be asked to complete the form as if they were to submit it when applying for counselling. </w:t>
            </w:r>
            <w:r w:rsidR="000939FD">
              <w:rPr>
                <w:rFonts w:ascii="Arial" w:hAnsi="Arial" w:cs="Arial"/>
                <w:bCs/>
                <w:sz w:val="22"/>
                <w:szCs w:val="22"/>
              </w:rPr>
              <w:t>A T-test will then be conducted to determine if there is a significant difference in responses.</w:t>
            </w:r>
          </w:p>
          <w:p w14:paraId="6F6078BE" w14:textId="77777777" w:rsidR="00AD7A25" w:rsidRPr="00AD7A25" w:rsidRDefault="00AD7A25" w:rsidP="00AD7A25">
            <w:pPr>
              <w:pStyle w:val="ListParagraph"/>
              <w:rPr>
                <w:rFonts w:ascii="Arial" w:hAnsi="Arial" w:cs="Arial"/>
                <w:b/>
              </w:rPr>
            </w:pPr>
          </w:p>
          <w:p w14:paraId="3C2B9784" w14:textId="694DA7BD" w:rsidR="00AD7A25" w:rsidRPr="00174C73" w:rsidRDefault="00AD7A25" w:rsidP="00EE2D54">
            <w:pPr>
              <w:pStyle w:val="ListParagraph"/>
              <w:numPr>
                <w:ilvl w:val="0"/>
                <w:numId w:val="4"/>
              </w:numPr>
              <w:rPr>
                <w:rFonts w:ascii="Arial" w:hAnsi="Arial" w:cs="Arial"/>
                <w:b/>
              </w:rPr>
            </w:pPr>
            <w:r>
              <w:rPr>
                <w:rFonts w:ascii="Arial" w:hAnsi="Arial" w:cs="Arial"/>
                <w:bCs/>
                <w:sz w:val="22"/>
                <w:szCs w:val="22"/>
              </w:rPr>
              <w:t xml:space="preserve">Materials: The interviews will involve questions regarding participant perceptions of </w:t>
            </w:r>
            <w:r w:rsidR="00BF30C0">
              <w:rPr>
                <w:rFonts w:ascii="Arial" w:hAnsi="Arial" w:cs="Arial"/>
                <w:bCs/>
                <w:sz w:val="22"/>
                <w:szCs w:val="22"/>
              </w:rPr>
              <w:t>three</w:t>
            </w:r>
            <w:r>
              <w:rPr>
                <w:rFonts w:ascii="Arial" w:hAnsi="Arial" w:cs="Arial"/>
                <w:bCs/>
                <w:sz w:val="22"/>
                <w:szCs w:val="22"/>
              </w:rPr>
              <w:t xml:space="preserve"> self-reporting materials which will be discussed between the interviewer and participant. </w:t>
            </w:r>
            <w:r w:rsidR="00A162A6">
              <w:rPr>
                <w:rFonts w:ascii="Arial" w:hAnsi="Arial" w:cs="Arial"/>
                <w:bCs/>
                <w:sz w:val="22"/>
                <w:szCs w:val="22"/>
              </w:rPr>
              <w:t xml:space="preserve">The first material shall be a physical copy of </w:t>
            </w:r>
            <w:r w:rsidR="00BF30C0">
              <w:rPr>
                <w:rFonts w:ascii="Arial" w:hAnsi="Arial" w:cs="Arial"/>
                <w:bCs/>
                <w:sz w:val="22"/>
                <w:szCs w:val="22"/>
              </w:rPr>
              <w:t xml:space="preserve">the 6-page Anxiety UK Therapy Referral Form. The second will be </w:t>
            </w:r>
            <w:r w:rsidR="00174C73">
              <w:rPr>
                <w:rFonts w:ascii="Arial" w:hAnsi="Arial" w:cs="Arial"/>
                <w:bCs/>
                <w:sz w:val="22"/>
                <w:szCs w:val="22"/>
              </w:rPr>
              <w:t xml:space="preserve">a digitally interactive </w:t>
            </w:r>
            <w:r w:rsidR="009209F2">
              <w:rPr>
                <w:rFonts w:ascii="Arial" w:hAnsi="Arial" w:cs="Arial"/>
                <w:bCs/>
                <w:sz w:val="22"/>
                <w:szCs w:val="22"/>
              </w:rPr>
              <w:t xml:space="preserve">demonstration </w:t>
            </w:r>
            <w:r w:rsidR="00174C73">
              <w:rPr>
                <w:rFonts w:ascii="Arial" w:hAnsi="Arial" w:cs="Arial"/>
                <w:bCs/>
                <w:sz w:val="22"/>
                <w:szCs w:val="22"/>
              </w:rPr>
              <w:t>version of the 10 item ‘Clinical Outcomes in Routine Evaluation’ measurement tool (CORE-10)</w:t>
            </w:r>
            <w:r w:rsidR="00A01FA0">
              <w:rPr>
                <w:rFonts w:ascii="Arial" w:hAnsi="Arial" w:cs="Arial"/>
                <w:bCs/>
                <w:sz w:val="22"/>
                <w:szCs w:val="22"/>
              </w:rPr>
              <w:t xml:space="preserve"> (this measurement will also be used on through Qualtrics via EMS for the quantitative study)</w:t>
            </w:r>
            <w:r w:rsidR="009209F2">
              <w:rPr>
                <w:rFonts w:ascii="Arial" w:hAnsi="Arial" w:cs="Arial"/>
                <w:bCs/>
                <w:sz w:val="22"/>
                <w:szCs w:val="22"/>
              </w:rPr>
              <w:t xml:space="preserve"> through the CORE System Trust website</w:t>
            </w:r>
            <w:r w:rsidR="00174C73">
              <w:rPr>
                <w:rFonts w:ascii="Arial" w:hAnsi="Arial" w:cs="Arial"/>
                <w:bCs/>
                <w:sz w:val="22"/>
                <w:szCs w:val="22"/>
              </w:rPr>
              <w:t>. The third will be in the same format as the second, however, it will be the 34 item CORE-OM (Outcome Measure). The Likert scale of both CORE forms will be presented in “radio button” format.</w:t>
            </w:r>
            <w:r w:rsidR="00A01FA0">
              <w:rPr>
                <w:rFonts w:ascii="Arial" w:hAnsi="Arial" w:cs="Arial"/>
                <w:bCs/>
                <w:sz w:val="22"/>
                <w:szCs w:val="22"/>
              </w:rPr>
              <w:t xml:space="preserve"> </w:t>
            </w:r>
          </w:p>
          <w:p w14:paraId="0FDB46F3" w14:textId="77777777" w:rsidR="00174C73" w:rsidRPr="00174C73" w:rsidRDefault="00174C73" w:rsidP="00174C73">
            <w:pPr>
              <w:pStyle w:val="ListParagraph"/>
              <w:rPr>
                <w:rFonts w:ascii="Arial" w:hAnsi="Arial" w:cs="Arial"/>
                <w:b/>
              </w:rPr>
            </w:pPr>
          </w:p>
          <w:p w14:paraId="6C7AF8DB" w14:textId="0307D10C" w:rsidR="00E00F78" w:rsidRPr="00835DD2" w:rsidRDefault="00174C73" w:rsidP="00360E4B">
            <w:pPr>
              <w:pStyle w:val="ListParagraph"/>
              <w:numPr>
                <w:ilvl w:val="0"/>
                <w:numId w:val="4"/>
              </w:numPr>
              <w:rPr>
                <w:rFonts w:ascii="Arial" w:hAnsi="Arial" w:cs="Arial"/>
                <w:b/>
              </w:rPr>
            </w:pPr>
            <w:r w:rsidRPr="00835DD2">
              <w:rPr>
                <w:rFonts w:ascii="Arial" w:hAnsi="Arial" w:cs="Arial"/>
                <w:bCs/>
                <w:sz w:val="22"/>
                <w:szCs w:val="22"/>
              </w:rPr>
              <w:t xml:space="preserve">Procedure: </w:t>
            </w:r>
            <w:r w:rsidR="00835DD2">
              <w:rPr>
                <w:rFonts w:ascii="Arial" w:hAnsi="Arial" w:cs="Arial"/>
                <w:bCs/>
                <w:sz w:val="22"/>
                <w:szCs w:val="22"/>
              </w:rPr>
              <w:t>For both the qualitative and quantitative studies, e</w:t>
            </w:r>
            <w:r w:rsidRPr="00835DD2">
              <w:rPr>
                <w:rFonts w:ascii="Arial" w:hAnsi="Arial" w:cs="Arial"/>
                <w:bCs/>
                <w:sz w:val="22"/>
                <w:szCs w:val="22"/>
              </w:rPr>
              <w:t xml:space="preserve">ach participant will be shown to a room in the psychology labs and, after a brief introduction from the interviewer, will be provided with the study information sheet and consent form. Once the participant has completed the form, assuming consent has been </w:t>
            </w:r>
            <w:r w:rsidR="00EE5C49" w:rsidRPr="00835DD2">
              <w:rPr>
                <w:rFonts w:ascii="Arial" w:hAnsi="Arial" w:cs="Arial"/>
                <w:bCs/>
                <w:sz w:val="22"/>
                <w:szCs w:val="22"/>
              </w:rPr>
              <w:t xml:space="preserve">given along with participant signature and </w:t>
            </w:r>
            <w:r w:rsidR="001423B6" w:rsidRPr="00835DD2">
              <w:rPr>
                <w:rFonts w:ascii="Arial" w:hAnsi="Arial" w:cs="Arial"/>
                <w:bCs/>
                <w:sz w:val="22"/>
                <w:szCs w:val="22"/>
              </w:rPr>
              <w:t>the</w:t>
            </w:r>
            <w:r w:rsidR="00EE5C49" w:rsidRPr="00835DD2">
              <w:rPr>
                <w:rFonts w:ascii="Arial" w:hAnsi="Arial" w:cs="Arial"/>
                <w:bCs/>
                <w:sz w:val="22"/>
                <w:szCs w:val="22"/>
              </w:rPr>
              <w:t xml:space="preserve"> disclosure of demographic information (age </w:t>
            </w:r>
            <w:r w:rsidR="001423B6" w:rsidRPr="00835DD2">
              <w:rPr>
                <w:rFonts w:ascii="Arial" w:hAnsi="Arial" w:cs="Arial"/>
                <w:bCs/>
                <w:sz w:val="22"/>
                <w:szCs w:val="22"/>
              </w:rPr>
              <w:t>and gender</w:t>
            </w:r>
            <w:r w:rsidR="00EE5C49" w:rsidRPr="00835DD2">
              <w:rPr>
                <w:rFonts w:ascii="Arial" w:hAnsi="Arial" w:cs="Arial"/>
                <w:bCs/>
                <w:sz w:val="22"/>
                <w:szCs w:val="22"/>
              </w:rPr>
              <w:t xml:space="preserve">), the participant will be verbally reminded of their rights as a research participant that will have been clearly indicated within the BPS Code of Conduct section of the consent form provided (right to withdraw, consent to recording data, deletion of response and participant data following completion of the research, etc). </w:t>
            </w:r>
            <w:r w:rsidR="00835DD2">
              <w:rPr>
                <w:rFonts w:ascii="Arial" w:hAnsi="Arial" w:cs="Arial"/>
                <w:bCs/>
                <w:sz w:val="22"/>
                <w:szCs w:val="22"/>
              </w:rPr>
              <w:t>For the qualitative study, t</w:t>
            </w:r>
            <w:r w:rsidR="00EE5C49" w:rsidRPr="00835DD2">
              <w:rPr>
                <w:rFonts w:ascii="Arial" w:hAnsi="Arial" w:cs="Arial"/>
                <w:bCs/>
                <w:sz w:val="22"/>
                <w:szCs w:val="22"/>
              </w:rPr>
              <w:t>he interview will then take place</w:t>
            </w:r>
            <w:r w:rsidR="00505259" w:rsidRPr="00835DD2">
              <w:rPr>
                <w:rFonts w:ascii="Arial" w:hAnsi="Arial" w:cs="Arial"/>
                <w:bCs/>
                <w:sz w:val="22"/>
                <w:szCs w:val="22"/>
              </w:rPr>
              <w:t xml:space="preserve"> and the three self-reporting materials will be provided consecutively and the nature of each form will be explained to the participant by the interviewer.</w:t>
            </w:r>
            <w:r w:rsidRPr="00835DD2">
              <w:rPr>
                <w:rFonts w:ascii="Arial" w:hAnsi="Arial" w:cs="Arial"/>
                <w:bCs/>
                <w:sz w:val="22"/>
                <w:szCs w:val="22"/>
              </w:rPr>
              <w:t xml:space="preserve"> </w:t>
            </w:r>
            <w:r w:rsidR="00505259" w:rsidRPr="00835DD2">
              <w:rPr>
                <w:rFonts w:ascii="Arial" w:hAnsi="Arial" w:cs="Arial"/>
                <w:bCs/>
                <w:sz w:val="22"/>
                <w:szCs w:val="22"/>
              </w:rPr>
              <w:t>The interview</w:t>
            </w:r>
            <w:r w:rsidR="00EE5C49" w:rsidRPr="00835DD2">
              <w:rPr>
                <w:rFonts w:ascii="Arial" w:hAnsi="Arial" w:cs="Arial"/>
                <w:bCs/>
                <w:sz w:val="22"/>
                <w:szCs w:val="22"/>
              </w:rPr>
              <w:t xml:space="preserve"> will include 20 questions</w:t>
            </w:r>
            <w:r w:rsidR="00505259" w:rsidRPr="00835DD2">
              <w:rPr>
                <w:rFonts w:ascii="Arial" w:hAnsi="Arial" w:cs="Arial"/>
                <w:bCs/>
                <w:sz w:val="22"/>
                <w:szCs w:val="22"/>
              </w:rPr>
              <w:t xml:space="preserve"> regarding</w:t>
            </w:r>
            <w:r w:rsidR="00EE5C49" w:rsidRPr="00835DD2">
              <w:rPr>
                <w:rFonts w:ascii="Arial" w:hAnsi="Arial" w:cs="Arial"/>
                <w:bCs/>
                <w:sz w:val="22"/>
                <w:szCs w:val="22"/>
              </w:rPr>
              <w:t xml:space="preserve"> reasons why the participant may feel an individual may</w:t>
            </w:r>
            <w:r w:rsidR="00505259" w:rsidRPr="00835DD2">
              <w:rPr>
                <w:rFonts w:ascii="Arial" w:hAnsi="Arial" w:cs="Arial"/>
                <w:bCs/>
                <w:sz w:val="22"/>
                <w:szCs w:val="22"/>
              </w:rPr>
              <w:t xml:space="preserve"> or may not</w:t>
            </w:r>
            <w:r w:rsidR="00EE5C49" w:rsidRPr="00835DD2">
              <w:rPr>
                <w:rFonts w:ascii="Arial" w:hAnsi="Arial" w:cs="Arial"/>
                <w:bCs/>
                <w:sz w:val="22"/>
                <w:szCs w:val="22"/>
              </w:rPr>
              <w:t xml:space="preserve"> respond to each section of the materials provided inaccurately or dishonestly</w:t>
            </w:r>
            <w:r w:rsidR="00505259" w:rsidRPr="00835DD2">
              <w:rPr>
                <w:rFonts w:ascii="Arial" w:hAnsi="Arial" w:cs="Arial"/>
                <w:bCs/>
                <w:sz w:val="22"/>
                <w:szCs w:val="22"/>
              </w:rPr>
              <w:t>.</w:t>
            </w:r>
            <w:r w:rsidR="00570C27">
              <w:rPr>
                <w:rFonts w:ascii="Arial" w:hAnsi="Arial" w:cs="Arial"/>
                <w:bCs/>
                <w:sz w:val="22"/>
                <w:szCs w:val="22"/>
              </w:rPr>
              <w:t xml:space="preserve"> </w:t>
            </w:r>
            <w:r w:rsidR="00505259" w:rsidRPr="00835DD2">
              <w:rPr>
                <w:rFonts w:ascii="Arial" w:hAnsi="Arial" w:cs="Arial"/>
                <w:bCs/>
                <w:sz w:val="22"/>
                <w:szCs w:val="22"/>
              </w:rPr>
              <w:t>An audio recording will be taken of the entire interview and stopped when the interview concludes. Following t</w:t>
            </w:r>
            <w:r w:rsidR="00835DD2">
              <w:rPr>
                <w:rFonts w:ascii="Arial" w:hAnsi="Arial" w:cs="Arial"/>
                <w:bCs/>
                <w:sz w:val="22"/>
                <w:szCs w:val="22"/>
              </w:rPr>
              <w:t>he end of both the qualitative and quantitative studies</w:t>
            </w:r>
            <w:r w:rsidR="00505259" w:rsidRPr="00835DD2">
              <w:rPr>
                <w:rFonts w:ascii="Arial" w:hAnsi="Arial" w:cs="Arial"/>
                <w:bCs/>
                <w:sz w:val="22"/>
                <w:szCs w:val="22"/>
              </w:rPr>
              <w:t xml:space="preserve">, the participant will be provided with a study debrief form, thanked for their </w:t>
            </w:r>
            <w:r w:rsidR="00835DD2" w:rsidRPr="00835DD2">
              <w:rPr>
                <w:rFonts w:ascii="Arial" w:hAnsi="Arial" w:cs="Arial"/>
                <w:bCs/>
                <w:sz w:val="22"/>
                <w:szCs w:val="22"/>
              </w:rPr>
              <w:t>participation,</w:t>
            </w:r>
            <w:r w:rsidR="00505259" w:rsidRPr="00835DD2">
              <w:rPr>
                <w:rFonts w:ascii="Arial" w:hAnsi="Arial" w:cs="Arial"/>
                <w:bCs/>
                <w:sz w:val="22"/>
                <w:szCs w:val="22"/>
              </w:rPr>
              <w:t xml:space="preserve"> and </w:t>
            </w:r>
            <w:r w:rsidR="00835DD2" w:rsidRPr="00835DD2">
              <w:rPr>
                <w:rFonts w:ascii="Arial" w:hAnsi="Arial" w:cs="Arial"/>
                <w:bCs/>
                <w:sz w:val="22"/>
                <w:szCs w:val="22"/>
              </w:rPr>
              <w:t>reminded of</w:t>
            </w:r>
            <w:r w:rsidR="00505259" w:rsidRPr="00835DD2">
              <w:rPr>
                <w:rFonts w:ascii="Arial" w:hAnsi="Arial" w:cs="Arial"/>
                <w:bCs/>
                <w:sz w:val="22"/>
                <w:szCs w:val="22"/>
              </w:rPr>
              <w:t xml:space="preserve"> the opportunity to</w:t>
            </w:r>
            <w:r w:rsidR="00835DD2" w:rsidRPr="00835DD2">
              <w:rPr>
                <w:rFonts w:ascii="Arial" w:hAnsi="Arial" w:cs="Arial"/>
                <w:bCs/>
                <w:sz w:val="22"/>
                <w:szCs w:val="22"/>
              </w:rPr>
              <w:t xml:space="preserve"> contact the researcher if they have any further questions or comments they may wish to provide regarding the study.</w:t>
            </w: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3D8AD04F" w14:textId="265820F7" w:rsidR="00E24E04" w:rsidRPr="00F34406" w:rsidRDefault="00F34406" w:rsidP="00E24E04">
            <w:pPr>
              <w:rPr>
                <w:rFonts w:ascii="Arial" w:hAnsi="Arial" w:cs="Arial"/>
                <w:bCs/>
                <w:sz w:val="22"/>
                <w:szCs w:val="22"/>
              </w:rPr>
            </w:pPr>
            <w:r>
              <w:rPr>
                <w:rFonts w:ascii="Arial" w:hAnsi="Arial" w:cs="Arial"/>
                <w:bCs/>
                <w:sz w:val="22"/>
                <w:szCs w:val="22"/>
              </w:rPr>
              <w:t>Though participants will not be asked to draw upon their personal experiences</w:t>
            </w:r>
            <w:r w:rsidR="00526407">
              <w:rPr>
                <w:rFonts w:ascii="Arial" w:hAnsi="Arial" w:cs="Arial"/>
                <w:bCs/>
                <w:sz w:val="22"/>
                <w:szCs w:val="22"/>
              </w:rPr>
              <w:t>, if any, (this will be made clear to prospective participants via the study brief displayed on the study sign-up page on EMS</w:t>
            </w:r>
            <w:r>
              <w:rPr>
                <w:rFonts w:ascii="Arial" w:hAnsi="Arial" w:cs="Arial"/>
                <w:bCs/>
                <w:sz w:val="22"/>
                <w:szCs w:val="22"/>
              </w:rPr>
              <w:t xml:space="preserve">) of engaging with mental health self-reporting when responding to the interview questions, it is still possible that </w:t>
            </w:r>
            <w:r w:rsidR="001B17B2">
              <w:rPr>
                <w:rFonts w:ascii="Arial" w:hAnsi="Arial" w:cs="Arial"/>
                <w:bCs/>
                <w:sz w:val="22"/>
                <w:szCs w:val="22"/>
              </w:rPr>
              <w:t xml:space="preserve">when discussing sections of a psychometric scale or self-referral form, certain questions within these materials may cause the participant to feel uncomfortable or be negatively emotionally impacted. </w:t>
            </w:r>
            <w:r w:rsidR="000C48FA">
              <w:rPr>
                <w:rFonts w:ascii="Arial" w:hAnsi="Arial" w:cs="Arial"/>
                <w:bCs/>
                <w:sz w:val="22"/>
                <w:szCs w:val="22"/>
              </w:rPr>
              <w:t xml:space="preserve">In order </w:t>
            </w:r>
            <w:r w:rsidR="00FD3690">
              <w:rPr>
                <w:rFonts w:ascii="Arial" w:hAnsi="Arial" w:cs="Arial"/>
                <w:bCs/>
                <w:sz w:val="22"/>
                <w:szCs w:val="22"/>
              </w:rPr>
              <w:t xml:space="preserve">for participants to ensure if they will be comfortable with the content of either or both the </w:t>
            </w:r>
            <w:r w:rsidR="000C48FA">
              <w:rPr>
                <w:rFonts w:ascii="Arial" w:hAnsi="Arial" w:cs="Arial"/>
                <w:bCs/>
                <w:sz w:val="22"/>
                <w:szCs w:val="22"/>
              </w:rPr>
              <w:t>qualitative</w:t>
            </w:r>
            <w:r w:rsidR="00C3315A">
              <w:rPr>
                <w:rFonts w:ascii="Arial" w:hAnsi="Arial" w:cs="Arial"/>
                <w:bCs/>
                <w:sz w:val="22"/>
                <w:szCs w:val="22"/>
              </w:rPr>
              <w:t xml:space="preserve"> and quantitative</w:t>
            </w:r>
            <w:r w:rsidR="000C48FA">
              <w:rPr>
                <w:rFonts w:ascii="Arial" w:hAnsi="Arial" w:cs="Arial"/>
                <w:bCs/>
                <w:sz w:val="22"/>
                <w:szCs w:val="22"/>
              </w:rPr>
              <w:t xml:space="preserve"> section</w:t>
            </w:r>
            <w:r w:rsidR="00C3315A">
              <w:rPr>
                <w:rFonts w:ascii="Arial" w:hAnsi="Arial" w:cs="Arial"/>
                <w:bCs/>
                <w:sz w:val="22"/>
                <w:szCs w:val="22"/>
              </w:rPr>
              <w:t>s</w:t>
            </w:r>
            <w:r w:rsidR="000C48FA">
              <w:rPr>
                <w:rFonts w:ascii="Arial" w:hAnsi="Arial" w:cs="Arial"/>
                <w:bCs/>
                <w:sz w:val="22"/>
                <w:szCs w:val="22"/>
              </w:rPr>
              <w:t xml:space="preserve"> of the study, they will be able to access a list of prepared questions that will be asked by the researcher during the interview</w:t>
            </w:r>
            <w:r w:rsidR="00C3315A">
              <w:rPr>
                <w:rFonts w:ascii="Arial" w:hAnsi="Arial" w:cs="Arial"/>
                <w:bCs/>
                <w:sz w:val="22"/>
                <w:szCs w:val="22"/>
              </w:rPr>
              <w:t xml:space="preserve"> as well as PDF copies of the measurement tool and self-referral form</w:t>
            </w:r>
            <w:r w:rsidR="00FD3690">
              <w:rPr>
                <w:rFonts w:ascii="Arial" w:hAnsi="Arial" w:cs="Arial"/>
                <w:bCs/>
                <w:sz w:val="22"/>
                <w:szCs w:val="22"/>
              </w:rPr>
              <w:t>.</w:t>
            </w:r>
            <w:r w:rsidR="000C48FA">
              <w:rPr>
                <w:rFonts w:ascii="Arial" w:hAnsi="Arial" w:cs="Arial"/>
                <w:bCs/>
                <w:sz w:val="22"/>
                <w:szCs w:val="22"/>
              </w:rPr>
              <w:t xml:space="preserve"> </w:t>
            </w:r>
          </w:p>
          <w:p w14:paraId="11664A95" w14:textId="5C018983" w:rsidR="00E24E04" w:rsidRPr="001B17B2" w:rsidRDefault="001B17B2" w:rsidP="00E24E04">
            <w:pPr>
              <w:rPr>
                <w:rFonts w:ascii="Arial" w:hAnsi="Arial" w:cs="Arial"/>
                <w:bCs/>
                <w:sz w:val="22"/>
                <w:szCs w:val="22"/>
              </w:rPr>
            </w:pPr>
            <w:r>
              <w:rPr>
                <w:rFonts w:ascii="Arial" w:hAnsi="Arial" w:cs="Arial"/>
                <w:bCs/>
                <w:sz w:val="22"/>
                <w:szCs w:val="22"/>
              </w:rPr>
              <w:t xml:space="preserve">When screening for participant eligibility, </w:t>
            </w:r>
            <w:r w:rsidR="00526407">
              <w:rPr>
                <w:rFonts w:ascii="Arial" w:hAnsi="Arial" w:cs="Arial"/>
                <w:bCs/>
                <w:sz w:val="22"/>
                <w:szCs w:val="22"/>
              </w:rPr>
              <w:t xml:space="preserve">it shall be made clear on the EMS study sign-up page that </w:t>
            </w:r>
            <w:r>
              <w:rPr>
                <w:rFonts w:ascii="Arial" w:hAnsi="Arial" w:cs="Arial"/>
                <w:bCs/>
                <w:sz w:val="22"/>
                <w:szCs w:val="22"/>
              </w:rPr>
              <w:t xml:space="preserve">previous experience in self-reporting will not be a consideration. However, prior to consent participants will be made informed </w:t>
            </w:r>
            <w:r w:rsidR="006D0B4E">
              <w:rPr>
                <w:rFonts w:ascii="Arial" w:hAnsi="Arial" w:cs="Arial"/>
                <w:bCs/>
                <w:sz w:val="22"/>
                <w:szCs w:val="22"/>
              </w:rPr>
              <w:t>of the sensitive nature of certain questions within the materials that they will be required to discuss with the researcher. Participants will be reminded of their right to withdraw at any time during the interview</w:t>
            </w:r>
            <w:r w:rsidR="006E6498">
              <w:rPr>
                <w:rFonts w:ascii="Arial" w:hAnsi="Arial" w:cs="Arial"/>
                <w:bCs/>
                <w:sz w:val="22"/>
                <w:szCs w:val="22"/>
              </w:rPr>
              <w:t xml:space="preserve"> and</w:t>
            </w:r>
            <w:r w:rsidR="006D0B4E">
              <w:rPr>
                <w:rFonts w:ascii="Arial" w:hAnsi="Arial" w:cs="Arial"/>
                <w:bCs/>
                <w:sz w:val="22"/>
                <w:szCs w:val="22"/>
              </w:rPr>
              <w:t xml:space="preserve"> the researcher will ask if the participant is comfortable to continue when appropriate</w:t>
            </w:r>
            <w:r w:rsidR="006E6498">
              <w:rPr>
                <w:rFonts w:ascii="Arial" w:hAnsi="Arial" w:cs="Arial"/>
                <w:bCs/>
                <w:sz w:val="22"/>
                <w:szCs w:val="22"/>
              </w:rPr>
              <w:t>.</w:t>
            </w: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22"/>
      <w:footerReference w:type="default" r:id="rId2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A95BA" w14:textId="77777777" w:rsidR="009A48BB" w:rsidRDefault="009A48BB">
      <w:r>
        <w:separator/>
      </w:r>
    </w:p>
  </w:endnote>
  <w:endnote w:type="continuationSeparator" w:id="0">
    <w:p w14:paraId="63AC4F01" w14:textId="77777777" w:rsidR="009A48BB" w:rsidRDefault="009A4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48286" w14:textId="77777777" w:rsidR="009A48BB" w:rsidRDefault="009A48BB">
      <w:r>
        <w:separator/>
      </w:r>
    </w:p>
  </w:footnote>
  <w:footnote w:type="continuationSeparator" w:id="0">
    <w:p w14:paraId="5A7920BF" w14:textId="77777777" w:rsidR="009A48BB" w:rsidRDefault="009A48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314828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57DD"/>
    <w:rsid w:val="00057223"/>
    <w:rsid w:val="00066E0A"/>
    <w:rsid w:val="00073E06"/>
    <w:rsid w:val="0008459E"/>
    <w:rsid w:val="00086D4F"/>
    <w:rsid w:val="00087BF3"/>
    <w:rsid w:val="000920D2"/>
    <w:rsid w:val="000939FD"/>
    <w:rsid w:val="000C1724"/>
    <w:rsid w:val="000C1972"/>
    <w:rsid w:val="000C45C6"/>
    <w:rsid w:val="000C48FA"/>
    <w:rsid w:val="000C7356"/>
    <w:rsid w:val="000D0F82"/>
    <w:rsid w:val="000E4E3F"/>
    <w:rsid w:val="000F514D"/>
    <w:rsid w:val="00107694"/>
    <w:rsid w:val="00137D0F"/>
    <w:rsid w:val="001423B6"/>
    <w:rsid w:val="001466E6"/>
    <w:rsid w:val="00161012"/>
    <w:rsid w:val="001704C8"/>
    <w:rsid w:val="00174C73"/>
    <w:rsid w:val="00175793"/>
    <w:rsid w:val="00183928"/>
    <w:rsid w:val="00185FED"/>
    <w:rsid w:val="00186F40"/>
    <w:rsid w:val="001879DB"/>
    <w:rsid w:val="001A749D"/>
    <w:rsid w:val="001B0A6D"/>
    <w:rsid w:val="001B17B2"/>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73748"/>
    <w:rsid w:val="00380155"/>
    <w:rsid w:val="00393019"/>
    <w:rsid w:val="003A52E4"/>
    <w:rsid w:val="003A71AE"/>
    <w:rsid w:val="003B4AA4"/>
    <w:rsid w:val="003B5F80"/>
    <w:rsid w:val="003C154B"/>
    <w:rsid w:val="003D0CD4"/>
    <w:rsid w:val="003D1B92"/>
    <w:rsid w:val="003E444F"/>
    <w:rsid w:val="003E4ECD"/>
    <w:rsid w:val="003E5FDA"/>
    <w:rsid w:val="003F0AAE"/>
    <w:rsid w:val="003F158B"/>
    <w:rsid w:val="003F4AFC"/>
    <w:rsid w:val="003F798F"/>
    <w:rsid w:val="004010C2"/>
    <w:rsid w:val="00410411"/>
    <w:rsid w:val="00430197"/>
    <w:rsid w:val="004319CC"/>
    <w:rsid w:val="00434B98"/>
    <w:rsid w:val="00441243"/>
    <w:rsid w:val="00442DF8"/>
    <w:rsid w:val="00444AE4"/>
    <w:rsid w:val="00445302"/>
    <w:rsid w:val="00451E6F"/>
    <w:rsid w:val="004601EE"/>
    <w:rsid w:val="00463D09"/>
    <w:rsid w:val="0047375D"/>
    <w:rsid w:val="00473D53"/>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E7C8F"/>
    <w:rsid w:val="004F5195"/>
    <w:rsid w:val="00500534"/>
    <w:rsid w:val="00505259"/>
    <w:rsid w:val="00505272"/>
    <w:rsid w:val="00507F85"/>
    <w:rsid w:val="00521B3C"/>
    <w:rsid w:val="00526407"/>
    <w:rsid w:val="00531677"/>
    <w:rsid w:val="00532F30"/>
    <w:rsid w:val="00535993"/>
    <w:rsid w:val="00561B52"/>
    <w:rsid w:val="00563CEA"/>
    <w:rsid w:val="00570C27"/>
    <w:rsid w:val="00575BFA"/>
    <w:rsid w:val="00583459"/>
    <w:rsid w:val="00595D29"/>
    <w:rsid w:val="005B6580"/>
    <w:rsid w:val="005B6657"/>
    <w:rsid w:val="005B72AB"/>
    <w:rsid w:val="005C2348"/>
    <w:rsid w:val="005C3249"/>
    <w:rsid w:val="005C3D7B"/>
    <w:rsid w:val="005C5D7C"/>
    <w:rsid w:val="005D16E0"/>
    <w:rsid w:val="005E27CB"/>
    <w:rsid w:val="005E4647"/>
    <w:rsid w:val="005E74F1"/>
    <w:rsid w:val="005F2114"/>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0B4E"/>
    <w:rsid w:val="006D10AC"/>
    <w:rsid w:val="006D31CA"/>
    <w:rsid w:val="006E4763"/>
    <w:rsid w:val="006E6498"/>
    <w:rsid w:val="006E670A"/>
    <w:rsid w:val="006E6E6E"/>
    <w:rsid w:val="006F3D33"/>
    <w:rsid w:val="00704616"/>
    <w:rsid w:val="00707654"/>
    <w:rsid w:val="0071671E"/>
    <w:rsid w:val="007209B9"/>
    <w:rsid w:val="00720E1E"/>
    <w:rsid w:val="00727118"/>
    <w:rsid w:val="00727EE0"/>
    <w:rsid w:val="00730F4E"/>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D7F22"/>
    <w:rsid w:val="007E1B79"/>
    <w:rsid w:val="007E279A"/>
    <w:rsid w:val="007E787E"/>
    <w:rsid w:val="007F63C7"/>
    <w:rsid w:val="008066ED"/>
    <w:rsid w:val="00812DC7"/>
    <w:rsid w:val="008164EB"/>
    <w:rsid w:val="008226C0"/>
    <w:rsid w:val="0083364B"/>
    <w:rsid w:val="00835DD2"/>
    <w:rsid w:val="0085195B"/>
    <w:rsid w:val="0086342C"/>
    <w:rsid w:val="008653F3"/>
    <w:rsid w:val="008656B7"/>
    <w:rsid w:val="00865984"/>
    <w:rsid w:val="0086773C"/>
    <w:rsid w:val="0087576C"/>
    <w:rsid w:val="00880183"/>
    <w:rsid w:val="008815E0"/>
    <w:rsid w:val="00885B67"/>
    <w:rsid w:val="00887014"/>
    <w:rsid w:val="00892018"/>
    <w:rsid w:val="008944B8"/>
    <w:rsid w:val="008C0046"/>
    <w:rsid w:val="008C1912"/>
    <w:rsid w:val="008C1FEA"/>
    <w:rsid w:val="008C23D4"/>
    <w:rsid w:val="008C496F"/>
    <w:rsid w:val="008C4B50"/>
    <w:rsid w:val="008C62A5"/>
    <w:rsid w:val="008D428B"/>
    <w:rsid w:val="008F6C40"/>
    <w:rsid w:val="0091227C"/>
    <w:rsid w:val="00913CDB"/>
    <w:rsid w:val="00915A2E"/>
    <w:rsid w:val="009209F2"/>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48BB"/>
    <w:rsid w:val="009A5B4A"/>
    <w:rsid w:val="009B18C4"/>
    <w:rsid w:val="009C0B5A"/>
    <w:rsid w:val="009D14AD"/>
    <w:rsid w:val="009D373F"/>
    <w:rsid w:val="009E43FE"/>
    <w:rsid w:val="009F0537"/>
    <w:rsid w:val="009F6541"/>
    <w:rsid w:val="00A01F77"/>
    <w:rsid w:val="00A01FA0"/>
    <w:rsid w:val="00A05E89"/>
    <w:rsid w:val="00A07CA3"/>
    <w:rsid w:val="00A1196A"/>
    <w:rsid w:val="00A13ED4"/>
    <w:rsid w:val="00A162A6"/>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D7A25"/>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BF30C0"/>
    <w:rsid w:val="00C01536"/>
    <w:rsid w:val="00C035B1"/>
    <w:rsid w:val="00C061EC"/>
    <w:rsid w:val="00C11D79"/>
    <w:rsid w:val="00C26700"/>
    <w:rsid w:val="00C3315A"/>
    <w:rsid w:val="00C46A0A"/>
    <w:rsid w:val="00C471CE"/>
    <w:rsid w:val="00C50C14"/>
    <w:rsid w:val="00C51858"/>
    <w:rsid w:val="00C61291"/>
    <w:rsid w:val="00C6636C"/>
    <w:rsid w:val="00C675F1"/>
    <w:rsid w:val="00C752EF"/>
    <w:rsid w:val="00C76FDA"/>
    <w:rsid w:val="00C81899"/>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2AAA"/>
    <w:rsid w:val="00DC77E1"/>
    <w:rsid w:val="00DE121A"/>
    <w:rsid w:val="00DE3226"/>
    <w:rsid w:val="00DE76DC"/>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E2D54"/>
    <w:rsid w:val="00EE5C49"/>
    <w:rsid w:val="00EF25ED"/>
    <w:rsid w:val="00EF4440"/>
    <w:rsid w:val="00EF6B3C"/>
    <w:rsid w:val="00F06B1D"/>
    <w:rsid w:val="00F15CBA"/>
    <w:rsid w:val="00F17B14"/>
    <w:rsid w:val="00F200A1"/>
    <w:rsid w:val="00F341B6"/>
    <w:rsid w:val="00F3440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3690"/>
    <w:rsid w:val="00FD4AF1"/>
    <w:rsid w:val="00FD5ECB"/>
    <w:rsid w:val="00FF4FC6"/>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PlaceholderText">
    <w:name w:val="Placeholder Text"/>
    <w:basedOn w:val="DefaultParagraphFont"/>
    <w:uiPriority w:val="99"/>
    <w:semiHidden/>
    <w:rsid w:val="000C172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ad.2022.11.051" TargetMode="External"/><Relationship Id="rId18" Type="http://schemas.openxmlformats.org/officeDocument/2006/relationships/hyperlink" Target="https://doi.org/10.1007/s10995-015-1799-6" TargetMode="External"/><Relationship Id="rId3" Type="http://schemas.openxmlformats.org/officeDocument/2006/relationships/styles" Target="styles.xml"/><Relationship Id="rId21" Type="http://schemas.openxmlformats.org/officeDocument/2006/relationships/hyperlink" Target="https://doi.org/10.1111/anae.15943" TargetMode="External"/><Relationship Id="rId7" Type="http://schemas.openxmlformats.org/officeDocument/2006/relationships/endnotes" Target="endnotes.xml"/><Relationship Id="rId12" Type="http://schemas.openxmlformats.org/officeDocument/2006/relationships/hyperlink" Target="https://doi.org/10.1016/j.jhtm.2021.11.010" TargetMode="External"/><Relationship Id="rId17" Type="http://schemas.openxmlformats.org/officeDocument/2006/relationships/hyperlink" Target="https://doi.org/10.1109/CDS52072.2021.0009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chb.2011.08.001" TargetMode="External"/><Relationship Id="rId20" Type="http://schemas.openxmlformats.org/officeDocument/2006/relationships/hyperlink" Target="https://doi.org/10.1177/15333175219953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d.2021.11.01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psyg.2021.739352" TargetMode="External"/><Relationship Id="rId23" Type="http://schemas.openxmlformats.org/officeDocument/2006/relationships/footer" Target="footer2.xml"/><Relationship Id="rId10" Type="http://schemas.openxmlformats.org/officeDocument/2006/relationships/hyperlink" Target="https://doi.org/10.1111/acer.14545" TargetMode="External"/><Relationship Id="rId19" Type="http://schemas.openxmlformats.org/officeDocument/2006/relationships/hyperlink" Target="https://doi.org/10.1080/13501763.2021.1912149" TargetMode="External"/><Relationship Id="rId4" Type="http://schemas.openxmlformats.org/officeDocument/2006/relationships/settings" Target="settings.xml"/><Relationship Id="rId9" Type="http://schemas.openxmlformats.org/officeDocument/2006/relationships/hyperlink" Target="https://doi.org/10.1016/j.socec.2022.101880" TargetMode="External"/><Relationship Id="rId14" Type="http://schemas.openxmlformats.org/officeDocument/2006/relationships/hyperlink" Target="https://doi.org/10.1037/pas0000819"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386</TotalTime>
  <Pages>5</Pages>
  <Words>2210</Words>
  <Characters>12602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William Page (2113430)</cp:lastModifiedBy>
  <cp:revision>54</cp:revision>
  <cp:lastPrinted>2008-04-14T13:39:00Z</cp:lastPrinted>
  <dcterms:created xsi:type="dcterms:W3CDTF">2023-05-28T12:14:00Z</dcterms:created>
  <dcterms:modified xsi:type="dcterms:W3CDTF">2023-07-10T21:42:00Z</dcterms:modified>
</cp:coreProperties>
</file>