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orp"/>
        <w:spacing w:line="240" w:lineRule="auto"/>
        <w:rPr>
          <w:b w:val="1"/>
          <w:bCs w:val="1"/>
          <w:sz w:val="32"/>
          <w:szCs w:val="32"/>
        </w:rPr>
      </w:pPr>
      <w:r>
        <w:rPr>
          <w:b w:val="1"/>
          <w:bCs w:val="1"/>
          <w:sz w:val="32"/>
          <w:szCs w:val="32"/>
          <w:rtl w:val="0"/>
          <w:lang w:val="en-US"/>
        </w:rPr>
        <w:t xml:space="preserve">Student </w:t>
      </w:r>
      <w:r>
        <w:rPr>
          <w:b w:val="1"/>
          <w:bCs w:val="1"/>
          <w:sz w:val="32"/>
          <w:szCs w:val="32"/>
          <w:rtl w:val="0"/>
          <w:lang w:val="de-DE"/>
        </w:rPr>
        <w:t xml:space="preserve">name </w:t>
      </w:r>
      <w:r>
        <w:rPr>
          <w:b w:val="1"/>
          <w:bCs w:val="1"/>
          <w:sz w:val="32"/>
          <w:szCs w:val="32"/>
          <w:rtl w:val="0"/>
          <w:lang w:val="en-US"/>
        </w:rPr>
        <w:t xml:space="preserve">: Bruma Daniela Ionela </w:t>
      </w:r>
    </w:p>
    <w:p>
      <w:pPr>
        <w:pStyle w:val="Corp"/>
        <w:spacing w:line="240" w:lineRule="auto"/>
        <w:rPr>
          <w:b w:val="1"/>
          <w:bCs w:val="1"/>
          <w:sz w:val="32"/>
          <w:szCs w:val="32"/>
        </w:rPr>
      </w:pPr>
      <w:r>
        <w:rPr>
          <w:b w:val="1"/>
          <w:bCs w:val="1"/>
          <w:sz w:val="32"/>
          <w:szCs w:val="32"/>
          <w:rtl w:val="0"/>
          <w:lang w:val="en-US"/>
        </w:rPr>
        <w:t>Student id number: 2128799</w:t>
      </w:r>
    </w:p>
    <w:p>
      <w:pPr>
        <w:pStyle w:val="Corp"/>
        <w:spacing w:line="240" w:lineRule="auto"/>
        <w:rPr>
          <w:b w:val="1"/>
          <w:bCs w:val="1"/>
          <w:sz w:val="32"/>
          <w:szCs w:val="32"/>
        </w:rPr>
      </w:pPr>
      <w:r>
        <w:rPr>
          <w:b w:val="1"/>
          <w:bCs w:val="1"/>
          <w:sz w:val="32"/>
          <w:szCs w:val="32"/>
          <w:rtl w:val="0"/>
          <w:lang w:val="en-US"/>
        </w:rPr>
        <w:t xml:space="preserve">Lecturer : Jemma  Smith </w:t>
      </w:r>
    </w:p>
    <w:p>
      <w:pPr>
        <w:pStyle w:val="Corp"/>
        <w:spacing w:line="240" w:lineRule="auto"/>
        <w:rPr>
          <w:b w:val="1"/>
          <w:bCs w:val="1"/>
          <w:sz w:val="32"/>
          <w:szCs w:val="32"/>
        </w:rPr>
      </w:pPr>
      <w:r>
        <w:rPr>
          <w:b w:val="1"/>
          <w:bCs w:val="1"/>
          <w:sz w:val="32"/>
          <w:szCs w:val="32"/>
          <w:rtl w:val="0"/>
          <w:lang w:val="en-US"/>
        </w:rPr>
        <w:t>Module code: BMIH</w:t>
      </w:r>
      <w:r>
        <w:rPr>
          <w:b w:val="1"/>
          <w:bCs w:val="1"/>
          <w:sz w:val="32"/>
          <w:szCs w:val="32"/>
          <w:rtl w:val="0"/>
          <w:lang w:val="de-DE"/>
        </w:rPr>
        <w:t>6007</w:t>
      </w:r>
    </w:p>
    <w:p>
      <w:pPr>
        <w:pStyle w:val="Corp"/>
        <w:spacing w:line="240" w:lineRule="auto"/>
        <w:rPr>
          <w:b w:val="1"/>
          <w:bCs w:val="1"/>
          <w:sz w:val="32"/>
          <w:szCs w:val="32"/>
        </w:rPr>
      </w:pPr>
      <w:r>
        <w:rPr>
          <w:b w:val="1"/>
          <w:bCs w:val="1"/>
          <w:sz w:val="32"/>
          <w:szCs w:val="32"/>
          <w:rtl w:val="0"/>
          <w:lang w:val="en-US"/>
        </w:rPr>
        <w:t>Module title: International Meetings Management BMIH6007</w:t>
      </w:r>
    </w:p>
    <w:p>
      <w:pPr>
        <w:pStyle w:val="Corp"/>
        <w:spacing w:line="240" w:lineRule="auto"/>
        <w:rPr>
          <w:b w:val="1"/>
          <w:bCs w:val="1"/>
          <w:sz w:val="32"/>
          <w:szCs w:val="32"/>
        </w:rPr>
      </w:pPr>
    </w:p>
    <w:p>
      <w:pPr>
        <w:pStyle w:val="Corp"/>
        <w:spacing w:line="240" w:lineRule="auto"/>
        <w:rPr>
          <w:b w:val="1"/>
          <w:bCs w:val="1"/>
          <w:sz w:val="32"/>
          <w:szCs w:val="32"/>
        </w:rPr>
      </w:pPr>
    </w:p>
    <w:p>
      <w:pPr>
        <w:pStyle w:val="Corp"/>
        <w:spacing w:line="240" w:lineRule="auto"/>
        <w:rPr>
          <w:b w:val="1"/>
          <w:bCs w:val="1"/>
          <w:sz w:val="32"/>
          <w:szCs w:val="32"/>
        </w:rPr>
      </w:pPr>
    </w:p>
    <w:p>
      <w:pPr>
        <w:pStyle w:val="Corp"/>
        <w:spacing w:line="240" w:lineRule="auto"/>
        <w:rPr>
          <w:b w:val="1"/>
          <w:bCs w:val="1"/>
          <w:sz w:val="32"/>
          <w:szCs w:val="32"/>
        </w:rPr>
      </w:pPr>
    </w:p>
    <w:p>
      <w:pPr>
        <w:pStyle w:val="Corp"/>
        <w:spacing w:line="240" w:lineRule="auto"/>
        <w:rPr>
          <w:b w:val="1"/>
          <w:bCs w:val="1"/>
          <w:sz w:val="32"/>
          <w:szCs w:val="32"/>
        </w:rPr>
      </w:pPr>
    </w:p>
    <w:p>
      <w:pPr>
        <w:pStyle w:val="Titlu"/>
        <w:bidi w:val="0"/>
        <w:rPr>
          <w:rFonts w:ascii="Times New Roman" w:cs="Times New Roman" w:hAnsi="Times New Roman" w:eastAsia="Times New Roman"/>
        </w:rPr>
      </w:pPr>
      <w:r>
        <w:rPr>
          <w:rFonts w:ascii="Times New Roman" w:hAnsi="Times New Roman"/>
          <w:rtl w:val="0"/>
          <w:lang w:val="de-DE"/>
        </w:rPr>
        <w:t xml:space="preserve">Planning and </w:t>
      </w:r>
      <w:r>
        <w:rPr>
          <w:rFonts w:ascii="Times New Roman" w:hAnsi="Times New Roman"/>
          <w:rtl w:val="0"/>
          <w:lang w:val="en-US"/>
        </w:rPr>
        <w:t>Delivering an                          International Event</w:t>
      </w:r>
    </w:p>
    <w:p>
      <w:pPr>
        <w:pStyle w:val="Titlu"/>
        <w:bidi w:val="0"/>
        <w:rPr>
          <w:rFonts w:ascii="Times New Roman" w:cs="Times New Roman" w:hAnsi="Times New Roman" w:eastAsia="Times New Roman"/>
          <w:sz w:val="36"/>
          <w:szCs w:val="36"/>
        </w:rPr>
      </w:pPr>
    </w:p>
    <w:p>
      <w:pPr>
        <w:pStyle w:val="Corp"/>
        <w:spacing w:line="259" w:lineRule="auto"/>
        <w:jc w:val="left"/>
      </w:pPr>
      <w:r>
        <w:rPr>
          <w:rFonts w:ascii="Arial Unicode MS" w:cs="Arial Unicode MS" w:hAnsi="Arial Unicode MS" w:eastAsia="Arial Unicode MS"/>
          <w:b w:val="0"/>
          <w:bCs w:val="0"/>
          <w:i w:val="0"/>
          <w:iCs w:val="0"/>
        </w:rPr>
        <w:br w:type="page"/>
      </w:r>
    </w:p>
    <w:p>
      <w:pPr>
        <w:pStyle w:val="Corp"/>
        <w:spacing w:line="259" w:lineRule="auto"/>
        <w:jc w:val="left"/>
        <w:rPr>
          <w:b w:val="1"/>
          <w:bCs w:val="1"/>
        </w:rPr>
      </w:pPr>
      <w:r>
        <w:rPr>
          <w:b w:val="1"/>
          <w:bCs w:val="1"/>
          <w:rtl w:val="0"/>
          <w:lang w:val="en-US"/>
        </w:rPr>
        <w:t xml:space="preserve">Executive Summary </w:t>
      </w:r>
    </w:p>
    <w:p>
      <w:pPr>
        <w:pStyle w:val="Corp"/>
        <w:widowControl w:val="0"/>
      </w:pPr>
      <w:r>
        <w:rPr>
          <w:rtl w:val="0"/>
          <w:lang w:val="en-US"/>
        </w:rPr>
        <w:t xml:space="preserve">This report has been a detailed description of the various factors which will affect the event which will discuss the topic </w:t>
      </w:r>
      <w:r>
        <w:rPr>
          <w:rtl w:val="1"/>
        </w:rPr>
        <w:t>‘</w:t>
      </w:r>
      <w:r>
        <w:rPr>
          <w:rtl w:val="0"/>
          <w:lang w:val="en-US"/>
        </w:rPr>
        <w:t>Technology and Innovation within the Hospitality Sector</w:t>
      </w:r>
      <w:r>
        <w:rPr>
          <w:rtl w:val="1"/>
        </w:rPr>
        <w:t>’</w:t>
      </w:r>
      <w:r>
        <w:rPr>
          <w:rtl w:val="0"/>
        </w:rPr>
        <w:t>.</w:t>
      </w:r>
      <w:r>
        <w:rPr>
          <w:rtl w:val="0"/>
        </w:rPr>
        <w:t xml:space="preserve">  </w:t>
      </w:r>
      <w:r>
        <w:rPr>
          <w:rtl w:val="0"/>
          <w:lang w:val="en-US"/>
        </w:rPr>
        <w:t>The event budget helped in determining that good number of profits is expected to be generated from the event. This will make sure that the people arranging the event are conscious of their actions and their main motto is to promote the growth of their society. This will be key to increasing the credibility of the event to the stakeholders and encouraging them to come again in future. The external and internal forces of the market have also been identified and analysed.</w:t>
      </w:r>
      <w:r>
        <w:rPr>
          <w:rtl w:val="0"/>
        </w:rPr>
        <w:t> </w:t>
      </w:r>
      <w:r>
        <w:rPr>
          <w:rtl w:val="0"/>
          <w:lang w:val="en-US"/>
        </w:rPr>
        <w:t>The event budget helped in determining that good number of profits is expected to be generated from the event.</w:t>
      </w:r>
      <w:r>
        <w:rPr>
          <w:rFonts w:ascii="Arial Unicode MS" w:cs="Arial Unicode MS" w:hAnsi="Arial Unicode MS" w:eastAsia="Arial Unicode MS"/>
          <w:b w:val="0"/>
          <w:bCs w:val="0"/>
          <w:i w:val="0"/>
          <w:iCs w:val="0"/>
        </w:rPr>
        <w:br w:type="page"/>
      </w:r>
    </w:p>
    <w:p>
      <w:pPr>
        <w:pStyle w:val="TOC Heading"/>
        <w:jc w:val="center"/>
        <w:rPr>
          <w:rFonts w:ascii="Times New Roman" w:cs="Times New Roman" w:hAnsi="Times New Roman" w:eastAsia="Times New Roman"/>
          <w:b w:val="1"/>
          <w:bCs w:val="1"/>
          <w:outline w:val="0"/>
          <w:color w:val="000000"/>
          <w:sz w:val="24"/>
          <w:szCs w:val="24"/>
          <w:u w:color="000000"/>
          <w:lang w:val="en-US"/>
          <w14:textFill>
            <w14:solidFill>
              <w14:srgbClr w14:val="000000"/>
            </w14:solidFill>
          </w14:textFill>
        </w:rPr>
      </w:pPr>
      <w:r>
        <w:rPr>
          <w:rFonts w:ascii="Times New Roman" w:hAnsi="Times New Roman"/>
          <w:b w:val="1"/>
          <w:bCs w:val="1"/>
          <w:outline w:val="0"/>
          <w:color w:val="000000"/>
          <w:sz w:val="24"/>
          <w:szCs w:val="24"/>
          <w:u w:color="000000"/>
          <w:rtl w:val="0"/>
          <w:lang w:val="en-US"/>
          <w14:textFill>
            <w14:solidFill>
              <w14:srgbClr w14:val="000000"/>
            </w14:solidFill>
          </w14:textFill>
        </w:rPr>
        <w:t>Table of Contents</w:t>
      </w:r>
    </w:p>
    <w:p>
      <w:pPr>
        <w:pStyle w:val="Corp"/>
      </w:pPr>
      <w:r>
        <w:rPr>
          <w:b w:val="1"/>
          <w:bCs w:val="1"/>
          <w:outline w:val="0"/>
          <w:color w:val="000000"/>
          <w:sz w:val="24"/>
          <w:szCs w:val="24"/>
          <w:u w:color="000000"/>
          <w:lang w:val="en-US"/>
          <w14:textFill>
            <w14:solidFill>
              <w14:srgbClr w14:val="000000"/>
            </w14:solidFill>
          </w14:textFill>
        </w:rPr>
        <w:fldChar w:fldCharType="begin" w:fldLock="0"/>
      </w:r>
      <w:r>
        <w:rPr>
          <w:b w:val="1"/>
          <w:bCs w:val="1"/>
          <w:outline w:val="0"/>
          <w:color w:val="000000"/>
          <w:sz w:val="24"/>
          <w:szCs w:val="24"/>
          <w:u w:color="000000"/>
          <w:lang w:val="en-US"/>
          <w14:textFill>
            <w14:solidFill>
              <w14:srgbClr w14:val="000000"/>
            </w14:solidFill>
          </w14:textFill>
        </w:rPr>
        <w:instrText xml:space="preserve"> TOC \t "Colontitlu, 1,Colontitlu 2, 2"</w:instrText>
      </w:r>
      <w:r>
        <w:rPr>
          <w:b w:val="1"/>
          <w:bCs w:val="1"/>
          <w:outline w:val="0"/>
          <w:color w:val="000000"/>
          <w:sz w:val="24"/>
          <w:szCs w:val="24"/>
          <w:u w:color="000000"/>
          <w:lang w:val="en-US"/>
          <w14:textFill>
            <w14:solidFill>
              <w14:srgbClr w14:val="000000"/>
            </w14:solidFill>
          </w14:textFill>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The Cycle of the Event</w:t>
        <w:tab/>
      </w:r>
      <w:r>
        <w:rPr/>
        <w:fldChar w:fldCharType="begin" w:fldLock="0"/>
      </w:r>
      <w:r>
        <w:instrText xml:space="preserve"> PAGEREF _Toc1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Plan</w:t>
        <w:tab/>
      </w:r>
      <w:r>
        <w:rPr/>
        <w:fldChar w:fldCharType="begin" w:fldLock="0"/>
      </w:r>
      <w:r>
        <w:instrText xml:space="preserve"> PAGEREF _Toc2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Organise</w:t>
        <w:tab/>
      </w:r>
      <w:r>
        <w:rPr/>
        <w:fldChar w:fldCharType="begin" w:fldLock="0"/>
      </w:r>
      <w:r>
        <w:instrText xml:space="preserve"> PAGEREF _Toc3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Measure</w:t>
        <w:tab/>
      </w:r>
      <w:r>
        <w:rPr/>
        <w:fldChar w:fldCharType="begin" w:fldLock="0"/>
      </w:r>
      <w:r>
        <w:instrText xml:space="preserve"> PAGEREF _Toc4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Analyse</w:t>
        <w:tab/>
      </w:r>
      <w:r>
        <w:rPr/>
        <w:fldChar w:fldCharType="begin" w:fldLock="0"/>
      </w:r>
      <w:r>
        <w:instrText xml:space="preserve"> PAGEREF _Toc5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Share</w:t>
        <w:tab/>
      </w:r>
      <w:r>
        <w:rPr/>
        <w:fldChar w:fldCharType="begin" w:fldLock="0"/>
      </w:r>
      <w:r>
        <w:instrText xml:space="preserve"> PAGEREF _Toc6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Concept of the Event</w:t>
        <w:tab/>
      </w:r>
      <w:r>
        <w:rPr/>
        <w:fldChar w:fldCharType="begin" w:fldLock="0"/>
      </w:r>
      <w:r>
        <w:instrText xml:space="preserve"> PAGEREF _Toc7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Objectives and Aim of the Event</w:t>
        <w:tab/>
      </w:r>
      <w:r>
        <w:rPr/>
        <w:fldChar w:fldCharType="begin" w:fldLock="0"/>
      </w:r>
      <w:r>
        <w:instrText xml:space="preserve"> PAGEREF _Toc8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Operations of the Event</w:t>
        <w:tab/>
      </w:r>
      <w:r>
        <w:rPr/>
        <w:fldChar w:fldCharType="begin" w:fldLock="0"/>
      </w:r>
      <w:r>
        <w:instrText xml:space="preserve"> PAGEREF _Toc9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rPr>
        <w:t>Event Budget</w:t>
        <w:tab/>
      </w:r>
      <w:r>
        <w:rPr/>
        <w:fldChar w:fldCharType="begin" w:fldLock="0"/>
      </w:r>
      <w:r>
        <w:instrText xml:space="preserve"> PAGEREF _Toc10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rtl w:val="0"/>
        </w:rPr>
        <w:t>Industry Trends and their Impacts</w:t>
        <w:tab/>
      </w:r>
      <w:r>
        <w:rPr/>
        <w:fldChar w:fldCharType="begin" w:fldLock="0"/>
      </w:r>
      <w:r>
        <w:instrText xml:space="preserve"> PAGEREF _Toc11 \h </w:instrText>
      </w:r>
      <w:r>
        <w:rPr/>
        <w:fldChar w:fldCharType="separate" w:fldLock="0"/>
      </w:r>
      <w:r>
        <w:rPr>
          <w:rFonts w:cs="Arial Unicode MS" w:eastAsia="Arial Unicode MS"/>
          <w:rtl w:val="0"/>
        </w:rPr>
        <w:t>12</w:t>
      </w:r>
      <w:r>
        <w:rPr/>
        <w:fldChar w:fldCharType="end" w:fldLock="0"/>
      </w:r>
    </w:p>
    <w:p>
      <w:pPr>
        <w:pStyle w:val="TOC 2"/>
      </w:pPr>
      <w:r>
        <w:rPr>
          <w:rFonts w:cs="Arial Unicode MS" w:eastAsia="Arial Unicode MS"/>
          <w:rtl w:val="0"/>
        </w:rPr>
        <w:t>Swot Analysis</w:t>
        <w:tab/>
      </w:r>
      <w:r>
        <w:rPr/>
        <w:fldChar w:fldCharType="begin" w:fldLock="0"/>
      </w:r>
      <w:r>
        <w:instrText xml:space="preserve"> PAGEREF _Toc12 \h </w:instrText>
      </w:r>
      <w:r>
        <w:rPr/>
        <w:fldChar w:fldCharType="separate" w:fldLock="0"/>
      </w:r>
      <w:r>
        <w:rPr>
          <w:rFonts w:cs="Arial Unicode MS" w:eastAsia="Arial Unicode MS"/>
          <w:rtl w:val="0"/>
        </w:rPr>
        <w:t>12</w:t>
      </w:r>
      <w:r>
        <w:rPr/>
        <w:fldChar w:fldCharType="end" w:fldLock="0"/>
      </w:r>
    </w:p>
    <w:p>
      <w:pPr>
        <w:pStyle w:val="TOC 2"/>
      </w:pPr>
      <w:r>
        <w:rPr>
          <w:rFonts w:cs="Arial Unicode MS" w:eastAsia="Arial Unicode MS"/>
          <w:rtl w:val="0"/>
        </w:rPr>
        <w:t>Pestle Analysis</w:t>
        <w:tab/>
      </w:r>
      <w:r>
        <w:rPr/>
        <w:fldChar w:fldCharType="begin" w:fldLock="0"/>
      </w:r>
      <w:r>
        <w:instrText xml:space="preserve"> PAGEREF _Toc13 \h </w:instrText>
      </w:r>
      <w:r>
        <w:rPr/>
        <w:fldChar w:fldCharType="separate" w:fldLock="0"/>
      </w:r>
      <w:r>
        <w:rPr>
          <w:rFonts w:cs="Arial Unicode MS" w:eastAsia="Arial Unicode MS"/>
          <w:rtl w:val="0"/>
        </w:rPr>
        <w:t>13</w:t>
      </w:r>
      <w:r>
        <w:rPr/>
        <w:fldChar w:fldCharType="end" w:fldLock="0"/>
      </w:r>
    </w:p>
    <w:p>
      <w:pPr>
        <w:pStyle w:val="TOC 2"/>
      </w:pPr>
      <w:r>
        <w:rPr>
          <w:rFonts w:cs="Arial Unicode MS" w:eastAsia="Arial Unicode MS"/>
          <w:rtl w:val="0"/>
        </w:rPr>
        <w:t>Impact</w:t>
        <w:tab/>
      </w:r>
      <w:r>
        <w:rPr/>
        <w:fldChar w:fldCharType="begin" w:fldLock="0"/>
      </w:r>
      <w:r>
        <w:instrText xml:space="preserve"> PAGEREF _Toc14 \h </w:instrText>
      </w:r>
      <w:r>
        <w:rPr/>
        <w:fldChar w:fldCharType="separate" w:fldLock="0"/>
      </w:r>
      <w:r>
        <w:rPr>
          <w:rFonts w:cs="Arial Unicode MS" w:eastAsia="Arial Unicode MS"/>
          <w:rtl w:val="0"/>
        </w:rPr>
        <w:t>15</w:t>
      </w:r>
      <w:r>
        <w:rPr/>
        <w:fldChar w:fldCharType="end" w:fldLock="0"/>
      </w:r>
    </w:p>
    <w:p>
      <w:pPr>
        <w:pStyle w:val="TOC 2"/>
      </w:pPr>
      <w:r>
        <w:rPr>
          <w:rFonts w:cs="Arial Unicode MS" w:eastAsia="Arial Unicode MS"/>
          <w:rtl w:val="0"/>
        </w:rPr>
        <w:t>Market Trends</w:t>
        <w:tab/>
      </w:r>
      <w:r>
        <w:rPr/>
        <w:fldChar w:fldCharType="begin" w:fldLock="0"/>
      </w:r>
      <w:r>
        <w:instrText xml:space="preserve"> PAGEREF _Toc15 \h </w:instrText>
      </w:r>
      <w:r>
        <w:rPr/>
        <w:fldChar w:fldCharType="separate" w:fldLock="0"/>
      </w:r>
      <w:r>
        <w:rPr>
          <w:rFonts w:cs="Arial Unicode MS" w:eastAsia="Arial Unicode MS"/>
          <w:rtl w:val="0"/>
        </w:rPr>
        <w:t>16</w:t>
      </w:r>
      <w:r>
        <w:rPr/>
        <w:fldChar w:fldCharType="end" w:fldLock="0"/>
      </w:r>
    </w:p>
    <w:p>
      <w:pPr>
        <w:pStyle w:val="TOC 1"/>
      </w:pPr>
      <w:r>
        <w:rPr>
          <w:rFonts w:cs="Arial Unicode MS" w:eastAsia="Arial Unicode MS"/>
          <w:rtl w:val="0"/>
        </w:rPr>
        <w:t>Cultural and Situational Considerations</w:t>
        <w:tab/>
      </w:r>
      <w:r>
        <w:rPr/>
        <w:fldChar w:fldCharType="begin" w:fldLock="0"/>
      </w:r>
      <w:r>
        <w:instrText xml:space="preserve"> PAGEREF _Toc16 \h </w:instrText>
      </w:r>
      <w:r>
        <w:rPr/>
        <w:fldChar w:fldCharType="separate" w:fldLock="0"/>
      </w:r>
      <w:r>
        <w:rPr>
          <w:rFonts w:cs="Arial Unicode MS" w:eastAsia="Arial Unicode MS"/>
          <w:rtl w:val="0"/>
        </w:rPr>
        <w:t>17</w:t>
      </w:r>
      <w:r>
        <w:rPr/>
        <w:fldChar w:fldCharType="end" w:fldLock="0"/>
      </w:r>
    </w:p>
    <w:p>
      <w:pPr>
        <w:pStyle w:val="TOC 1"/>
      </w:pPr>
      <w:r>
        <w:rPr>
          <w:rFonts w:cs="Arial Unicode MS" w:eastAsia="Arial Unicode MS"/>
          <w:rtl w:val="0"/>
        </w:rPr>
        <w:t>Conclusion</w:t>
        <w:tab/>
      </w:r>
      <w:r>
        <w:rPr/>
        <w:fldChar w:fldCharType="begin" w:fldLock="0"/>
      </w:r>
      <w:r>
        <w:instrText xml:space="preserve"> PAGEREF _Toc17 \h </w:instrText>
      </w:r>
      <w:r>
        <w:rPr/>
        <w:fldChar w:fldCharType="separate" w:fldLock="0"/>
      </w:r>
      <w:r>
        <w:rPr>
          <w:rFonts w:cs="Arial Unicode MS" w:eastAsia="Arial Unicode MS"/>
          <w:rtl w:val="0"/>
        </w:rPr>
        <w:t>18</w:t>
      </w:r>
      <w:r>
        <w:rPr/>
        <w:fldChar w:fldCharType="end" w:fldLock="0"/>
      </w:r>
    </w:p>
    <w:p>
      <w:pPr>
        <w:pStyle w:val="TOC 1"/>
      </w:pPr>
      <w:r>
        <w:rPr>
          <w:rFonts w:cs="Arial Unicode MS" w:eastAsia="Arial Unicode MS"/>
          <w:rtl w:val="0"/>
        </w:rPr>
        <w:t>References</w:t>
        <w:tab/>
      </w:r>
      <w:r>
        <w:rPr/>
        <w:fldChar w:fldCharType="begin" w:fldLock="0"/>
      </w:r>
      <w:r>
        <w:instrText xml:space="preserve"> PAGEREF _Toc18 \h </w:instrText>
      </w:r>
      <w:r>
        <w:rPr/>
        <w:fldChar w:fldCharType="separate" w:fldLock="0"/>
      </w:r>
      <w:r>
        <w:rPr>
          <w:rFonts w:cs="Arial Unicode MS" w:eastAsia="Arial Unicode MS"/>
          <w:rtl w:val="0"/>
        </w:rPr>
        <w:t>19</w:t>
      </w:r>
      <w:r>
        <w:rPr/>
        <w:fldChar w:fldCharType="end" w:fldLock="0"/>
      </w:r>
    </w:p>
    <w:p>
      <w:pPr>
        <w:pStyle w:val="TOC 1"/>
      </w:pPr>
      <w:r>
        <w:rPr>
          <w:rFonts w:cs="Arial Unicode MS" w:eastAsia="Arial Unicode MS"/>
          <w:rtl w:val="0"/>
        </w:rPr>
        <w:t>Appendix</w:t>
        <w:tab/>
      </w:r>
      <w:r>
        <w:rPr/>
        <w:fldChar w:fldCharType="begin" w:fldLock="0"/>
      </w:r>
      <w:r>
        <w:instrText xml:space="preserve"> PAGEREF _Toc19 \h </w:instrText>
      </w:r>
      <w:r>
        <w:rPr/>
        <w:fldChar w:fldCharType="separate" w:fldLock="0"/>
      </w:r>
      <w:r>
        <w:rPr>
          <w:rFonts w:cs="Arial Unicode MS" w:eastAsia="Arial Unicode MS"/>
          <w:rtl w:val="0"/>
        </w:rPr>
        <w:t>22</w:t>
      </w:r>
      <w:r>
        <w:rPr/>
        <w:fldChar w:fldCharType="end" w:fldLock="0"/>
      </w:r>
    </w:p>
    <w:p>
      <w:pPr>
        <w:pStyle w:val="Corp"/>
        <w:rPr>
          <w:rFonts w:ascii="Calibri" w:cs="Calibri" w:hAnsi="Calibri" w:eastAsia="Calibri"/>
          <w:kern w:val="0"/>
          <w:sz w:val="22"/>
          <w:szCs w:val="22"/>
        </w:rPr>
      </w:pPr>
      <w:r>
        <w:rPr>
          <w:b w:val="1"/>
          <w:bCs w:val="1"/>
          <w:outline w:val="0"/>
          <w:color w:val="000000"/>
          <w:sz w:val="24"/>
          <w:szCs w:val="24"/>
          <w:u w:color="000000"/>
          <w:lang w:val="en-US"/>
          <w14:textFill>
            <w14:solidFill>
              <w14:srgbClr w14:val="000000"/>
            </w14:solidFill>
          </w14:textFill>
        </w:rPr>
        <w:fldChar w:fldCharType="end" w:fldLock="0"/>
      </w:r>
    </w:p>
    <w:p>
      <w:pPr>
        <w:pStyle w:val="Corp"/>
        <w:spacing w:line="259" w:lineRule="auto"/>
        <w:jc w:val="left"/>
      </w:pPr>
      <w:r>
        <w:rPr>
          <w:rFonts w:ascii="Arial Unicode MS" w:cs="Arial Unicode MS" w:hAnsi="Arial Unicode MS" w:eastAsia="Arial Unicode MS"/>
          <w:b w:val="0"/>
          <w:bCs w:val="0"/>
          <w:i w:val="0"/>
          <w:iCs w:val="0"/>
        </w:rPr>
        <w:br w:type="page"/>
      </w:r>
    </w:p>
    <w:p>
      <w:pPr>
        <w:pStyle w:val="Colontitlu"/>
      </w:pPr>
      <w:bookmarkStart w:name="_Toc" w:id="0"/>
      <w:r>
        <w:rPr>
          <w:rFonts w:cs="Arial Unicode MS" w:eastAsia="Arial Unicode MS"/>
          <w:rtl w:val="0"/>
          <w:lang w:val="fr-FR"/>
        </w:rPr>
        <w:t>Introduction</w:t>
      </w:r>
      <w:bookmarkEnd w:id="0"/>
    </w:p>
    <w:p>
      <w:pPr>
        <w:pStyle w:val="Corp"/>
        <w:rPr>
          <w:b w:val="1"/>
          <w:bCs w:val="1"/>
          <w:sz w:val="36"/>
          <w:szCs w:val="36"/>
        </w:rPr>
      </w:pPr>
      <w:r>
        <w:rPr>
          <w:rtl w:val="0"/>
          <w:lang w:val="en-US"/>
        </w:rPr>
        <w:t xml:space="preserve">This is a report on the planning and organisation of the event on the discussion of </w:t>
      </w:r>
      <w:r>
        <w:rPr>
          <w:rtl w:val="1"/>
        </w:rPr>
        <w:t>‘</w:t>
      </w:r>
      <w:r>
        <w:rPr>
          <w:rtl w:val="0"/>
          <w:lang w:val="en-US"/>
        </w:rPr>
        <w:t>Technology and Innovation within the Hospitality Sector</w:t>
      </w:r>
      <w:r>
        <w:rPr>
          <w:rtl w:val="1"/>
        </w:rPr>
        <w:t>’</w:t>
      </w:r>
      <w:r>
        <w:rPr>
          <w:rtl w:val="0"/>
          <w:lang w:val="en-US"/>
        </w:rPr>
        <w:t xml:space="preserve">. This has been chosen to discuss the latest technological trends seen in the hospitality industry and their impact on the same. The event will be held in London. This will be a hall, which a stage at one end of the same to be and there will be seating arrangements for about 1,000 guests. There will be arrangements for food and drinks and the guests will get brochures and copies of the discussions at the end of the event. </w:t>
      </w:r>
    </w:p>
    <w:p>
      <w:pPr>
        <w:pStyle w:val="Corp"/>
      </w:pPr>
    </w:p>
    <w:p>
      <w:pPr>
        <w:pStyle w:val="Corp"/>
        <w:spacing w:line="259" w:lineRule="auto"/>
        <w:jc w:val="left"/>
      </w:pPr>
      <w:r>
        <w:rPr>
          <w:rFonts w:ascii="Arial Unicode MS" w:cs="Arial Unicode MS" w:hAnsi="Arial Unicode MS" w:eastAsia="Arial Unicode MS"/>
          <w:b w:val="0"/>
          <w:bCs w:val="0"/>
          <w:i w:val="0"/>
          <w:iCs w:val="0"/>
        </w:rPr>
        <w:br w:type="page"/>
      </w:r>
    </w:p>
    <w:p>
      <w:pPr>
        <w:pStyle w:val="Colontitlu"/>
      </w:pPr>
      <w:bookmarkStart w:name="_Toc1" w:id="1"/>
      <w:r>
        <w:rPr>
          <w:rFonts w:cs="Arial Unicode MS" w:eastAsia="Arial Unicode MS"/>
          <w:rtl w:val="0"/>
          <w:lang w:val="en-US"/>
        </w:rPr>
        <w:t xml:space="preserve">The Cycle of the Event </w:t>
      </w:r>
      <w:bookmarkEnd w:id="1"/>
    </w:p>
    <w:p>
      <w:pPr>
        <w:pStyle w:val="Corp"/>
      </w:pPr>
      <w:r>
        <w:rPr>
          <w:rtl w:val="0"/>
          <w:lang w:val="en-US"/>
        </w:rPr>
        <w:t xml:space="preserve">The event cycle is a model which makes sure that the events which are being planned are in a manner which will make the same successful in the context of the situation (Rahn, Wickle and Wende, 2022). This will be able to see to it that all the factors which have to be taken into consideration are highlighted and any scope for further improvement will be kept in mind. </w:t>
      </w:r>
    </w:p>
    <w:p>
      <w:pPr>
        <w:pStyle w:val="Colontitlu 2"/>
      </w:pPr>
      <w:bookmarkStart w:name="_Toc2" w:id="2"/>
      <w:r>
        <w:rPr>
          <w:rFonts w:cs="Arial Unicode MS" w:eastAsia="Arial Unicode MS"/>
          <w:rtl w:val="0"/>
        </w:rPr>
        <w:t>Plan</w:t>
      </w:r>
      <w:bookmarkEnd w:id="2"/>
    </w:p>
    <w:p>
      <w:pPr>
        <w:pStyle w:val="Corp"/>
      </w:pPr>
      <w:r>
        <w:rPr>
          <w:rtl w:val="0"/>
          <w:lang w:val="en-US"/>
        </w:rPr>
        <w:t xml:space="preserve">The goal of this event is to promote the latest technologies which are being seen in the market and how the same is being applied in the context of the hospitality industry. This event will be a discussion being brought about by market leaders and technology experts on the subject (Limna, 2023). </w:t>
      </w:r>
    </w:p>
    <w:p>
      <w:pPr>
        <w:pStyle w:val="Colontitlu 2"/>
      </w:pPr>
      <w:bookmarkStart w:name="_Toc3" w:id="3"/>
      <w:r>
        <w:rPr>
          <w:rFonts w:cs="Arial Unicode MS" w:eastAsia="Arial Unicode MS"/>
          <w:rtl w:val="0"/>
        </w:rPr>
        <w:t>Organise</w:t>
      </w:r>
      <w:bookmarkEnd w:id="3"/>
    </w:p>
    <w:p>
      <w:pPr>
        <w:pStyle w:val="Corp"/>
      </w:pPr>
      <w:r>
        <w:rPr>
          <w:rtl w:val="0"/>
          <w:lang w:val="en-US"/>
        </w:rPr>
        <w:t xml:space="preserve">The event will be organised offline and the same will be promoted through online channels like social media and so on. The pre-marketing budget and the event budgets will be detailed below, along with the timings for the same and the time slot for each speaker. </w:t>
      </w:r>
    </w:p>
    <w:p>
      <w:pPr>
        <w:pStyle w:val="Colontitlu 2"/>
      </w:pPr>
      <w:bookmarkStart w:name="_Toc4" w:id="4"/>
      <w:r>
        <w:rPr>
          <w:rFonts w:cs="Arial Unicode MS" w:eastAsia="Arial Unicode MS"/>
          <w:rtl w:val="0"/>
          <w:lang w:val="en-US"/>
        </w:rPr>
        <w:t>Measure</w:t>
      </w:r>
      <w:bookmarkEnd w:id="4"/>
    </w:p>
    <w:p>
      <w:pPr>
        <w:pStyle w:val="Corp"/>
      </w:pPr>
      <w:r>
        <w:rPr>
          <w:rtl w:val="0"/>
          <w:lang w:val="en-US"/>
        </w:rPr>
        <w:t xml:space="preserve">The success of the events can be determined based on the attendance. The event will also be live recorded and the online presence of the audience will be a good indicator of the success of the event. This will be also giving an idea of what the audience expect from managers of events in future. </w:t>
      </w:r>
    </w:p>
    <w:p>
      <w:pPr>
        <w:pStyle w:val="Colontitlu 2"/>
      </w:pPr>
      <w:bookmarkStart w:name="_Toc5" w:id="5"/>
      <w:r>
        <w:rPr>
          <w:rFonts w:cs="Arial Unicode MS" w:eastAsia="Arial Unicode MS"/>
          <w:rtl w:val="0"/>
        </w:rPr>
        <w:t>Analyse</w:t>
      </w:r>
      <w:bookmarkEnd w:id="5"/>
    </w:p>
    <w:p>
      <w:pPr>
        <w:pStyle w:val="Corp"/>
      </w:pPr>
      <w:r>
        <w:rPr>
          <w:rtl w:val="0"/>
          <w:lang w:val="en-US"/>
        </w:rPr>
        <w:t>After the event is over, the KPIs will be analysed and this will be key to determining the improvements which have to be incorporated for the next event. The success of this event will also be analysed and celebrated to uphold the motivation of the people who worked to set up the event (Ali and Anwar, 2021).</w:t>
      </w:r>
    </w:p>
    <w:p>
      <w:pPr>
        <w:pStyle w:val="Colontitlu 2"/>
      </w:pPr>
      <w:bookmarkStart w:name="_Toc6" w:id="6"/>
      <w:r>
        <w:rPr>
          <w:rFonts w:cs="Arial Unicode MS" w:eastAsia="Arial Unicode MS"/>
          <w:rtl w:val="0"/>
        </w:rPr>
        <w:t>Share</w:t>
      </w:r>
      <w:bookmarkEnd w:id="6"/>
    </w:p>
    <w:p>
      <w:pPr>
        <w:pStyle w:val="Corp"/>
      </w:pPr>
      <w:r>
        <w:rPr>
          <w:rtl w:val="0"/>
          <w:lang w:val="en-US"/>
        </w:rPr>
        <w:t xml:space="preserve">The documents about the success of the event will be circulated and this will be able to make sure that the same will promote the growth of the company. This will also be handed out among the people who worked hard for the success of the event to congratulate them. </w:t>
      </w:r>
    </w:p>
    <w:p>
      <w:pPr>
        <w:pStyle w:val="Corp"/>
        <w:spacing w:line="259" w:lineRule="auto"/>
        <w:jc w:val="left"/>
      </w:pPr>
      <w:r>
        <w:rPr>
          <w:rFonts w:ascii="Arial Unicode MS" w:cs="Arial Unicode MS" w:hAnsi="Arial Unicode MS" w:eastAsia="Arial Unicode MS"/>
          <w:b w:val="0"/>
          <w:bCs w:val="0"/>
          <w:i w:val="0"/>
          <w:iCs w:val="0"/>
        </w:rPr>
        <w:br w:type="page"/>
      </w:r>
    </w:p>
    <w:p>
      <w:pPr>
        <w:pStyle w:val="Colontitlu"/>
      </w:pPr>
      <w:bookmarkStart w:name="_Toc7" w:id="7"/>
      <w:r>
        <w:rPr>
          <w:rFonts w:cs="Arial Unicode MS" w:eastAsia="Arial Unicode MS"/>
          <w:rtl w:val="0"/>
          <w:lang w:val="en-US"/>
        </w:rPr>
        <w:t xml:space="preserve">Concept of the Event </w:t>
      </w:r>
      <w:bookmarkEnd w:id="7"/>
    </w:p>
    <w:p>
      <w:pPr>
        <w:pStyle w:val="Corp"/>
      </w:pPr>
      <w:r>
        <w:rPr>
          <w:rtl w:val="0"/>
          <w:lang w:val="en-US"/>
        </w:rPr>
        <w:t>The event will be a detailed discussion on the advancements which have been seen in the technologies of the hospitality industry and the ways in which it can promote higher customer satisfaction. The event will be held on the 26</w:t>
      </w:r>
      <w:r>
        <w:rPr>
          <w:vertAlign w:val="superscript"/>
          <w:rtl w:val="0"/>
          <w:lang w:val="en-US"/>
        </w:rPr>
        <w:t>th</w:t>
      </w:r>
      <w:r>
        <w:rPr>
          <w:rtl w:val="0"/>
          <w:lang w:val="en-US"/>
        </w:rPr>
        <w:t xml:space="preserve"> of July and the same will begin at 12 noon and continue until 4 pm. The vendors will be responsible for delivering the products which will be needed for the setting up of stage, seating arrangements and so on. They will also be responsible for the development of brochures (Allen, Harris and Jago, 2022). The staff around the place will be responsible for the setting up of everything and for the helping of the guests. They will have to make sure that they are ready for any kind of changes and those they can have a good control over the progress of the event. The sponsors of the events will be rewarded with a good return on their investments by making sure that the attendees of the event are many (Li </w:t>
      </w:r>
      <w:r>
        <w:rPr>
          <w:i w:val="1"/>
          <w:iCs w:val="1"/>
          <w:rtl w:val="0"/>
          <w:lang w:val="nl-NL"/>
        </w:rPr>
        <w:t>et al</w:t>
      </w:r>
      <w:r>
        <w:rPr>
          <w:rtl w:val="0"/>
          <w:lang w:val="en-US"/>
        </w:rPr>
        <w:t xml:space="preserve">., 2020). The speakers will be the leaders of the industry and people who specialise in technology. This is the detailed itinerary of the things which will be needed in the event and how the same will be managed. </w:t>
      </w:r>
    </w:p>
    <w:p>
      <w:pPr>
        <w:pStyle w:val="Corp"/>
        <w:spacing w:line="259" w:lineRule="auto"/>
        <w:jc w:val="left"/>
      </w:pPr>
      <w:r>
        <w:rPr>
          <w:rFonts w:ascii="Arial Unicode MS" w:cs="Arial Unicode MS" w:hAnsi="Arial Unicode MS" w:eastAsia="Arial Unicode MS"/>
          <w:b w:val="0"/>
          <w:bCs w:val="0"/>
          <w:i w:val="0"/>
          <w:iCs w:val="0"/>
        </w:rPr>
        <w:br w:type="page"/>
      </w:r>
    </w:p>
    <w:p>
      <w:pPr>
        <w:pStyle w:val="Colontitlu"/>
      </w:pPr>
      <w:bookmarkStart w:name="_Toc8" w:id="8"/>
      <w:r>
        <w:rPr>
          <w:rFonts w:cs="Arial Unicode MS" w:eastAsia="Arial Unicode MS"/>
          <w:rtl w:val="0"/>
          <w:lang w:val="en-US"/>
        </w:rPr>
        <w:t>Objectives and Aim of the Event</w:t>
      </w:r>
      <w:bookmarkEnd w:id="8"/>
    </w:p>
    <w:p>
      <w:pPr>
        <w:pStyle w:val="Corp"/>
      </w:pPr>
      <w:r>
        <w:rPr>
          <w:rtl w:val="0"/>
          <w:lang w:val="en-US"/>
        </w:rPr>
        <w:t xml:space="preserve">The aiming of this event is to be having a detailed discussion on the technological advancements which have been seen in the industry and the ways in which it will potentially progress in future. Some of the things which will be discussed are artificial intelligence, smart homes and virtual reality. The objective is to educate the professionals about the importance of the same and how to operate them. This will be able to see to it that the audience is able to learn valuable lessons and they are willing to attend similar events again in future (Kreibich </w:t>
      </w:r>
      <w:r>
        <w:rPr>
          <w:i w:val="1"/>
          <w:iCs w:val="1"/>
          <w:rtl w:val="0"/>
          <w:lang w:val="nl-NL"/>
        </w:rPr>
        <w:t>et al</w:t>
      </w:r>
      <w:r>
        <w:rPr>
          <w:rtl w:val="0"/>
        </w:rPr>
        <w:t xml:space="preserve">., 2022). </w:t>
      </w:r>
    </w:p>
    <w:tbl>
      <w:tblPr>
        <w:tblW w:w="901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803"/>
        <w:gridCol w:w="1803"/>
        <w:gridCol w:w="1803"/>
        <w:gridCol w:w="1803"/>
        <w:gridCol w:w="1804"/>
      </w:tblGrid>
      <w:tr>
        <w:tblPrEx>
          <w:shd w:val="clear" w:color="auto" w:fill="cdd4e9"/>
        </w:tblPrEx>
        <w:trPr>
          <w:trHeight w:val="300" w:hRule="atLeast"/>
        </w:trPr>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jc w:val="center"/>
            </w:pPr>
            <w:r>
              <w:rPr>
                <w:b w:val="1"/>
                <w:bCs w:val="1"/>
                <w:kern w:val="0"/>
                <w:shd w:val="nil" w:color="auto" w:fill="auto"/>
                <w:rtl w:val="0"/>
                <w:lang w:val="en-US"/>
              </w:rPr>
              <w:t>Specific</w:t>
            </w:r>
          </w:p>
        </w:tc>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b w:val="1"/>
                <w:bCs w:val="1"/>
                <w:kern w:val="0"/>
                <w:shd w:val="nil" w:color="auto" w:fill="auto"/>
                <w:rtl w:val="0"/>
                <w:lang w:val="en-US"/>
              </w:rPr>
              <w:t>Measurable</w:t>
            </w:r>
          </w:p>
        </w:tc>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b w:val="1"/>
                <w:bCs w:val="1"/>
                <w:kern w:val="0"/>
                <w:shd w:val="nil" w:color="auto" w:fill="auto"/>
                <w:rtl w:val="0"/>
                <w:lang w:val="en-US"/>
              </w:rPr>
              <w:t>Achievable</w:t>
            </w:r>
          </w:p>
        </w:tc>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b w:val="1"/>
                <w:bCs w:val="1"/>
                <w:kern w:val="0"/>
                <w:shd w:val="nil" w:color="auto" w:fill="auto"/>
                <w:rtl w:val="0"/>
                <w:lang w:val="en-US"/>
              </w:rPr>
              <w:t>Relevant</w:t>
            </w:r>
          </w:p>
        </w:tc>
        <w:tc>
          <w:tcPr>
            <w:tcW w:type="dxa" w:w="18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b w:val="1"/>
                <w:bCs w:val="1"/>
                <w:kern w:val="0"/>
                <w:shd w:val="nil" w:color="auto" w:fill="auto"/>
                <w:rtl w:val="0"/>
                <w:lang w:val="en-US"/>
              </w:rPr>
              <w:t>Time-Bound</w:t>
            </w:r>
          </w:p>
        </w:tc>
      </w:tr>
      <w:tr>
        <w:tblPrEx>
          <w:shd w:val="clear" w:color="auto" w:fill="cdd4e9"/>
        </w:tblPrEx>
        <w:trPr>
          <w:trHeight w:val="2524" w:hRule="atLeast"/>
        </w:trPr>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 xml:space="preserve">To be able to educate people about hospitality industry technology </w:t>
            </w:r>
          </w:p>
        </w:tc>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 xml:space="preserve">Can be measured by the number of people implementing the same </w:t>
            </w:r>
          </w:p>
        </w:tc>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 xml:space="preserve">Can be achieved by making the event fun as well as formal </w:t>
            </w:r>
          </w:p>
        </w:tc>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Is relevant as this is important for the progress of the market</w:t>
            </w:r>
          </w:p>
        </w:tc>
        <w:tc>
          <w:tcPr>
            <w:tcW w:type="dxa" w:w="18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 xml:space="preserve">1 day </w:t>
            </w:r>
          </w:p>
        </w:tc>
      </w:tr>
      <w:tr>
        <w:tblPrEx>
          <w:shd w:val="clear" w:color="auto" w:fill="cdd4e9"/>
        </w:tblPrEx>
        <w:trPr>
          <w:trHeight w:val="1635" w:hRule="atLeast"/>
        </w:trPr>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 xml:space="preserve">To promote the hospitality industry online </w:t>
            </w:r>
          </w:p>
        </w:tc>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Can be measured by the growth of revenue online</w:t>
            </w:r>
          </w:p>
        </w:tc>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Can be achieved by releasing videos about the event</w:t>
            </w:r>
          </w:p>
        </w:tc>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 xml:space="preserve">Is relevant as it can increase the revenue of the industry </w:t>
            </w:r>
          </w:p>
        </w:tc>
        <w:tc>
          <w:tcPr>
            <w:tcW w:type="dxa" w:w="18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keepNext w:val="1"/>
              <w:spacing w:after="0"/>
            </w:pPr>
            <w:r>
              <w:rPr>
                <w:kern w:val="0"/>
                <w:shd w:val="nil" w:color="auto" w:fill="auto"/>
                <w:rtl w:val="0"/>
                <w:lang w:val="en-US"/>
              </w:rPr>
              <w:t xml:space="preserve">1 month </w:t>
            </w:r>
          </w:p>
        </w:tc>
      </w:tr>
    </w:tbl>
    <w:p>
      <w:pPr>
        <w:pStyle w:val="Corp"/>
        <w:widowControl w:val="0"/>
        <w:spacing w:line="240" w:lineRule="auto"/>
      </w:pPr>
    </w:p>
    <w:p>
      <w:pPr>
        <w:pStyle w:val="Corp"/>
        <w:jc w:val="center"/>
        <w:rPr>
          <w:b w:val="1"/>
          <w:bCs w:val="1"/>
        </w:rPr>
      </w:pPr>
      <w:r>
        <w:rPr>
          <w:b w:val="1"/>
          <w:bCs w:val="1"/>
          <w:rtl w:val="0"/>
          <w:lang w:val="fr-FR"/>
        </w:rPr>
        <w:t>Table 1: SMART Objectives</w:t>
      </w:r>
    </w:p>
    <w:p>
      <w:pPr>
        <w:pStyle w:val="Corp"/>
        <w:jc w:val="center"/>
      </w:pPr>
      <w:r>
        <w:rPr>
          <w:rtl w:val="0"/>
          <w:lang w:val="en-US"/>
        </w:rPr>
        <w:t>(Source: Created by the Learner)</w:t>
      </w:r>
    </w:p>
    <w:p>
      <w:pPr>
        <w:pStyle w:val="Corp"/>
        <w:spacing w:line="259" w:lineRule="auto"/>
        <w:jc w:val="left"/>
      </w:pPr>
      <w:r>
        <w:rPr>
          <w:rFonts w:ascii="Arial Unicode MS" w:cs="Arial Unicode MS" w:hAnsi="Arial Unicode MS" w:eastAsia="Arial Unicode MS"/>
          <w:b w:val="0"/>
          <w:bCs w:val="0"/>
          <w:i w:val="0"/>
          <w:iCs w:val="0"/>
        </w:rPr>
        <w:br w:type="page"/>
      </w:r>
    </w:p>
    <w:p>
      <w:pPr>
        <w:pStyle w:val="Colontitlu"/>
      </w:pPr>
      <w:bookmarkStart w:name="_Toc9" w:id="9"/>
      <w:r>
        <w:rPr>
          <w:rFonts w:cs="Arial Unicode MS" w:eastAsia="Arial Unicode MS"/>
          <w:rtl w:val="0"/>
          <w:lang w:val="en-US"/>
        </w:rPr>
        <w:t xml:space="preserve">Operations of the Event </w:t>
      </w:r>
      <w:bookmarkEnd w:id="9"/>
    </w:p>
    <w:p>
      <w:pPr>
        <w:pStyle w:val="Corp"/>
      </w:pPr>
      <w:r>
        <w:rPr>
          <w:rtl w:val="0"/>
          <w:lang w:val="en-US"/>
        </w:rPr>
        <w:t xml:space="preserve">The first skill which is essential for effective event management is that of having good people skill. This is because the staff will have to interact with many people and they must make sure that no one is uncomfortable (Tan and Zhu, 2022). They must have a sense of organisation, vision and aesthetic, as this would motivate them to make sure that none of departments have flaws. They also have to see to it that they can have good communication skills and have to make sure that they are polite, courteous and empathetic to the needs of the audience. </w:t>
      </w:r>
    </w:p>
    <w:p>
      <w:pPr>
        <w:pStyle w:val="Corp"/>
      </w:pPr>
      <w:r>
        <w:rPr>
          <w:rtl w:val="0"/>
          <w:lang w:val="en-US"/>
        </w:rPr>
        <w:t xml:space="preserve">This will be able to see to be seeing it that the audience are being able to focus on the main discussion of the event and they do not have to deal with any issues. The first and the most important resource of the event would be the budget and the financial resources (Streeck </w:t>
      </w:r>
      <w:r>
        <w:rPr>
          <w:i w:val="1"/>
          <w:iCs w:val="1"/>
          <w:rtl w:val="0"/>
          <w:lang w:val="nl-NL"/>
        </w:rPr>
        <w:t>et al</w:t>
      </w:r>
      <w:r>
        <w:rPr>
          <w:rtl w:val="0"/>
          <w:lang w:val="en-US"/>
        </w:rPr>
        <w:t xml:space="preserve">., 2020). This is followed by the human resources and they are followed by the marketing of the event. The materials which will be needed for the setting up of the event are also important and this will be able to see to it that the guests are comfortable. The event will also need good lighting, sound infrastructure, will have to be visually appealing and so on. </w:t>
      </w:r>
    </w:p>
    <w:p>
      <w:pPr>
        <w:pStyle w:val="Corp"/>
        <w:spacing w:line="259" w:lineRule="auto"/>
        <w:jc w:val="left"/>
      </w:pPr>
      <w:r>
        <w:rPr>
          <w:rFonts w:ascii="Arial Unicode MS" w:cs="Arial Unicode MS" w:hAnsi="Arial Unicode MS" w:eastAsia="Arial Unicode MS"/>
          <w:b w:val="0"/>
          <w:bCs w:val="0"/>
          <w:i w:val="0"/>
          <w:iCs w:val="0"/>
        </w:rPr>
        <w:br w:type="page"/>
      </w:r>
    </w:p>
    <w:p>
      <w:pPr>
        <w:pStyle w:val="Colontitlu"/>
      </w:pPr>
      <w:bookmarkStart w:name="_Toc10" w:id="10"/>
      <w:r>
        <w:rPr>
          <w:rFonts w:cs="Arial Unicode MS" w:eastAsia="Arial Unicode MS"/>
          <w:rtl w:val="0"/>
          <w:lang w:val="fr-FR"/>
        </w:rPr>
        <w:t>Event Budget</w:t>
      </w:r>
      <w:bookmarkEnd w:id="10"/>
    </w:p>
    <w:p>
      <w:pPr>
        <w:pStyle w:val="Corp"/>
        <w:jc w:val="center"/>
        <w:rPr>
          <w:b w:val="1"/>
          <w:bCs w:val="1"/>
        </w:rPr>
      </w:pPr>
      <w:r>
        <w:rPr>
          <w:b w:val="1"/>
          <w:bCs w:val="1"/>
          <w:rtl w:val="0"/>
          <w:lang w:val="en-US"/>
        </w:rPr>
        <w:t>Breakdown of income and expenditure for the event</w:t>
      </w:r>
    </w:p>
    <w:tbl>
      <w:tblPr>
        <w:tblW w:w="9242"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6686"/>
        <w:gridCol w:w="2556"/>
      </w:tblGrid>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pPr>
            <w:r>
              <w:rPr>
                <w:b w:val="1"/>
                <w:bCs w:val="1"/>
                <w:kern w:val="0"/>
                <w:shd w:val="nil" w:color="auto" w:fill="auto"/>
                <w:rtl w:val="0"/>
                <w:lang w:val="en-US"/>
              </w:rPr>
              <w:t xml:space="preserve">Income </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b w:val="1"/>
                <w:bCs w:val="1"/>
                <w:kern w:val="0"/>
                <w:shd w:val="nil" w:color="auto" w:fill="auto"/>
                <w:rtl w:val="0"/>
                <w:lang w:val="en-US"/>
              </w:rPr>
              <w:t>Amount</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Income from the event</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45,000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Donations</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15,000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Sponsorships</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70,000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b w:val="1"/>
                <w:bCs w:val="1"/>
                <w:kern w:val="0"/>
                <w:shd w:val="nil" w:color="auto" w:fill="auto"/>
                <w:rtl w:val="0"/>
                <w:lang w:val="en-US"/>
              </w:rPr>
              <w:t xml:space="preserve">Total Income </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b w:val="1"/>
                <w:bCs w:val="1"/>
                <w:kern w:val="0"/>
                <w:shd w:val="nil" w:color="auto" w:fill="auto"/>
                <w:rtl w:val="0"/>
                <w:lang w:val="en-US"/>
              </w:rPr>
              <w:t xml:space="preserve">£ </w:t>
            </w:r>
            <w:r>
              <w:rPr>
                <w:b w:val="1"/>
                <w:bCs w:val="1"/>
                <w:kern w:val="0"/>
                <w:shd w:val="nil" w:color="auto" w:fill="auto"/>
                <w:rtl w:val="0"/>
                <w:lang w:val="en-US"/>
              </w:rPr>
              <w:t>130,000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b w:val="1"/>
                <w:bCs w:val="1"/>
                <w:kern w:val="0"/>
                <w:shd w:val="nil" w:color="auto" w:fill="auto"/>
                <w:rtl w:val="0"/>
                <w:lang w:val="en-US"/>
              </w:rPr>
              <w:t>Expenditure</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Rent for event menu</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5,000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 xml:space="preserve">Insurance for event </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3,500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General and administrative expenses</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1,500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Marketing and advertisements</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3,000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Charges to hire machinery and equipment</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2,000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License or permit for event</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1,200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Professional and legal expenses</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1,500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Cleaning and sanitation expenses</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500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Telecommunication charges</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1,500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Stationery and other office supplies</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300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Event set up and decorative costs</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7,000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Light and sound expenses</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5,500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IT set up expenses</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5,000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Additional event volunteers</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3,000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Personnel costs</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4,500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Contingency expenses</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1,500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Catering expenses</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6,000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Transportation and travel expenses</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1,500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Miscellaneous expenses</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1,000</w:t>
            </w:r>
          </w:p>
        </w:tc>
      </w:tr>
      <w:tr>
        <w:tblPrEx>
          <w:shd w:val="clear" w:color="auto" w:fill="cdd4e9"/>
        </w:tblPrEx>
        <w:trPr>
          <w:trHeight w:val="300" w:hRule="atLeast"/>
        </w:trPr>
        <w:tc>
          <w:tcPr>
            <w:tcW w:type="dxa" w:w="6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b w:val="1"/>
                <w:bCs w:val="1"/>
                <w:kern w:val="0"/>
                <w:shd w:val="nil" w:color="auto" w:fill="auto"/>
                <w:rtl w:val="0"/>
                <w:lang w:val="en-US"/>
              </w:rPr>
              <w:t xml:space="preserve">Total Expenditure </w:t>
            </w:r>
          </w:p>
        </w:tc>
        <w:tc>
          <w:tcPr>
            <w:tcW w:type="dxa" w:w="2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b w:val="1"/>
                <w:bCs w:val="1"/>
                <w:kern w:val="0"/>
                <w:shd w:val="nil" w:color="auto" w:fill="auto"/>
                <w:rtl w:val="0"/>
                <w:lang w:val="en-US"/>
              </w:rPr>
              <w:t xml:space="preserve">£ </w:t>
            </w:r>
            <w:r>
              <w:rPr>
                <w:b w:val="1"/>
                <w:bCs w:val="1"/>
                <w:kern w:val="0"/>
                <w:shd w:val="nil" w:color="auto" w:fill="auto"/>
                <w:rtl w:val="0"/>
                <w:lang w:val="en-US"/>
              </w:rPr>
              <w:t>55,000</w:t>
            </w:r>
          </w:p>
        </w:tc>
      </w:tr>
    </w:tbl>
    <w:p>
      <w:pPr>
        <w:pStyle w:val="Corp"/>
        <w:widowControl w:val="0"/>
        <w:spacing w:line="240" w:lineRule="auto"/>
        <w:jc w:val="center"/>
        <w:rPr>
          <w:b w:val="1"/>
          <w:bCs w:val="1"/>
        </w:rPr>
      </w:pPr>
    </w:p>
    <w:p>
      <w:pPr>
        <w:pStyle w:val="Corp"/>
      </w:pPr>
    </w:p>
    <w:p>
      <w:pPr>
        <w:pStyle w:val="Corp"/>
        <w:jc w:val="center"/>
        <w:rPr>
          <w:b w:val="1"/>
          <w:bCs w:val="1"/>
        </w:rPr>
      </w:pPr>
      <w:r>
        <w:rPr>
          <w:b w:val="1"/>
          <w:bCs w:val="1"/>
          <w:rtl w:val="0"/>
          <w:lang w:val="en-US"/>
        </w:rPr>
        <w:t>Explanation of costs</w:t>
      </w:r>
    </w:p>
    <w:p>
      <w:pPr>
        <w:pStyle w:val="Corp"/>
      </w:pPr>
      <w:r>
        <w:rPr>
          <w:rtl w:val="0"/>
          <w:lang w:val="en-US"/>
        </w:rPr>
        <w:t xml:space="preserve">The costs that are going to be spent for the event can be explained by categorising them into two types </w:t>
      </w:r>
      <w:r>
        <w:rPr>
          <w:rtl w:val="0"/>
        </w:rPr>
        <w:t xml:space="preserve">– </w:t>
      </w:r>
      <w:r>
        <w:rPr>
          <w:rtl w:val="0"/>
          <w:lang w:val="en-US"/>
        </w:rPr>
        <w:t xml:space="preserve">fixed and variable. Fixed costs are those costs that are going to remain unchanged even if there is any change in the event activities. However, the variable costs might change as per the changes occurring in the activities of the event or the activity volume related to the event. The following is an explanation of the costs estimated for the event by categorising them as fixed and variable </w:t>
      </w:r>
      <w:r>
        <w:rPr>
          <w:rtl w:val="0"/>
        </w:rPr>
        <w:t>–</w:t>
      </w: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6856"/>
        <w:gridCol w:w="2386"/>
      </w:tblGrid>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pPr>
            <w:r>
              <w:rPr>
                <w:b w:val="1"/>
                <w:bCs w:val="1"/>
                <w:kern w:val="0"/>
                <w:shd w:val="nil" w:color="auto" w:fill="auto"/>
                <w:rtl w:val="0"/>
                <w:lang w:val="en-US"/>
              </w:rPr>
              <w:t>Items</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b w:val="1"/>
                <w:bCs w:val="1"/>
                <w:kern w:val="0"/>
                <w:shd w:val="nil" w:color="auto" w:fill="auto"/>
                <w:rtl w:val="0"/>
                <w:lang w:val="en-US"/>
              </w:rPr>
              <w:t>Amount</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u w:val="single"/>
                <w:shd w:val="nil" w:color="auto" w:fill="auto"/>
                <w:rtl w:val="0"/>
                <w:lang w:val="en-US"/>
              </w:rPr>
              <w:t>Fixed Costs</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Rent for event menu</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5,000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 xml:space="preserve">Insurance for event </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3,500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General and administrative expenses</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1,500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Marketing and advertisements</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3,000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Charges to hire machinery and equipment</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2,000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License or permit for event</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1,200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Professional and legal expenses</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1,500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Total Fixed Costs</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17,700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u w:val="single"/>
                <w:shd w:val="nil" w:color="auto" w:fill="auto"/>
                <w:rtl w:val="0"/>
                <w:lang w:val="en-US"/>
              </w:rPr>
              <w:t>Variable Costs</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Cleaning and sanitation expenses</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500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Telecommunication charges</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1,500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Stationery and other office supplies</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300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Event set up and decorative costs</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7,000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Light and sound expenses</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5,500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IT set up expenses</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5,000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Additional event volunteers</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3,000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Personnel costs</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4,500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Contingency expenses</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1,500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Catering expenses</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6,000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Transportation and travel expenses</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1,500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Miscellaneous expenses</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1,000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kern w:val="0"/>
                <w:shd w:val="nil" w:color="auto" w:fill="auto"/>
                <w:rtl w:val="0"/>
                <w:lang w:val="en-US"/>
              </w:rPr>
              <w:t>Total Variable Costs</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kern w:val="0"/>
                <w:shd w:val="nil" w:color="auto" w:fill="auto"/>
                <w:rtl w:val="0"/>
                <w:lang w:val="en-US"/>
              </w:rPr>
              <w:t xml:space="preserve">£ </w:t>
            </w:r>
            <w:r>
              <w:rPr>
                <w:kern w:val="0"/>
                <w:shd w:val="nil" w:color="auto" w:fill="auto"/>
                <w:rtl w:val="0"/>
                <w:lang w:val="en-US"/>
              </w:rPr>
              <w:t>37,300</w:t>
            </w: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300" w:hRule="atLeast"/>
        </w:trPr>
        <w:tc>
          <w:tcPr>
            <w:tcW w:type="dxa" w:w="6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pPr>
            <w:r>
              <w:rPr>
                <w:b w:val="1"/>
                <w:bCs w:val="1"/>
                <w:kern w:val="0"/>
                <w:shd w:val="nil" w:color="auto" w:fill="auto"/>
                <w:rtl w:val="0"/>
                <w:lang w:val="en-US"/>
              </w:rPr>
              <w:t xml:space="preserve">Total Costs </w:t>
            </w:r>
          </w:p>
        </w:tc>
        <w:tc>
          <w:tcPr>
            <w:tcW w:type="dxa" w:w="23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b w:val="1"/>
                <w:bCs w:val="1"/>
                <w:kern w:val="0"/>
                <w:shd w:val="nil" w:color="auto" w:fill="auto"/>
                <w:rtl w:val="0"/>
                <w:lang w:val="en-US"/>
              </w:rPr>
              <w:t xml:space="preserve">£ </w:t>
            </w:r>
            <w:r>
              <w:rPr>
                <w:b w:val="1"/>
                <w:bCs w:val="1"/>
                <w:kern w:val="0"/>
                <w:shd w:val="nil" w:color="auto" w:fill="auto"/>
                <w:rtl w:val="0"/>
                <w:lang w:val="en-US"/>
              </w:rPr>
              <w:t>55,000</w:t>
            </w:r>
          </w:p>
        </w:tc>
      </w:tr>
    </w:tbl>
    <w:p>
      <w:pPr>
        <w:pStyle w:val="Corp"/>
        <w:widowControl w:val="0"/>
        <w:spacing w:line="240" w:lineRule="auto"/>
      </w:pPr>
    </w:p>
    <w:p>
      <w:pPr>
        <w:pStyle w:val="Corp"/>
      </w:pPr>
    </w:p>
    <w:p>
      <w:pPr>
        <w:pStyle w:val="Corp"/>
        <w:jc w:val="center"/>
        <w:rPr>
          <w:b w:val="1"/>
          <w:bCs w:val="1"/>
        </w:rPr>
      </w:pPr>
      <w:r>
        <w:rPr>
          <w:b w:val="1"/>
          <w:bCs w:val="1"/>
          <w:rtl w:val="0"/>
          <w:lang w:val="en-US"/>
        </w:rPr>
        <w:t>Funding sources</w:t>
      </w:r>
    </w:p>
    <w:p>
      <w:pPr>
        <w:pStyle w:val="Corp"/>
      </w:pPr>
      <w:r>
        <w:rPr>
          <w:rtl w:val="0"/>
          <w:lang w:val="en-US"/>
        </w:rPr>
        <w:t xml:space="preserve">The funding sources that have been decided for the event are mainly of two types </w:t>
      </w:r>
      <w:r>
        <w:rPr>
          <w:rtl w:val="0"/>
        </w:rPr>
        <w:t xml:space="preserve">– </w:t>
      </w:r>
      <w:r>
        <w:rPr>
          <w:rtl w:val="0"/>
          <w:lang w:val="en-US"/>
        </w:rPr>
        <w:t xml:space="preserve">donations and sponsorships. Donations are likely to raise funds worth </w:t>
      </w:r>
      <w:r>
        <w:rPr>
          <w:rtl w:val="0"/>
        </w:rPr>
        <w:t>£</w:t>
      </w:r>
      <w:r>
        <w:rPr>
          <w:rtl w:val="0"/>
          <w:lang w:val="en-US"/>
        </w:rPr>
        <w:t xml:space="preserve">15,000. On the other hand, sponsorships are expected to raise funds worth </w:t>
      </w:r>
      <w:r>
        <w:rPr>
          <w:rtl w:val="0"/>
        </w:rPr>
        <w:t>£</w:t>
      </w:r>
      <w:r>
        <w:rPr>
          <w:rtl w:val="0"/>
          <w:lang w:val="en-US"/>
        </w:rPr>
        <w:t>70,000 for the event.</w:t>
      </w:r>
    </w:p>
    <w:p>
      <w:pPr>
        <w:pStyle w:val="Corp"/>
        <w:jc w:val="center"/>
        <w:rPr>
          <w:b w:val="1"/>
          <w:bCs w:val="1"/>
        </w:rPr>
      </w:pPr>
      <w:r>
        <w:rPr>
          <w:b w:val="1"/>
          <w:bCs w:val="1"/>
          <w:rtl w:val="0"/>
          <w:lang w:val="en-US"/>
        </w:rPr>
        <w:t>Income generation</w:t>
      </w:r>
    </w:p>
    <w:p>
      <w:pPr>
        <w:pStyle w:val="Corp"/>
      </w:pPr>
      <w:r>
        <w:rPr>
          <w:rtl w:val="0"/>
          <w:lang w:val="en-US"/>
        </w:rPr>
        <w:t xml:space="preserve">The event is likely to generate a high amount of income. An amount of </w:t>
      </w:r>
      <w:r>
        <w:rPr>
          <w:rtl w:val="0"/>
        </w:rPr>
        <w:t>£</w:t>
      </w:r>
      <w:r>
        <w:rPr>
          <w:rtl w:val="0"/>
          <w:lang w:val="en-US"/>
        </w:rPr>
        <w:t xml:space="preserve">130,000 is the expected income to be generated from this event. This amount involves the income that the event is going to generate along with the funds that are going to be provided by donations and sponsorships. After the reduction of the costs related to the event, the net amount of earnings that the event is likely to generate is </w:t>
      </w:r>
      <w:r>
        <w:rPr>
          <w:rtl w:val="0"/>
        </w:rPr>
        <w:t>£</w:t>
      </w:r>
      <w:r>
        <w:rPr>
          <w:rtl w:val="0"/>
          <w:lang w:val="en-US"/>
        </w:rPr>
        <w:t>75,000.</w:t>
      </w:r>
    </w:p>
    <w:p>
      <w:pPr>
        <w:pStyle w:val="Corp"/>
        <w:spacing w:line="259" w:lineRule="auto"/>
        <w:jc w:val="left"/>
      </w:pPr>
      <w:r>
        <w:rPr>
          <w:rFonts w:ascii="Arial Unicode MS" w:cs="Arial Unicode MS" w:hAnsi="Arial Unicode MS" w:eastAsia="Arial Unicode MS"/>
          <w:b w:val="0"/>
          <w:bCs w:val="0"/>
          <w:i w:val="0"/>
          <w:iCs w:val="0"/>
        </w:rPr>
        <w:br w:type="page"/>
      </w:r>
    </w:p>
    <w:p>
      <w:pPr>
        <w:pStyle w:val="Colontitlu"/>
      </w:pPr>
      <w:bookmarkStart w:name="_Toc11" w:id="11"/>
      <w:r>
        <w:rPr>
          <w:rFonts w:cs="Arial Unicode MS" w:eastAsia="Arial Unicode MS"/>
          <w:rtl w:val="0"/>
          <w:lang w:val="en-US"/>
        </w:rPr>
        <w:t>Industry Trends and their Impacts</w:t>
      </w:r>
      <w:bookmarkEnd w:id="11"/>
    </w:p>
    <w:p>
      <w:pPr>
        <w:pStyle w:val="Colontitlu 2"/>
      </w:pPr>
      <w:bookmarkStart w:name="_Toc12" w:id="12"/>
      <w:r>
        <w:rPr>
          <w:rFonts w:cs="Arial Unicode MS" w:eastAsia="Arial Unicode MS"/>
          <w:rtl w:val="0"/>
          <w:lang w:val="en-US"/>
        </w:rPr>
        <w:t>Swot Analysis</w:t>
      </w:r>
      <w:bookmarkEnd w:id="12"/>
    </w:p>
    <w:tbl>
      <w:tblPr>
        <w:tblW w:w="901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508"/>
        <w:gridCol w:w="4508"/>
      </w:tblGrid>
      <w:tr>
        <w:tblPrEx>
          <w:shd w:val="clear" w:color="auto" w:fill="cdd4e9"/>
        </w:tblPrEx>
        <w:trPr>
          <w:trHeight w:val="3414" w:hRule="atLeast"/>
        </w:trPr>
        <w:tc>
          <w:tcPr>
            <w:tcW w:type="dxa" w:w="45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jc w:val="center"/>
              <w:rPr>
                <w:b w:val="1"/>
                <w:bCs w:val="1"/>
                <w:kern w:val="0"/>
                <w:shd w:val="nil" w:color="auto" w:fill="auto"/>
              </w:rPr>
            </w:pPr>
            <w:r>
              <w:rPr>
                <w:b w:val="1"/>
                <w:bCs w:val="1"/>
                <w:kern w:val="0"/>
                <w:shd w:val="nil" w:color="auto" w:fill="auto"/>
                <w:rtl w:val="0"/>
                <w:lang w:val="en-US"/>
              </w:rPr>
              <w:t>Strengths</w:t>
            </w:r>
          </w:p>
          <w:p>
            <w:pPr>
              <w:pStyle w:val="List Paragraph"/>
              <w:numPr>
                <w:ilvl w:val="0"/>
                <w:numId w:val="1"/>
              </w:numPr>
              <w:bidi w:val="0"/>
              <w:spacing w:after="0"/>
              <w:ind w:right="0"/>
              <w:jc w:val="both"/>
              <w:rPr>
                <w:kern w:val="0"/>
                <w:rtl w:val="0"/>
                <w:lang w:val="en-US"/>
              </w:rPr>
            </w:pPr>
            <w:r>
              <w:rPr>
                <w:kern w:val="0"/>
                <w:shd w:val="nil" w:color="auto" w:fill="auto"/>
                <w:rtl w:val="0"/>
                <w:lang w:val="en-US"/>
              </w:rPr>
              <w:t xml:space="preserve">Experiences of the team for event planning </w:t>
            </w:r>
          </w:p>
          <w:p>
            <w:pPr>
              <w:pStyle w:val="List Paragraph"/>
              <w:numPr>
                <w:ilvl w:val="0"/>
                <w:numId w:val="1"/>
              </w:numPr>
              <w:bidi w:val="0"/>
              <w:spacing w:after="0"/>
              <w:ind w:right="0"/>
              <w:jc w:val="both"/>
              <w:rPr>
                <w:kern w:val="0"/>
                <w:rtl w:val="0"/>
                <w:lang w:val="en-US"/>
              </w:rPr>
            </w:pPr>
            <w:r>
              <w:rPr>
                <w:kern w:val="0"/>
                <w:shd w:val="nil" w:color="auto" w:fill="auto"/>
                <w:rtl w:val="0"/>
                <w:lang w:val="en-US"/>
              </w:rPr>
              <w:t xml:space="preserve">Strong relationships with the vendors </w:t>
            </w:r>
          </w:p>
          <w:p>
            <w:pPr>
              <w:pStyle w:val="List Paragraph"/>
              <w:numPr>
                <w:ilvl w:val="0"/>
                <w:numId w:val="1"/>
              </w:numPr>
              <w:bidi w:val="0"/>
              <w:spacing w:after="0"/>
              <w:ind w:right="0"/>
              <w:jc w:val="both"/>
              <w:rPr>
                <w:kern w:val="0"/>
                <w:rtl w:val="0"/>
                <w:lang w:val="en-US"/>
              </w:rPr>
            </w:pPr>
            <w:r>
              <w:rPr>
                <w:kern w:val="0"/>
                <w:shd w:val="nil" w:color="auto" w:fill="auto"/>
                <w:rtl w:val="0"/>
                <w:lang w:val="en-US"/>
              </w:rPr>
              <w:t xml:space="preserve">Compelling concept of the event </w:t>
            </w:r>
          </w:p>
          <w:p>
            <w:pPr>
              <w:pStyle w:val="List Paragraph"/>
              <w:numPr>
                <w:ilvl w:val="0"/>
                <w:numId w:val="1"/>
              </w:numPr>
              <w:bidi w:val="0"/>
              <w:spacing w:after="0"/>
              <w:ind w:right="0"/>
              <w:jc w:val="both"/>
              <w:rPr>
                <w:kern w:val="0"/>
                <w:rtl w:val="0"/>
                <w:lang w:val="en-US"/>
              </w:rPr>
            </w:pPr>
            <w:r>
              <w:rPr>
                <w:kern w:val="0"/>
                <w:shd w:val="nil" w:color="auto" w:fill="auto"/>
                <w:rtl w:val="0"/>
                <w:lang w:val="en-US"/>
              </w:rPr>
              <w:t>Access to a big venue</w:t>
            </w:r>
          </w:p>
          <w:p>
            <w:pPr>
              <w:pStyle w:val="List Paragraph"/>
              <w:numPr>
                <w:ilvl w:val="0"/>
                <w:numId w:val="1"/>
              </w:numPr>
              <w:bidi w:val="0"/>
              <w:spacing w:after="0"/>
              <w:ind w:right="0"/>
              <w:jc w:val="both"/>
              <w:rPr>
                <w:kern w:val="0"/>
                <w:rtl w:val="0"/>
                <w:lang w:val="en-US"/>
              </w:rPr>
            </w:pPr>
            <w:r>
              <w:rPr>
                <w:kern w:val="0"/>
                <w:shd w:val="nil" w:color="auto" w:fill="auto"/>
                <w:rtl w:val="0"/>
                <w:lang w:val="en-US"/>
              </w:rPr>
              <w:t xml:space="preserve">Sponsors are well-established </w:t>
            </w:r>
          </w:p>
        </w:tc>
        <w:tc>
          <w:tcPr>
            <w:tcW w:type="dxa" w:w="45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rPr>
                <w:b w:val="1"/>
                <w:bCs w:val="1"/>
                <w:kern w:val="0"/>
                <w:shd w:val="nil" w:color="auto" w:fill="auto"/>
              </w:rPr>
            </w:pPr>
            <w:r>
              <w:rPr>
                <w:b w:val="1"/>
                <w:bCs w:val="1"/>
                <w:kern w:val="0"/>
                <w:shd w:val="nil" w:color="auto" w:fill="auto"/>
                <w:rtl w:val="0"/>
                <w:lang w:val="en-US"/>
              </w:rPr>
              <w:t>Weaknesses</w:t>
            </w:r>
          </w:p>
          <w:p>
            <w:pPr>
              <w:pStyle w:val="List Paragraph"/>
              <w:numPr>
                <w:ilvl w:val="0"/>
                <w:numId w:val="2"/>
              </w:numPr>
              <w:bidi w:val="0"/>
              <w:spacing w:after="0"/>
              <w:ind w:right="0"/>
              <w:jc w:val="both"/>
              <w:rPr>
                <w:kern w:val="0"/>
                <w:rtl w:val="0"/>
                <w:lang w:val="en-US"/>
              </w:rPr>
            </w:pPr>
            <w:r>
              <w:rPr>
                <w:kern w:val="0"/>
                <w:shd w:val="nil" w:color="auto" w:fill="auto"/>
                <w:rtl w:val="0"/>
                <w:lang w:val="en-US"/>
              </w:rPr>
              <w:t>Limited budget</w:t>
            </w:r>
          </w:p>
          <w:p>
            <w:pPr>
              <w:pStyle w:val="List Paragraph"/>
              <w:numPr>
                <w:ilvl w:val="0"/>
                <w:numId w:val="2"/>
              </w:numPr>
              <w:bidi w:val="0"/>
              <w:spacing w:after="0"/>
              <w:ind w:right="0"/>
              <w:jc w:val="both"/>
              <w:rPr>
                <w:kern w:val="0"/>
                <w:rtl w:val="0"/>
                <w:lang w:val="en-US"/>
              </w:rPr>
            </w:pPr>
            <w:r>
              <w:rPr>
                <w:kern w:val="0"/>
                <w:shd w:val="nil" w:color="auto" w:fill="auto"/>
                <w:rtl w:val="0"/>
                <w:lang w:val="en-US"/>
              </w:rPr>
              <w:t xml:space="preserve">Inexperienced volunteers </w:t>
            </w:r>
          </w:p>
          <w:p>
            <w:pPr>
              <w:pStyle w:val="List Paragraph"/>
              <w:numPr>
                <w:ilvl w:val="0"/>
                <w:numId w:val="2"/>
              </w:numPr>
              <w:bidi w:val="0"/>
              <w:spacing w:after="0"/>
              <w:ind w:right="0"/>
              <w:jc w:val="both"/>
              <w:rPr>
                <w:kern w:val="0"/>
                <w:rtl w:val="0"/>
                <w:lang w:val="en-US"/>
              </w:rPr>
            </w:pPr>
            <w:r>
              <w:rPr>
                <w:kern w:val="0"/>
                <w:shd w:val="nil" w:color="auto" w:fill="auto"/>
                <w:rtl w:val="0"/>
                <w:lang w:val="en-US"/>
              </w:rPr>
              <w:t>Tightness of timelines</w:t>
            </w:r>
          </w:p>
          <w:p>
            <w:pPr>
              <w:pStyle w:val="List Paragraph"/>
              <w:numPr>
                <w:ilvl w:val="0"/>
                <w:numId w:val="2"/>
              </w:numPr>
              <w:bidi w:val="0"/>
              <w:spacing w:after="0"/>
              <w:ind w:right="0"/>
              <w:jc w:val="both"/>
              <w:rPr>
                <w:kern w:val="0"/>
                <w:rtl w:val="0"/>
                <w:lang w:val="en-US"/>
              </w:rPr>
            </w:pPr>
            <w:r>
              <w:rPr>
                <w:kern w:val="0"/>
                <w:shd w:val="nil" w:color="auto" w:fill="auto"/>
                <w:rtl w:val="0"/>
                <w:lang w:val="en-US"/>
              </w:rPr>
              <w:t>Lack of the in-house resources</w:t>
            </w:r>
          </w:p>
          <w:p>
            <w:pPr>
              <w:pStyle w:val="List Paragraph"/>
              <w:numPr>
                <w:ilvl w:val="0"/>
                <w:numId w:val="2"/>
              </w:numPr>
              <w:bidi w:val="0"/>
              <w:spacing w:after="0"/>
              <w:ind w:right="0"/>
              <w:jc w:val="both"/>
              <w:rPr>
                <w:kern w:val="0"/>
                <w:rtl w:val="0"/>
                <w:lang w:val="en-US"/>
              </w:rPr>
            </w:pPr>
            <w:r>
              <w:rPr>
                <w:kern w:val="0"/>
                <w:shd w:val="nil" w:color="auto" w:fill="auto"/>
                <w:rtl w:val="0"/>
                <w:lang w:val="en-US"/>
              </w:rPr>
              <w:t>Limited marketing resources</w:t>
            </w:r>
          </w:p>
          <w:p>
            <w:pPr>
              <w:pStyle w:val="Corp"/>
              <w:spacing w:after="0"/>
            </w:pPr>
            <w:r>
              <w:rPr>
                <w:kern w:val="0"/>
                <w:shd w:val="nil" w:color="auto" w:fill="auto"/>
                <w:lang w:val="en-US"/>
              </w:rPr>
            </w:r>
          </w:p>
        </w:tc>
      </w:tr>
      <w:tr>
        <w:tblPrEx>
          <w:shd w:val="clear" w:color="auto" w:fill="cdd4e9"/>
        </w:tblPrEx>
        <w:trPr>
          <w:trHeight w:val="4749" w:hRule="atLeast"/>
        </w:trPr>
        <w:tc>
          <w:tcPr>
            <w:tcW w:type="dxa" w:w="45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rPr>
                <w:b w:val="1"/>
                <w:bCs w:val="1"/>
                <w:kern w:val="0"/>
                <w:shd w:val="nil" w:color="auto" w:fill="auto"/>
              </w:rPr>
            </w:pPr>
            <w:r>
              <w:rPr>
                <w:b w:val="1"/>
                <w:bCs w:val="1"/>
                <w:kern w:val="0"/>
                <w:shd w:val="nil" w:color="auto" w:fill="auto"/>
                <w:rtl w:val="0"/>
                <w:lang w:val="en-US"/>
              </w:rPr>
              <w:t>Opportunities</w:t>
            </w:r>
          </w:p>
          <w:p>
            <w:pPr>
              <w:pStyle w:val="List Paragraph"/>
              <w:numPr>
                <w:ilvl w:val="0"/>
                <w:numId w:val="3"/>
              </w:numPr>
              <w:bidi w:val="0"/>
              <w:spacing w:after="0"/>
              <w:ind w:right="0"/>
              <w:jc w:val="both"/>
              <w:rPr>
                <w:kern w:val="0"/>
                <w:rtl w:val="0"/>
                <w:lang w:val="en-US"/>
              </w:rPr>
            </w:pPr>
            <w:r>
              <w:rPr>
                <w:kern w:val="0"/>
                <w:shd w:val="nil" w:color="auto" w:fill="auto"/>
                <w:rtl w:val="0"/>
                <w:lang w:val="en-US"/>
              </w:rPr>
              <w:t xml:space="preserve">Emergence of good technologies for event </w:t>
            </w:r>
          </w:p>
          <w:p>
            <w:pPr>
              <w:pStyle w:val="List Paragraph"/>
              <w:numPr>
                <w:ilvl w:val="0"/>
                <w:numId w:val="3"/>
              </w:numPr>
              <w:bidi w:val="0"/>
              <w:spacing w:after="0"/>
              <w:ind w:right="0"/>
              <w:jc w:val="both"/>
              <w:rPr>
                <w:kern w:val="0"/>
                <w:rtl w:val="0"/>
                <w:lang w:val="en-US"/>
              </w:rPr>
            </w:pPr>
            <w:r>
              <w:rPr>
                <w:kern w:val="0"/>
                <w:shd w:val="nil" w:color="auto" w:fill="auto"/>
                <w:rtl w:val="0"/>
                <w:lang w:val="en-US"/>
              </w:rPr>
              <w:t xml:space="preserve">Engagement of diverse attendee </w:t>
            </w:r>
          </w:p>
          <w:p>
            <w:pPr>
              <w:pStyle w:val="List Paragraph"/>
              <w:numPr>
                <w:ilvl w:val="0"/>
                <w:numId w:val="3"/>
              </w:numPr>
              <w:bidi w:val="0"/>
              <w:spacing w:after="0"/>
              <w:ind w:right="0"/>
              <w:jc w:val="both"/>
              <w:rPr>
                <w:kern w:val="0"/>
                <w:rtl w:val="0"/>
                <w:lang w:val="en-US"/>
              </w:rPr>
            </w:pPr>
            <w:r>
              <w:rPr>
                <w:kern w:val="0"/>
                <w:shd w:val="nil" w:color="auto" w:fill="auto"/>
                <w:rtl w:val="0"/>
                <w:lang w:val="en-US"/>
              </w:rPr>
              <w:t>Strategic partnerships</w:t>
            </w:r>
          </w:p>
          <w:p>
            <w:pPr>
              <w:pStyle w:val="List Paragraph"/>
              <w:numPr>
                <w:ilvl w:val="0"/>
                <w:numId w:val="3"/>
              </w:numPr>
              <w:bidi w:val="0"/>
              <w:spacing w:after="0"/>
              <w:ind w:right="0"/>
              <w:jc w:val="both"/>
              <w:rPr>
                <w:kern w:val="0"/>
                <w:rtl w:val="0"/>
                <w:lang w:val="en-US"/>
              </w:rPr>
            </w:pPr>
            <w:r>
              <w:rPr>
                <w:kern w:val="0"/>
                <w:shd w:val="nil" w:color="auto" w:fill="auto"/>
                <w:rtl w:val="0"/>
                <w:lang w:val="en-US"/>
              </w:rPr>
              <w:t xml:space="preserve">Hybrid as well as virtual formats of event </w:t>
            </w:r>
          </w:p>
          <w:p>
            <w:pPr>
              <w:pStyle w:val="List Paragraph"/>
              <w:numPr>
                <w:ilvl w:val="0"/>
                <w:numId w:val="3"/>
              </w:numPr>
              <w:bidi w:val="0"/>
              <w:spacing w:after="0"/>
              <w:ind w:right="0"/>
              <w:jc w:val="both"/>
              <w:rPr>
                <w:kern w:val="0"/>
                <w:rtl w:val="0"/>
                <w:lang w:val="en-US"/>
              </w:rPr>
            </w:pPr>
            <w:r>
              <w:rPr>
                <w:kern w:val="0"/>
                <w:shd w:val="nil" w:color="auto" w:fill="auto"/>
                <w:rtl w:val="0"/>
                <w:lang w:val="en-US"/>
              </w:rPr>
              <w:t>Trend of Customisation along with personalisation of experience of the attendees</w:t>
            </w:r>
            <w:r>
              <w:rPr>
                <w:kern w:val="0"/>
                <w:shd w:val="nil" w:color="auto" w:fill="auto"/>
              </w:rPr>
            </w:r>
          </w:p>
        </w:tc>
        <w:tc>
          <w:tcPr>
            <w:tcW w:type="dxa" w:w="45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0"/>
              <w:bottom w:type="dxa" w:w="80"/>
              <w:right w:type="dxa" w:w="80"/>
            </w:tcMar>
            <w:vAlign w:val="top"/>
          </w:tcPr>
          <w:p>
            <w:pPr>
              <w:pStyle w:val="List Paragraph"/>
              <w:spacing w:after="0"/>
              <w:jc w:val="center"/>
              <w:rPr>
                <w:b w:val="1"/>
                <w:bCs w:val="1"/>
                <w:kern w:val="0"/>
                <w:shd w:val="nil" w:color="auto" w:fill="auto"/>
              </w:rPr>
            </w:pPr>
            <w:r>
              <w:rPr>
                <w:b w:val="1"/>
                <w:bCs w:val="1"/>
                <w:kern w:val="0"/>
                <w:shd w:val="nil" w:color="auto" w:fill="auto"/>
                <w:rtl w:val="0"/>
                <w:lang w:val="en-US"/>
              </w:rPr>
              <w:t>Threats</w:t>
            </w:r>
          </w:p>
          <w:p>
            <w:pPr>
              <w:pStyle w:val="List Paragraph"/>
              <w:numPr>
                <w:ilvl w:val="0"/>
                <w:numId w:val="4"/>
              </w:numPr>
              <w:bidi w:val="0"/>
              <w:spacing w:after="0"/>
              <w:ind w:right="0"/>
              <w:jc w:val="both"/>
              <w:rPr>
                <w:kern w:val="0"/>
                <w:rtl w:val="0"/>
                <w:lang w:val="en-US"/>
              </w:rPr>
            </w:pPr>
            <w:r>
              <w:rPr>
                <w:kern w:val="0"/>
                <w:shd w:val="nil" w:color="auto" w:fill="auto"/>
                <w:rtl w:val="0"/>
                <w:lang w:val="en-US"/>
              </w:rPr>
              <w:t>Competing ongoing events</w:t>
            </w:r>
          </w:p>
          <w:p>
            <w:pPr>
              <w:pStyle w:val="List Paragraph"/>
              <w:numPr>
                <w:ilvl w:val="0"/>
                <w:numId w:val="4"/>
              </w:numPr>
              <w:bidi w:val="0"/>
              <w:spacing w:after="0"/>
              <w:ind w:right="0"/>
              <w:jc w:val="both"/>
              <w:rPr>
                <w:kern w:val="0"/>
                <w:rtl w:val="0"/>
                <w:lang w:val="en-US"/>
              </w:rPr>
            </w:pPr>
            <w:r>
              <w:rPr>
                <w:kern w:val="0"/>
                <w:shd w:val="nil" w:color="auto" w:fill="auto"/>
                <w:rtl w:val="0"/>
                <w:lang w:val="en-US"/>
              </w:rPr>
              <w:t>Technological challenges</w:t>
            </w:r>
          </w:p>
          <w:p>
            <w:pPr>
              <w:pStyle w:val="List Paragraph"/>
              <w:numPr>
                <w:ilvl w:val="0"/>
                <w:numId w:val="4"/>
              </w:numPr>
              <w:bidi w:val="0"/>
              <w:spacing w:after="0"/>
              <w:ind w:right="0"/>
              <w:jc w:val="both"/>
              <w:rPr>
                <w:kern w:val="0"/>
                <w:rtl w:val="0"/>
                <w:lang w:val="en-US"/>
              </w:rPr>
            </w:pPr>
            <w:r>
              <w:rPr>
                <w:kern w:val="0"/>
                <w:shd w:val="nil" w:color="auto" w:fill="auto"/>
                <w:rtl w:val="0"/>
                <w:lang w:val="en-US"/>
              </w:rPr>
              <w:t>Budgeting constraints</w:t>
            </w:r>
          </w:p>
          <w:p>
            <w:pPr>
              <w:pStyle w:val="List Paragraph"/>
              <w:numPr>
                <w:ilvl w:val="0"/>
                <w:numId w:val="4"/>
              </w:numPr>
              <w:bidi w:val="0"/>
              <w:spacing w:after="0"/>
              <w:ind w:right="0"/>
              <w:jc w:val="both"/>
              <w:rPr>
                <w:kern w:val="0"/>
                <w:rtl w:val="0"/>
                <w:lang w:val="en-US"/>
              </w:rPr>
            </w:pPr>
            <w:r>
              <w:rPr>
                <w:kern w:val="0"/>
                <w:shd w:val="nil" w:color="auto" w:fill="auto"/>
                <w:rtl w:val="0"/>
                <w:lang w:val="en-US"/>
              </w:rPr>
              <w:t>Changes in regulations</w:t>
            </w:r>
          </w:p>
          <w:p>
            <w:pPr>
              <w:pStyle w:val="List Paragraph"/>
              <w:numPr>
                <w:ilvl w:val="0"/>
                <w:numId w:val="4"/>
              </w:numPr>
              <w:bidi w:val="0"/>
              <w:spacing w:after="0"/>
              <w:ind w:right="0"/>
              <w:jc w:val="both"/>
              <w:rPr>
                <w:kern w:val="0"/>
                <w:rtl w:val="0"/>
                <w:lang w:val="en-US"/>
              </w:rPr>
            </w:pPr>
            <w:r>
              <w:rPr>
                <w:kern w:val="0"/>
                <w:shd w:val="nil" w:color="auto" w:fill="auto"/>
                <w:rtl w:val="0"/>
                <w:lang w:val="en-US"/>
              </w:rPr>
              <w:t>Unpredictability of the external factors</w:t>
            </w:r>
            <w:r>
              <w:rPr>
                <w:kern w:val="0"/>
                <w:shd w:val="nil" w:color="auto" w:fill="auto"/>
              </w:rPr>
            </w:r>
          </w:p>
        </w:tc>
      </w:tr>
    </w:tbl>
    <w:p>
      <w:pPr>
        <w:pStyle w:val="Colontitlu 2"/>
        <w:widowControl w:val="0"/>
        <w:spacing w:line="240" w:lineRule="auto"/>
      </w:pPr>
    </w:p>
    <w:p>
      <w:pPr>
        <w:pStyle w:val="Corp"/>
        <w:jc w:val="center"/>
        <w:rPr>
          <w:b w:val="1"/>
          <w:bCs w:val="1"/>
        </w:rPr>
      </w:pPr>
      <w:r>
        <w:rPr>
          <w:b w:val="1"/>
          <w:bCs w:val="1"/>
          <w:rtl w:val="0"/>
          <w:lang w:val="en-US"/>
        </w:rPr>
        <w:t>Table 2: Swot Analysis</w:t>
      </w:r>
    </w:p>
    <w:p>
      <w:pPr>
        <w:pStyle w:val="Corp"/>
        <w:jc w:val="center"/>
      </w:pPr>
      <w:r>
        <w:rPr>
          <w:rtl w:val="0"/>
          <w:lang w:val="en-US"/>
        </w:rPr>
        <w:t>(Source: Created by the Learner)</w:t>
      </w:r>
    </w:p>
    <w:p>
      <w:pPr>
        <w:pStyle w:val="Corp"/>
      </w:pPr>
      <w:r>
        <w:rPr>
          <w:rtl w:val="0"/>
          <w:lang w:val="en-US"/>
        </w:rPr>
        <w:t xml:space="preserve">This is the analysis of the internal strength, weakness, threats and opportunities which can determine the success or failure of the event. </w:t>
      </w:r>
    </w:p>
    <w:p>
      <w:pPr>
        <w:pStyle w:val="Colontitlu 2"/>
      </w:pPr>
      <w:bookmarkStart w:name="_Toc13" w:id="13"/>
      <w:r>
        <w:rPr>
          <w:rFonts w:cs="Arial Unicode MS" w:eastAsia="Arial Unicode MS"/>
          <w:rtl w:val="0"/>
          <w:lang w:val="en-US"/>
        </w:rPr>
        <w:t>Pestle Analysis</w:t>
      </w:r>
      <w:bookmarkEnd w:id="13"/>
    </w:p>
    <w:tbl>
      <w:tblPr>
        <w:tblW w:w="901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508"/>
        <w:gridCol w:w="4508"/>
      </w:tblGrid>
      <w:tr>
        <w:tblPrEx>
          <w:shd w:val="clear" w:color="auto" w:fill="cdd4e9"/>
        </w:tblPrEx>
        <w:trPr>
          <w:trHeight w:val="300" w:hRule="atLeast"/>
        </w:trPr>
        <w:tc>
          <w:tcPr>
            <w:tcW w:type="dxa" w:w="45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jc w:val="center"/>
            </w:pPr>
            <w:r>
              <w:rPr>
                <w:b w:val="1"/>
                <w:bCs w:val="1"/>
                <w:kern w:val="0"/>
                <w:shd w:val="nil" w:color="auto" w:fill="auto"/>
                <w:rtl w:val="0"/>
                <w:lang w:val="en-US"/>
              </w:rPr>
              <w:t>Factors</w:t>
            </w:r>
          </w:p>
        </w:tc>
        <w:tc>
          <w:tcPr>
            <w:tcW w:type="dxa" w:w="45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b w:val="1"/>
                <w:bCs w:val="1"/>
                <w:kern w:val="0"/>
                <w:shd w:val="nil" w:color="auto" w:fill="auto"/>
                <w:rtl w:val="0"/>
                <w:lang w:val="en-US"/>
              </w:rPr>
              <w:t>Impact</w:t>
            </w:r>
          </w:p>
        </w:tc>
      </w:tr>
      <w:tr>
        <w:tblPrEx>
          <w:shd w:val="clear" w:color="auto" w:fill="cdd4e9"/>
        </w:tblPrEx>
        <w:trPr>
          <w:trHeight w:val="5194" w:hRule="atLeast"/>
        </w:trPr>
        <w:tc>
          <w:tcPr>
            <w:tcW w:type="dxa" w:w="45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b w:val="1"/>
                <w:bCs w:val="1"/>
                <w:kern w:val="0"/>
                <w:shd w:val="nil" w:color="auto" w:fill="auto"/>
                <w:rtl w:val="0"/>
                <w:lang w:val="en-US"/>
              </w:rPr>
              <w:t>Political</w:t>
            </w:r>
          </w:p>
        </w:tc>
        <w:tc>
          <w:tcPr>
            <w:tcW w:type="dxa" w:w="45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5"/>
              </w:numPr>
              <w:spacing w:after="0"/>
              <w:rPr>
                <w:kern w:val="0"/>
                <w:lang w:val="en-US"/>
              </w:rPr>
            </w:pPr>
            <w:r>
              <w:rPr>
                <w:kern w:val="0"/>
                <w:shd w:val="nil" w:color="auto" w:fill="auto"/>
                <w:rtl w:val="0"/>
                <w:lang w:val="en-US"/>
              </w:rPr>
              <w:t>Recorded at 77.51 in the year 2024 (Statista, 2024), which has been a decrease from that of the previous year</w:t>
            </w:r>
          </w:p>
          <w:p>
            <w:pPr>
              <w:pStyle w:val="List Paragraph"/>
              <w:numPr>
                <w:ilvl w:val="0"/>
                <w:numId w:val="5"/>
              </w:numPr>
              <w:bidi w:val="0"/>
              <w:spacing w:after="0"/>
              <w:ind w:right="0"/>
              <w:jc w:val="both"/>
              <w:rPr>
                <w:kern w:val="0"/>
                <w:rtl w:val="0"/>
                <w:lang w:val="en-US"/>
              </w:rPr>
            </w:pPr>
            <w:r>
              <w:rPr>
                <w:kern w:val="0"/>
                <w:shd w:val="nil" w:color="auto" w:fill="auto"/>
                <w:rtl w:val="0"/>
                <w:lang w:val="en-US"/>
              </w:rPr>
              <w:t>Index of the stability of the political landscape was recorded to be 0.47 (The Global Economy, 2024)</w:t>
            </w:r>
          </w:p>
          <w:p>
            <w:pPr>
              <w:pStyle w:val="List Paragraph"/>
              <w:numPr>
                <w:ilvl w:val="0"/>
                <w:numId w:val="5"/>
              </w:numPr>
              <w:bidi w:val="0"/>
              <w:spacing w:after="0"/>
              <w:ind w:right="0"/>
              <w:jc w:val="both"/>
              <w:rPr>
                <w:kern w:val="0"/>
                <w:rtl w:val="0"/>
                <w:lang w:val="en-US"/>
              </w:rPr>
            </w:pPr>
            <w:r>
              <w:rPr>
                <w:kern w:val="0"/>
                <w:shd w:val="nil" w:color="auto" w:fill="auto"/>
                <w:rtl w:val="0"/>
                <w:lang w:val="en-US"/>
              </w:rPr>
              <w:t xml:space="preserve">The score of the perception of corruption in the country is noted at 71, which has been a slight decrease from that of the previous year (Statista, 2024) </w:t>
            </w:r>
          </w:p>
        </w:tc>
      </w:tr>
      <w:tr>
        <w:tblPrEx>
          <w:shd w:val="clear" w:color="auto" w:fill="cdd4e9"/>
        </w:tblPrEx>
        <w:trPr>
          <w:trHeight w:val="3414" w:hRule="atLeast"/>
        </w:trPr>
        <w:tc>
          <w:tcPr>
            <w:tcW w:type="dxa" w:w="45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b w:val="1"/>
                <w:bCs w:val="1"/>
                <w:kern w:val="0"/>
                <w:shd w:val="nil" w:color="auto" w:fill="auto"/>
                <w:rtl w:val="0"/>
                <w:lang w:val="en-US"/>
              </w:rPr>
              <w:t>Economic</w:t>
            </w:r>
          </w:p>
        </w:tc>
        <w:tc>
          <w:tcPr>
            <w:tcW w:type="dxa" w:w="45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6"/>
              </w:numPr>
              <w:spacing w:after="0"/>
              <w:rPr>
                <w:kern w:val="0"/>
                <w:lang w:val="en-US"/>
              </w:rPr>
            </w:pPr>
            <w:r>
              <w:rPr>
                <w:kern w:val="0"/>
                <w:shd w:val="nil" w:color="auto" w:fill="auto"/>
                <w:rtl w:val="0"/>
                <w:lang w:val="en-US"/>
              </w:rPr>
              <w:t>The amount of the inflation in this country have been recorded at 2.3% for the April of 2024, even though the cost of living is still high (Statista, 2024)</w:t>
            </w:r>
          </w:p>
          <w:p>
            <w:pPr>
              <w:pStyle w:val="List Paragraph"/>
              <w:numPr>
                <w:ilvl w:val="0"/>
                <w:numId w:val="6"/>
              </w:numPr>
              <w:bidi w:val="0"/>
              <w:spacing w:after="0"/>
              <w:ind w:right="0"/>
              <w:jc w:val="both"/>
              <w:rPr>
                <w:kern w:val="0"/>
                <w:rtl w:val="0"/>
                <w:lang w:val="en-US"/>
              </w:rPr>
            </w:pPr>
            <w:r>
              <w:rPr>
                <w:kern w:val="0"/>
                <w:shd w:val="nil" w:color="auto" w:fill="auto"/>
                <w:rtl w:val="0"/>
                <w:lang w:val="en-US"/>
              </w:rPr>
              <w:t xml:space="preserve">The amount of growth of the GDP which is seen in the country is that of 4.35% (Statista, 2024) </w:t>
            </w:r>
          </w:p>
        </w:tc>
      </w:tr>
      <w:tr>
        <w:tblPrEx>
          <w:shd w:val="clear" w:color="auto" w:fill="cdd4e9"/>
        </w:tblPrEx>
        <w:trPr>
          <w:trHeight w:val="2969" w:hRule="atLeast"/>
        </w:trPr>
        <w:tc>
          <w:tcPr>
            <w:tcW w:type="dxa" w:w="45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b w:val="1"/>
                <w:bCs w:val="1"/>
                <w:kern w:val="0"/>
                <w:shd w:val="nil" w:color="auto" w:fill="auto"/>
                <w:rtl w:val="0"/>
                <w:lang w:val="en-US"/>
              </w:rPr>
              <w:t>Social</w:t>
            </w:r>
          </w:p>
        </w:tc>
        <w:tc>
          <w:tcPr>
            <w:tcW w:type="dxa" w:w="45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7"/>
              </w:numPr>
              <w:spacing w:after="0"/>
              <w:rPr>
                <w:kern w:val="0"/>
                <w:lang w:val="en-US"/>
              </w:rPr>
            </w:pPr>
            <w:r>
              <w:rPr>
                <w:kern w:val="0"/>
                <w:shd w:val="nil" w:color="auto" w:fill="auto"/>
                <w:rtl w:val="0"/>
                <w:lang w:val="en-US"/>
              </w:rPr>
              <w:t>The amount of the growth of the population of the country is that of -0.08% (Statista, 2024)</w:t>
            </w:r>
          </w:p>
          <w:p>
            <w:pPr>
              <w:pStyle w:val="List Paragraph"/>
              <w:numPr>
                <w:ilvl w:val="0"/>
                <w:numId w:val="7"/>
              </w:numPr>
              <w:bidi w:val="0"/>
              <w:spacing w:after="0"/>
              <w:ind w:right="0"/>
              <w:jc w:val="both"/>
              <w:rPr>
                <w:kern w:val="0"/>
                <w:rtl w:val="0"/>
                <w:lang w:val="en-US"/>
              </w:rPr>
            </w:pPr>
            <w:r>
              <w:rPr>
                <w:kern w:val="0"/>
                <w:shd w:val="nil" w:color="auto" w:fill="auto"/>
                <w:rtl w:val="0"/>
                <w:lang w:val="en-US"/>
              </w:rPr>
              <w:t>The range of income which can be disposed on an average by the people of the country is 12,279-130,246 pounds (Statista, 2024)</w:t>
            </w:r>
          </w:p>
        </w:tc>
      </w:tr>
      <w:tr>
        <w:tblPrEx>
          <w:shd w:val="clear" w:color="auto" w:fill="cdd4e9"/>
        </w:tblPrEx>
        <w:trPr>
          <w:trHeight w:val="2524" w:hRule="atLeast"/>
        </w:trPr>
        <w:tc>
          <w:tcPr>
            <w:tcW w:type="dxa" w:w="45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b w:val="1"/>
                <w:bCs w:val="1"/>
                <w:kern w:val="0"/>
                <w:shd w:val="nil" w:color="auto" w:fill="auto"/>
                <w:rtl w:val="0"/>
                <w:lang w:val="en-US"/>
              </w:rPr>
              <w:t>Technological</w:t>
            </w:r>
          </w:p>
        </w:tc>
        <w:tc>
          <w:tcPr>
            <w:tcW w:type="dxa" w:w="45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8"/>
              </w:numPr>
              <w:spacing w:after="0"/>
              <w:rPr>
                <w:kern w:val="0"/>
                <w:lang w:val="en-US"/>
              </w:rPr>
            </w:pPr>
            <w:r>
              <w:rPr>
                <w:kern w:val="0"/>
                <w:shd w:val="nil" w:color="auto" w:fill="auto"/>
                <w:rtl w:val="0"/>
                <w:lang w:val="en-US"/>
              </w:rPr>
              <w:t>The amount of the UK on the Scoreboard of European Innovation is that of 114.8 (Statista, 2023)</w:t>
            </w:r>
          </w:p>
          <w:p>
            <w:pPr>
              <w:pStyle w:val="List Paragraph"/>
              <w:numPr>
                <w:ilvl w:val="0"/>
                <w:numId w:val="8"/>
              </w:numPr>
              <w:bidi w:val="0"/>
              <w:spacing w:after="0"/>
              <w:ind w:right="0"/>
              <w:jc w:val="both"/>
              <w:rPr>
                <w:kern w:val="0"/>
                <w:rtl w:val="0"/>
                <w:lang w:val="en-US"/>
              </w:rPr>
            </w:pPr>
            <w:r>
              <w:rPr>
                <w:kern w:val="0"/>
                <w:shd w:val="nil" w:color="auto" w:fill="auto"/>
                <w:rtl w:val="0"/>
                <w:lang w:val="en-US"/>
              </w:rPr>
              <w:t>The rate of penetration of the internet among the audience of the UK is that of 98% (Statista, 2024)</w:t>
            </w:r>
          </w:p>
        </w:tc>
      </w:tr>
      <w:tr>
        <w:tblPrEx>
          <w:shd w:val="clear" w:color="auto" w:fill="cdd4e9"/>
        </w:tblPrEx>
        <w:trPr>
          <w:trHeight w:val="2079" w:hRule="atLeast"/>
        </w:trPr>
        <w:tc>
          <w:tcPr>
            <w:tcW w:type="dxa" w:w="45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b w:val="1"/>
                <w:bCs w:val="1"/>
                <w:kern w:val="0"/>
                <w:shd w:val="nil" w:color="auto" w:fill="auto"/>
                <w:rtl w:val="0"/>
                <w:lang w:val="en-US"/>
              </w:rPr>
              <w:t>Legal</w:t>
            </w:r>
          </w:p>
        </w:tc>
        <w:tc>
          <w:tcPr>
            <w:tcW w:type="dxa" w:w="45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9"/>
              </w:numPr>
              <w:spacing w:after="0"/>
              <w:rPr>
                <w:kern w:val="0"/>
                <w:lang w:val="en-US"/>
              </w:rPr>
            </w:pPr>
            <w:r>
              <w:rPr>
                <w:kern w:val="0"/>
                <w:shd w:val="nil" w:color="auto" w:fill="auto"/>
                <w:rtl w:val="0"/>
                <w:lang w:val="en-US"/>
              </w:rPr>
              <w:t>The event organisers will have to see to it that these employment laws are taken into consideration- National Minimum Wage</w:t>
            </w:r>
            <w:r>
              <w:rPr>
                <w:kern w:val="0"/>
                <w:shd w:val="nil" w:color="auto" w:fill="auto"/>
                <w:rtl w:val="0"/>
                <w:lang w:val="en-US"/>
              </w:rPr>
              <w:t> </w:t>
            </w:r>
            <w:r>
              <w:rPr>
                <w:kern w:val="0"/>
                <w:shd w:val="nil" w:color="auto" w:fill="auto"/>
                <w:rtl w:val="0"/>
                <w:lang w:val="en-US"/>
              </w:rPr>
              <w:t>and</w:t>
            </w:r>
            <w:r>
              <w:rPr>
                <w:kern w:val="0"/>
                <w:shd w:val="nil" w:color="auto" w:fill="auto"/>
                <w:rtl w:val="0"/>
                <w:lang w:val="en-US"/>
              </w:rPr>
              <w:t> </w:t>
            </w:r>
            <w:r>
              <w:rPr>
                <w:kern w:val="0"/>
                <w:shd w:val="nil" w:color="auto" w:fill="auto"/>
                <w:rtl w:val="0"/>
                <w:lang w:val="en-US"/>
              </w:rPr>
              <w:t>Equality Act 2010 (Citation, 2024)</w:t>
            </w:r>
          </w:p>
        </w:tc>
      </w:tr>
      <w:tr>
        <w:tblPrEx>
          <w:shd w:val="clear" w:color="auto" w:fill="cdd4e9"/>
        </w:tblPrEx>
        <w:trPr>
          <w:trHeight w:val="1635" w:hRule="atLeast"/>
        </w:trPr>
        <w:tc>
          <w:tcPr>
            <w:tcW w:type="dxa" w:w="45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
              <w:spacing w:after="0"/>
              <w:jc w:val="center"/>
            </w:pPr>
            <w:r>
              <w:rPr>
                <w:b w:val="1"/>
                <w:bCs w:val="1"/>
                <w:kern w:val="0"/>
                <w:shd w:val="nil" w:color="auto" w:fill="auto"/>
                <w:rtl w:val="0"/>
                <w:lang w:val="en-US"/>
              </w:rPr>
              <w:t>Environmental</w:t>
            </w:r>
          </w:p>
        </w:tc>
        <w:tc>
          <w:tcPr>
            <w:tcW w:type="dxa" w:w="45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keepNext w:val="1"/>
              <w:numPr>
                <w:ilvl w:val="0"/>
                <w:numId w:val="10"/>
              </w:numPr>
              <w:spacing w:after="0"/>
              <w:rPr>
                <w:kern w:val="0"/>
                <w:lang w:val="en-US"/>
              </w:rPr>
            </w:pPr>
            <w:r>
              <w:rPr>
                <w:kern w:val="0"/>
                <w:shd w:val="nil" w:color="auto" w:fill="auto"/>
                <w:rtl w:val="0"/>
                <w:lang w:val="en-US"/>
              </w:rPr>
              <w:t>The Environmental Act of 2021 will also have to be kept in mind by the managers of the event (Client Earth, 2022)</w:t>
            </w:r>
          </w:p>
        </w:tc>
      </w:tr>
    </w:tbl>
    <w:p>
      <w:pPr>
        <w:pStyle w:val="Colontitlu 2"/>
        <w:widowControl w:val="0"/>
        <w:spacing w:line="240" w:lineRule="auto"/>
      </w:pPr>
    </w:p>
    <w:p>
      <w:pPr>
        <w:pStyle w:val="Corp"/>
        <w:jc w:val="center"/>
        <w:rPr>
          <w:b w:val="1"/>
          <w:bCs w:val="1"/>
        </w:rPr>
      </w:pPr>
      <w:r>
        <w:rPr>
          <w:b w:val="1"/>
          <w:bCs w:val="1"/>
          <w:rtl w:val="0"/>
          <w:lang w:val="en-US"/>
        </w:rPr>
        <w:t>Table 3: Pestle Analysis</w:t>
      </w:r>
    </w:p>
    <w:p>
      <w:pPr>
        <w:pStyle w:val="Corp"/>
        <w:jc w:val="center"/>
      </w:pPr>
      <w:r>
        <w:rPr>
          <w:rtl w:val="0"/>
          <w:lang w:val="en-US"/>
        </w:rPr>
        <w:t>(Source: Created by the Learner)</w:t>
      </w:r>
    </w:p>
    <w:p>
      <w:pPr>
        <w:pStyle w:val="Colontitlu 2"/>
      </w:pPr>
      <w:bookmarkStart w:name="_Toc14" w:id="14"/>
      <w:r>
        <w:rPr>
          <w:rFonts w:cs="Arial Unicode MS" w:eastAsia="Arial Unicode MS"/>
          <w:rtl w:val="0"/>
        </w:rPr>
        <w:t>Impact</w:t>
      </w:r>
      <w:bookmarkEnd w:id="14"/>
    </w:p>
    <w:p>
      <w:pPr>
        <w:pStyle w:val="Corp"/>
      </w:pPr>
      <w:r>
        <w:rPr>
          <w:rtl w:val="0"/>
          <w:lang w:val="en-US"/>
        </w:rPr>
        <w:t>The above discussion has been that of these internal as well as the external variables which will play an important effect in the proceedings of a successful event. One of the biggest factors which will influence the management will be the competence of the people working for them and the honesty of the channels which will be promoting the same (</w:t>
      </w:r>
      <w:r>
        <w:rPr>
          <w:shd w:val="clear" w:color="auto" w:fill="ffffff"/>
          <w:rtl w:val="0"/>
          <w:lang w:val="it-IT"/>
        </w:rPr>
        <w:t>Gonz</w:t>
      </w:r>
      <w:r>
        <w:rPr>
          <w:shd w:val="clear" w:color="auto" w:fill="ffffff"/>
          <w:rtl w:val="0"/>
        </w:rPr>
        <w:t>á</w:t>
      </w:r>
      <w:r>
        <w:rPr>
          <w:shd w:val="clear" w:color="auto" w:fill="ffffff"/>
          <w:rtl w:val="0"/>
          <w:lang w:val="es-ES_tradnl"/>
        </w:rPr>
        <w:t>lez-Granadillo, Gonz</w:t>
      </w:r>
      <w:r>
        <w:rPr>
          <w:shd w:val="clear" w:color="auto" w:fill="ffffff"/>
          <w:rtl w:val="0"/>
        </w:rPr>
        <w:t>á</w:t>
      </w:r>
      <w:r>
        <w:rPr>
          <w:shd w:val="clear" w:color="auto" w:fill="ffffff"/>
          <w:rtl w:val="0"/>
          <w:lang w:val="it-IT"/>
        </w:rPr>
        <w:t>lez-Zarzosa and Diaz, 2021)</w:t>
      </w:r>
      <w:r>
        <w:rPr>
          <w:rtl w:val="0"/>
          <w:lang w:val="en-US"/>
        </w:rPr>
        <w:t xml:space="preserve">. This is because the effective marketing of the event, along with the skills of the staff are some of the most important aspects of the development of the event. As the rate of innovation of the country is high, this will be a much-coveted event for the people who are a part of the market. This is because they will be able to get to know about important factors which they have to keep in mind during the development of their own hospitality brands and the knowledge will give them a competitive advantage in the market. The sustainable organisation of the event, in alliance with the Environmental Act of 2021 will increase the credibility of the same to the stakeholders. This will show that the people arranging the event are conscious of their actions and their main motto is to promote the growth of their society. </w:t>
      </w:r>
    </w:p>
    <w:p>
      <w:pPr>
        <w:pStyle w:val="Colontitlu 2"/>
      </w:pPr>
      <w:bookmarkStart w:name="_Toc15" w:id="15"/>
      <w:r>
        <w:rPr>
          <w:rFonts w:cs="Arial Unicode MS" w:eastAsia="Arial Unicode MS"/>
          <w:rtl w:val="0"/>
          <w:lang w:val="en-US"/>
        </w:rPr>
        <w:t>Market Trends</w:t>
      </w:r>
      <w:bookmarkEnd w:id="15"/>
    </w:p>
    <w:p>
      <w:pPr>
        <w:pStyle w:val="Corp"/>
      </w:pPr>
      <w:r>
        <w:rPr>
          <w:rtl w:val="0"/>
          <w:lang w:val="en-US"/>
        </w:rPr>
        <w:t>One of the most important market trends which have to be kept in mind is that of the digital marketing. This is a mode of the promotion of the products of an organisation through the application of the internet and the online platforms which can be operated by the same (Visser, Sikkenga and Berry, 2021). This is a form of marketing which can bring the attention of the audience to the event from anywhere in the world and at any time. This is one of the strategies and should be applied by the marketing team of the event and they should make sure that the advertisements send out the same message. Another market</w:t>
      </w:r>
      <w:r>
        <w:rPr>
          <w:rtl w:val="1"/>
        </w:rPr>
        <w:t>’</w:t>
      </w:r>
      <w:r>
        <w:rPr>
          <w:rtl w:val="0"/>
          <w:lang w:val="en-US"/>
        </w:rPr>
        <w:t xml:space="preserve">s trend which needs to be kept in mind is that of the sustainable developments. The event should be organised in a manner which does not have a negative impact on the environment- pollution of the air, the water, the soil and so on (Ashby, 2022). They should also not harm any human being or animal and should make sure that the economy is supported by this event. This will be key to increasing the credibility of the event to the stakeholders and encouraging them to come again in future. </w:t>
      </w:r>
    </w:p>
    <w:p>
      <w:pPr>
        <w:pStyle w:val="Corp"/>
      </w:pPr>
    </w:p>
    <w:p>
      <w:pPr>
        <w:pStyle w:val="Corp"/>
        <w:spacing w:line="259" w:lineRule="auto"/>
        <w:jc w:val="left"/>
      </w:pPr>
      <w:r>
        <w:rPr>
          <w:rFonts w:ascii="Arial Unicode MS" w:cs="Arial Unicode MS" w:hAnsi="Arial Unicode MS" w:eastAsia="Arial Unicode MS"/>
          <w:b w:val="0"/>
          <w:bCs w:val="0"/>
          <w:i w:val="0"/>
          <w:iCs w:val="0"/>
        </w:rPr>
        <w:br w:type="page"/>
      </w:r>
    </w:p>
    <w:p>
      <w:pPr>
        <w:pStyle w:val="Colontitlu"/>
      </w:pPr>
      <w:bookmarkStart w:name="_Toc16" w:id="16"/>
      <w:r>
        <w:rPr>
          <w:rFonts w:cs="Arial Unicode MS" w:eastAsia="Arial Unicode MS"/>
          <w:rtl w:val="0"/>
          <w:lang w:val="en-US"/>
        </w:rPr>
        <w:t>Cultural and Situational Considerations</w:t>
      </w:r>
      <w:bookmarkEnd w:id="16"/>
    </w:p>
    <w:p>
      <w:pPr>
        <w:pStyle w:val="Corp"/>
      </w:pPr>
      <w:r>
        <w:rPr>
          <w:rtl w:val="0"/>
          <w:lang w:val="en-US"/>
        </w:rPr>
        <w:t>The cultural considerations which will have to be made are that of the food, language and the music which will be played in the event (Allen, Harris and Jago, 2022). This is a formal event and there will be professionals from all backgrounds and they should all be given equal treatment and be respected for their work. This is important as otherwise; negative reviews about racism will have a negative impact on the future events which will be arranged. The food being served and the language being used should be inclusive. Both vegetarian as well as non-vegetarian meals will be served and the language which will be used will be English. The situational factor which must be considered is that the tickets should be of an optimal price, as it cannot be afforded if it is too expensive due to the economic situation of the country.</w:t>
      </w:r>
    </w:p>
    <w:p>
      <w:pPr>
        <w:pStyle w:val="Corp"/>
        <w:spacing w:line="259" w:lineRule="auto"/>
        <w:jc w:val="left"/>
      </w:pPr>
      <w:r>
        <w:rPr>
          <w:rFonts w:ascii="Arial Unicode MS" w:cs="Arial Unicode MS" w:hAnsi="Arial Unicode MS" w:eastAsia="Arial Unicode MS"/>
          <w:b w:val="0"/>
          <w:bCs w:val="0"/>
          <w:i w:val="0"/>
          <w:iCs w:val="0"/>
        </w:rPr>
        <w:br w:type="page"/>
      </w:r>
    </w:p>
    <w:p>
      <w:pPr>
        <w:pStyle w:val="Colontitlu"/>
      </w:pPr>
      <w:bookmarkStart w:name="_Toc17" w:id="17"/>
      <w:r>
        <w:rPr>
          <w:rFonts w:cs="Arial Unicode MS" w:eastAsia="Arial Unicode MS"/>
          <w:rtl w:val="0"/>
          <w:lang w:val="it-IT"/>
        </w:rPr>
        <w:t>Conclusion</w:t>
      </w:r>
      <w:bookmarkEnd w:id="17"/>
    </w:p>
    <w:p>
      <w:pPr>
        <w:pStyle w:val="Corp"/>
      </w:pPr>
      <w:r>
        <w:rPr>
          <w:rtl w:val="0"/>
          <w:lang w:val="en-US"/>
        </w:rPr>
        <w:t>This report has been a careful discussion of the factors which have to be taken into consideration for the development of the event on the discussion of Technology and Innovation within the Hospitality Sector. The external and internal factors have been studied, along with the market trends which can affect the progress. The budget has been drawn up and this has been followed by the noting of the cultural considerations. The event will be planned out safely and sustainable and will be a significant addition to the professional</w:t>
      </w:r>
      <w:r>
        <w:rPr>
          <w:rtl w:val="1"/>
        </w:rPr>
        <w:t>’</w:t>
      </w:r>
      <w:r>
        <w:rPr>
          <w:rtl w:val="0"/>
          <w:lang w:val="en-US"/>
        </w:rPr>
        <w:t xml:space="preserve">s experience. They will learn many new things from this event and will have a good time. </w:t>
      </w:r>
    </w:p>
    <w:p>
      <w:pPr>
        <w:pStyle w:val="Corp"/>
      </w:pPr>
    </w:p>
    <w:p>
      <w:pPr>
        <w:pStyle w:val="Corp"/>
        <w:spacing w:line="259" w:lineRule="auto"/>
        <w:jc w:val="left"/>
      </w:pPr>
      <w:r>
        <w:rPr>
          <w:rFonts w:ascii="Arial Unicode MS" w:cs="Arial Unicode MS" w:hAnsi="Arial Unicode MS" w:eastAsia="Arial Unicode MS"/>
          <w:b w:val="0"/>
          <w:bCs w:val="0"/>
          <w:i w:val="0"/>
          <w:iCs w:val="0"/>
        </w:rPr>
        <w:br w:type="page"/>
      </w:r>
    </w:p>
    <w:p>
      <w:pPr>
        <w:pStyle w:val="Colontitlu"/>
      </w:pPr>
      <w:bookmarkStart w:name="_Toc18" w:id="18"/>
      <w:r>
        <w:rPr>
          <w:rFonts w:cs="Arial Unicode MS" w:eastAsia="Arial Unicode MS"/>
          <w:rtl w:val="0"/>
          <w:lang w:val="fr-FR"/>
        </w:rPr>
        <w:t>References</w:t>
      </w:r>
      <w:bookmarkEnd w:id="18"/>
    </w:p>
    <w:p>
      <w:pPr>
        <w:pStyle w:val="Corp"/>
        <w:rPr>
          <w:i w:val="1"/>
          <w:iCs w:val="1"/>
          <w:shd w:val="clear" w:color="auto" w:fill="ffffff"/>
        </w:rPr>
      </w:pPr>
      <w:r>
        <w:rPr>
          <w:shd w:val="clear" w:color="auto" w:fill="ffffff"/>
          <w:rtl w:val="0"/>
          <w:lang w:val="en-US"/>
        </w:rPr>
        <w:t>Ali, B.J. and Anwar, G. (2021)</w:t>
      </w:r>
      <w:r>
        <w:rPr>
          <w:shd w:val="clear" w:color="auto" w:fill="ffffff"/>
          <w:rtl w:val="1"/>
        </w:rPr>
        <w:t>‘</w:t>
      </w:r>
      <w:r>
        <w:rPr>
          <w:shd w:val="clear" w:color="auto" w:fill="ffffff"/>
          <w:rtl w:val="0"/>
          <w:lang w:val="en-US"/>
        </w:rPr>
        <w:t>An empirical study of employees</w:t>
      </w:r>
      <w:r>
        <w:rPr>
          <w:shd w:val="clear" w:color="auto" w:fill="ffffff"/>
          <w:rtl w:val="1"/>
        </w:rPr>
        <w:t xml:space="preserve">’ </w:t>
      </w:r>
      <w:r>
        <w:rPr>
          <w:shd w:val="clear" w:color="auto" w:fill="ffffff"/>
          <w:rtl w:val="0"/>
          <w:lang w:val="en-US"/>
        </w:rPr>
        <w:t>motivation and its influence job satisfaction.</w:t>
      </w:r>
      <w:r>
        <w:rPr>
          <w:shd w:val="clear" w:color="auto" w:fill="ffffff"/>
          <w:rtl w:val="0"/>
        </w:rPr>
        <w:t> </w:t>
      </w:r>
      <w:r>
        <w:rPr>
          <w:shd w:val="clear" w:color="auto" w:fill="ffffff"/>
          <w:rtl w:val="0"/>
          <w:lang w:val="en-US"/>
        </w:rPr>
        <w:t>Ali, BJ, &amp; Anwar, G.(2021). An Empirical Study of Employees</w:t>
      </w:r>
      <w:r>
        <w:rPr>
          <w:shd w:val="clear" w:color="auto" w:fill="ffffff"/>
          <w:rtl w:val="1"/>
        </w:rPr>
        <w:t xml:space="preserve">’ </w:t>
      </w:r>
      <w:r>
        <w:rPr>
          <w:shd w:val="clear" w:color="auto" w:fill="ffffff"/>
          <w:rtl w:val="0"/>
          <w:lang w:val="en-US"/>
        </w:rPr>
        <w:t>Motivation and its Influence Job Satisfaction.</w:t>
      </w:r>
      <w:r>
        <w:rPr>
          <w:shd w:val="clear" w:color="auto" w:fill="ffffff"/>
          <w:rtl w:val="1"/>
        </w:rPr>
        <w:t>’</w:t>
      </w:r>
      <w:r>
        <w:rPr>
          <w:i w:val="1"/>
          <w:iCs w:val="1"/>
          <w:shd w:val="clear" w:color="auto" w:fill="ffffff"/>
          <w:rtl w:val="0"/>
          <w:lang w:val="en-US"/>
        </w:rPr>
        <w:t>International Journal of Engineering, Business and Management</w:t>
      </w:r>
      <w:r>
        <w:rPr>
          <w:shd w:val="clear" w:color="auto" w:fill="ffffff"/>
          <w:rtl w:val="0"/>
        </w:rPr>
        <w:t>,</w:t>
      </w:r>
      <w:r>
        <w:rPr>
          <w:shd w:val="clear" w:color="auto" w:fill="ffffff"/>
          <w:rtl w:val="0"/>
        </w:rPr>
        <w:t> </w:t>
      </w:r>
      <w:r>
        <w:rPr>
          <w:shd w:val="clear" w:color="auto" w:fill="ffffff"/>
          <w:rtl w:val="0"/>
        </w:rPr>
        <w:t>5(2), pp.21-30.</w:t>
      </w:r>
    </w:p>
    <w:p>
      <w:pPr>
        <w:pStyle w:val="Corp"/>
        <w:rPr>
          <w:shd w:val="clear" w:color="auto" w:fill="ffffff"/>
        </w:rPr>
      </w:pPr>
      <w:r>
        <w:rPr>
          <w:shd w:val="clear" w:color="auto" w:fill="ffffff"/>
          <w:rtl w:val="0"/>
          <w:lang w:val="en-US"/>
        </w:rPr>
        <w:t>Allen, J., Harris, R. and Jago, L. (2022)</w:t>
      </w:r>
      <w:r>
        <w:rPr>
          <w:shd w:val="clear" w:color="auto" w:fill="ffffff"/>
          <w:rtl w:val="0"/>
        </w:rPr>
        <w:t> </w:t>
      </w:r>
      <w:r>
        <w:rPr>
          <w:i w:val="1"/>
          <w:iCs w:val="1"/>
          <w:shd w:val="clear" w:color="auto" w:fill="ffffff"/>
          <w:rtl w:val="0"/>
          <w:lang w:val="en-US"/>
        </w:rPr>
        <w:t>Festival &amp; special event management</w:t>
      </w:r>
      <w:r>
        <w:rPr>
          <w:shd w:val="clear" w:color="auto" w:fill="ffffff"/>
          <w:rtl w:val="0"/>
          <w:lang w:val="it-IT"/>
        </w:rPr>
        <w:t>. John Wiley &amp; Sons.</w:t>
      </w:r>
    </w:p>
    <w:p>
      <w:pPr>
        <w:pStyle w:val="Corp"/>
      </w:pPr>
      <w:r>
        <w:rPr>
          <w:shd w:val="clear" w:color="auto" w:fill="ffffff"/>
          <w:rtl w:val="0"/>
        </w:rPr>
        <w:t>Ashby, M.F. (2022)</w:t>
      </w:r>
      <w:r>
        <w:rPr>
          <w:shd w:val="clear" w:color="auto" w:fill="ffffff"/>
          <w:rtl w:val="0"/>
        </w:rPr>
        <w:t> </w:t>
      </w:r>
      <w:r>
        <w:rPr>
          <w:i w:val="1"/>
          <w:iCs w:val="1"/>
          <w:shd w:val="clear" w:color="auto" w:fill="ffffff"/>
          <w:rtl w:val="0"/>
          <w:lang w:val="en-US"/>
        </w:rPr>
        <w:t>Materials and sustainable development</w:t>
      </w:r>
      <w:r>
        <w:rPr>
          <w:shd w:val="clear" w:color="auto" w:fill="ffffff"/>
          <w:rtl w:val="0"/>
          <w:lang w:val="de-DE"/>
        </w:rPr>
        <w:t>. Butterworth-Heinemann.</w:t>
      </w:r>
    </w:p>
    <w:p>
      <w:pPr>
        <w:pStyle w:val="Corp"/>
      </w:pPr>
      <w:r>
        <w:rPr>
          <w:rtl w:val="0"/>
        </w:rPr>
        <w:t>Citation(2024)</w:t>
      </w:r>
      <w:r>
        <w:rPr>
          <w:i w:val="1"/>
          <w:iCs w:val="1"/>
          <w:rtl w:val="0"/>
          <w:lang w:val="en-US"/>
        </w:rPr>
        <w:t xml:space="preserve">UK Employment Laws Explained. </w:t>
      </w:r>
      <w:r>
        <w:rPr>
          <w:rtl w:val="0"/>
          <w:lang w:val="en-US"/>
        </w:rPr>
        <w:t>Available at:https://www.citation.co.uk/news/hr-and-employment-law/uk-employment-laws-explained/(Accessed: 25 May 2024).</w:t>
      </w:r>
    </w:p>
    <w:p>
      <w:pPr>
        <w:pStyle w:val="Corp"/>
      </w:pPr>
      <w:r>
        <w:rPr>
          <w:rtl w:val="0"/>
        </w:rPr>
        <w:t xml:space="preserve">Client Earth (2022) </w:t>
      </w:r>
      <w:r>
        <w:rPr>
          <w:i w:val="1"/>
          <w:iCs w:val="1"/>
          <w:rtl w:val="0"/>
          <w:lang w:val="en-US"/>
        </w:rPr>
        <w:t>The UK Environment Act - what's happening now?</w:t>
      </w:r>
      <w:r>
        <w:rPr>
          <w:rtl w:val="0"/>
          <w:lang w:val="en-US"/>
        </w:rPr>
        <w:t>Available at:https://www.clientearth.org/latest/news/why-the-uk-environment-bill-matters/#:~:text=What%20does%20the%20Environment%20Act,%2C%20biodiversity%2C%20and%20waste%20reduction(Accessed: 25 May 2024).</w:t>
      </w:r>
    </w:p>
    <w:p>
      <w:pPr>
        <w:pStyle w:val="Corp"/>
        <w:rPr>
          <w:i w:val="1"/>
          <w:iCs w:val="1"/>
        </w:rPr>
      </w:pPr>
      <w:r>
        <w:rPr>
          <w:shd w:val="clear" w:color="auto" w:fill="ffffff"/>
          <w:rtl w:val="0"/>
          <w:lang w:val="it-IT"/>
        </w:rPr>
        <w:t>Gonz</w:t>
      </w:r>
      <w:r>
        <w:rPr>
          <w:shd w:val="clear" w:color="auto" w:fill="ffffff"/>
          <w:rtl w:val="0"/>
        </w:rPr>
        <w:t>á</w:t>
      </w:r>
      <w:r>
        <w:rPr>
          <w:shd w:val="clear" w:color="auto" w:fill="ffffff"/>
          <w:rtl w:val="0"/>
          <w:lang w:val="es-ES_tradnl"/>
        </w:rPr>
        <w:t>lez-Granadillo, G., Gonz</w:t>
      </w:r>
      <w:r>
        <w:rPr>
          <w:shd w:val="clear" w:color="auto" w:fill="ffffff"/>
          <w:rtl w:val="0"/>
        </w:rPr>
        <w:t>á</w:t>
      </w:r>
      <w:r>
        <w:rPr>
          <w:shd w:val="clear" w:color="auto" w:fill="ffffff"/>
          <w:rtl w:val="0"/>
        </w:rPr>
        <w:t xml:space="preserve">lez-Zarzosa, S. and Diaz, R. (2021) </w:t>
      </w:r>
      <w:r>
        <w:rPr>
          <w:shd w:val="clear" w:color="auto" w:fill="ffffff"/>
          <w:rtl w:val="1"/>
        </w:rPr>
        <w:t>‘</w:t>
      </w:r>
      <w:r>
        <w:rPr>
          <w:shd w:val="clear" w:color="auto" w:fill="ffffff"/>
          <w:rtl w:val="0"/>
          <w:lang w:val="en-US"/>
        </w:rPr>
        <w:t>Security information and event management (SIEM): analysis, trends, and usage in critical infrastructures</w:t>
      </w:r>
      <w:r>
        <w:rPr>
          <w:shd w:val="clear" w:color="auto" w:fill="ffffff"/>
          <w:rtl w:val="1"/>
        </w:rPr>
        <w:t>’</w:t>
      </w:r>
      <w:r>
        <w:rPr>
          <w:shd w:val="clear" w:color="auto" w:fill="ffffff"/>
          <w:rtl w:val="0"/>
        </w:rPr>
        <w:t>.</w:t>
      </w:r>
      <w:r>
        <w:rPr>
          <w:shd w:val="clear" w:color="auto" w:fill="ffffff"/>
          <w:rtl w:val="0"/>
        </w:rPr>
        <w:t> </w:t>
      </w:r>
      <w:r>
        <w:rPr>
          <w:i w:val="1"/>
          <w:iCs w:val="1"/>
          <w:shd w:val="clear" w:color="auto" w:fill="ffffff"/>
          <w:rtl w:val="0"/>
        </w:rPr>
        <w:t>Sensors</w:t>
      </w:r>
      <w:r>
        <w:rPr>
          <w:shd w:val="clear" w:color="auto" w:fill="ffffff"/>
          <w:rtl w:val="0"/>
        </w:rPr>
        <w:t>,</w:t>
      </w:r>
      <w:r>
        <w:rPr>
          <w:shd w:val="clear" w:color="auto" w:fill="ffffff"/>
          <w:rtl w:val="0"/>
        </w:rPr>
        <w:t> </w:t>
      </w:r>
      <w:r>
        <w:rPr>
          <w:i w:val="1"/>
          <w:iCs w:val="1"/>
          <w:shd w:val="clear" w:color="auto" w:fill="ffffff"/>
          <w:rtl w:val="0"/>
        </w:rPr>
        <w:t>21</w:t>
      </w:r>
      <w:r>
        <w:rPr>
          <w:shd w:val="clear" w:color="auto" w:fill="ffffff"/>
          <w:rtl w:val="0"/>
        </w:rPr>
        <w:t>(14), p.4759.</w:t>
      </w:r>
    </w:p>
    <w:p>
      <w:pPr>
        <w:pStyle w:val="Corp"/>
        <w:rPr>
          <w:shd w:val="clear" w:color="auto" w:fill="ffffff"/>
        </w:rPr>
      </w:pPr>
      <w:r>
        <w:rPr>
          <w:shd w:val="clear" w:color="auto" w:fill="ffffff"/>
          <w:rtl w:val="0"/>
        </w:rPr>
        <w:t>Limna, P. (2023)</w:t>
      </w:r>
      <w:r>
        <w:rPr>
          <w:shd w:val="clear" w:color="auto" w:fill="ffffff"/>
          <w:rtl w:val="1"/>
        </w:rPr>
        <w:t>‘</w:t>
      </w:r>
      <w:r>
        <w:rPr>
          <w:shd w:val="clear" w:color="auto" w:fill="ffffff"/>
          <w:rtl w:val="0"/>
          <w:lang w:val="en-US"/>
        </w:rPr>
        <w:t>Artificial Intelligence (AI) in the hospitality industry: A review article.</w:t>
      </w:r>
      <w:r>
        <w:rPr>
          <w:shd w:val="clear" w:color="auto" w:fill="ffffff"/>
          <w:rtl w:val="0"/>
        </w:rPr>
        <w:t>’ </w:t>
      </w:r>
      <w:r>
        <w:rPr>
          <w:i w:val="1"/>
          <w:iCs w:val="1"/>
          <w:shd w:val="clear" w:color="auto" w:fill="ffffff"/>
          <w:rtl w:val="0"/>
          <w:lang w:val="en-US"/>
        </w:rPr>
        <w:t>International Journal of Computing Sciences Research</w:t>
      </w:r>
      <w:r>
        <w:rPr>
          <w:shd w:val="clear" w:color="auto" w:fill="ffffff"/>
          <w:rtl w:val="0"/>
        </w:rPr>
        <w:t>,</w:t>
      </w:r>
      <w:r>
        <w:rPr>
          <w:shd w:val="clear" w:color="auto" w:fill="ffffff"/>
          <w:rtl w:val="0"/>
        </w:rPr>
        <w:t> </w:t>
      </w:r>
      <w:r>
        <w:rPr>
          <w:i w:val="1"/>
          <w:iCs w:val="1"/>
          <w:shd w:val="clear" w:color="auto" w:fill="ffffff"/>
          <w:rtl w:val="0"/>
        </w:rPr>
        <w:t>7</w:t>
      </w:r>
      <w:r>
        <w:rPr>
          <w:shd w:val="clear" w:color="auto" w:fill="ffffff"/>
          <w:rtl w:val="0"/>
        </w:rPr>
        <w:t>, pp.1306-1317.</w:t>
      </w:r>
    </w:p>
    <w:p>
      <w:pPr>
        <w:pStyle w:val="Corp"/>
        <w:rPr>
          <w:shd w:val="clear" w:color="auto" w:fill="ffffff"/>
        </w:rPr>
      </w:pPr>
      <w:r>
        <w:rPr>
          <w:shd w:val="clear" w:color="auto" w:fill="ffffff"/>
          <w:rtl w:val="0"/>
          <w:lang w:val="en-US"/>
        </w:rPr>
        <w:t>Rahn, A., Wicke, K. and Wende, G. (2022)</w:t>
      </w:r>
      <w:r>
        <w:rPr>
          <w:shd w:val="clear" w:color="auto" w:fill="ffffff"/>
          <w:rtl w:val="1"/>
        </w:rPr>
        <w:t>‘</w:t>
      </w:r>
      <w:r>
        <w:rPr>
          <w:shd w:val="clear" w:color="auto" w:fill="ffffff"/>
          <w:rtl w:val="0"/>
          <w:lang w:val="en-US"/>
        </w:rPr>
        <w:t>Using Discrete-Event Simulation for a Holistic Aircraft Life Cycle Assessment.</w:t>
      </w:r>
      <w:r>
        <w:rPr>
          <w:shd w:val="clear" w:color="auto" w:fill="ffffff"/>
          <w:rtl w:val="0"/>
        </w:rPr>
        <w:t>’ </w:t>
      </w:r>
      <w:r>
        <w:rPr>
          <w:i w:val="1"/>
          <w:iCs w:val="1"/>
          <w:shd w:val="clear" w:color="auto" w:fill="ffffff"/>
          <w:rtl w:val="0"/>
        </w:rPr>
        <w:t>Sustainability</w:t>
      </w:r>
      <w:r>
        <w:rPr>
          <w:shd w:val="clear" w:color="auto" w:fill="ffffff"/>
          <w:rtl w:val="0"/>
        </w:rPr>
        <w:t>,</w:t>
      </w:r>
      <w:r>
        <w:rPr>
          <w:shd w:val="clear" w:color="auto" w:fill="ffffff"/>
          <w:rtl w:val="0"/>
        </w:rPr>
        <w:t> </w:t>
      </w:r>
      <w:r>
        <w:rPr>
          <w:i w:val="1"/>
          <w:iCs w:val="1"/>
          <w:shd w:val="clear" w:color="auto" w:fill="ffffff"/>
          <w:rtl w:val="0"/>
        </w:rPr>
        <w:t>14</w:t>
      </w:r>
      <w:r>
        <w:rPr>
          <w:shd w:val="clear" w:color="auto" w:fill="ffffff"/>
          <w:rtl w:val="0"/>
        </w:rPr>
        <w:t>(17), p.10598.</w:t>
      </w:r>
    </w:p>
    <w:p>
      <w:pPr>
        <w:pStyle w:val="Corp"/>
      </w:pPr>
      <w:r>
        <w:rPr>
          <w:rtl w:val="0"/>
        </w:rPr>
        <w:t>Statista (2023)</w:t>
      </w:r>
      <w:r>
        <w:rPr>
          <w:i w:val="1"/>
          <w:iCs w:val="1"/>
          <w:rtl w:val="0"/>
          <w:lang w:val="en-US"/>
        </w:rPr>
        <w:t xml:space="preserve">European innovation score in the United Kingdom from 2015 to 2023. </w:t>
      </w:r>
      <w:r>
        <w:rPr>
          <w:rtl w:val="0"/>
          <w:lang w:val="en-US"/>
        </w:rPr>
        <w:t>Available at:https://www.statista.com/statistics/1245752/innovation-score-uk/#:~:text=According%20to%20the%20European%20Innovation,119%20in%20the%20previous%20year(Accessed: 25 May 2024).</w:t>
      </w:r>
    </w:p>
    <w:p>
      <w:pPr>
        <w:pStyle w:val="Corp"/>
      </w:pPr>
      <w:r>
        <w:rPr>
          <w:rtl w:val="0"/>
        </w:rPr>
        <w:t>Statista (2024)</w:t>
      </w:r>
      <w:r>
        <w:rPr>
          <w:i w:val="1"/>
          <w:iCs w:val="1"/>
          <w:rtl w:val="0"/>
          <w:lang w:val="en-US"/>
        </w:rPr>
        <w:t xml:space="preserve">Average equivalized disposable household income in the United Kingdom in 2021/22, by decile group. </w:t>
      </w:r>
      <w:r>
        <w:rPr>
          <w:rtl w:val="0"/>
          <w:lang w:val="en-US"/>
        </w:rPr>
        <w:t>Available at:https://www.statista.com/statistics/813338/average-disposable-income-per-household-uk/#:~:text=Economy-,Average%20disposable%20income%20per%20household,UK%202021%2F22%2C%20by%20decile&amp;text=In%202021%2F22%2C%20households%20in,decile%20which%20had%20130%2C246%20pounds(Accessed: 25 May 2024).</w:t>
      </w:r>
    </w:p>
    <w:p>
      <w:pPr>
        <w:pStyle w:val="Corp"/>
      </w:pPr>
      <w:r>
        <w:rPr>
          <w:rtl w:val="0"/>
        </w:rPr>
        <w:t>Statista (2024)</w:t>
      </w:r>
      <w:r>
        <w:rPr>
          <w:i w:val="1"/>
          <w:iCs w:val="1"/>
          <w:rtl w:val="0"/>
          <w:lang w:val="en-US"/>
        </w:rPr>
        <w:t xml:space="preserve">Corruption perception index score of the United Kingdom from 2012 to 2023. </w:t>
      </w:r>
      <w:r>
        <w:rPr>
          <w:rtl w:val="0"/>
          <w:lang w:val="en-US"/>
        </w:rPr>
        <w:t xml:space="preserve">Available at:https://www.statista.com/statistics/868971/corruption-perception-index-in-the-uk/(Accessed: 25 May 2024). </w:t>
      </w:r>
    </w:p>
    <w:p>
      <w:pPr>
        <w:pStyle w:val="Corp"/>
      </w:pPr>
      <w:r>
        <w:rPr>
          <w:rtl w:val="0"/>
        </w:rPr>
        <w:t>Statista (2024)</w:t>
      </w:r>
      <w:r>
        <w:rPr>
          <w:i w:val="1"/>
          <w:iCs w:val="1"/>
          <w:rtl w:val="0"/>
          <w:lang w:val="en-US"/>
        </w:rPr>
        <w:t xml:space="preserve">Inflation rate for the Consumer Price Index (CPI) in the United Kingdom from January 1989 to April 2024. </w:t>
      </w:r>
      <w:r>
        <w:rPr>
          <w:rtl w:val="0"/>
          <w:lang w:val="en-US"/>
        </w:rPr>
        <w:t>Available at:https://www.statista.com/statistics/306648/inflation-rate-consumer-price-index-cpi-united-kingdom-uk/#:~:text=The%20UK%20inflation%20rate%20was,11.1%20percent%20in%20October%202022(Accessed: 25 May 2024).</w:t>
      </w:r>
    </w:p>
    <w:p>
      <w:pPr>
        <w:pStyle w:val="Corp"/>
      </w:pPr>
      <w:r>
        <w:rPr>
          <w:rtl w:val="0"/>
        </w:rPr>
        <w:t xml:space="preserve">Statista (2024) </w:t>
      </w:r>
      <w:r>
        <w:rPr>
          <w:i w:val="1"/>
          <w:iCs w:val="1"/>
          <w:rtl w:val="0"/>
          <w:lang w:val="en-US"/>
        </w:rPr>
        <w:t xml:space="preserve">Press freedom index in the United Kingdom (UK) from 2013 to 2024. </w:t>
      </w:r>
      <w:r>
        <w:rPr>
          <w:rtl w:val="0"/>
          <w:lang w:val="en-US"/>
        </w:rPr>
        <w:t xml:space="preserve">Available at: https://www.statista.com/statistics/1025956/uk-press-freedom-index/ (Accessed: 25 May 2024). </w:t>
      </w:r>
    </w:p>
    <w:p>
      <w:pPr>
        <w:pStyle w:val="Corp"/>
      </w:pPr>
      <w:r>
        <w:rPr>
          <w:rtl w:val="0"/>
        </w:rPr>
        <w:t>Statista (2024)</w:t>
      </w:r>
      <w:r>
        <w:rPr>
          <w:i w:val="1"/>
          <w:iCs w:val="1"/>
          <w:rtl w:val="0"/>
          <w:lang w:val="en-US"/>
        </w:rPr>
        <w:t xml:space="preserve">Share of individuals using the internet in the United Kingdom (UK) from 2002 to 2024. </w:t>
      </w:r>
      <w:r>
        <w:rPr>
          <w:rtl w:val="0"/>
          <w:lang w:val="en-US"/>
        </w:rPr>
        <w:t>Available at:https://www.statista.com/statistics/1124328/internet-penetration-uk/#:~:text=As%20of%20January%202024%2C%20nearly,United%20Kingdom%20as%20of%202023(Accessed: 25 May 2024).</w:t>
      </w:r>
    </w:p>
    <w:p>
      <w:pPr>
        <w:pStyle w:val="Corp"/>
      </w:pPr>
      <w:r>
        <w:rPr>
          <w:rtl w:val="0"/>
        </w:rPr>
        <w:t>Statista (2024)</w:t>
      </w:r>
      <w:r>
        <w:rPr>
          <w:i w:val="1"/>
          <w:iCs w:val="1"/>
          <w:rtl w:val="0"/>
          <w:lang w:val="en-US"/>
        </w:rPr>
        <w:t xml:space="preserve">United Kingdom (UK): Population growth from 2012 to 2022. </w:t>
      </w:r>
      <w:r>
        <w:rPr>
          <w:rtl w:val="0"/>
          <w:lang w:val="en-US"/>
        </w:rPr>
        <w:t>Available at: https://www.statista.com/statistics/270361/population-growth-in-the-united-kingdom/ (Accessed: 25 May 2024).</w:t>
      </w:r>
    </w:p>
    <w:p>
      <w:pPr>
        <w:pStyle w:val="Corp"/>
      </w:pPr>
      <w:r>
        <w:rPr>
          <w:rtl w:val="0"/>
        </w:rPr>
        <w:t>Statista (2024)</w:t>
      </w:r>
      <w:r>
        <w:rPr>
          <w:i w:val="1"/>
          <w:iCs w:val="1"/>
          <w:rtl w:val="0"/>
          <w:lang w:val="en-US"/>
        </w:rPr>
        <w:t xml:space="preserve">United Kingdom: Real gross domestic product (GDP) growth rate from 2019 to 2029. </w:t>
      </w:r>
      <w:r>
        <w:rPr>
          <w:rtl w:val="0"/>
          <w:lang w:val="en-US"/>
        </w:rPr>
        <w:t>Available at:https://www.statista.com/statistics/263613/gross-domestic-product-gdp-growth-rate-in-the-united-kingdom/#:~:text=Gross%20domestic%20product%20(GDP)%20growth%20rate%20in%20the%20United%20Kingdom%202029&amp;text=The%20statistic%20shows%20the%20growth,compared%20to%20the%20previous%20year(Accessed: 25 May 2024).</w:t>
      </w:r>
    </w:p>
    <w:p>
      <w:pPr>
        <w:pStyle w:val="Corp"/>
        <w:rPr>
          <w:shd w:val="clear" w:color="auto" w:fill="ffffff"/>
        </w:rPr>
      </w:pPr>
      <w:r>
        <w:rPr>
          <w:shd w:val="clear" w:color="auto" w:fill="ffffff"/>
          <w:rtl w:val="0"/>
          <w:lang w:val="de-DE"/>
        </w:rPr>
        <w:t>Streeck, H., Schulte, B., K</w:t>
      </w:r>
      <w:r>
        <w:rPr>
          <w:shd w:val="clear" w:color="auto" w:fill="ffffff"/>
          <w:rtl w:val="0"/>
        </w:rPr>
        <w:t>ü</w:t>
      </w:r>
      <w:r>
        <w:rPr>
          <w:shd w:val="clear" w:color="auto" w:fill="ffffff"/>
          <w:rtl w:val="0"/>
          <w:lang w:val="de-DE"/>
        </w:rPr>
        <w:t>mmerer, B.M., Richter, E., H</w:t>
      </w:r>
      <w:r>
        <w:rPr>
          <w:shd w:val="clear" w:color="auto" w:fill="ffffff"/>
          <w:rtl w:val="0"/>
        </w:rPr>
        <w:t>ö</w:t>
      </w:r>
      <w:r>
        <w:rPr>
          <w:shd w:val="clear" w:color="auto" w:fill="ffffff"/>
          <w:rtl w:val="0"/>
          <w:lang w:val="de-DE"/>
        </w:rPr>
        <w:t>ller, T., Fuhrmann, C., Bartok, E., Dolscheid-Pommerich, R., Berger, M., Wessendorf, L. and Eschbach-Bludau, M. (2020)</w:t>
      </w:r>
      <w:r>
        <w:rPr>
          <w:shd w:val="clear" w:color="auto" w:fill="ffffff"/>
          <w:rtl w:val="1"/>
        </w:rPr>
        <w:t>‘</w:t>
      </w:r>
      <w:r>
        <w:rPr>
          <w:shd w:val="clear" w:color="auto" w:fill="ffffff"/>
          <w:rtl w:val="0"/>
          <w:lang w:val="en-US"/>
        </w:rPr>
        <w:t>Infection fatality rate of SARS-CoV2 in a super-spreading event in Germany.</w:t>
      </w:r>
      <w:r>
        <w:rPr>
          <w:shd w:val="clear" w:color="auto" w:fill="ffffff"/>
          <w:rtl w:val="0"/>
        </w:rPr>
        <w:t>’ </w:t>
      </w:r>
      <w:r>
        <w:rPr>
          <w:i w:val="1"/>
          <w:iCs w:val="1"/>
          <w:rtl w:val="0"/>
        </w:rPr>
        <w:t>Nature</w:t>
      </w:r>
      <w:r>
        <w:rPr>
          <w:i w:val="1"/>
          <w:iCs w:val="1"/>
          <w:shd w:val="clear" w:color="auto" w:fill="ffffff"/>
          <w:rtl w:val="0"/>
          <w:lang w:val="fr-FR"/>
        </w:rPr>
        <w:t xml:space="preserve"> communications</w:t>
      </w:r>
      <w:r>
        <w:rPr>
          <w:shd w:val="clear" w:color="auto" w:fill="ffffff"/>
          <w:rtl w:val="0"/>
        </w:rPr>
        <w:t>,</w:t>
      </w:r>
      <w:r>
        <w:rPr>
          <w:shd w:val="clear" w:color="auto" w:fill="ffffff"/>
          <w:rtl w:val="0"/>
        </w:rPr>
        <w:t> </w:t>
      </w:r>
      <w:r>
        <w:rPr>
          <w:i w:val="1"/>
          <w:iCs w:val="1"/>
          <w:shd w:val="clear" w:color="auto" w:fill="ffffff"/>
          <w:rtl w:val="0"/>
        </w:rPr>
        <w:t>11</w:t>
      </w:r>
      <w:r>
        <w:rPr>
          <w:shd w:val="clear" w:color="auto" w:fill="ffffff"/>
          <w:rtl w:val="0"/>
        </w:rPr>
        <w:t>(1), p.5829.</w:t>
      </w:r>
    </w:p>
    <w:p>
      <w:pPr>
        <w:pStyle w:val="Corp"/>
        <w:rPr>
          <w:shd w:val="clear" w:color="auto" w:fill="ffffff"/>
        </w:rPr>
      </w:pPr>
      <w:r>
        <w:rPr>
          <w:shd w:val="clear" w:color="auto" w:fill="ffffff"/>
          <w:rtl w:val="0"/>
        </w:rPr>
        <w:t>Tan, Y. and Zhu, Z. (2022)</w:t>
      </w:r>
      <w:r>
        <w:rPr>
          <w:shd w:val="clear" w:color="auto" w:fill="ffffff"/>
          <w:rtl w:val="1"/>
        </w:rPr>
        <w:t>‘</w:t>
      </w:r>
      <w:r>
        <w:rPr>
          <w:shd w:val="clear" w:color="auto" w:fill="ffffff"/>
          <w:rtl w:val="0"/>
          <w:lang w:val="en-US"/>
        </w:rPr>
        <w:t>The effect of ESG rating events on corporate green innovation in China: The mediating role of financial constraints and managers' environmental awareness.</w:t>
      </w:r>
      <w:r>
        <w:rPr>
          <w:shd w:val="clear" w:color="auto" w:fill="ffffff"/>
          <w:rtl w:val="0"/>
        </w:rPr>
        <w:t>’ </w:t>
      </w:r>
      <w:r>
        <w:rPr>
          <w:i w:val="1"/>
          <w:iCs w:val="1"/>
          <w:shd w:val="clear" w:color="auto" w:fill="ffffff"/>
          <w:rtl w:val="0"/>
        </w:rPr>
        <w:t>Technology in Society</w:t>
      </w:r>
      <w:r>
        <w:rPr>
          <w:shd w:val="clear" w:color="auto" w:fill="ffffff"/>
          <w:rtl w:val="0"/>
        </w:rPr>
        <w:t>,</w:t>
      </w:r>
      <w:r>
        <w:rPr>
          <w:shd w:val="clear" w:color="auto" w:fill="ffffff"/>
          <w:rtl w:val="0"/>
        </w:rPr>
        <w:t> </w:t>
      </w:r>
      <w:r>
        <w:rPr>
          <w:i w:val="1"/>
          <w:iCs w:val="1"/>
          <w:shd w:val="clear" w:color="auto" w:fill="ffffff"/>
          <w:rtl w:val="0"/>
        </w:rPr>
        <w:t>68</w:t>
      </w:r>
      <w:r>
        <w:rPr>
          <w:shd w:val="clear" w:color="auto" w:fill="ffffff"/>
          <w:rtl w:val="0"/>
        </w:rPr>
        <w:t>, p.101906.</w:t>
      </w:r>
    </w:p>
    <w:p>
      <w:pPr>
        <w:pStyle w:val="Corp"/>
      </w:pPr>
      <w:r>
        <w:rPr>
          <w:rtl w:val="0"/>
          <w:lang w:val="en-US"/>
        </w:rPr>
        <w:t>The Global Economy(2024)</w:t>
      </w:r>
      <w:r>
        <w:rPr>
          <w:i w:val="1"/>
          <w:iCs w:val="1"/>
          <w:rtl w:val="0"/>
          <w:lang w:val="en-US"/>
        </w:rPr>
        <w:t xml:space="preserve">United Kingdom: Political stability. </w:t>
      </w:r>
      <w:r>
        <w:rPr>
          <w:rtl w:val="0"/>
          <w:lang w:val="en-US"/>
        </w:rPr>
        <w:t xml:space="preserve">Available at:https://www.theglobaleconomy.com/United-Kingdom/wb_political_stability/#:~:text=Political%20stability%20index%20(%2D2.5%20weak%3B%202.5%20strong)&amp;text=The%20latest%20value%20from%202022,to%20compare%20trends%20over%20time(Accessed: 25 May 2024). </w:t>
      </w:r>
    </w:p>
    <w:p>
      <w:pPr>
        <w:pStyle w:val="Corp"/>
        <w:rPr>
          <w:shd w:val="clear" w:color="auto" w:fill="ffffff"/>
        </w:rPr>
      </w:pPr>
      <w:r>
        <w:rPr>
          <w:shd w:val="clear" w:color="auto" w:fill="ffffff"/>
          <w:rtl w:val="0"/>
        </w:rPr>
        <w:t>Visser, M., Sikkenga, B. and Berry, M. (2021)</w:t>
      </w:r>
      <w:r>
        <w:rPr>
          <w:shd w:val="clear" w:color="auto" w:fill="ffffff"/>
          <w:rtl w:val="0"/>
        </w:rPr>
        <w:t> </w:t>
      </w:r>
      <w:r>
        <w:rPr>
          <w:i w:val="1"/>
          <w:iCs w:val="1"/>
          <w:shd w:val="clear" w:color="auto" w:fill="ffffff"/>
          <w:rtl w:val="0"/>
          <w:lang w:val="en-US"/>
        </w:rPr>
        <w:t>Digital marketing fundamentals: From strategy to ROI</w:t>
      </w:r>
      <w:r>
        <w:rPr>
          <w:shd w:val="clear" w:color="auto" w:fill="ffffff"/>
          <w:rtl w:val="0"/>
          <w:lang w:val="it-IT"/>
        </w:rPr>
        <w:t>. Taylor &amp; Francis.</w:t>
      </w:r>
    </w:p>
    <w:p>
      <w:pPr>
        <w:pStyle w:val="Corp"/>
        <w:rPr>
          <w:i w:val="1"/>
          <w:iCs w:val="1"/>
        </w:rPr>
      </w:pPr>
      <w:r>
        <w:rPr>
          <w:sz w:val="23"/>
          <w:szCs w:val="23"/>
        </w:rPr>
        <w:br w:type="textWrapping"/>
      </w:r>
    </w:p>
    <w:p>
      <w:pPr>
        <w:pStyle w:val="Corp"/>
        <w:spacing w:line="259" w:lineRule="auto"/>
        <w:jc w:val="left"/>
      </w:pPr>
      <w:r>
        <w:rPr>
          <w:rFonts w:ascii="Arial Unicode MS" w:cs="Arial Unicode MS" w:hAnsi="Arial Unicode MS" w:eastAsia="Arial Unicode MS"/>
          <w:b w:val="0"/>
          <w:bCs w:val="0"/>
          <w:i w:val="0"/>
          <w:iCs w:val="0"/>
        </w:rPr>
        <w:br w:type="page"/>
      </w:r>
    </w:p>
    <w:p>
      <w:pPr>
        <w:pStyle w:val="Colontitlu"/>
      </w:pPr>
      <w:bookmarkStart w:name="_Toc19" w:id="19"/>
      <w:r>
        <w:rPr>
          <w:rFonts w:cs="Arial Unicode MS" w:eastAsia="Arial Unicode MS"/>
          <w:rtl w:val="0"/>
        </w:rPr>
        <w:t>Appendix</w:t>
      </w:r>
      <w:bookmarkEnd w:id="19"/>
    </w:p>
    <w:p>
      <w:pPr>
        <w:pStyle w:val="Corp"/>
        <w:keepNext w:val="1"/>
        <w:jc w:val="center"/>
      </w:pPr>
      <w:r>
        <w:drawing xmlns:a="http://schemas.openxmlformats.org/drawingml/2006/main">
          <wp:inline distT="0" distB="0" distL="0" distR="0">
            <wp:extent cx="4210050" cy="2634896"/>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4">
                      <a:extLst/>
                    </a:blip>
                    <a:stretch>
                      <a:fillRect/>
                    </a:stretch>
                  </pic:blipFill>
                  <pic:spPr>
                    <a:xfrm>
                      <a:off x="0" y="0"/>
                      <a:ext cx="4210050" cy="2634896"/>
                    </a:xfrm>
                    <a:prstGeom prst="rect">
                      <a:avLst/>
                    </a:prstGeom>
                    <a:ln w="38100" cap="sq">
                      <a:solidFill>
                        <a:srgbClr val="000000"/>
                      </a:solidFill>
                      <a:prstDash val="solid"/>
                      <a:miter lim="800000"/>
                    </a:ln>
                    <a:effectLst>
                      <a:outerShdw sx="100000" sy="100000" kx="0" ky="0" algn="b" rotWithShape="0" blurRad="50800" dist="38100" dir="2700000">
                        <a:srgbClr val="000000">
                          <a:alpha val="43000"/>
                        </a:srgbClr>
                      </a:outerShdw>
                    </a:effectLst>
                  </pic:spPr>
                </pic:pic>
              </a:graphicData>
            </a:graphic>
          </wp:inline>
        </w:drawing>
      </w:r>
    </w:p>
    <w:p>
      <w:pPr>
        <w:pStyle w:val="Corp"/>
        <w:jc w:val="center"/>
        <w:rPr>
          <w:b w:val="1"/>
          <w:bCs w:val="1"/>
        </w:rPr>
      </w:pPr>
      <w:r>
        <w:rPr>
          <w:b w:val="1"/>
          <w:bCs w:val="1"/>
          <w:rtl w:val="0"/>
          <w:lang w:val="en-US"/>
        </w:rPr>
        <w:t>Figure 1: Press freedom index in the United Kingdom (UK) from 2013 to 2024</w:t>
      </w:r>
    </w:p>
    <w:p>
      <w:pPr>
        <w:pStyle w:val="Corp"/>
        <w:jc w:val="center"/>
      </w:pPr>
      <w:r>
        <w:rPr>
          <w:rtl w:val="0"/>
        </w:rPr>
        <w:t>(Source: Statista, 2024)</w:t>
      </w:r>
    </w:p>
    <w:p>
      <w:pPr>
        <w:pStyle w:val="Corp"/>
        <w:keepNext w:val="1"/>
        <w:jc w:val="center"/>
      </w:pPr>
      <w:r>
        <w:rPr>
          <w:sz w:val="23"/>
          <w:szCs w:val="23"/>
        </w:rPr>
        <w:drawing xmlns:a="http://schemas.openxmlformats.org/drawingml/2006/main">
          <wp:inline distT="0" distB="0" distL="0" distR="0">
            <wp:extent cx="5664491" cy="2368672"/>
            <wp:effectExtent l="0" t="0" r="0" b="0"/>
            <wp:docPr id="1073741826" name="officeArt object" descr="Picture 1"/>
            <wp:cNvGraphicFramePr/>
            <a:graphic xmlns:a="http://schemas.openxmlformats.org/drawingml/2006/main">
              <a:graphicData uri="http://schemas.openxmlformats.org/drawingml/2006/picture">
                <pic:pic xmlns:pic="http://schemas.openxmlformats.org/drawingml/2006/picture">
                  <pic:nvPicPr>
                    <pic:cNvPr id="1073741826" name="Picture 1" descr="Picture 1"/>
                    <pic:cNvPicPr>
                      <a:picLocks noChangeAspect="1"/>
                    </pic:cNvPicPr>
                  </pic:nvPicPr>
                  <pic:blipFill>
                    <a:blip r:embed="rId5">
                      <a:extLst/>
                    </a:blip>
                    <a:stretch>
                      <a:fillRect/>
                    </a:stretch>
                  </pic:blipFill>
                  <pic:spPr>
                    <a:xfrm>
                      <a:off x="0" y="0"/>
                      <a:ext cx="5664491" cy="2368672"/>
                    </a:xfrm>
                    <a:prstGeom prst="rect">
                      <a:avLst/>
                    </a:prstGeom>
                    <a:ln w="38100" cap="sq">
                      <a:solidFill>
                        <a:srgbClr val="000000"/>
                      </a:solidFill>
                      <a:prstDash val="solid"/>
                      <a:miter lim="800000"/>
                    </a:ln>
                    <a:effectLst>
                      <a:outerShdw sx="100000" sy="100000" kx="0" ky="0" algn="b" rotWithShape="0" blurRad="50800" dist="38100" dir="2700000">
                        <a:srgbClr val="000000">
                          <a:alpha val="43000"/>
                        </a:srgbClr>
                      </a:outerShdw>
                    </a:effectLst>
                  </pic:spPr>
                </pic:pic>
              </a:graphicData>
            </a:graphic>
          </wp:inline>
        </w:drawing>
      </w:r>
    </w:p>
    <w:p>
      <w:pPr>
        <w:pStyle w:val="Corp"/>
        <w:jc w:val="center"/>
        <w:rPr>
          <w:b w:val="1"/>
          <w:bCs w:val="1"/>
        </w:rPr>
      </w:pPr>
      <w:r>
        <w:rPr>
          <w:b w:val="1"/>
          <w:bCs w:val="1"/>
          <w:rtl w:val="0"/>
          <w:lang w:val="en-US"/>
        </w:rPr>
        <w:t>Figure 2: United Kingdom: Political stability</w:t>
      </w:r>
    </w:p>
    <w:p>
      <w:pPr>
        <w:pStyle w:val="Corp"/>
        <w:jc w:val="center"/>
      </w:pPr>
      <w:r>
        <w:rPr>
          <w:rtl w:val="0"/>
          <w:lang w:val="en-US"/>
        </w:rPr>
        <w:t>(Source: The Global Economy, 2024)</w:t>
      </w:r>
    </w:p>
    <w:p>
      <w:pPr>
        <w:pStyle w:val="Corp"/>
        <w:keepNext w:val="1"/>
        <w:jc w:val="center"/>
      </w:pPr>
      <w:r>
        <w:drawing xmlns:a="http://schemas.openxmlformats.org/drawingml/2006/main">
          <wp:inline distT="0" distB="0" distL="0" distR="0">
            <wp:extent cx="4077278" cy="2571750"/>
            <wp:effectExtent l="0" t="0" r="0" b="0"/>
            <wp:docPr id="1073741827" name="officeArt object" descr="Picture 1"/>
            <wp:cNvGraphicFramePr/>
            <a:graphic xmlns:a="http://schemas.openxmlformats.org/drawingml/2006/main">
              <a:graphicData uri="http://schemas.openxmlformats.org/drawingml/2006/picture">
                <pic:pic xmlns:pic="http://schemas.openxmlformats.org/drawingml/2006/picture">
                  <pic:nvPicPr>
                    <pic:cNvPr id="1073741827" name="Picture 1" descr="Picture 1"/>
                    <pic:cNvPicPr>
                      <a:picLocks noChangeAspect="1"/>
                    </pic:cNvPicPr>
                  </pic:nvPicPr>
                  <pic:blipFill>
                    <a:blip r:embed="rId6">
                      <a:extLst/>
                    </a:blip>
                    <a:stretch>
                      <a:fillRect/>
                    </a:stretch>
                  </pic:blipFill>
                  <pic:spPr>
                    <a:xfrm>
                      <a:off x="0" y="0"/>
                      <a:ext cx="4077278" cy="2571750"/>
                    </a:xfrm>
                    <a:prstGeom prst="rect">
                      <a:avLst/>
                    </a:prstGeom>
                    <a:ln w="38100" cap="sq">
                      <a:solidFill>
                        <a:srgbClr val="000000"/>
                      </a:solidFill>
                      <a:prstDash val="solid"/>
                      <a:miter lim="800000"/>
                    </a:ln>
                    <a:effectLst>
                      <a:outerShdw sx="100000" sy="100000" kx="0" ky="0" algn="b" rotWithShape="0" blurRad="50800" dist="38100" dir="2700000">
                        <a:srgbClr val="000000">
                          <a:alpha val="43000"/>
                        </a:srgbClr>
                      </a:outerShdw>
                    </a:effectLst>
                  </pic:spPr>
                </pic:pic>
              </a:graphicData>
            </a:graphic>
          </wp:inline>
        </w:drawing>
      </w:r>
    </w:p>
    <w:p>
      <w:pPr>
        <w:pStyle w:val="Corp"/>
        <w:jc w:val="center"/>
        <w:rPr>
          <w:b w:val="1"/>
          <w:bCs w:val="1"/>
        </w:rPr>
      </w:pPr>
      <w:r>
        <w:rPr>
          <w:b w:val="1"/>
          <w:bCs w:val="1"/>
          <w:rtl w:val="0"/>
          <w:lang w:val="en-US"/>
        </w:rPr>
        <w:t>Figure 3: Corruption perception index score of the United Kingdom from 2012 to 2023</w:t>
      </w:r>
    </w:p>
    <w:p>
      <w:pPr>
        <w:pStyle w:val="Corp"/>
        <w:jc w:val="center"/>
      </w:pPr>
      <w:r>
        <w:rPr>
          <w:rtl w:val="0"/>
        </w:rPr>
        <w:t>(Source: Statista, 2024)</w:t>
      </w:r>
    </w:p>
    <w:p>
      <w:pPr>
        <w:pStyle w:val="Corp"/>
        <w:keepNext w:val="1"/>
        <w:jc w:val="center"/>
      </w:pPr>
      <w:r>
        <w:drawing xmlns:a="http://schemas.openxmlformats.org/drawingml/2006/main">
          <wp:inline distT="0" distB="0" distL="0" distR="0">
            <wp:extent cx="3733800" cy="2329958"/>
            <wp:effectExtent l="0" t="0" r="0" b="0"/>
            <wp:docPr id="1073741828" name="officeArt object" descr="Picture 1"/>
            <wp:cNvGraphicFramePr/>
            <a:graphic xmlns:a="http://schemas.openxmlformats.org/drawingml/2006/main">
              <a:graphicData uri="http://schemas.openxmlformats.org/drawingml/2006/picture">
                <pic:pic xmlns:pic="http://schemas.openxmlformats.org/drawingml/2006/picture">
                  <pic:nvPicPr>
                    <pic:cNvPr id="1073741828" name="Picture 1" descr="Picture 1"/>
                    <pic:cNvPicPr>
                      <a:picLocks noChangeAspect="1"/>
                    </pic:cNvPicPr>
                  </pic:nvPicPr>
                  <pic:blipFill>
                    <a:blip r:embed="rId7">
                      <a:extLst/>
                    </a:blip>
                    <a:stretch>
                      <a:fillRect/>
                    </a:stretch>
                  </pic:blipFill>
                  <pic:spPr>
                    <a:xfrm>
                      <a:off x="0" y="0"/>
                      <a:ext cx="3733800" cy="2329958"/>
                    </a:xfrm>
                    <a:prstGeom prst="rect">
                      <a:avLst/>
                    </a:prstGeom>
                    <a:ln w="38100" cap="sq">
                      <a:solidFill>
                        <a:srgbClr val="000000"/>
                      </a:solidFill>
                      <a:prstDash val="solid"/>
                      <a:miter lim="800000"/>
                    </a:ln>
                    <a:effectLst>
                      <a:outerShdw sx="100000" sy="100000" kx="0" ky="0" algn="b" rotWithShape="0" blurRad="50800" dist="38100" dir="2700000">
                        <a:srgbClr val="000000">
                          <a:alpha val="43000"/>
                        </a:srgbClr>
                      </a:outerShdw>
                    </a:effectLst>
                  </pic:spPr>
                </pic:pic>
              </a:graphicData>
            </a:graphic>
          </wp:inline>
        </w:drawing>
      </w:r>
    </w:p>
    <w:p>
      <w:pPr>
        <w:pStyle w:val="Corp"/>
        <w:jc w:val="center"/>
        <w:rPr>
          <w:b w:val="1"/>
          <w:bCs w:val="1"/>
        </w:rPr>
      </w:pPr>
      <w:r>
        <w:rPr>
          <w:b w:val="1"/>
          <w:bCs w:val="1"/>
          <w:rtl w:val="0"/>
          <w:lang w:val="en-US"/>
        </w:rPr>
        <w:t>Figure 4: United Kingdom: Real gross domestic product (GDP) growth rate from 2019 to 2029</w:t>
      </w:r>
    </w:p>
    <w:p>
      <w:pPr>
        <w:pStyle w:val="Corp"/>
        <w:jc w:val="center"/>
      </w:pPr>
      <w:r>
        <w:rPr>
          <w:rtl w:val="0"/>
        </w:rPr>
        <w:t>(Source: Statista, 2024)</w:t>
      </w:r>
    </w:p>
    <w:p>
      <w:pPr>
        <w:pStyle w:val="Corp"/>
        <w:keepNext w:val="1"/>
        <w:jc w:val="center"/>
      </w:pPr>
      <w:r>
        <w:drawing xmlns:a="http://schemas.openxmlformats.org/drawingml/2006/main">
          <wp:inline distT="0" distB="0" distL="0" distR="0">
            <wp:extent cx="4413250" cy="2854168"/>
            <wp:effectExtent l="0" t="0" r="0" b="0"/>
            <wp:docPr id="1073741829" name="officeArt object" descr="Picture 1"/>
            <wp:cNvGraphicFramePr/>
            <a:graphic xmlns:a="http://schemas.openxmlformats.org/drawingml/2006/main">
              <a:graphicData uri="http://schemas.openxmlformats.org/drawingml/2006/picture">
                <pic:pic xmlns:pic="http://schemas.openxmlformats.org/drawingml/2006/picture">
                  <pic:nvPicPr>
                    <pic:cNvPr id="1073741829" name="Picture 1" descr="Picture 1"/>
                    <pic:cNvPicPr>
                      <a:picLocks noChangeAspect="1"/>
                    </pic:cNvPicPr>
                  </pic:nvPicPr>
                  <pic:blipFill>
                    <a:blip r:embed="rId8">
                      <a:extLst/>
                    </a:blip>
                    <a:stretch>
                      <a:fillRect/>
                    </a:stretch>
                  </pic:blipFill>
                  <pic:spPr>
                    <a:xfrm>
                      <a:off x="0" y="0"/>
                      <a:ext cx="4413250" cy="2854168"/>
                    </a:xfrm>
                    <a:prstGeom prst="rect">
                      <a:avLst/>
                    </a:prstGeom>
                    <a:ln w="38100" cap="sq">
                      <a:solidFill>
                        <a:srgbClr val="000000"/>
                      </a:solidFill>
                      <a:prstDash val="solid"/>
                      <a:miter lim="800000"/>
                    </a:ln>
                    <a:effectLst>
                      <a:outerShdw sx="100000" sy="100000" kx="0" ky="0" algn="b" rotWithShape="0" blurRad="50800" dist="38100" dir="2700000">
                        <a:srgbClr val="000000">
                          <a:alpha val="43000"/>
                        </a:srgbClr>
                      </a:outerShdw>
                    </a:effectLst>
                  </pic:spPr>
                </pic:pic>
              </a:graphicData>
            </a:graphic>
          </wp:inline>
        </w:drawing>
      </w:r>
    </w:p>
    <w:p>
      <w:pPr>
        <w:pStyle w:val="Corp"/>
        <w:jc w:val="center"/>
        <w:rPr>
          <w:b w:val="1"/>
          <w:bCs w:val="1"/>
        </w:rPr>
      </w:pPr>
      <w:r>
        <w:rPr>
          <w:b w:val="1"/>
          <w:bCs w:val="1"/>
          <w:rtl w:val="0"/>
          <w:lang w:val="en-US"/>
        </w:rPr>
        <w:t>Figure 5: Inflation rate for the Consumer Price Index (CPI) in the United Kingdom from January 1989 to April 2024</w:t>
      </w:r>
    </w:p>
    <w:p>
      <w:pPr>
        <w:pStyle w:val="Corp"/>
        <w:jc w:val="center"/>
      </w:pPr>
      <w:r>
        <w:rPr>
          <w:rtl w:val="0"/>
        </w:rPr>
        <w:t>(Source: Statista, 2024)</w:t>
      </w:r>
    </w:p>
    <w:p>
      <w:pPr>
        <w:pStyle w:val="Corp"/>
        <w:keepNext w:val="1"/>
        <w:jc w:val="center"/>
      </w:pPr>
      <w:r>
        <w:rPr>
          <w:b w:val="1"/>
          <w:bCs w:val="1"/>
        </w:rPr>
        <w:drawing xmlns:a="http://schemas.openxmlformats.org/drawingml/2006/main">
          <wp:inline distT="0" distB="0" distL="0" distR="0">
            <wp:extent cx="4298950" cy="2757092"/>
            <wp:effectExtent l="0" t="0" r="0" b="0"/>
            <wp:docPr id="1073741830" name="officeArt object" descr="Picture 1"/>
            <wp:cNvGraphicFramePr/>
            <a:graphic xmlns:a="http://schemas.openxmlformats.org/drawingml/2006/main">
              <a:graphicData uri="http://schemas.openxmlformats.org/drawingml/2006/picture">
                <pic:pic xmlns:pic="http://schemas.openxmlformats.org/drawingml/2006/picture">
                  <pic:nvPicPr>
                    <pic:cNvPr id="1073741830" name="Picture 1" descr="Picture 1"/>
                    <pic:cNvPicPr>
                      <a:picLocks noChangeAspect="1"/>
                    </pic:cNvPicPr>
                  </pic:nvPicPr>
                  <pic:blipFill>
                    <a:blip r:embed="rId9">
                      <a:extLst/>
                    </a:blip>
                    <a:stretch>
                      <a:fillRect/>
                    </a:stretch>
                  </pic:blipFill>
                  <pic:spPr>
                    <a:xfrm>
                      <a:off x="0" y="0"/>
                      <a:ext cx="4298950" cy="2757092"/>
                    </a:xfrm>
                    <a:prstGeom prst="rect">
                      <a:avLst/>
                    </a:prstGeom>
                    <a:ln w="38100" cap="sq">
                      <a:solidFill>
                        <a:srgbClr val="000000"/>
                      </a:solidFill>
                      <a:prstDash val="solid"/>
                      <a:miter lim="800000"/>
                    </a:ln>
                    <a:effectLst>
                      <a:outerShdw sx="100000" sy="100000" kx="0" ky="0" algn="b" rotWithShape="0" blurRad="50800" dist="38100" dir="2700000">
                        <a:srgbClr val="000000">
                          <a:alpha val="43000"/>
                        </a:srgbClr>
                      </a:outerShdw>
                    </a:effectLst>
                  </pic:spPr>
                </pic:pic>
              </a:graphicData>
            </a:graphic>
          </wp:inline>
        </w:drawing>
      </w:r>
    </w:p>
    <w:p>
      <w:pPr>
        <w:pStyle w:val="Corp"/>
        <w:jc w:val="center"/>
        <w:rPr>
          <w:b w:val="1"/>
          <w:bCs w:val="1"/>
        </w:rPr>
      </w:pPr>
      <w:r>
        <w:rPr>
          <w:b w:val="1"/>
          <w:bCs w:val="1"/>
          <w:rtl w:val="0"/>
          <w:lang w:val="en-US"/>
        </w:rPr>
        <w:t>Figure 6: Average equivalised disposable household income in the United Kingdom in 2021/22, by decile group</w:t>
      </w:r>
    </w:p>
    <w:p>
      <w:pPr>
        <w:pStyle w:val="Corp"/>
        <w:jc w:val="center"/>
      </w:pPr>
      <w:r>
        <w:rPr>
          <w:rtl w:val="0"/>
        </w:rPr>
        <w:t>(Source: Statista, 2024)</w:t>
      </w:r>
    </w:p>
    <w:p>
      <w:pPr>
        <w:pStyle w:val="Corp"/>
        <w:keepNext w:val="1"/>
        <w:jc w:val="center"/>
      </w:pPr>
      <w:r>
        <w:drawing xmlns:a="http://schemas.openxmlformats.org/drawingml/2006/main">
          <wp:inline distT="0" distB="0" distL="0" distR="0">
            <wp:extent cx="4438650" cy="2850186"/>
            <wp:effectExtent l="0" t="0" r="0" b="0"/>
            <wp:docPr id="1073741831" name="officeArt object" descr="Picture 1"/>
            <wp:cNvGraphicFramePr/>
            <a:graphic xmlns:a="http://schemas.openxmlformats.org/drawingml/2006/main">
              <a:graphicData uri="http://schemas.openxmlformats.org/drawingml/2006/picture">
                <pic:pic xmlns:pic="http://schemas.openxmlformats.org/drawingml/2006/picture">
                  <pic:nvPicPr>
                    <pic:cNvPr id="1073741831" name="Picture 1" descr="Picture 1"/>
                    <pic:cNvPicPr>
                      <a:picLocks noChangeAspect="1"/>
                    </pic:cNvPicPr>
                  </pic:nvPicPr>
                  <pic:blipFill>
                    <a:blip r:embed="rId10">
                      <a:extLst/>
                    </a:blip>
                    <a:stretch>
                      <a:fillRect/>
                    </a:stretch>
                  </pic:blipFill>
                  <pic:spPr>
                    <a:xfrm>
                      <a:off x="0" y="0"/>
                      <a:ext cx="4438650" cy="2850186"/>
                    </a:xfrm>
                    <a:prstGeom prst="rect">
                      <a:avLst/>
                    </a:prstGeom>
                    <a:ln w="38100" cap="sq">
                      <a:solidFill>
                        <a:srgbClr val="000000"/>
                      </a:solidFill>
                      <a:prstDash val="solid"/>
                      <a:miter lim="800000"/>
                    </a:ln>
                    <a:effectLst>
                      <a:outerShdw sx="100000" sy="100000" kx="0" ky="0" algn="b" rotWithShape="0" blurRad="50800" dist="38100" dir="2700000">
                        <a:srgbClr val="000000">
                          <a:alpha val="43000"/>
                        </a:srgbClr>
                      </a:outerShdw>
                    </a:effectLst>
                  </pic:spPr>
                </pic:pic>
              </a:graphicData>
            </a:graphic>
          </wp:inline>
        </w:drawing>
      </w:r>
    </w:p>
    <w:p>
      <w:pPr>
        <w:pStyle w:val="Corp"/>
        <w:jc w:val="center"/>
        <w:rPr>
          <w:b w:val="1"/>
          <w:bCs w:val="1"/>
        </w:rPr>
      </w:pPr>
      <w:r>
        <w:rPr>
          <w:b w:val="1"/>
          <w:bCs w:val="1"/>
          <w:rtl w:val="0"/>
          <w:lang w:val="en-US"/>
        </w:rPr>
        <w:t>Figure 7: European innovation score in the United Kingdom from 2015 to 2023</w:t>
      </w:r>
    </w:p>
    <w:p>
      <w:pPr>
        <w:pStyle w:val="Corp"/>
        <w:jc w:val="center"/>
      </w:pPr>
      <w:r>
        <w:rPr>
          <w:rtl w:val="0"/>
        </w:rPr>
        <w:t>(Source: Statista, 2024)</w:t>
      </w:r>
    </w:p>
    <w:p>
      <w:pPr>
        <w:pStyle w:val="Corp"/>
        <w:keepNext w:val="1"/>
        <w:jc w:val="center"/>
      </w:pPr>
      <w:r>
        <w:drawing xmlns:a="http://schemas.openxmlformats.org/drawingml/2006/main">
          <wp:inline distT="0" distB="0" distL="0" distR="0">
            <wp:extent cx="4254500" cy="2745914"/>
            <wp:effectExtent l="0" t="0" r="0" b="0"/>
            <wp:docPr id="1073741832" name="officeArt object" descr="Picture 1"/>
            <wp:cNvGraphicFramePr/>
            <a:graphic xmlns:a="http://schemas.openxmlformats.org/drawingml/2006/main">
              <a:graphicData uri="http://schemas.openxmlformats.org/drawingml/2006/picture">
                <pic:pic xmlns:pic="http://schemas.openxmlformats.org/drawingml/2006/picture">
                  <pic:nvPicPr>
                    <pic:cNvPr id="1073741832" name="Picture 1" descr="Picture 1"/>
                    <pic:cNvPicPr>
                      <a:picLocks noChangeAspect="1"/>
                    </pic:cNvPicPr>
                  </pic:nvPicPr>
                  <pic:blipFill>
                    <a:blip r:embed="rId11">
                      <a:extLst/>
                    </a:blip>
                    <a:stretch>
                      <a:fillRect/>
                    </a:stretch>
                  </pic:blipFill>
                  <pic:spPr>
                    <a:xfrm>
                      <a:off x="0" y="0"/>
                      <a:ext cx="4254500" cy="2745914"/>
                    </a:xfrm>
                    <a:prstGeom prst="rect">
                      <a:avLst/>
                    </a:prstGeom>
                    <a:ln w="38100" cap="sq">
                      <a:solidFill>
                        <a:srgbClr val="000000"/>
                      </a:solidFill>
                      <a:prstDash val="solid"/>
                      <a:miter lim="800000"/>
                    </a:ln>
                    <a:effectLst>
                      <a:outerShdw sx="100000" sy="100000" kx="0" ky="0" algn="b" rotWithShape="0" blurRad="50800" dist="38100" dir="2700000">
                        <a:srgbClr val="000000">
                          <a:alpha val="43000"/>
                        </a:srgbClr>
                      </a:outerShdw>
                    </a:effectLst>
                  </pic:spPr>
                </pic:pic>
              </a:graphicData>
            </a:graphic>
          </wp:inline>
        </w:drawing>
      </w:r>
    </w:p>
    <w:p>
      <w:pPr>
        <w:pStyle w:val="Corp"/>
        <w:jc w:val="center"/>
        <w:rPr>
          <w:b w:val="1"/>
          <w:bCs w:val="1"/>
        </w:rPr>
      </w:pPr>
      <w:r>
        <w:rPr>
          <w:b w:val="1"/>
          <w:bCs w:val="1"/>
          <w:rtl w:val="0"/>
          <w:lang w:val="en-US"/>
        </w:rPr>
        <w:t>Figure 8: Share of individuals using the internet in the United Kingdom (UK) from 2002 to 2024</w:t>
      </w:r>
    </w:p>
    <w:p>
      <w:pPr>
        <w:pStyle w:val="Corp"/>
        <w:jc w:val="center"/>
      </w:pPr>
      <w:r>
        <w:rPr>
          <w:rtl w:val="0"/>
        </w:rPr>
        <w:t>(Source: Statista, 2024)</w:t>
      </w:r>
    </w:p>
    <w:sectPr>
      <w:headerReference w:type="default" r:id="rId12"/>
      <w:footerReference w:type="default" r:id="rId13"/>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Light">
    <w:charset w:val="00"/>
    <w:family w:val="roman"/>
    <w:pitch w:val="default"/>
  </w:font>
  <w:font w:name="Calibri">
    <w:charset w:val="00"/>
    <w:family w:val="roman"/>
    <w:pitch w:val="default"/>
  </w:font>
  <w:font w:name="Wingding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026"/>
      </w:tabs>
      <w:jc w:val="right"/>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Antet și subsol"/>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română" w:val="‘“(〔[{〈《「『【⦅〘〖«〝︵︷︹︻︽︿﹁﹃﹇﹙﹛﹝｢"/>
  <w:noLineBreaksBefore w:lang="română"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Antet și subsol">
    <w:name w:val="Antet și subsol"/>
    <w:next w:val="Antet și subsol"/>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 w:type="paragraph" w:styleId="Corp">
    <w:name w:val="Corp"/>
    <w:next w:val="Corp"/>
    <w:pPr>
      <w:keepNext w:val="0"/>
      <w:keepLines w:val="0"/>
      <w:pageBreakBefore w:val="0"/>
      <w:widowControl w:val="1"/>
      <w:shd w:val="clear" w:color="auto" w:fill="auto"/>
      <w:suppressAutoHyphens w:val="0"/>
      <w:bidi w:val="0"/>
      <w:spacing w:before="0" w:after="16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Titlu">
    <w:name w:val="Titlu"/>
    <w:next w:val="Corp"/>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shd w:val="nil" w:color="auto" w:fill="auto"/>
      <w:vertAlign w:val="baseline"/>
      <w:lang w:val="de-DE"/>
      <w14:textOutline>
        <w14:noFill/>
      </w14:textOutline>
      <w14:textFill>
        <w14:solidFill>
          <w14:srgbClr w14:val="000000"/>
        </w14:solidFill>
      </w14:textFill>
    </w:rPr>
  </w:style>
  <w:style w:type="paragraph" w:styleId="TOC Heading">
    <w:name w:val="TOC Heading"/>
    <w:next w:val="Corp"/>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Light" w:cs="Arial Unicode MS" w:hAnsi="Calibri Light" w:eastAsia="Arial Unicode MS"/>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lang w:val="en-US"/>
      <w14:textFill>
        <w14:solidFill>
          <w14:srgbClr w14:val="2F5496"/>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0" w:after="10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 w:type="paragraph" w:styleId="Colontitlu">
    <w:name w:val="Colontitlu"/>
    <w:next w:val="Corp"/>
    <w:pPr>
      <w:keepNext w:val="1"/>
      <w:keepLines w:val="1"/>
      <w:pageBreakBefore w:val="0"/>
      <w:widowControl w:val="1"/>
      <w:shd w:val="clear" w:color="auto" w:fill="auto"/>
      <w:suppressAutoHyphens w:val="0"/>
      <w:bidi w:val="0"/>
      <w:spacing w:before="240" w:after="0" w:line="360"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2"/>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000" w:leader="dot"/>
      </w:tabs>
      <w:suppressAutoHyphens w:val="0"/>
      <w:bidi w:val="0"/>
      <w:spacing w:before="0" w:after="100" w:line="360" w:lineRule="auto"/>
      <w:ind w:left="24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 w:type="paragraph" w:styleId="Colontitlu 2">
    <w:name w:val="Colontitlu 2"/>
    <w:next w:val="Corp"/>
    <w:pPr>
      <w:keepNext w:val="1"/>
      <w:keepLines w:val="1"/>
      <w:pageBreakBefore w:val="0"/>
      <w:widowControl w:val="1"/>
      <w:shd w:val="clear" w:color="auto" w:fill="auto"/>
      <w:suppressAutoHyphens w:val="0"/>
      <w:bidi w:val="0"/>
      <w:spacing w:before="40" w:after="0" w:line="360" w:lineRule="auto"/>
      <w:ind w:left="0" w:right="0" w:firstLine="0"/>
      <w:jc w:val="both"/>
      <w:outlineLvl w:val="1"/>
    </w:pPr>
    <w:rPr>
      <w:rFonts w:ascii="Times New Roman" w:cs="Times New Roman" w:hAnsi="Times New Roman" w:eastAsia="Times New Roman"/>
      <w:b w:val="1"/>
      <w:bCs w:val="1"/>
      <w:i w:val="1"/>
      <w:iCs w:val="1"/>
      <w:caps w:val="0"/>
      <w:smallCaps w:val="0"/>
      <w:strike w:val="0"/>
      <w:dstrike w:val="0"/>
      <w:outline w:val="0"/>
      <w:color w:val="000000"/>
      <w:spacing w:val="0"/>
      <w:kern w:val="2"/>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360" w:lineRule="auto"/>
      <w:ind w:left="72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numbering" Target="numbering.xml"/><Relationship Id="rId15"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