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0A3293" w:rsidRDefault="00000000">
      <w:r>
        <w:t xml:space="preserve">                                          </w:t>
      </w:r>
    </w:p>
    <w:p w14:paraId="00000002" w14:textId="77777777" w:rsidR="000A3293" w:rsidRDefault="000A3293"/>
    <w:p w14:paraId="00000003" w14:textId="77777777" w:rsidR="000A3293" w:rsidRDefault="000A3293"/>
    <w:p w14:paraId="00000004" w14:textId="77777777" w:rsidR="000A3293" w:rsidRDefault="00000000">
      <w:r>
        <w:t xml:space="preserve">                            </w:t>
      </w:r>
    </w:p>
    <w:p w14:paraId="00000005" w14:textId="77777777" w:rsidR="000A3293" w:rsidRDefault="000A3293"/>
    <w:p w14:paraId="00000006" w14:textId="77777777" w:rsidR="000A3293" w:rsidRDefault="000A3293"/>
    <w:p w14:paraId="00000007" w14:textId="77777777" w:rsidR="000A3293" w:rsidRDefault="000A3293"/>
    <w:p w14:paraId="00000008" w14:textId="77777777" w:rsidR="000A3293" w:rsidRDefault="000A3293"/>
    <w:p w14:paraId="00000009" w14:textId="1F191283" w:rsidR="000A3293" w:rsidRDefault="00000000">
      <w:pPr>
        <w:jc w:val="center"/>
        <w:rPr>
          <w:rFonts w:ascii="Arial" w:eastAsia="Arial" w:hAnsi="Arial" w:cs="Arial"/>
          <w:sz w:val="72"/>
          <w:szCs w:val="72"/>
        </w:rPr>
      </w:pPr>
      <w:r>
        <w:rPr>
          <w:rFonts w:ascii="Arial" w:eastAsia="Arial" w:hAnsi="Arial" w:cs="Arial"/>
          <w:sz w:val="72"/>
          <w:szCs w:val="72"/>
        </w:rPr>
        <w:t>Child F</w:t>
      </w:r>
    </w:p>
    <w:p w14:paraId="0000000A" w14:textId="77777777" w:rsidR="000A3293" w:rsidRDefault="00000000">
      <w:pPr>
        <w:pBdr>
          <w:top w:val="nil"/>
          <w:left w:val="nil"/>
          <w:bottom w:val="nil"/>
          <w:right w:val="nil"/>
          <w:between w:val="nil"/>
        </w:pBdr>
        <w:spacing w:after="0" w:line="240" w:lineRule="auto"/>
        <w:jc w:val="center"/>
        <w:rPr>
          <w:rFonts w:ascii="Arial" w:eastAsia="Arial" w:hAnsi="Arial" w:cs="Arial"/>
          <w:color w:val="000000"/>
          <w:sz w:val="40"/>
          <w:szCs w:val="40"/>
        </w:rPr>
      </w:pPr>
      <w:r>
        <w:rPr>
          <w:rFonts w:ascii="Arial" w:eastAsia="Arial" w:hAnsi="Arial" w:cs="Arial"/>
          <w:color w:val="000000"/>
          <w:sz w:val="40"/>
          <w:szCs w:val="40"/>
        </w:rPr>
        <w:t xml:space="preserve"> </w:t>
      </w:r>
    </w:p>
    <w:p w14:paraId="0000000B" w14:textId="77777777" w:rsidR="000A3293" w:rsidRDefault="00000000">
      <w:pPr>
        <w:pBdr>
          <w:top w:val="nil"/>
          <w:left w:val="nil"/>
          <w:bottom w:val="nil"/>
          <w:right w:val="nil"/>
          <w:between w:val="nil"/>
        </w:pBdr>
        <w:spacing w:after="0" w:line="240" w:lineRule="auto"/>
        <w:jc w:val="center"/>
        <w:rPr>
          <w:rFonts w:ascii="Arial" w:eastAsia="Arial" w:hAnsi="Arial" w:cs="Arial"/>
          <w:color w:val="5B9BD5"/>
          <w:sz w:val="40"/>
          <w:szCs w:val="40"/>
        </w:rPr>
      </w:pPr>
      <w:r>
        <w:rPr>
          <w:rFonts w:ascii="Arial" w:eastAsia="Arial" w:hAnsi="Arial" w:cs="Arial"/>
          <w:color w:val="000000"/>
          <w:sz w:val="40"/>
          <w:szCs w:val="40"/>
        </w:rPr>
        <w:t xml:space="preserve">Student name: </w:t>
      </w:r>
      <w:r>
        <w:rPr>
          <w:rFonts w:ascii="Arial" w:eastAsia="Arial" w:hAnsi="Arial" w:cs="Arial"/>
          <w:sz w:val="40"/>
          <w:szCs w:val="40"/>
        </w:rPr>
        <w:t>Tsion Abiyo</w:t>
      </w:r>
      <w:r>
        <w:rPr>
          <w:rFonts w:ascii="Arial" w:eastAsia="Arial" w:hAnsi="Arial" w:cs="Arial"/>
          <w:color w:val="000000"/>
          <w:sz w:val="40"/>
          <w:szCs w:val="40"/>
        </w:rPr>
        <w:br/>
        <w:t xml:space="preserve">Student number: </w:t>
      </w:r>
      <w:r>
        <w:rPr>
          <w:rFonts w:ascii="Arial" w:eastAsia="Arial" w:hAnsi="Arial" w:cs="Arial"/>
          <w:sz w:val="40"/>
          <w:szCs w:val="40"/>
        </w:rPr>
        <w:t>2328768</w:t>
      </w:r>
      <w:r>
        <w:rPr>
          <w:rFonts w:ascii="Arial" w:eastAsia="Arial" w:hAnsi="Arial" w:cs="Arial"/>
          <w:color w:val="000000"/>
          <w:sz w:val="40"/>
          <w:szCs w:val="40"/>
        </w:rPr>
        <w:br/>
        <w:t xml:space="preserve">Module code: BMHP5021 PSFHSC C1 </w:t>
      </w:r>
      <w:r>
        <w:rPr>
          <w:rFonts w:ascii="Arial" w:eastAsia="Arial" w:hAnsi="Arial" w:cs="Arial"/>
          <w:color w:val="000000"/>
          <w:sz w:val="40"/>
          <w:szCs w:val="40"/>
        </w:rPr>
        <w:br/>
      </w:r>
    </w:p>
    <w:p w14:paraId="0000000C" w14:textId="77777777" w:rsidR="000A3293" w:rsidRDefault="00000000">
      <w:pPr>
        <w:spacing w:after="0"/>
        <w:rPr>
          <w:rFonts w:ascii="Arial" w:eastAsia="Arial" w:hAnsi="Arial" w:cs="Arial"/>
          <w:sz w:val="40"/>
          <w:szCs w:val="40"/>
          <w:highlight w:val="white"/>
        </w:rPr>
      </w:pPr>
      <w:r>
        <w:rPr>
          <w:rFonts w:ascii="Arial" w:eastAsia="Arial" w:hAnsi="Arial" w:cs="Arial"/>
          <w:sz w:val="40"/>
          <w:szCs w:val="40"/>
          <w:highlight w:val="white"/>
        </w:rPr>
        <w:t xml:space="preserve"> </w:t>
      </w:r>
    </w:p>
    <w:p w14:paraId="0000000D" w14:textId="77777777" w:rsidR="000A3293" w:rsidRDefault="00000000">
      <w:pPr>
        <w:rPr>
          <w:rFonts w:ascii="Arial" w:eastAsia="Arial" w:hAnsi="Arial" w:cs="Arial"/>
          <w:highlight w:val="white"/>
        </w:rPr>
      </w:pPr>
      <w:r>
        <w:rPr>
          <w:rFonts w:ascii="Arial" w:eastAsia="Arial" w:hAnsi="Arial" w:cs="Arial"/>
          <w:highlight w:val="white"/>
        </w:rPr>
        <w:t xml:space="preserve"> </w:t>
      </w:r>
    </w:p>
    <w:p w14:paraId="0000000E" w14:textId="77777777" w:rsidR="000A3293" w:rsidRDefault="00000000">
      <w:pPr>
        <w:spacing w:after="0"/>
        <w:rPr>
          <w:rFonts w:ascii="Arial" w:eastAsia="Arial" w:hAnsi="Arial" w:cs="Arial"/>
          <w:highlight w:val="white"/>
        </w:rPr>
      </w:pPr>
      <w:r>
        <w:br w:type="page"/>
      </w:r>
    </w:p>
    <w:p w14:paraId="0000000F" w14:textId="77777777" w:rsidR="000A3293" w:rsidRDefault="00000000">
      <w:pPr>
        <w:rPr>
          <w:rFonts w:ascii="Arial" w:eastAsia="Arial" w:hAnsi="Arial" w:cs="Arial"/>
          <w:highlight w:val="white"/>
        </w:rPr>
      </w:pPr>
      <w:r>
        <w:rPr>
          <w:rFonts w:ascii="Arial" w:eastAsia="Arial" w:hAnsi="Arial" w:cs="Arial"/>
          <w:highlight w:val="white"/>
        </w:rPr>
        <w:lastRenderedPageBreak/>
        <w:t xml:space="preserve"> </w:t>
      </w:r>
    </w:p>
    <w:p w14:paraId="00000010" w14:textId="77777777" w:rsidR="000A3293" w:rsidRDefault="00000000">
      <w:pPr>
        <w:rPr>
          <w:rFonts w:ascii="Arial" w:eastAsia="Arial" w:hAnsi="Arial" w:cs="Arial"/>
          <w:highlight w:val="white"/>
        </w:rPr>
      </w:pPr>
      <w:r>
        <w:rPr>
          <w:rFonts w:ascii="Arial" w:eastAsia="Arial" w:hAnsi="Arial" w:cs="Arial"/>
          <w:highlight w:val="white"/>
        </w:rPr>
        <w:t xml:space="preserve"> </w:t>
      </w:r>
    </w:p>
    <w:p w14:paraId="00000011" w14:textId="77777777" w:rsidR="000A3293" w:rsidRDefault="00000000">
      <w:pPr>
        <w:rPr>
          <w:rFonts w:ascii="Arial" w:eastAsia="Arial" w:hAnsi="Arial" w:cs="Arial"/>
          <w:highlight w:val="white"/>
        </w:rPr>
      </w:pPr>
      <w:r>
        <w:rPr>
          <w:rFonts w:ascii="Arial" w:eastAsia="Arial" w:hAnsi="Arial" w:cs="Arial"/>
          <w:highlight w:val="white"/>
        </w:rPr>
        <w:t xml:space="preserve"> </w:t>
      </w:r>
    </w:p>
    <w:p w14:paraId="00000012" w14:textId="77777777" w:rsidR="000A3293" w:rsidRDefault="00000000">
      <w:pPr>
        <w:rPr>
          <w:rFonts w:ascii="Arial" w:eastAsia="Arial" w:hAnsi="Arial" w:cs="Arial"/>
          <w:sz w:val="36"/>
          <w:szCs w:val="36"/>
          <w:highlight w:val="white"/>
        </w:rPr>
      </w:pPr>
      <w:r>
        <w:rPr>
          <w:rFonts w:ascii="Arial" w:eastAsia="Arial" w:hAnsi="Arial" w:cs="Arial"/>
          <w:sz w:val="36"/>
          <w:szCs w:val="36"/>
          <w:highlight w:val="white"/>
        </w:rPr>
        <w:t xml:space="preserve"> </w:t>
      </w:r>
    </w:p>
    <w:p w14:paraId="00000013" w14:textId="77777777" w:rsidR="000A3293" w:rsidRDefault="00000000">
      <w:pPr>
        <w:rPr>
          <w:rFonts w:ascii="Arial" w:eastAsia="Arial" w:hAnsi="Arial" w:cs="Arial"/>
          <w:sz w:val="36"/>
          <w:szCs w:val="36"/>
          <w:highlight w:val="white"/>
        </w:rPr>
      </w:pPr>
      <w:r>
        <w:rPr>
          <w:rFonts w:ascii="Arial" w:eastAsia="Arial" w:hAnsi="Arial" w:cs="Arial"/>
          <w:sz w:val="36"/>
          <w:szCs w:val="36"/>
          <w:highlight w:val="white"/>
        </w:rPr>
        <w:t xml:space="preserve"> </w:t>
      </w:r>
    </w:p>
    <w:p w14:paraId="00000014" w14:textId="77777777" w:rsidR="000A3293" w:rsidRDefault="00000000">
      <w:pPr>
        <w:keepNext/>
        <w:keepLines/>
        <w:widowControl w:val="0"/>
        <w:pBdr>
          <w:top w:val="nil"/>
          <w:left w:val="nil"/>
          <w:bottom w:val="nil"/>
          <w:right w:val="nil"/>
          <w:between w:val="nil"/>
        </w:pBdr>
        <w:spacing w:before="240" w:after="0" w:line="360" w:lineRule="auto"/>
        <w:jc w:val="center"/>
        <w:rPr>
          <w:rFonts w:ascii="Arial" w:eastAsia="Arial" w:hAnsi="Arial" w:cs="Arial"/>
          <w:color w:val="44546A"/>
          <w:sz w:val="72"/>
          <w:szCs w:val="72"/>
        </w:rPr>
      </w:pPr>
      <w:r>
        <w:rPr>
          <w:rFonts w:ascii="Arial" w:eastAsia="Arial" w:hAnsi="Arial" w:cs="Arial"/>
          <w:color w:val="44546A"/>
          <w:sz w:val="72"/>
          <w:szCs w:val="72"/>
        </w:rPr>
        <w:t xml:space="preserve">Table of Contents  </w:t>
      </w:r>
    </w:p>
    <w:p w14:paraId="00000015" w14:textId="77777777" w:rsidR="000A3293" w:rsidRDefault="00000000">
      <w:pPr>
        <w:keepNext/>
        <w:keepLines/>
        <w:widowControl w:val="0"/>
        <w:pBdr>
          <w:top w:val="nil"/>
          <w:left w:val="nil"/>
          <w:bottom w:val="nil"/>
          <w:right w:val="nil"/>
          <w:between w:val="nil"/>
        </w:pBdr>
        <w:spacing w:before="240" w:after="0" w:line="360" w:lineRule="auto"/>
        <w:rPr>
          <w:rFonts w:ascii="Arial" w:eastAsia="Arial" w:hAnsi="Arial" w:cs="Arial"/>
          <w:color w:val="2E75B5"/>
          <w:sz w:val="36"/>
          <w:szCs w:val="36"/>
        </w:rPr>
      </w:pPr>
      <w:r>
        <w:rPr>
          <w:rFonts w:ascii="Arial" w:eastAsia="Arial" w:hAnsi="Arial" w:cs="Arial"/>
          <w:color w:val="7F6000"/>
          <w:sz w:val="36"/>
          <w:szCs w:val="36"/>
        </w:rPr>
        <w:t xml:space="preserve">                                                                </w:t>
      </w:r>
    </w:p>
    <w:p w14:paraId="00000016" w14:textId="77777777" w:rsidR="000A3293" w:rsidRDefault="00000000">
      <w:pPr>
        <w:pBdr>
          <w:top w:val="nil"/>
          <w:left w:val="nil"/>
          <w:bottom w:val="nil"/>
          <w:right w:val="nil"/>
          <w:between w:val="nil"/>
        </w:pBdr>
        <w:tabs>
          <w:tab w:val="left" w:pos="480"/>
          <w:tab w:val="right" w:leader="dot" w:pos="9350"/>
        </w:tabs>
        <w:spacing w:after="100" w:line="360" w:lineRule="auto"/>
        <w:rPr>
          <w:rFonts w:ascii="Arial" w:eastAsia="Arial" w:hAnsi="Arial" w:cs="Arial"/>
          <w:color w:val="44546A"/>
          <w:sz w:val="40"/>
          <w:szCs w:val="40"/>
        </w:rPr>
      </w:pPr>
      <w:hyperlink r:id="rId7">
        <w:r>
          <w:rPr>
            <w:rFonts w:ascii="Arial" w:eastAsia="Arial" w:hAnsi="Arial" w:cs="Arial"/>
            <w:color w:val="44546A"/>
            <w:sz w:val="40"/>
            <w:szCs w:val="40"/>
          </w:rPr>
          <w:t xml:space="preserve">1. </w:t>
        </w:r>
      </w:hyperlink>
      <w:hyperlink r:id="rId8">
        <w:r>
          <w:rPr>
            <w:rFonts w:ascii="Arial" w:eastAsia="Arial" w:hAnsi="Arial" w:cs="Arial"/>
            <w:color w:val="44546A"/>
            <w:sz w:val="40"/>
            <w:szCs w:val="40"/>
            <w:highlight w:val="white"/>
          </w:rPr>
          <w:t>SECTION 1</w:t>
        </w:r>
      </w:hyperlink>
      <w:hyperlink r:id="rId9">
        <w:r>
          <w:rPr>
            <w:rFonts w:ascii="Arial" w:eastAsia="Arial" w:hAnsi="Arial" w:cs="Arial"/>
            <w:color w:val="44546A"/>
            <w:sz w:val="40"/>
            <w:szCs w:val="40"/>
          </w:rPr>
          <w:tab/>
        </w:r>
      </w:hyperlink>
    </w:p>
    <w:p w14:paraId="00000017" w14:textId="77777777" w:rsidR="000A3293" w:rsidRDefault="00000000">
      <w:pPr>
        <w:pBdr>
          <w:top w:val="nil"/>
          <w:left w:val="nil"/>
          <w:bottom w:val="nil"/>
          <w:right w:val="nil"/>
          <w:between w:val="nil"/>
        </w:pBdr>
        <w:tabs>
          <w:tab w:val="left" w:pos="480"/>
          <w:tab w:val="right" w:leader="dot" w:pos="9350"/>
        </w:tabs>
        <w:spacing w:after="100" w:line="360" w:lineRule="auto"/>
        <w:rPr>
          <w:rFonts w:ascii="Arial" w:eastAsia="Arial" w:hAnsi="Arial" w:cs="Arial"/>
          <w:color w:val="44546A"/>
          <w:sz w:val="40"/>
          <w:szCs w:val="40"/>
        </w:rPr>
      </w:pPr>
      <w:hyperlink r:id="rId10">
        <w:r>
          <w:rPr>
            <w:rFonts w:ascii="Arial" w:eastAsia="Arial" w:hAnsi="Arial" w:cs="Arial"/>
            <w:color w:val="44546A"/>
            <w:sz w:val="40"/>
            <w:szCs w:val="40"/>
          </w:rPr>
          <w:t>2. SECTION 2</w:t>
        </w:r>
        <w:r>
          <w:rPr>
            <w:rFonts w:ascii="Arial" w:eastAsia="Arial" w:hAnsi="Arial" w:cs="Arial"/>
            <w:color w:val="44546A"/>
            <w:sz w:val="40"/>
            <w:szCs w:val="40"/>
          </w:rPr>
          <w:tab/>
        </w:r>
      </w:hyperlink>
      <w:r>
        <w:rPr>
          <w:rFonts w:ascii="Arial" w:eastAsia="Arial" w:hAnsi="Arial" w:cs="Arial"/>
          <w:color w:val="44546A"/>
          <w:sz w:val="40"/>
          <w:szCs w:val="40"/>
        </w:rPr>
        <w:t>2</w:t>
      </w:r>
    </w:p>
    <w:p w14:paraId="00000018" w14:textId="77777777" w:rsidR="000A3293" w:rsidRDefault="00000000">
      <w:pPr>
        <w:pBdr>
          <w:top w:val="nil"/>
          <w:left w:val="nil"/>
          <w:bottom w:val="nil"/>
          <w:right w:val="nil"/>
          <w:between w:val="nil"/>
        </w:pBdr>
        <w:tabs>
          <w:tab w:val="right" w:leader="dot" w:pos="9350"/>
        </w:tabs>
        <w:spacing w:after="100" w:line="360" w:lineRule="auto"/>
        <w:rPr>
          <w:rFonts w:ascii="Arial" w:eastAsia="Arial" w:hAnsi="Arial" w:cs="Arial"/>
          <w:color w:val="44546A"/>
          <w:sz w:val="40"/>
          <w:szCs w:val="40"/>
        </w:rPr>
      </w:pPr>
      <w:hyperlink r:id="rId11">
        <w:r>
          <w:rPr>
            <w:rFonts w:ascii="Arial" w:eastAsia="Arial" w:hAnsi="Arial" w:cs="Arial"/>
            <w:color w:val="44546A"/>
            <w:sz w:val="40"/>
            <w:szCs w:val="40"/>
          </w:rPr>
          <w:t>3. SECTION 3</w:t>
        </w:r>
        <w:r>
          <w:rPr>
            <w:rFonts w:ascii="Arial" w:eastAsia="Arial" w:hAnsi="Arial" w:cs="Arial"/>
            <w:color w:val="44546A"/>
            <w:sz w:val="40"/>
            <w:szCs w:val="40"/>
          </w:rPr>
          <w:tab/>
        </w:r>
      </w:hyperlink>
      <w:r>
        <w:rPr>
          <w:rFonts w:ascii="Arial" w:eastAsia="Arial" w:hAnsi="Arial" w:cs="Arial"/>
          <w:color w:val="44546A"/>
          <w:sz w:val="40"/>
          <w:szCs w:val="40"/>
        </w:rPr>
        <w:t>4</w:t>
      </w:r>
    </w:p>
    <w:p w14:paraId="00000019" w14:textId="77777777" w:rsidR="000A3293" w:rsidRDefault="00000000">
      <w:pPr>
        <w:pBdr>
          <w:top w:val="nil"/>
          <w:left w:val="nil"/>
          <w:bottom w:val="nil"/>
          <w:right w:val="nil"/>
          <w:between w:val="nil"/>
        </w:pBdr>
        <w:tabs>
          <w:tab w:val="right" w:leader="dot" w:pos="9350"/>
        </w:tabs>
        <w:spacing w:after="100" w:line="360" w:lineRule="auto"/>
        <w:rPr>
          <w:rFonts w:ascii="Arial" w:eastAsia="Arial" w:hAnsi="Arial" w:cs="Arial"/>
          <w:color w:val="44546A"/>
          <w:sz w:val="40"/>
          <w:szCs w:val="40"/>
        </w:rPr>
      </w:pPr>
      <w:hyperlink r:id="rId12">
        <w:r>
          <w:rPr>
            <w:rFonts w:ascii="Arial" w:eastAsia="Arial" w:hAnsi="Arial" w:cs="Arial"/>
            <w:color w:val="44546A"/>
            <w:sz w:val="40"/>
            <w:szCs w:val="40"/>
          </w:rPr>
          <w:t>4. SECTION 4</w:t>
        </w:r>
        <w:r>
          <w:rPr>
            <w:rFonts w:ascii="Arial" w:eastAsia="Arial" w:hAnsi="Arial" w:cs="Arial"/>
            <w:color w:val="44546A"/>
            <w:sz w:val="40"/>
            <w:szCs w:val="40"/>
          </w:rPr>
          <w:tab/>
        </w:r>
      </w:hyperlink>
      <w:r>
        <w:rPr>
          <w:rFonts w:ascii="Arial" w:eastAsia="Arial" w:hAnsi="Arial" w:cs="Arial"/>
          <w:color w:val="44546A"/>
          <w:sz w:val="40"/>
          <w:szCs w:val="40"/>
        </w:rPr>
        <w:t>5</w:t>
      </w:r>
    </w:p>
    <w:p w14:paraId="0000001A" w14:textId="77777777" w:rsidR="000A3293" w:rsidRDefault="00000000">
      <w:pPr>
        <w:rPr>
          <w:rFonts w:ascii="Arial" w:eastAsia="Arial" w:hAnsi="Arial" w:cs="Arial"/>
          <w:color w:val="44546A"/>
          <w:sz w:val="40"/>
          <w:szCs w:val="40"/>
          <w:highlight w:val="white"/>
        </w:rPr>
      </w:pPr>
      <w:hyperlink r:id="rId13">
        <w:r>
          <w:rPr>
            <w:rFonts w:ascii="Arial" w:eastAsia="Arial" w:hAnsi="Arial" w:cs="Arial"/>
            <w:color w:val="44546A"/>
            <w:sz w:val="40"/>
            <w:szCs w:val="40"/>
          </w:rPr>
          <w:t>5. SECTION 5</w:t>
        </w:r>
      </w:hyperlink>
      <w:hyperlink r:id="rId14">
        <w:r>
          <w:rPr>
            <w:rFonts w:ascii="Arial" w:eastAsia="Arial" w:hAnsi="Arial" w:cs="Arial"/>
            <w:color w:val="44546A"/>
            <w:sz w:val="40"/>
            <w:szCs w:val="40"/>
            <w:highlight w:val="white"/>
          </w:rPr>
          <w:t>………………………………………</w:t>
        </w:r>
      </w:hyperlink>
      <w:r>
        <w:rPr>
          <w:rFonts w:ascii="Arial" w:eastAsia="Arial" w:hAnsi="Arial" w:cs="Arial"/>
          <w:color w:val="44546A"/>
          <w:sz w:val="40"/>
          <w:szCs w:val="40"/>
        </w:rPr>
        <w:t>….6</w:t>
      </w:r>
    </w:p>
    <w:p w14:paraId="0000001B" w14:textId="77777777" w:rsidR="000A3293" w:rsidRDefault="00000000">
      <w:pPr>
        <w:rPr>
          <w:rFonts w:ascii="Arial" w:eastAsia="Arial" w:hAnsi="Arial" w:cs="Arial"/>
          <w:color w:val="44546A"/>
          <w:sz w:val="40"/>
          <w:szCs w:val="40"/>
          <w:highlight w:val="white"/>
        </w:rPr>
      </w:pPr>
      <w:hyperlink r:id="rId15">
        <w:r>
          <w:rPr>
            <w:rFonts w:ascii="Arial" w:eastAsia="Arial" w:hAnsi="Arial" w:cs="Arial"/>
            <w:color w:val="44546A"/>
            <w:sz w:val="40"/>
            <w:szCs w:val="40"/>
            <w:highlight w:val="white"/>
          </w:rPr>
          <w:t>6.</w:t>
        </w:r>
      </w:hyperlink>
      <w:hyperlink r:id="rId16">
        <w:r>
          <w:rPr>
            <w:rFonts w:ascii="Arial" w:eastAsia="Arial" w:hAnsi="Arial" w:cs="Arial"/>
            <w:color w:val="44546A"/>
            <w:sz w:val="40"/>
            <w:szCs w:val="40"/>
          </w:rPr>
          <w:t xml:space="preserve"> </w:t>
        </w:r>
      </w:hyperlink>
      <w:hyperlink r:id="rId17">
        <w:r>
          <w:rPr>
            <w:rFonts w:ascii="Arial" w:eastAsia="Arial" w:hAnsi="Arial" w:cs="Arial"/>
            <w:color w:val="44546A"/>
            <w:sz w:val="40"/>
            <w:szCs w:val="40"/>
          </w:rPr>
          <w:t>REFERENCE</w:t>
        </w:r>
      </w:hyperlink>
      <w:hyperlink r:id="rId18">
        <w:r>
          <w:rPr>
            <w:rFonts w:ascii="Arial" w:eastAsia="Arial" w:hAnsi="Arial" w:cs="Arial"/>
            <w:color w:val="44546A"/>
            <w:sz w:val="40"/>
            <w:szCs w:val="40"/>
            <w:highlight w:val="white"/>
          </w:rPr>
          <w:t xml:space="preserve"> …………………………………….…</w:t>
        </w:r>
      </w:hyperlink>
      <w:r>
        <w:rPr>
          <w:rFonts w:ascii="Arial" w:eastAsia="Arial" w:hAnsi="Arial" w:cs="Arial"/>
          <w:color w:val="44546A"/>
          <w:sz w:val="40"/>
          <w:szCs w:val="40"/>
        </w:rPr>
        <w:t>7</w:t>
      </w:r>
    </w:p>
    <w:p w14:paraId="0000001C" w14:textId="77777777" w:rsidR="000A3293" w:rsidRDefault="000A3293">
      <w:pPr>
        <w:rPr>
          <w:rFonts w:ascii="Arial" w:eastAsia="Arial" w:hAnsi="Arial" w:cs="Arial"/>
          <w:color w:val="44546A"/>
          <w:sz w:val="40"/>
          <w:szCs w:val="40"/>
        </w:rPr>
      </w:pPr>
    </w:p>
    <w:p w14:paraId="0000001D" w14:textId="77777777" w:rsidR="000A3293" w:rsidRDefault="000A3293">
      <w:pPr>
        <w:rPr>
          <w:rFonts w:ascii="Arial" w:eastAsia="Arial" w:hAnsi="Arial" w:cs="Arial"/>
          <w:sz w:val="40"/>
          <w:szCs w:val="40"/>
        </w:rPr>
      </w:pPr>
    </w:p>
    <w:p w14:paraId="0000001E" w14:textId="77777777" w:rsidR="000A3293" w:rsidRDefault="000A3293">
      <w:pPr>
        <w:rPr>
          <w:rFonts w:ascii="Arial" w:eastAsia="Arial" w:hAnsi="Arial" w:cs="Arial"/>
          <w:sz w:val="40"/>
          <w:szCs w:val="40"/>
        </w:rPr>
      </w:pPr>
    </w:p>
    <w:p w14:paraId="0000001F" w14:textId="77777777" w:rsidR="000A3293" w:rsidRDefault="000A3293">
      <w:pPr>
        <w:rPr>
          <w:rFonts w:ascii="Arial" w:eastAsia="Arial" w:hAnsi="Arial" w:cs="Arial"/>
          <w:sz w:val="36"/>
          <w:szCs w:val="36"/>
        </w:rPr>
      </w:pPr>
    </w:p>
    <w:p w14:paraId="00000020" w14:textId="77777777" w:rsidR="000A3293" w:rsidRDefault="000A3293">
      <w:pPr>
        <w:rPr>
          <w:rFonts w:ascii="Arial" w:eastAsia="Arial" w:hAnsi="Arial" w:cs="Arial"/>
          <w:sz w:val="36"/>
          <w:szCs w:val="36"/>
        </w:rPr>
      </w:pPr>
    </w:p>
    <w:p w14:paraId="00000021" w14:textId="77777777" w:rsidR="000A3293" w:rsidRDefault="000A3293">
      <w:pPr>
        <w:sectPr w:rsidR="000A3293">
          <w:pgSz w:w="12240" w:h="15840"/>
          <w:pgMar w:top="1440" w:right="1440" w:bottom="1440" w:left="1440" w:header="720" w:footer="720" w:gutter="0"/>
          <w:pgNumType w:start="1"/>
          <w:cols w:space="720"/>
        </w:sectPr>
      </w:pPr>
    </w:p>
    <w:p w14:paraId="00000022" w14:textId="77777777" w:rsidR="000A3293" w:rsidRDefault="00000000">
      <w:pPr>
        <w:spacing w:line="360" w:lineRule="auto"/>
        <w:rPr>
          <w:rFonts w:ascii="Arial" w:eastAsia="Arial" w:hAnsi="Arial" w:cs="Arial"/>
          <w:b/>
          <w:bCs/>
          <w:sz w:val="28"/>
          <w:szCs w:val="28"/>
        </w:rPr>
      </w:pPr>
      <w:r>
        <w:rPr>
          <w:rFonts w:ascii="Arial" w:eastAsia="Arial" w:hAnsi="Arial" w:cs="Arial"/>
          <w:b/>
          <w:bCs/>
          <w:sz w:val="28"/>
          <w:szCs w:val="28"/>
        </w:rPr>
        <w:lastRenderedPageBreak/>
        <w:t>SECTION 1: LEGISLATION AND STATUTORY GUIDANCE</w:t>
      </w:r>
    </w:p>
    <w:p w14:paraId="00000023" w14:textId="77777777" w:rsidR="000A3293" w:rsidRDefault="00000000">
      <w:pPr>
        <w:spacing w:line="360" w:lineRule="auto"/>
        <w:rPr>
          <w:rFonts w:ascii="Arial" w:eastAsia="Arial" w:hAnsi="Arial" w:cs="Arial"/>
        </w:rPr>
      </w:pPr>
      <w:r>
        <w:rPr>
          <w:rFonts w:ascii="Arial" w:eastAsia="Arial" w:hAnsi="Arial" w:cs="Arial"/>
        </w:rPr>
        <w:t>The framework that supports statutory safeguarding practices in England places a high priority on shared responsibility and multi-agency cooperation. According to Working Together to Safeguard Children, safeguarding partners should cooperate in order to protect children and advance their wellbeing (HM Government, 2023). Clearly, the Child F Serious Case Review does not adhere to these standards. The relevant risk information that agencies was not integrated into a collaborative planning process outside of Child Protection Plans (CPPs). However, despite clear statutory expectations, the operational response in Child F’s case reflects delayed multi-agency coordination and limited proactive disruption. In this case, the absence of coordinated action meant that intelligence remained fragmented, limiting the effectiveness of interventions.</w:t>
      </w:r>
    </w:p>
    <w:p w14:paraId="00000024" w14:textId="77777777" w:rsidR="000A3293" w:rsidRDefault="00000000">
      <w:pPr>
        <w:spacing w:line="360" w:lineRule="auto"/>
        <w:rPr>
          <w:rFonts w:ascii="Arial" w:eastAsia="Arial" w:hAnsi="Arial" w:cs="Arial"/>
        </w:rPr>
      </w:pPr>
      <w:r>
        <w:rPr>
          <w:rFonts w:ascii="Arial" w:eastAsia="Arial" w:hAnsi="Arial" w:cs="Arial"/>
        </w:rPr>
        <w:br/>
        <w:t>The guidelines also emphasize the value of listening to and answering the child's voice but there wasn't much proof that F, G, H, and J were actively involved in choices that affected their lives. Although the guidelines placed a strong emphasis on child-centered practice. Even though Working Together acknowledges contextual and extra-familial suffering its operational approach is nevertheless strongly shaped by a parental deficiency perspective. Further reflecting this limitation is the Children Act 1989, which remains the foundational law for child safety. The duties to children who need assistance are outlined in Section 17, while Section 47 gives out requirements to investigate suspected significant injury. In the areas of Section 47 examinations and following child protection plans these statutes impacted the legislative responses to G and H. However these interventions are too late according to the research, which begs the question of whether standard child protection procedures are appropriate in cases of criminal exploitation.</w:t>
      </w:r>
    </w:p>
    <w:p w14:paraId="00000025" w14:textId="77777777" w:rsidR="000A3293" w:rsidRDefault="00000000">
      <w:pPr>
        <w:spacing w:line="360" w:lineRule="auto"/>
        <w:rPr>
          <w:rFonts w:ascii="Arial" w:eastAsia="Arial" w:hAnsi="Arial" w:cs="Arial"/>
        </w:rPr>
      </w:pPr>
      <w:r>
        <w:rPr>
          <w:rFonts w:ascii="Arial" w:eastAsia="Arial" w:hAnsi="Arial" w:cs="Arial"/>
        </w:rPr>
        <w:t xml:space="preserve">When it comes to outside dangers, the Act's basic idea that harm comes from within the family poses difficulties. Parents are seen as the main source of protection or the source of risk, which is poorly aligned in circumstances where young people are being forced or manipulated by outside forces. Despite numerous amendments over the years, the Children Act 1989's fundamental framework is still focused on intra-family harm, which limits its ability to effectively address modern safeguarding threats.Education-based safeguarding duties are outlined in Keeping Children Safe in Education (Department for Education, 2018), which requires schools to identify children who may need early help, including those at risk of criminal exploitation. </w:t>
      </w:r>
    </w:p>
    <w:p w14:paraId="00000026" w14:textId="77777777" w:rsidR="000A3293" w:rsidRDefault="00000000">
      <w:pPr>
        <w:spacing w:line="360" w:lineRule="auto"/>
        <w:rPr>
          <w:rFonts w:ascii="Arial" w:eastAsia="Arial" w:hAnsi="Arial" w:cs="Arial"/>
        </w:rPr>
      </w:pPr>
      <w:r>
        <w:rPr>
          <w:rFonts w:ascii="Arial" w:eastAsia="Arial" w:hAnsi="Arial" w:cs="Arial"/>
        </w:rPr>
        <w:lastRenderedPageBreak/>
        <w:t xml:space="preserve">The guidance mandates close working with local authority children’s services and the appointment of a Designated Safeguarding Lead to oversee concerns. In the Child F case, schools played an important but uneven role within the safeguarding system. Although J's school was referred to as a source of stability, it was not completely incorporated into the larger multi-agency approach. The schools that F and G attended on the other hand voiced concerns and made referrals but were powerless to stop exclusion then According to the National Review school exclusion is a major risk-escalation trigger especially for teenagers who are easily exploited. Although Keeping Children Safe in Education describes the duties of schools before exclusion it provides no direction on how to respond following exclusion in terms of safeguarding. The Child F assessment emphasizes the necessity of providing care right away after exclusion even though the present statutory guidelines does not specifically call for this. </w:t>
      </w:r>
    </w:p>
    <w:p w14:paraId="00000027" w14:textId="77777777" w:rsidR="000A3293" w:rsidRDefault="00000000">
      <w:pPr>
        <w:spacing w:line="360" w:lineRule="auto"/>
        <w:rPr>
          <w:rFonts w:ascii="Arial" w:eastAsia="Arial" w:hAnsi="Arial" w:cs="Arial"/>
          <w:b/>
          <w:bCs/>
          <w:sz w:val="28"/>
          <w:szCs w:val="28"/>
        </w:rPr>
      </w:pPr>
      <w:r>
        <w:rPr>
          <w:rFonts w:ascii="Arial" w:eastAsia="Arial" w:hAnsi="Arial" w:cs="Arial"/>
          <w:b/>
          <w:bCs/>
          <w:sz w:val="28"/>
          <w:szCs w:val="28"/>
        </w:rPr>
        <w:t>SECTION 2: NATIONAL REVIEWS AND SERIOUS CASE REVIEW ANALYSIS</w:t>
      </w:r>
    </w:p>
    <w:p w14:paraId="00000028" w14:textId="77777777" w:rsidR="000A3293" w:rsidRDefault="00000000">
      <w:pPr>
        <w:spacing w:line="360" w:lineRule="auto"/>
        <w:rPr>
          <w:rFonts w:ascii="Arial" w:eastAsia="Arial" w:hAnsi="Arial" w:cs="Arial"/>
        </w:rPr>
      </w:pPr>
      <w:r>
        <w:rPr>
          <w:rFonts w:ascii="Arial" w:eastAsia="Arial" w:hAnsi="Arial" w:cs="Arial"/>
        </w:rPr>
        <w:t>The background provided by national reviews of significant criminal exploitation incidents is crucial in comprehending the shortcomings noted in the Child F Child Safeguarding Practice Review (CSPR). In examining 21 serious incident notifications involving criminal exploitation this national review found recurring themes. These included the disproportionate impact on Black and minority ethnic boys and the lack of long-lasting, trustworthy relationships between practitioners and young people.</w:t>
      </w:r>
      <w:r>
        <w:rPr>
          <w:rFonts w:ascii="Arial" w:eastAsia="Arial" w:hAnsi="Arial" w:cs="Arial"/>
        </w:rPr>
        <w:br/>
      </w:r>
    </w:p>
    <w:p w14:paraId="00000029" w14:textId="77777777" w:rsidR="000A3293" w:rsidRDefault="00000000">
      <w:pPr>
        <w:spacing w:line="360" w:lineRule="auto"/>
        <w:rPr>
          <w:rFonts w:ascii="Arial" w:eastAsia="Arial" w:hAnsi="Arial" w:cs="Arial"/>
        </w:rPr>
      </w:pPr>
      <w:r>
        <w:rPr>
          <w:rFonts w:ascii="Arial" w:eastAsia="Arial" w:hAnsi="Arial" w:cs="Arial"/>
        </w:rPr>
        <w:t>The Child F review mirrors these findings closely. Three of the four young people involved were from ethnic minority backgrounds, and both F and G experienced permanent school exclusion prior to their deaths. In addition, the review explicitly notes that no practitioner developed a relationship of sufficient depth with any of the four young people, despite multiple service involvements. This lack of relational continuity reflects the national review’s conclusion that while trusted relationships are repeatedly identified as protective, they are rarely achieved in practice. The consistency between the Child F case and the national findings shows that the shortcomings seen in Lancashire are a part of a larger challenge in properly addressing child criminal exploitation (CCE) rather than individual incidences.</w:t>
      </w:r>
      <w:r>
        <w:rPr>
          <w:rFonts w:ascii="Arial" w:eastAsia="Arial" w:hAnsi="Arial" w:cs="Arial"/>
        </w:rPr>
        <w:br/>
      </w:r>
    </w:p>
    <w:p w14:paraId="0000002A" w14:textId="77777777" w:rsidR="000A3293" w:rsidRDefault="000A3293">
      <w:pPr>
        <w:spacing w:line="360" w:lineRule="auto"/>
        <w:rPr>
          <w:rFonts w:ascii="Arial" w:eastAsia="Arial" w:hAnsi="Arial" w:cs="Arial"/>
        </w:rPr>
      </w:pPr>
    </w:p>
    <w:p w14:paraId="0000002B" w14:textId="77777777" w:rsidR="000A3293" w:rsidRDefault="00000000">
      <w:pPr>
        <w:spacing w:line="360" w:lineRule="auto"/>
        <w:rPr>
          <w:rFonts w:ascii="Arial" w:eastAsia="Arial" w:hAnsi="Arial" w:cs="Arial"/>
        </w:rPr>
      </w:pPr>
      <w:r>
        <w:rPr>
          <w:rFonts w:ascii="Arial" w:eastAsia="Arial" w:hAnsi="Arial" w:cs="Arial"/>
        </w:rPr>
        <w:lastRenderedPageBreak/>
        <w:t>The Child F review is also greatly influenced by the ten recommendations of the national review. The largest study of serious case reviews in England, Pathways to Harm, Pathways to Protection, a yearly examination by Sidebotham et al. (2018).Teenagers are not represented in serious case evaluations compared to their share of the kid population,  which is specifically mentioned in the kid F review. Additionally it draws attention to the fact that child protection agencies have a special focus toward the needs of younger children and are ill-prepared to handle the extra-familial trauma that adolescents encounter.</w:t>
      </w:r>
    </w:p>
    <w:p w14:paraId="0000002C" w14:textId="77777777" w:rsidR="000A3293" w:rsidRDefault="00000000">
      <w:pPr>
        <w:spacing w:line="360" w:lineRule="auto"/>
        <w:rPr>
          <w:rFonts w:ascii="Arial" w:eastAsia="Arial" w:hAnsi="Arial" w:cs="Arial"/>
        </w:rPr>
      </w:pPr>
      <w:r>
        <w:rPr>
          <w:rFonts w:ascii="Arial" w:eastAsia="Arial" w:hAnsi="Arial" w:cs="Arial"/>
        </w:rPr>
        <w:t>The idea of the "developmental lifespan" which acknowledges teenagers as a special phase of life requiring various protective measures is a significant contribution of this research. This idea is essential to the Child F review's examination where it is demonstrated that traditional approaches of child protection are inadequate for the complexity of peer pressure and identity development. Additionally, Sidebotham et al. (2018) find a significant correlation between early exposures to domestic abuse to exploitation. Since all four of the young people had experienced domestic abuse G and J had previously been covered by child protection plans this conclusion is directly related to the Child F case. As a result, the research offers a solid empirical foundation for comprehending how prior suffering heightened susceptibility to subsequent exploitation.</w:t>
      </w:r>
    </w:p>
    <w:p w14:paraId="0000002D" w14:textId="77777777" w:rsidR="000A3293" w:rsidRDefault="00000000">
      <w:pPr>
        <w:spacing w:line="360" w:lineRule="auto"/>
        <w:rPr>
          <w:rFonts w:ascii="Arial" w:eastAsia="Arial" w:hAnsi="Arial" w:cs="Arial"/>
        </w:rPr>
      </w:pPr>
      <w:r>
        <w:rPr>
          <w:rFonts w:ascii="Arial" w:eastAsia="Arial" w:hAnsi="Arial" w:cs="Arial"/>
        </w:rPr>
        <w:t xml:space="preserve">In situations where professionals must make decisions based on fragmented or inadequate knowledge, the authors introduce the concept of "radical uncertainty" this concept is especially pertinent to the Child F case, where agencies were aware that exploitation was occurring but only had a partial understanding of what was happening. Professional uncertainty was exacerbated by families’ fear of reprisals, which further restricted information exchange. The report also criticizes the over-reliance on risk assessment tools, noting that such tools are often applied inconsistently and based on variable evidence. </w:t>
      </w:r>
    </w:p>
    <w:p w14:paraId="0000002E" w14:textId="77777777" w:rsidR="000A3293" w:rsidRDefault="00000000">
      <w:pPr>
        <w:spacing w:line="360" w:lineRule="auto"/>
        <w:rPr>
          <w:rFonts w:ascii="Arial" w:eastAsia="Arial" w:hAnsi="Arial" w:cs="Arial"/>
        </w:rPr>
      </w:pPr>
      <w:r>
        <w:rPr>
          <w:rFonts w:ascii="Arial" w:eastAsia="Arial" w:hAnsi="Arial" w:cs="Arial"/>
        </w:rPr>
        <w:t>This critique closely reflects the Child F review’s concerns regarding the use of RAG risk assessments for F, G and H, which failed to capture the severity and escalation of risk. Brandon et al. (2020) emphasize trauma-informed practice and call for a change in professional thought from asking "what is wrong with you?" to asking "what has happened to you?" It is significant that Lancashire's reaction failed to use this strategy which helps to explain why treatments did not successfully stop exploitation trust among the young people involved.</w:t>
      </w:r>
    </w:p>
    <w:p w14:paraId="0000002F" w14:textId="77777777" w:rsidR="000A3293" w:rsidRDefault="000A3293">
      <w:pPr>
        <w:spacing w:line="360" w:lineRule="auto"/>
        <w:rPr>
          <w:rFonts w:ascii="Arial" w:eastAsia="Arial" w:hAnsi="Arial" w:cs="Arial"/>
          <w:b/>
          <w:bCs/>
          <w:sz w:val="28"/>
          <w:szCs w:val="28"/>
        </w:rPr>
      </w:pPr>
    </w:p>
    <w:p w14:paraId="00000030" w14:textId="77777777" w:rsidR="000A3293" w:rsidRDefault="00000000">
      <w:pPr>
        <w:spacing w:line="360" w:lineRule="auto"/>
        <w:rPr>
          <w:rFonts w:ascii="Arial" w:eastAsia="Arial" w:hAnsi="Arial" w:cs="Arial"/>
          <w:b/>
          <w:bCs/>
          <w:sz w:val="28"/>
          <w:szCs w:val="28"/>
        </w:rPr>
      </w:pPr>
      <w:r>
        <w:rPr>
          <w:rFonts w:ascii="Arial" w:eastAsia="Arial" w:hAnsi="Arial" w:cs="Arial"/>
          <w:b/>
          <w:bCs/>
          <w:sz w:val="28"/>
          <w:szCs w:val="28"/>
        </w:rPr>
        <w:lastRenderedPageBreak/>
        <w:t>SECTION 3: ACADEMIC LITERATURE AND THEORETICAL FRAMEWORKS</w:t>
      </w:r>
    </w:p>
    <w:p w14:paraId="00000031" w14:textId="77777777" w:rsidR="000A3293" w:rsidRDefault="00000000">
      <w:pPr>
        <w:spacing w:line="360" w:lineRule="auto"/>
        <w:rPr>
          <w:rFonts w:ascii="Arial" w:eastAsia="Arial" w:hAnsi="Arial" w:cs="Arial"/>
        </w:rPr>
      </w:pPr>
      <w:r>
        <w:rPr>
          <w:rFonts w:ascii="Arial" w:eastAsia="Arial" w:hAnsi="Arial" w:cs="Arial"/>
        </w:rPr>
        <w:t>Traditional child protection methods did not work in the Child F case, and the theoretical basis for this understanding are established in academic literature on teenage safeguarding. The contradiction of mechanisms created for younger children with the realities of adolescence especially when violence happens outside the family is an ongoing problem in this reading. This subject is specifically recognized in the Child F review, which bases its analysis largely on modern safeguarding theory.</w:t>
      </w:r>
      <w:r>
        <w:rPr>
          <w:rFonts w:ascii="Arial" w:eastAsia="Arial" w:hAnsi="Arial" w:cs="Arial"/>
        </w:rPr>
        <w:br/>
        <w:t>According to Holmes, practitioners must maintain a healthy tension between autonomy and reliance in order to provide effective safeguarding and assuming they are solely to blame for their situation.</w:t>
      </w:r>
      <w:r>
        <w:rPr>
          <w:rFonts w:ascii="Arial" w:eastAsia="Arial" w:hAnsi="Arial" w:cs="Arial"/>
        </w:rPr>
        <w:br/>
      </w:r>
    </w:p>
    <w:p w14:paraId="00000032" w14:textId="77777777" w:rsidR="000A3293" w:rsidRDefault="00000000">
      <w:pPr>
        <w:spacing w:line="360" w:lineRule="auto"/>
        <w:rPr>
          <w:rFonts w:ascii="Arial" w:eastAsia="Arial" w:hAnsi="Arial" w:cs="Arial"/>
        </w:rPr>
      </w:pPr>
      <w:r>
        <w:rPr>
          <w:rFonts w:ascii="Arial" w:eastAsia="Arial" w:hAnsi="Arial" w:cs="Arial"/>
        </w:rPr>
        <w:t>In the Child F evaluation, G rejected victimhood and referred to himself as "making his own destiny" which is a clear reflection of this model. In an attempt to resolve this conflict practitioners read G's statements of independence as proof of choice rather than signs of obligation. As a result, there were few protective reactions, supporting Holmes' claim that young people may be seriously put at risk if protection are not balanced. Firmin's (2020) work on contextual safeguarding, which challenges the customized nature of child safety systems elaborates on this critique. He argues that because safeguarding frameworks are designed to address issues within families, they are unable to address harm that takes place in peer groups. The Child F study explicitly mentions contextual safeguarding principles, emphasizing that successful practice requires group-based work and an understanding of young people's social contexts.</w:t>
      </w:r>
    </w:p>
    <w:p w14:paraId="00000033" w14:textId="77777777" w:rsidR="000A3293" w:rsidRDefault="00000000">
      <w:pPr>
        <w:spacing w:line="360" w:lineRule="auto"/>
        <w:rPr>
          <w:rFonts w:ascii="Arial" w:eastAsia="Arial" w:hAnsi="Arial" w:cs="Arial"/>
        </w:rPr>
      </w:pPr>
      <w:r>
        <w:rPr>
          <w:rFonts w:ascii="Arial" w:eastAsia="Arial" w:hAnsi="Arial" w:cs="Arial"/>
        </w:rPr>
        <w:t>In this instance, understanding safeguarding responses also requires an understanding of identity and cultural issues. According to Davis and Marsh's (2020) examination of adult bias, Black children especially boys are frequently seen as older as and less vulnerable than their white counterparts. The Child F assessment points out that although three of the four young people were from Black and minority ethnic backgrounds but  practitioners did not adequately take race and identity problems into account.</w:t>
      </w:r>
      <w:r>
        <w:rPr>
          <w:rFonts w:ascii="Arial" w:eastAsia="Arial" w:hAnsi="Arial" w:cs="Arial"/>
        </w:rPr>
        <w:br/>
      </w:r>
    </w:p>
    <w:p w14:paraId="00000034" w14:textId="77777777" w:rsidR="000A3293" w:rsidRDefault="00000000">
      <w:pPr>
        <w:spacing w:line="360" w:lineRule="auto"/>
        <w:rPr>
          <w:rFonts w:ascii="Arial" w:eastAsia="Arial" w:hAnsi="Arial" w:cs="Arial"/>
        </w:rPr>
      </w:pPr>
      <w:r>
        <w:rPr>
          <w:rFonts w:ascii="Arial" w:eastAsia="Arial" w:hAnsi="Arial" w:cs="Arial"/>
        </w:rPr>
        <w:t xml:space="preserve">Trauma-informed theory provides further insight into the behaviors that practitioners struggled to interpret. The basic principles of trauma-informed practice: - safety, trust, choice, cooperation, </w:t>
      </w:r>
      <w:r>
        <w:rPr>
          <w:rFonts w:ascii="Arial" w:eastAsia="Arial" w:hAnsi="Arial" w:cs="Arial"/>
        </w:rPr>
        <w:lastRenderedPageBreak/>
        <w:t>and empowerment are outlined by Sweeney et al. (2018). The lack of such methods is emphasized over and again in the Child F review. G was subjected to domestic violence from a young age and shown signs of post-traumatic stress disorder and used cannabis to dull his feelings. Nevertheless, rather than addressing the underlying trauma, professional answers concentrated on outward behaviors. The report keeping Kids Safe published by the Children's Commissioner in 2019, offers a national policy viewpoint that supports these scholarly claims.</w:t>
      </w:r>
    </w:p>
    <w:p w14:paraId="00000035" w14:textId="77777777" w:rsidR="000A3293" w:rsidRDefault="00000000">
      <w:pPr>
        <w:spacing w:line="360" w:lineRule="auto"/>
        <w:rPr>
          <w:rFonts w:ascii="Arial" w:eastAsia="Arial" w:hAnsi="Arial" w:cs="Arial"/>
        </w:rPr>
      </w:pPr>
      <w:r>
        <w:rPr>
          <w:rFonts w:ascii="Arial" w:eastAsia="Arial" w:hAnsi="Arial" w:cs="Arial"/>
        </w:rPr>
        <w:t>The report notes that the punishment of children who have been exploited and uneven access to specialized services are all ongoing issues in England. These conclusions are very similar to those of the Child F review, which found that young people were either not recognized as victims at all or were only recognized after exploitation had become pervasive.</w:t>
      </w:r>
    </w:p>
    <w:p w14:paraId="00000036" w14:textId="77777777" w:rsidR="000A3293" w:rsidRDefault="00000000">
      <w:pPr>
        <w:spacing w:line="360" w:lineRule="auto"/>
        <w:rPr>
          <w:rFonts w:ascii="Arial" w:eastAsia="Arial" w:hAnsi="Arial" w:cs="Arial"/>
          <w:b/>
          <w:bCs/>
          <w:sz w:val="28"/>
          <w:szCs w:val="28"/>
        </w:rPr>
      </w:pPr>
      <w:r>
        <w:rPr>
          <w:rFonts w:ascii="Arial" w:eastAsia="Arial" w:hAnsi="Arial" w:cs="Arial"/>
          <w:b/>
          <w:bCs/>
          <w:sz w:val="28"/>
          <w:szCs w:val="28"/>
        </w:rPr>
        <w:t>SECTION 4: POLICE AND CRIMINAL JUSTICE GUIDANCE</w:t>
      </w:r>
    </w:p>
    <w:p w14:paraId="00000037" w14:textId="77777777" w:rsidR="000A3293" w:rsidRDefault="00000000">
      <w:pPr>
        <w:spacing w:line="360" w:lineRule="auto"/>
        <w:rPr>
          <w:rFonts w:ascii="Arial" w:eastAsia="Arial" w:hAnsi="Arial" w:cs="Arial"/>
        </w:rPr>
      </w:pPr>
      <w:r>
        <w:rPr>
          <w:rFonts w:ascii="Arial" w:eastAsia="Arial" w:hAnsi="Arial" w:cs="Arial"/>
        </w:rPr>
        <w:t xml:space="preserve">The guidance emphasizes the importance of safeguarding-led policing, intelligence sharing with partner agencies, and proactive disruption of those controlling and exploiting children, rather than focusing enforcement activity on the children themselves. The Child F Child Safeguarding Practice Review identifies multiple failures in how these principles were applied in practice. Despite the fact that F had contact with a specialized CCE team and was known to the police, important protection guidelines were not adhered to. For instance, even though the guidelines clearly state that children who are at danger of exploitation should be seen alone to facilitate disclosure without fear. At home, in front of his mother, F was spoken to the assessment also identifies important intelligence gaps between action and knowledge. </w:t>
      </w:r>
    </w:p>
    <w:p w14:paraId="00000038" w14:textId="77777777" w:rsidR="000A3293" w:rsidRDefault="00000000">
      <w:pPr>
        <w:spacing w:line="360" w:lineRule="auto"/>
        <w:rPr>
          <w:rFonts w:ascii="Arial" w:eastAsia="Arial" w:hAnsi="Arial" w:cs="Arial"/>
        </w:rPr>
      </w:pPr>
      <w:r>
        <w:rPr>
          <w:rFonts w:ascii="Arial" w:eastAsia="Arial" w:hAnsi="Arial" w:cs="Arial"/>
        </w:rPr>
        <w:t>According to police information, F was heavily involved in drug supply networks and was known to carry blades but there is little evidence that the individuals abusing him consistently tried to stop it. The review explicitly questions whether there was a “systematic effort by the Police to disrupt the street-level drug supply networks,” suggesting that enforcement activity focused more on monitoring than meaningful intervention.</w:t>
      </w:r>
      <w:r>
        <w:rPr>
          <w:rFonts w:ascii="Arial" w:eastAsia="Arial" w:hAnsi="Arial" w:cs="Arial"/>
        </w:rPr>
        <w:br/>
        <w:t>When measured against NPCC guidance, these failures indicate a policing response that did not fully operationalize a victim-centred or disruption-focused approach. Rather than acting as a protective force within the multi-agency safeguarding system, police practice in this case often mirrored the wider pattern of fragmented responses identified throughout the review. The guidance therefore provides a clear professional benchmark against which the shortcomings of the local police response can be understood.</w:t>
      </w:r>
    </w:p>
    <w:p w14:paraId="00000039" w14:textId="77777777" w:rsidR="000A3293" w:rsidRDefault="00000000">
      <w:pPr>
        <w:spacing w:line="360" w:lineRule="auto"/>
        <w:rPr>
          <w:rFonts w:ascii="Arial" w:eastAsia="Arial" w:hAnsi="Arial" w:cs="Arial"/>
          <w:b/>
          <w:bCs/>
          <w:sz w:val="28"/>
          <w:szCs w:val="28"/>
        </w:rPr>
      </w:pPr>
      <w:r>
        <w:rPr>
          <w:rFonts w:ascii="Arial" w:eastAsia="Arial" w:hAnsi="Arial" w:cs="Arial"/>
          <w:b/>
          <w:bCs/>
          <w:sz w:val="28"/>
          <w:szCs w:val="28"/>
        </w:rPr>
        <w:lastRenderedPageBreak/>
        <w:t>SECTION 5: LOCAL SAFEGUARDING RESPONSES</w:t>
      </w:r>
    </w:p>
    <w:p w14:paraId="0000003A" w14:textId="77777777" w:rsidR="000A3293" w:rsidRDefault="00000000">
      <w:pPr>
        <w:spacing w:line="360" w:lineRule="auto"/>
        <w:rPr>
          <w:rFonts w:ascii="Arial" w:eastAsia="Arial" w:hAnsi="Arial" w:cs="Arial"/>
        </w:rPr>
      </w:pPr>
      <w:r>
        <w:rPr>
          <w:rFonts w:ascii="Arial" w:eastAsia="Arial" w:hAnsi="Arial" w:cs="Arial"/>
        </w:rPr>
        <w:t>The Child F Child Safeguarding Practice Review Overview Report (Blackpool and Lancashire Safeguarding Children Partnerships, 2023) serves as the primary source document for this project. One of the primary results of the review is that F and J were not found to have been victims of criminal exploitation, even though they had many risk indicators over extended periods of time. In cases like G and H, when exploitation was eventually acknowledged this occurred late after the harm had already become established. The analysis specifically criticizes the use of RAG risk assessments, which were found to reduce the urgency and intensity of reactions by underestimating risk and offering false reassurance.</w:t>
      </w:r>
      <w:r>
        <w:rPr>
          <w:rFonts w:ascii="Arial" w:eastAsia="Arial" w:hAnsi="Arial" w:cs="Arial"/>
        </w:rPr>
        <w:br/>
      </w:r>
    </w:p>
    <w:p w14:paraId="0000003B" w14:textId="77777777" w:rsidR="000A3293" w:rsidRDefault="00000000">
      <w:pPr>
        <w:spacing w:line="360" w:lineRule="auto"/>
        <w:rPr>
          <w:rFonts w:ascii="Arial" w:eastAsia="Arial" w:hAnsi="Arial" w:cs="Arial"/>
        </w:rPr>
      </w:pPr>
      <w:r>
        <w:rPr>
          <w:rFonts w:ascii="Arial" w:eastAsia="Arial" w:hAnsi="Arial" w:cs="Arial"/>
        </w:rPr>
        <w:t>The review finds that educational stability is one significant protective factor. Compared to F and G, whose educational experiences were fragmented and included permanent exclusion and solid adult connections. The assessment also emphasizes the value of family relationships by stressing the positive impact of H's family and the normally low level of meaningful interaction with fathers. Families were often aware of the risks their children were in, but they were reluctant to disclose this information due to mistrust of government agencies and fear of the repercussions. Professional knowledge of the lived experiences of the young people was further limited as a result.</w:t>
      </w:r>
    </w:p>
    <w:p w14:paraId="0000003C" w14:textId="77777777" w:rsidR="000A3293" w:rsidRDefault="00000000">
      <w:pPr>
        <w:spacing w:line="360" w:lineRule="auto"/>
        <w:rPr>
          <w:rFonts w:ascii="Arial" w:eastAsia="Arial" w:hAnsi="Arial" w:cs="Arial"/>
        </w:rPr>
      </w:pPr>
      <w:r>
        <w:rPr>
          <w:rFonts w:ascii="Arial" w:eastAsia="Arial" w:hAnsi="Arial" w:cs="Arial"/>
        </w:rPr>
        <w:t>Perhaps most significantly, the review identifies a systemic failure to develop “joint plans outside the CPPs,” despite multiple agencies being involved with the same young people. Safeguarding activity was largely reactive and siloed, with agencies operating in parallel rather than collaboratively. Although the review draws heavily on the 2020 National Review and the 2014–2017 triennial analyses, it concludes that lessons identified nationally had not been embedded locally in Lancashire practice. The four formal recommendations arising from the review focus on improving responses to adolescent exploitation, strengthening partnership working, and developing approaches that move beyond traditional child protection frameworks. As such, the Child F review functions not only as a local account of failure, but as a lens through which wider systemic weaknesses in safeguarding adolescents can be understood.</w:t>
      </w:r>
    </w:p>
    <w:p w14:paraId="0000003D" w14:textId="77777777" w:rsidR="000A3293" w:rsidRDefault="000A3293">
      <w:pPr>
        <w:spacing w:line="360" w:lineRule="auto"/>
        <w:rPr>
          <w:rFonts w:ascii="Arial" w:eastAsia="Arial" w:hAnsi="Arial" w:cs="Arial"/>
        </w:rPr>
      </w:pPr>
    </w:p>
    <w:p w14:paraId="0000003E" w14:textId="77777777" w:rsidR="000A3293" w:rsidRDefault="000A3293">
      <w:pPr>
        <w:spacing w:line="360" w:lineRule="auto"/>
        <w:rPr>
          <w:rFonts w:ascii="Arial" w:eastAsia="Arial" w:hAnsi="Arial" w:cs="Arial"/>
        </w:rPr>
      </w:pPr>
    </w:p>
    <w:p w14:paraId="0000003F" w14:textId="77777777" w:rsidR="000A3293" w:rsidRDefault="000A3293">
      <w:pPr>
        <w:spacing w:line="360" w:lineRule="auto"/>
        <w:rPr>
          <w:rFonts w:ascii="Arial" w:eastAsia="Arial" w:hAnsi="Arial" w:cs="Arial"/>
        </w:rPr>
      </w:pPr>
    </w:p>
    <w:p w14:paraId="00000040" w14:textId="77777777" w:rsidR="000A3293" w:rsidRDefault="00000000">
      <w:pPr>
        <w:spacing w:line="360" w:lineRule="auto"/>
        <w:rPr>
          <w:rFonts w:ascii="Arial" w:eastAsia="Arial" w:hAnsi="Arial" w:cs="Arial"/>
          <w:b/>
          <w:bCs/>
          <w:sz w:val="28"/>
          <w:szCs w:val="28"/>
        </w:rPr>
      </w:pPr>
      <w:r>
        <w:rPr>
          <w:rFonts w:ascii="Arial" w:eastAsia="Arial" w:hAnsi="Arial" w:cs="Arial"/>
          <w:b/>
          <w:bCs/>
          <w:sz w:val="28"/>
          <w:szCs w:val="28"/>
        </w:rPr>
        <w:lastRenderedPageBreak/>
        <w:t>6. REFERENCE</w:t>
      </w:r>
    </w:p>
    <w:p w14:paraId="00000041" w14:textId="77777777" w:rsidR="000A3293" w:rsidRDefault="00000000">
      <w:pPr>
        <w:spacing w:before="280" w:after="280" w:line="240" w:lineRule="auto"/>
        <w:rPr>
          <w:rFonts w:ascii="Arial" w:eastAsia="Arial" w:hAnsi="Arial" w:cs="Arial"/>
        </w:rPr>
      </w:pPr>
      <w:r>
        <w:rPr>
          <w:rFonts w:ascii="Arial" w:eastAsia="Arial" w:hAnsi="Arial" w:cs="Arial"/>
        </w:rPr>
        <w:t xml:space="preserve">Child Safeguarding Practice Review Panel (2020) </w:t>
      </w:r>
      <w:r>
        <w:rPr>
          <w:rFonts w:ascii="Arial" w:eastAsia="Arial" w:hAnsi="Arial" w:cs="Arial"/>
          <w:i/>
          <w:iCs/>
        </w:rPr>
        <w:t>“It was hard to escape”: Safeguarding children at risk from criminal exploitation</w:t>
      </w:r>
      <w:r>
        <w:rPr>
          <w:rFonts w:ascii="Arial" w:eastAsia="Arial" w:hAnsi="Arial" w:cs="Arial"/>
        </w:rPr>
        <w:t>. London: HM Government.</w:t>
      </w:r>
    </w:p>
    <w:p w14:paraId="00000042" w14:textId="77777777" w:rsidR="000A3293" w:rsidRDefault="00000000">
      <w:pPr>
        <w:spacing w:before="280" w:after="280" w:line="240" w:lineRule="auto"/>
        <w:rPr>
          <w:rFonts w:ascii="Arial" w:eastAsia="Arial" w:hAnsi="Arial" w:cs="Arial"/>
        </w:rPr>
      </w:pPr>
      <w:r>
        <w:rPr>
          <w:rFonts w:ascii="Arial" w:eastAsia="Arial" w:hAnsi="Arial" w:cs="Arial"/>
        </w:rPr>
        <w:t xml:space="preserve">Children’s Commissioner for England (2019) </w:t>
      </w:r>
      <w:r>
        <w:rPr>
          <w:rFonts w:ascii="Arial" w:eastAsia="Arial" w:hAnsi="Arial" w:cs="Arial"/>
          <w:i/>
          <w:iCs/>
        </w:rPr>
        <w:t>Keeping kids safe: Improving safeguarding responses to gang violence and criminal exploitation</w:t>
      </w:r>
      <w:r>
        <w:rPr>
          <w:rFonts w:ascii="Arial" w:eastAsia="Arial" w:hAnsi="Arial" w:cs="Arial"/>
        </w:rPr>
        <w:t>. London: Children’s Commissioner for England.</w:t>
      </w:r>
    </w:p>
    <w:p w14:paraId="00000043" w14:textId="77777777" w:rsidR="000A3293" w:rsidRDefault="00000000">
      <w:pPr>
        <w:spacing w:before="280" w:after="280" w:line="240" w:lineRule="auto"/>
        <w:rPr>
          <w:rFonts w:ascii="Arial" w:eastAsia="Arial" w:hAnsi="Arial" w:cs="Arial"/>
        </w:rPr>
      </w:pPr>
      <w:r>
        <w:rPr>
          <w:rFonts w:ascii="Arial" w:eastAsia="Arial" w:hAnsi="Arial" w:cs="Arial"/>
        </w:rPr>
        <w:t xml:space="preserve">Department for Education (2018) </w:t>
      </w:r>
      <w:r>
        <w:rPr>
          <w:rFonts w:ascii="Arial" w:eastAsia="Arial" w:hAnsi="Arial" w:cs="Arial"/>
          <w:i/>
          <w:iCs/>
        </w:rPr>
        <w:t>Keeping children safe in education: Statutory guidance for schools and colleges</w:t>
      </w:r>
      <w:r>
        <w:rPr>
          <w:rFonts w:ascii="Arial" w:eastAsia="Arial" w:hAnsi="Arial" w:cs="Arial"/>
        </w:rPr>
        <w:t>. London: DfE.</w:t>
      </w:r>
    </w:p>
    <w:p w14:paraId="00000044" w14:textId="77777777" w:rsidR="000A3293" w:rsidRDefault="00000000">
      <w:pPr>
        <w:spacing w:before="280" w:after="280" w:line="240" w:lineRule="auto"/>
        <w:rPr>
          <w:rFonts w:ascii="Arial" w:eastAsia="Arial" w:hAnsi="Arial" w:cs="Arial"/>
        </w:rPr>
      </w:pPr>
      <w:r>
        <w:rPr>
          <w:rFonts w:ascii="Arial" w:eastAsia="Arial" w:hAnsi="Arial" w:cs="Arial"/>
        </w:rPr>
        <w:t xml:space="preserve">Firmin, C. (2020) </w:t>
      </w:r>
      <w:r>
        <w:rPr>
          <w:rFonts w:ascii="Arial" w:eastAsia="Arial" w:hAnsi="Arial" w:cs="Arial"/>
          <w:i/>
          <w:iCs/>
        </w:rPr>
        <w:t>Contextual safeguarding and child protection: Rewriting the rules</w:t>
      </w:r>
      <w:r>
        <w:rPr>
          <w:rFonts w:ascii="Arial" w:eastAsia="Arial" w:hAnsi="Arial" w:cs="Arial"/>
        </w:rPr>
        <w:t>. Abingdon: Routledge.</w:t>
      </w:r>
    </w:p>
    <w:p w14:paraId="00000045" w14:textId="77777777" w:rsidR="000A3293" w:rsidRDefault="00000000">
      <w:pPr>
        <w:spacing w:before="280" w:after="280" w:line="240" w:lineRule="auto"/>
        <w:rPr>
          <w:rFonts w:ascii="Arial" w:eastAsia="Arial" w:hAnsi="Arial" w:cs="Arial"/>
        </w:rPr>
      </w:pPr>
      <w:r>
        <w:rPr>
          <w:rFonts w:ascii="Arial" w:eastAsia="Arial" w:hAnsi="Arial" w:cs="Arial"/>
        </w:rPr>
        <w:t xml:space="preserve">HM Government (1989) </w:t>
      </w:r>
      <w:r>
        <w:rPr>
          <w:rFonts w:ascii="Arial" w:eastAsia="Arial" w:hAnsi="Arial" w:cs="Arial"/>
          <w:i/>
          <w:iCs/>
        </w:rPr>
        <w:t>Children Act 1989</w:t>
      </w:r>
      <w:r>
        <w:rPr>
          <w:rFonts w:ascii="Arial" w:eastAsia="Arial" w:hAnsi="Arial" w:cs="Arial"/>
        </w:rPr>
        <w:t>. London: HMSO.</w:t>
      </w:r>
    </w:p>
    <w:p w14:paraId="00000046" w14:textId="77777777" w:rsidR="000A3293" w:rsidRDefault="00000000">
      <w:pPr>
        <w:spacing w:before="280" w:after="280" w:line="240" w:lineRule="auto"/>
        <w:rPr>
          <w:rFonts w:ascii="Arial" w:eastAsia="Arial" w:hAnsi="Arial" w:cs="Arial"/>
        </w:rPr>
      </w:pPr>
      <w:r>
        <w:rPr>
          <w:rFonts w:ascii="Arial" w:eastAsia="Arial" w:hAnsi="Arial" w:cs="Arial"/>
        </w:rPr>
        <w:t xml:space="preserve">HM Government (2023) </w:t>
      </w:r>
      <w:r>
        <w:rPr>
          <w:rFonts w:ascii="Arial" w:eastAsia="Arial" w:hAnsi="Arial" w:cs="Arial"/>
          <w:i/>
          <w:iCs/>
        </w:rPr>
        <w:t>Working together to safeguard children: A guide to multi-agency working to help, protect and promote the welfare of children</w:t>
      </w:r>
      <w:r>
        <w:rPr>
          <w:rFonts w:ascii="Arial" w:eastAsia="Arial" w:hAnsi="Arial" w:cs="Arial"/>
        </w:rPr>
        <w:t>. London: Department for Education.</w:t>
      </w:r>
    </w:p>
    <w:p w14:paraId="00000047" w14:textId="77777777" w:rsidR="000A3293" w:rsidRDefault="00000000">
      <w:pPr>
        <w:spacing w:before="280" w:after="280" w:line="240" w:lineRule="auto"/>
        <w:rPr>
          <w:rFonts w:ascii="Arial" w:eastAsia="Arial" w:hAnsi="Arial" w:cs="Arial"/>
        </w:rPr>
      </w:pPr>
      <w:r>
        <w:rPr>
          <w:rFonts w:ascii="Arial" w:eastAsia="Arial" w:hAnsi="Arial" w:cs="Arial"/>
        </w:rPr>
        <w:t xml:space="preserve">Holmes, D. (ed.) (2022) </w:t>
      </w:r>
      <w:r>
        <w:rPr>
          <w:rFonts w:ascii="Arial" w:eastAsia="Arial" w:hAnsi="Arial" w:cs="Arial"/>
          <w:i/>
          <w:iCs/>
        </w:rPr>
        <w:t>Safeguarding young people: Risks, rights, resilience and relationships</w:t>
      </w:r>
      <w:r>
        <w:rPr>
          <w:rFonts w:ascii="Arial" w:eastAsia="Arial" w:hAnsi="Arial" w:cs="Arial"/>
        </w:rPr>
        <w:t>. London: Jessica Kingsley Publishers.</w:t>
      </w:r>
    </w:p>
    <w:p w14:paraId="00000048" w14:textId="77777777" w:rsidR="000A3293" w:rsidRDefault="00000000">
      <w:pPr>
        <w:spacing w:before="280" w:after="280" w:line="240" w:lineRule="auto"/>
        <w:rPr>
          <w:rFonts w:ascii="Arial" w:eastAsia="Arial" w:hAnsi="Arial" w:cs="Arial"/>
        </w:rPr>
      </w:pPr>
      <w:r>
        <w:rPr>
          <w:rFonts w:ascii="Arial" w:eastAsia="Arial" w:hAnsi="Arial" w:cs="Arial"/>
        </w:rPr>
        <w:t xml:space="preserve">National Police Chiefs’ Council (2020) </w:t>
      </w:r>
      <w:r>
        <w:rPr>
          <w:rFonts w:ascii="Arial" w:eastAsia="Arial" w:hAnsi="Arial" w:cs="Arial"/>
          <w:i/>
          <w:iCs/>
        </w:rPr>
        <w:t>National guidance on child criminal exploitation: Identification, disruption and prevention</w:t>
      </w:r>
      <w:r>
        <w:rPr>
          <w:rFonts w:ascii="Arial" w:eastAsia="Arial" w:hAnsi="Arial" w:cs="Arial"/>
        </w:rPr>
        <w:t>. London: NPCC.</w:t>
      </w:r>
    </w:p>
    <w:p w14:paraId="00000049" w14:textId="77777777" w:rsidR="000A3293" w:rsidRDefault="00000000">
      <w:pPr>
        <w:rPr>
          <w:rFonts w:ascii="Arial" w:eastAsia="Arial" w:hAnsi="Arial" w:cs="Arial"/>
        </w:rPr>
      </w:pPr>
      <w:bookmarkStart w:id="0" w:name="_heading=h.2t1vcda92emi" w:colFirst="0" w:colLast="0"/>
      <w:bookmarkEnd w:id="0"/>
      <w:r>
        <w:rPr>
          <w:rFonts w:ascii="Arial" w:eastAsia="Arial" w:hAnsi="Arial" w:cs="Arial"/>
        </w:rPr>
        <w:t>Sidebotham, P. (2015) Pathways to harm, pathways to protection: A conceptual analysis of child safeguarding systems. Child Abuse &amp; Neglect, 48, pp. 1–12.</w:t>
      </w:r>
    </w:p>
    <w:sectPr w:rsidR="000A3293">
      <w:footerReference w:type="defaul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13144" w14:textId="77777777" w:rsidR="007B034B" w:rsidRDefault="007B034B">
      <w:pPr>
        <w:spacing w:after="0" w:line="240" w:lineRule="auto"/>
      </w:pPr>
      <w:r>
        <w:separator/>
      </w:r>
    </w:p>
  </w:endnote>
  <w:endnote w:type="continuationSeparator" w:id="0">
    <w:p w14:paraId="4F53F5EF" w14:textId="77777777" w:rsidR="007B034B" w:rsidRDefault="007B0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B11C22CA-7E5A-48B5-BBB4-62D884AB73FE}"/>
    <w:embedBold r:id="rId2" w:fontKey="{87B12B3B-BC78-4473-AAFB-EB82D31476A5}"/>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3" w:fontKey="{591AD0C1-F51C-45E3-B070-4F0D556F25C9}"/>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auto"/>
    <w:pitch w:val="default"/>
    <w:embedItalic r:id="rId4" w:fontKey="{460CBF7E-C08B-4358-91A0-FF0714F9F1F1}"/>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A" w14:textId="0D1DF035" w:rsidR="000A3293" w:rsidRDefault="00000000">
    <w:pPr>
      <w:pBdr>
        <w:top w:val="single" w:sz="4" w:space="1" w:color="D9D9D9"/>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76834">
      <w:rPr>
        <w:noProof/>
        <w:color w:val="000000"/>
      </w:rPr>
      <w:t>1</w:t>
    </w:r>
    <w:r>
      <w:rPr>
        <w:color w:val="000000"/>
      </w:rPr>
      <w:fldChar w:fldCharType="end"/>
    </w:r>
    <w:r>
      <w:rPr>
        <w:color w:val="000000"/>
      </w:rPr>
      <w:t xml:space="preserve"> | </w:t>
    </w:r>
    <w:r>
      <w:rPr>
        <w:color w:val="7F7F7F"/>
      </w:rPr>
      <w:t>Page</w:t>
    </w:r>
  </w:p>
  <w:p w14:paraId="0000004B" w14:textId="77777777" w:rsidR="000A3293" w:rsidRDefault="000A329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D5E4E" w14:textId="77777777" w:rsidR="007B034B" w:rsidRDefault="007B034B">
      <w:pPr>
        <w:spacing w:after="0" w:line="240" w:lineRule="auto"/>
      </w:pPr>
      <w:r>
        <w:separator/>
      </w:r>
    </w:p>
  </w:footnote>
  <w:footnote w:type="continuationSeparator" w:id="0">
    <w:p w14:paraId="263B156A" w14:textId="77777777" w:rsidR="007B034B" w:rsidRDefault="007B03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293"/>
    <w:rsid w:val="000A3293"/>
    <w:rsid w:val="00376834"/>
    <w:rsid w:val="006F7525"/>
    <w:rsid w:val="007B03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6654D"/>
  <w15:docId w15:val="{349597D1-3EED-493A-ADC4-E11EFDF53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link w:val="Heading2Char"/>
    <w:uiPriority w:val="9"/>
    <w:semiHidden/>
    <w:unhideWhenUsed/>
    <w:qFormat/>
    <w:pPr>
      <w:spacing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customStyle="1" w:styleId="Heading2Char">
    <w:name w:val="Heading 2 Char"/>
    <w:basedOn w:val="DefaultParagraphFont"/>
    <w:link w:val="Heading2"/>
    <w:uiPriority w:val="9"/>
    <w:rsid w:val="00E26D60"/>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E26D6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26D60"/>
    <w:rPr>
      <w:i/>
      <w:iCs/>
    </w:rPr>
  </w:style>
  <w:style w:type="character" w:styleId="Strong">
    <w:name w:val="Strong"/>
    <w:basedOn w:val="DefaultParagraphFont"/>
    <w:uiPriority w:val="22"/>
    <w:qFormat/>
    <w:rsid w:val="00E26D60"/>
    <w:rPr>
      <w:b/>
      <w:bCs/>
    </w:rPr>
  </w:style>
  <w:style w:type="paragraph" w:styleId="NoSpacing">
    <w:name w:val="No Spacing"/>
    <w:basedOn w:val="Normal"/>
    <w:uiPriority w:val="99"/>
    <w:qFormat/>
    <w:rsid w:val="00AB4405"/>
    <w:pPr>
      <w:spacing w:after="0" w:line="240" w:lineRule="auto"/>
    </w:pPr>
    <w:rPr>
      <w:rFonts w:eastAsia="Times New Roman" w:cs="Times New Roman"/>
      <w:kern w:val="2"/>
      <w:sz w:val="24"/>
      <w:szCs w:val="24"/>
    </w:rPr>
  </w:style>
  <w:style w:type="paragraph" w:styleId="TOC2">
    <w:name w:val="toc 2"/>
    <w:basedOn w:val="Normal"/>
    <w:next w:val="Normal"/>
    <w:autoRedefine/>
    <w:uiPriority w:val="99"/>
    <w:semiHidden/>
    <w:unhideWhenUsed/>
    <w:rsid w:val="00AB4405"/>
    <w:pPr>
      <w:spacing w:after="100" w:line="276" w:lineRule="auto"/>
      <w:ind w:left="240"/>
    </w:pPr>
    <w:rPr>
      <w:rFonts w:eastAsia="Times New Roman" w:cs="Times New Roman"/>
      <w:kern w:val="2"/>
      <w:sz w:val="24"/>
      <w:szCs w:val="24"/>
    </w:rPr>
  </w:style>
  <w:style w:type="paragraph" w:styleId="TOC1">
    <w:name w:val="toc 1"/>
    <w:basedOn w:val="Normal"/>
    <w:next w:val="Normal"/>
    <w:autoRedefine/>
    <w:uiPriority w:val="99"/>
    <w:unhideWhenUsed/>
    <w:rsid w:val="00AB4405"/>
    <w:pPr>
      <w:spacing w:after="100" w:line="276" w:lineRule="auto"/>
    </w:pPr>
    <w:rPr>
      <w:rFonts w:eastAsia="Times New Roman" w:cs="Times New Roman"/>
      <w:kern w:val="2"/>
      <w:sz w:val="24"/>
      <w:szCs w:val="24"/>
    </w:rPr>
  </w:style>
  <w:style w:type="character" w:customStyle="1" w:styleId="Heading1Char">
    <w:name w:val="Heading 1 Char"/>
    <w:basedOn w:val="DefaultParagraphFont"/>
    <w:link w:val="Heading1"/>
    <w:uiPriority w:val="9"/>
    <w:rsid w:val="00AB440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qFormat/>
    <w:rsid w:val="00AB4405"/>
    <w:pPr>
      <w:widowControl w:val="0"/>
      <w:spacing w:line="256" w:lineRule="auto"/>
      <w:outlineLvl w:val="9"/>
    </w:pPr>
    <w:rPr>
      <w:rFonts w:ascii="Calibri Light" w:eastAsia="SimSun" w:hAnsi="Calibri Light" w:cs="Times New Roman"/>
    </w:rPr>
  </w:style>
  <w:style w:type="character" w:customStyle="1" w:styleId="15">
    <w:name w:val="15"/>
    <w:basedOn w:val="DefaultParagraphFont"/>
    <w:rsid w:val="00AB4405"/>
    <w:rPr>
      <w:rFonts w:ascii="Calibri" w:hAnsi="Calibri" w:cs="Calibri" w:hint="default"/>
      <w:color w:val="0563C1"/>
      <w:u w:val="single"/>
    </w:rPr>
  </w:style>
  <w:style w:type="character" w:styleId="Hyperlink">
    <w:name w:val="Hyperlink"/>
    <w:basedOn w:val="DefaultParagraphFont"/>
    <w:uiPriority w:val="99"/>
    <w:unhideWhenUsed/>
    <w:rsid w:val="00AB4405"/>
    <w:rPr>
      <w:color w:val="0000FF"/>
      <w:u w:val="single"/>
    </w:rPr>
  </w:style>
  <w:style w:type="paragraph" w:styleId="Header">
    <w:name w:val="header"/>
    <w:basedOn w:val="Normal"/>
    <w:link w:val="HeaderChar"/>
    <w:uiPriority w:val="99"/>
    <w:unhideWhenUsed/>
    <w:rsid w:val="00CF0B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0B51"/>
  </w:style>
  <w:style w:type="paragraph" w:styleId="Footer">
    <w:name w:val="footer"/>
    <w:basedOn w:val="Normal"/>
    <w:link w:val="FooterChar"/>
    <w:uiPriority w:val="99"/>
    <w:unhideWhenUsed/>
    <w:rsid w:val="00CF0B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0B51"/>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styles" Target="styles.xml"/><Relationship Id="rId16" Type="http://schemas.openxmlformats.org/officeDocument/2006/relationships/hyperlink" Target="about:blan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lgttZgYD77UnUNo2Bid6m2t9JA==">CgMxLjAyDmguMnQxdmNkYTkyZW1pOAByITFudF8wV2wxUnF4VExWaS1BNU5PRlJyVkNzT0luaEFEdQ==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2505</Words>
  <Characters>14683</Characters>
  <Application>Microsoft Office Word</Application>
  <DocSecurity>0</DocSecurity>
  <Lines>253</Lines>
  <Paragraphs>52</Paragraphs>
  <ScaleCrop>false</ScaleCrop>
  <Company/>
  <LinksUpToDate>false</LinksUpToDate>
  <CharactersWithSpaces>17136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3010</dc:creator>
  <cp:lastModifiedBy>Yonathan Wondimu</cp:lastModifiedBy>
  <cp:revision>2</cp:revision>
  <dcterms:created xsi:type="dcterms:W3CDTF">2026-02-13T12:43:00Z</dcterms:created>
  <dcterms:modified xsi:type="dcterms:W3CDTF">2026-02-16T14:25:00Z</dcterms:modified>
</cp:coreProperties>
</file>