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C3AF2FA" wp14:paraId="4A77F7C6" wp14:textId="35F575E7">
      <w:pPr>
        <w:pStyle w:val="Heading4"/>
        <w:keepNext w:val="1"/>
        <w:spacing w:before="120" w:after="120"/>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3C3AF2FA" w:rsidR="0D932BD6">
        <w:rPr>
          <w:rFonts w:ascii="Arial" w:hAnsi="Arial" w:eastAsia="Arial" w:cs="Arial"/>
          <w:b w:val="1"/>
          <w:bCs w:val="1"/>
          <w:i w:val="0"/>
          <w:iCs w:val="0"/>
          <w:caps w:val="0"/>
          <w:smallCaps w:val="0"/>
          <w:noProof w:val="0"/>
          <w:color w:val="000000" w:themeColor="text1" w:themeTint="FF" w:themeShade="FF"/>
          <w:sz w:val="40"/>
          <w:szCs w:val="40"/>
          <w:lang w:val="en-GB"/>
        </w:rPr>
        <w:t xml:space="preserve">LEVEL 4 ASSESSMENT SPECIFICATION </w:t>
      </w:r>
    </w:p>
    <w:tbl>
      <w:tblPr>
        <w:tblStyle w:val="PlainTable4"/>
        <w:tblW w:w="0" w:type="auto"/>
        <w:tblBorders>
          <w:top w:val="single" w:sz="6"/>
          <w:left w:val="single" w:sz="6"/>
          <w:bottom w:val="single" w:sz="6"/>
          <w:right w:val="single" w:sz="6"/>
        </w:tblBorders>
        <w:tblLayout w:type="fixed"/>
        <w:tblLook w:val="04A0" w:firstRow="1" w:lastRow="0" w:firstColumn="1" w:lastColumn="0" w:noHBand="0" w:noVBand="1"/>
      </w:tblPr>
      <w:tblGrid>
        <w:gridCol w:w="4508"/>
        <w:gridCol w:w="4508"/>
      </w:tblGrid>
      <w:tr w:rsidR="3C3AF2FA" w:rsidTr="3C3AF2FA" w14:paraId="484BF675">
        <w:trPr>
          <w:trHeight w:val="300"/>
        </w:trPr>
        <w:tc>
          <w:tcPr>
            <w:cnfStyle w:val="001000000000" w:firstRow="0" w:lastRow="0" w:firstColumn="1" w:lastColumn="0" w:oddVBand="0" w:evenVBand="0" w:oddHBand="0" w:evenHBand="0" w:firstRowFirstColumn="0" w:firstRowLastColumn="0" w:lastRowFirstColumn="0" w:lastRowLastColumn="0"/>
            <w:tcW w:w="4508" w:type="dxa"/>
            <w:tcMar>
              <w:left w:w="105" w:type="dxa"/>
              <w:right w:w="105" w:type="dxa"/>
            </w:tcMar>
            <w:vAlign w:val="top"/>
          </w:tcPr>
          <w:p w:rsidR="3C3AF2FA" w:rsidP="3C3AF2FA" w:rsidRDefault="3C3AF2FA" w14:paraId="2FCD6704" w14:textId="0A36EB59">
            <w:pPr>
              <w:tabs>
                <w:tab w:val="center" w:leader="none" w:pos="4153"/>
                <w:tab w:val="right" w:leader="none" w:pos="8306"/>
              </w:tabs>
              <w:rPr>
                <w:rFonts w:ascii="Arial" w:hAnsi="Arial" w:eastAsia="Arial" w:cs="Arial"/>
                <w:b w:val="1"/>
                <w:bCs w:val="1"/>
                <w:i w:val="0"/>
                <w:iCs w:val="0"/>
                <w:sz w:val="28"/>
                <w:szCs w:val="28"/>
              </w:rPr>
            </w:pPr>
            <w:r w:rsidR="3C3AF2FA">
              <w:drawing>
                <wp:inline wp14:editId="696084B9" wp14:anchorId="0BB522CA">
                  <wp:extent cx="1085850" cy="438150"/>
                  <wp:effectExtent l="0" t="0" r="0" b="0"/>
                  <wp:docPr id="926943607" name="" title=""/>
                  <wp:cNvGraphicFramePr>
                    <a:graphicFrameLocks noChangeAspect="1"/>
                  </wp:cNvGraphicFramePr>
                  <a:graphic>
                    <a:graphicData uri="http://schemas.openxmlformats.org/drawingml/2006/picture">
                      <pic:pic>
                        <pic:nvPicPr>
                          <pic:cNvPr id="0" name=""/>
                          <pic:cNvPicPr/>
                        </pic:nvPicPr>
                        <pic:blipFill>
                          <a:blip r:embed="R7df652f1dc0c412b">
                            <a:extLst>
                              <a:ext xmlns:a="http://schemas.openxmlformats.org/drawingml/2006/main" uri="{28A0092B-C50C-407E-A947-70E740481C1C}">
                                <a14:useLocalDpi val="0"/>
                              </a:ext>
                            </a:extLst>
                          </a:blip>
                          <a:stretch>
                            <a:fillRect/>
                          </a:stretch>
                        </pic:blipFill>
                        <pic:spPr>
                          <a:xfrm>
                            <a:off x="0" y="0"/>
                            <a:ext cx="1085850" cy="438150"/>
                          </a:xfrm>
                          <a:prstGeom prst="rect">
                            <a:avLst/>
                          </a:prstGeom>
                        </pic:spPr>
                      </pic:pic>
                    </a:graphicData>
                  </a:graphic>
                </wp:inline>
              </w:drawing>
            </w:r>
          </w:p>
        </w:tc>
        <w:tc>
          <w:tcPr>
            <w:cnfStyle w:val="000000000000" w:firstRow="0" w:lastRow="0" w:firstColumn="0" w:lastColumn="0" w:oddVBand="0" w:evenVBand="0" w:oddHBand="0" w:evenHBand="0" w:firstRowFirstColumn="0" w:firstRowLastColumn="0" w:lastRowFirstColumn="0" w:lastRowLastColumn="0"/>
            <w:tcW w:w="4508" w:type="dxa"/>
            <w:tcMar>
              <w:left w:w="105" w:type="dxa"/>
              <w:right w:w="105" w:type="dxa"/>
            </w:tcMar>
            <w:vAlign w:val="top"/>
          </w:tcPr>
          <w:p w:rsidR="3C3AF2FA" w:rsidP="3C3AF2FA" w:rsidRDefault="3C3AF2FA" w14:paraId="615B848D" w14:textId="4FC7104D">
            <w:pPr>
              <w:pStyle w:val="Header"/>
              <w:tabs>
                <w:tab w:val="center" w:leader="none" w:pos="4153"/>
                <w:tab w:val="right" w:leader="none" w:pos="8306"/>
              </w:tabs>
              <w:jc w:val="right"/>
              <w:rPr>
                <w:rFonts w:ascii="Arial" w:hAnsi="Arial" w:eastAsia="Arial" w:cs="Arial"/>
                <w:b w:val="1"/>
                <w:bCs w:val="1"/>
                <w:i w:val="0"/>
                <w:iCs w:val="0"/>
                <w:sz w:val="20"/>
                <w:szCs w:val="20"/>
              </w:rPr>
            </w:pPr>
            <w:r w:rsidRPr="3C3AF2FA" w:rsidR="3C3AF2FA">
              <w:rPr>
                <w:rFonts w:ascii="Arial" w:hAnsi="Arial" w:eastAsia="Arial" w:cs="Arial"/>
                <w:b w:val="1"/>
                <w:bCs w:val="1"/>
                <w:i w:val="0"/>
                <w:iCs w:val="0"/>
                <w:sz w:val="20"/>
                <w:szCs w:val="20"/>
                <w:lang w:val="en-GB"/>
              </w:rPr>
              <w:t>APPENDIX GA36a</w:t>
            </w:r>
          </w:p>
        </w:tc>
      </w:tr>
    </w:tbl>
    <w:p xmlns:wp14="http://schemas.microsoft.com/office/word/2010/wordml" w:rsidP="3C3AF2FA" wp14:paraId="728F938D" wp14:textId="0CB06922">
      <w:pPr>
        <w:jc w:val="center"/>
        <w:rPr>
          <w:rFonts w:ascii="Arial" w:hAnsi="Arial" w:eastAsia="Arial" w:cs="Arial"/>
          <w:b w:val="0"/>
          <w:bCs w:val="0"/>
          <w:i w:val="0"/>
          <w:iCs w:val="0"/>
          <w:caps w:val="0"/>
          <w:smallCaps w:val="0"/>
          <w:noProof w:val="0"/>
          <w:color w:val="000000" w:themeColor="text1" w:themeTint="FF" w:themeShade="FF"/>
          <w:sz w:val="32"/>
          <w:szCs w:val="32"/>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2171"/>
        <w:gridCol w:w="2408"/>
        <w:gridCol w:w="2856"/>
        <w:gridCol w:w="1579"/>
      </w:tblGrid>
      <w:tr w:rsidR="3C3AF2FA" w:rsidTr="3C3AF2FA" w14:paraId="39D6095D">
        <w:trPr>
          <w:trHeight w:val="300"/>
        </w:trPr>
        <w:tc>
          <w:tcPr>
            <w:tcW w:w="2171" w:type="dxa"/>
            <w:tcBorders>
              <w:top w:val="single" w:sz="6"/>
              <w:left w:val="single" w:sz="6"/>
              <w:bottom w:val="single" w:sz="6"/>
              <w:right w:val="single" w:sz="6"/>
            </w:tcBorders>
            <w:tcMar>
              <w:left w:w="105" w:type="dxa"/>
              <w:right w:w="105" w:type="dxa"/>
            </w:tcMar>
            <w:vAlign w:val="top"/>
          </w:tcPr>
          <w:p w:rsidR="3C3AF2FA" w:rsidP="3C3AF2FA" w:rsidRDefault="3C3AF2FA" w14:paraId="19C46DBB" w14:textId="33E6C859">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Student name:</w:t>
            </w:r>
          </w:p>
        </w:tc>
        <w:tc>
          <w:tcPr>
            <w:tcW w:w="2408" w:type="dxa"/>
            <w:tcBorders>
              <w:top w:val="single" w:sz="6"/>
              <w:left w:val="single" w:sz="6"/>
              <w:bottom w:val="single" w:sz="6"/>
              <w:right w:val="single" w:sz="6"/>
            </w:tcBorders>
            <w:tcMar>
              <w:left w:w="105" w:type="dxa"/>
              <w:right w:w="105" w:type="dxa"/>
            </w:tcMar>
            <w:vAlign w:val="top"/>
          </w:tcPr>
          <w:p w:rsidR="3C3AF2FA" w:rsidP="3C3AF2FA" w:rsidRDefault="3C3AF2FA" w14:paraId="4FD638DF" w14:textId="7B4786C2">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color w:val="000000" w:themeColor="text1" w:themeTint="FF" w:themeShade="FF"/>
                <w:sz w:val="22"/>
                <w:szCs w:val="22"/>
                <w:lang w:val="en-GB"/>
              </w:rPr>
              <w:t>     </w:t>
            </w:r>
            <w:r w:rsidRPr="3C3AF2FA" w:rsidR="3C3AF2FA">
              <w:rPr>
                <w:rFonts w:ascii="Arial" w:hAnsi="Arial" w:eastAsia="Arial" w:cs="Arial"/>
                <w:b w:val="1"/>
                <w:bCs w:val="1"/>
                <w:i w:val="0"/>
                <w:iCs w:val="0"/>
                <w:sz w:val="22"/>
                <w:szCs w:val="22"/>
                <w:lang w:val="en-GB"/>
              </w:rPr>
              <w:t>Roxana Plesca</w:t>
            </w:r>
          </w:p>
        </w:tc>
        <w:tc>
          <w:tcPr>
            <w:tcW w:w="2856"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C3AF2FA" w:rsidP="3C3AF2FA" w:rsidRDefault="3C3AF2FA" w14:paraId="5A7A8FA9" w14:textId="41C97BD3">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Student ID number:</w:t>
            </w:r>
          </w:p>
        </w:tc>
        <w:tc>
          <w:tcPr>
            <w:tcW w:w="1579" w:type="dxa"/>
            <w:tcBorders>
              <w:top w:val="single" w:sz="6"/>
              <w:left w:val="single" w:sz="6"/>
              <w:bottom w:val="single" w:sz="6"/>
              <w:right w:val="single" w:sz="6"/>
            </w:tcBorders>
            <w:tcMar>
              <w:left w:w="105" w:type="dxa"/>
              <w:right w:w="105" w:type="dxa"/>
            </w:tcMar>
            <w:vAlign w:val="top"/>
          </w:tcPr>
          <w:p w:rsidR="3C3AF2FA" w:rsidP="3C3AF2FA" w:rsidRDefault="3C3AF2FA" w14:paraId="5471DFAF" w14:textId="10D0775E">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2425030</w:t>
            </w:r>
          </w:p>
        </w:tc>
      </w:tr>
      <w:tr w:rsidR="3C3AF2FA" w:rsidTr="3C3AF2FA" w14:paraId="27A7950B">
        <w:trPr>
          <w:trHeight w:val="300"/>
        </w:trPr>
        <w:tc>
          <w:tcPr>
            <w:tcW w:w="2171" w:type="dxa"/>
            <w:tcBorders>
              <w:top w:val="single" w:sz="6"/>
              <w:left w:val="single" w:sz="6"/>
              <w:bottom w:val="single" w:sz="6"/>
              <w:right w:val="single" w:sz="6"/>
            </w:tcBorders>
            <w:tcMar>
              <w:left w:w="105" w:type="dxa"/>
              <w:right w:w="105" w:type="dxa"/>
            </w:tcMar>
            <w:vAlign w:val="top"/>
          </w:tcPr>
          <w:p w:rsidR="3C3AF2FA" w:rsidP="3C3AF2FA" w:rsidRDefault="3C3AF2FA" w14:paraId="519C27CF" w14:textId="21748D90">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Programme:</w:t>
            </w:r>
          </w:p>
        </w:tc>
        <w:tc>
          <w:tcPr>
            <w:tcW w:w="6843" w:type="dxa"/>
            <w:gridSpan w:val="3"/>
            <w:tcBorders>
              <w:top w:val="single" w:sz="6"/>
              <w:left w:val="single" w:sz="6"/>
              <w:bottom w:val="single" w:sz="6"/>
              <w:right w:val="single" w:sz="6"/>
            </w:tcBorders>
            <w:tcMar>
              <w:left w:w="105" w:type="dxa"/>
              <w:right w:w="105" w:type="dxa"/>
            </w:tcMar>
            <w:vAlign w:val="top"/>
          </w:tcPr>
          <w:p w:rsidR="3C3AF2FA" w:rsidP="3C3AF2FA" w:rsidRDefault="3C3AF2FA" w14:paraId="0DBEB087" w14:textId="737B5F25">
            <w:pPr>
              <w:spacing w:before="120" w:after="120"/>
              <w:jc w:val="both"/>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CertHE Applied Leadership and Management Outreach</w:t>
            </w:r>
          </w:p>
        </w:tc>
      </w:tr>
      <w:tr w:rsidR="3C3AF2FA" w:rsidTr="3C3AF2FA" w14:paraId="549ADE96">
        <w:trPr>
          <w:trHeight w:val="300"/>
        </w:trPr>
        <w:tc>
          <w:tcPr>
            <w:tcW w:w="2171" w:type="dxa"/>
            <w:tcBorders>
              <w:top w:val="single" w:sz="6"/>
              <w:left w:val="single" w:sz="6"/>
              <w:bottom w:val="single" w:sz="6"/>
              <w:right w:val="single" w:sz="6"/>
            </w:tcBorders>
            <w:tcMar>
              <w:left w:w="105" w:type="dxa"/>
              <w:right w:w="105" w:type="dxa"/>
            </w:tcMar>
            <w:vAlign w:val="top"/>
          </w:tcPr>
          <w:p w:rsidR="3C3AF2FA" w:rsidP="3C3AF2FA" w:rsidRDefault="3C3AF2FA" w14:paraId="0A6C104C" w14:textId="7EF30E4D">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Module:</w:t>
            </w:r>
          </w:p>
        </w:tc>
        <w:tc>
          <w:tcPr>
            <w:tcW w:w="6843" w:type="dxa"/>
            <w:gridSpan w:val="3"/>
            <w:tcBorders>
              <w:top w:val="single" w:sz="6"/>
              <w:left w:val="single" w:sz="6"/>
              <w:bottom w:val="single" w:sz="6"/>
              <w:right w:val="single" w:sz="6"/>
            </w:tcBorders>
            <w:tcMar>
              <w:left w:w="105" w:type="dxa"/>
              <w:right w:w="105" w:type="dxa"/>
            </w:tcMar>
            <w:vAlign w:val="top"/>
          </w:tcPr>
          <w:p w:rsidR="3C3AF2FA" w:rsidP="3C3AF2FA" w:rsidRDefault="3C3AF2FA" w14:paraId="25CFEC6F" w14:textId="3500734C">
            <w:pPr>
              <w:spacing w:before="120" w:after="120"/>
              <w:jc w:val="both"/>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 xml:space="preserve">Academic and Research Skills </w:t>
            </w:r>
          </w:p>
        </w:tc>
      </w:tr>
      <w:tr w:rsidR="3C3AF2FA" w:rsidTr="3C3AF2FA" w14:paraId="365F1F8B">
        <w:trPr>
          <w:trHeight w:val="300"/>
        </w:trPr>
        <w:tc>
          <w:tcPr>
            <w:tcW w:w="2171" w:type="dxa"/>
            <w:tcBorders>
              <w:top w:val="single" w:sz="6"/>
              <w:left w:val="single" w:sz="6"/>
              <w:bottom w:val="single" w:sz="6"/>
              <w:right w:val="single" w:sz="6"/>
            </w:tcBorders>
            <w:tcMar>
              <w:left w:w="105" w:type="dxa"/>
              <w:right w:w="105" w:type="dxa"/>
            </w:tcMar>
            <w:vAlign w:val="top"/>
          </w:tcPr>
          <w:p w:rsidR="3C3AF2FA" w:rsidP="3C3AF2FA" w:rsidRDefault="3C3AF2FA" w14:paraId="23CAC7AC" w14:textId="04CC3478">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Module code:</w:t>
            </w:r>
          </w:p>
        </w:tc>
        <w:tc>
          <w:tcPr>
            <w:tcW w:w="2408" w:type="dxa"/>
            <w:tcBorders>
              <w:top w:val="single" w:sz="6"/>
              <w:left w:val="single" w:sz="6"/>
              <w:bottom w:val="single" w:sz="6"/>
              <w:right w:val="single" w:sz="6"/>
            </w:tcBorders>
            <w:tcMar>
              <w:left w:w="105" w:type="dxa"/>
              <w:right w:w="105" w:type="dxa"/>
            </w:tcMar>
            <w:vAlign w:val="top"/>
          </w:tcPr>
          <w:p w:rsidR="3C3AF2FA" w:rsidP="3C3AF2FA" w:rsidRDefault="3C3AF2FA" w14:paraId="776D7D60" w14:textId="197FF467">
            <w:pPr>
              <w:spacing w:before="120" w:after="120"/>
              <w:jc w:val="both"/>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BMSK4015</w:t>
            </w:r>
          </w:p>
        </w:tc>
        <w:tc>
          <w:tcPr>
            <w:tcW w:w="2856"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C3AF2FA" w:rsidP="3C3AF2FA" w:rsidRDefault="3C3AF2FA" w14:paraId="218F95A0" w14:textId="7725FBA5">
            <w:pPr>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Contribution to Overall Module Assessment (%):</w:t>
            </w:r>
          </w:p>
        </w:tc>
        <w:tc>
          <w:tcPr>
            <w:tcW w:w="1579" w:type="dxa"/>
            <w:tcBorders>
              <w:top w:val="single" w:sz="6"/>
              <w:left w:val="single" w:sz="6"/>
              <w:bottom w:val="single" w:sz="6"/>
              <w:right w:val="single" w:sz="6"/>
            </w:tcBorders>
            <w:tcMar>
              <w:left w:w="105" w:type="dxa"/>
              <w:right w:w="105" w:type="dxa"/>
            </w:tcMar>
            <w:vAlign w:val="top"/>
          </w:tcPr>
          <w:p w:rsidR="3C3AF2FA" w:rsidP="3C3AF2FA" w:rsidRDefault="3C3AF2FA" w14:paraId="409F1110" w14:textId="7927C34C">
            <w:pPr>
              <w:spacing w:before="120" w:after="120"/>
              <w:jc w:val="center"/>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100%</w:t>
            </w:r>
          </w:p>
        </w:tc>
      </w:tr>
      <w:tr w:rsidR="3C3AF2FA" w:rsidTr="3C3AF2FA" w14:paraId="1B8FCFF3">
        <w:trPr>
          <w:trHeight w:val="300"/>
        </w:trPr>
        <w:tc>
          <w:tcPr>
            <w:tcW w:w="2171" w:type="dxa"/>
            <w:tcBorders>
              <w:top w:val="single" w:sz="6"/>
              <w:left w:val="single" w:sz="6"/>
              <w:bottom w:val="single" w:sz="6"/>
              <w:right w:val="single" w:sz="6"/>
            </w:tcBorders>
            <w:tcMar>
              <w:left w:w="105" w:type="dxa"/>
              <w:right w:w="105" w:type="dxa"/>
            </w:tcMar>
            <w:vAlign w:val="top"/>
          </w:tcPr>
          <w:p w:rsidR="3C3AF2FA" w:rsidP="3C3AF2FA" w:rsidRDefault="3C3AF2FA" w14:paraId="7B308528" w14:textId="3CC465F9">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Lecturer:</w:t>
            </w:r>
          </w:p>
        </w:tc>
        <w:tc>
          <w:tcPr>
            <w:tcW w:w="2408" w:type="dxa"/>
            <w:tcBorders>
              <w:top w:val="single" w:sz="6"/>
              <w:left w:val="single" w:sz="6"/>
              <w:bottom w:val="single" w:sz="6"/>
              <w:right w:val="single" w:sz="6"/>
            </w:tcBorders>
            <w:tcMar>
              <w:left w:w="105" w:type="dxa"/>
              <w:right w:w="105" w:type="dxa"/>
            </w:tcMar>
            <w:vAlign w:val="top"/>
          </w:tcPr>
          <w:p w:rsidR="3C3AF2FA" w:rsidP="3C3AF2FA" w:rsidRDefault="3C3AF2FA" w14:paraId="618CC94B" w14:textId="7A93034E">
            <w:pPr>
              <w:spacing w:before="120" w:after="120"/>
              <w:jc w:val="both"/>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TBC</w:t>
            </w:r>
          </w:p>
        </w:tc>
        <w:tc>
          <w:tcPr>
            <w:tcW w:w="2856"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C3AF2FA" w:rsidP="3C3AF2FA" w:rsidRDefault="3C3AF2FA" w14:paraId="7A00C774" w14:textId="19B4777E">
            <w:pPr>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Internal Verifier:</w:t>
            </w:r>
          </w:p>
        </w:tc>
        <w:tc>
          <w:tcPr>
            <w:tcW w:w="1579" w:type="dxa"/>
            <w:tcBorders>
              <w:top w:val="single" w:sz="6"/>
              <w:left w:val="single" w:sz="6"/>
              <w:bottom w:val="single" w:sz="6"/>
              <w:right w:val="single" w:sz="6"/>
            </w:tcBorders>
            <w:tcMar>
              <w:left w:w="105" w:type="dxa"/>
              <w:right w:w="105" w:type="dxa"/>
            </w:tcMar>
            <w:vAlign w:val="top"/>
          </w:tcPr>
          <w:p w:rsidR="3C3AF2FA" w:rsidP="3C3AF2FA" w:rsidRDefault="3C3AF2FA" w14:paraId="21D06644" w14:textId="7964E680">
            <w:pPr>
              <w:spacing w:before="120" w:after="120"/>
              <w:jc w:val="center"/>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TBC</w:t>
            </w:r>
          </w:p>
        </w:tc>
      </w:tr>
      <w:tr w:rsidR="3C3AF2FA" w:rsidTr="3C3AF2FA" w14:paraId="4DE528C0">
        <w:trPr>
          <w:trHeight w:val="300"/>
        </w:trPr>
        <w:tc>
          <w:tcPr>
            <w:tcW w:w="2171" w:type="dxa"/>
            <w:tcBorders>
              <w:top w:val="single" w:sz="6"/>
              <w:left w:val="single" w:sz="6"/>
              <w:bottom w:val="single" w:sz="6"/>
              <w:right w:val="single" w:sz="6"/>
            </w:tcBorders>
            <w:tcMar>
              <w:left w:w="105" w:type="dxa"/>
              <w:right w:w="105" w:type="dxa"/>
            </w:tcMar>
            <w:vAlign w:val="top"/>
          </w:tcPr>
          <w:p w:rsidR="3C3AF2FA" w:rsidP="3C3AF2FA" w:rsidRDefault="3C3AF2FA" w14:paraId="1CF471F7" w14:textId="6C95A9AF">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Lecturer Signature:</w:t>
            </w:r>
          </w:p>
        </w:tc>
        <w:tc>
          <w:tcPr>
            <w:tcW w:w="2408" w:type="dxa"/>
            <w:tcBorders>
              <w:top w:val="single" w:sz="6"/>
              <w:left w:val="single" w:sz="6"/>
              <w:bottom w:val="single" w:sz="6"/>
              <w:right w:val="single" w:sz="6"/>
            </w:tcBorders>
            <w:tcMar>
              <w:left w:w="105" w:type="dxa"/>
              <w:right w:w="105" w:type="dxa"/>
            </w:tcMar>
            <w:vAlign w:val="top"/>
          </w:tcPr>
          <w:p w:rsidR="3C3AF2FA" w:rsidP="3C3AF2FA" w:rsidRDefault="3C3AF2FA" w14:paraId="531FF099" w14:textId="7A4DA634">
            <w:pPr>
              <w:spacing w:before="120" w:after="120"/>
              <w:jc w:val="both"/>
              <w:rPr>
                <w:rFonts w:ascii="Arial" w:hAnsi="Arial" w:eastAsia="Arial" w:cs="Arial"/>
                <w:b w:val="0"/>
                <w:bCs w:val="0"/>
                <w:i w:val="0"/>
                <w:iCs w:val="0"/>
                <w:sz w:val="20"/>
                <w:szCs w:val="20"/>
              </w:rPr>
            </w:pPr>
          </w:p>
        </w:tc>
        <w:tc>
          <w:tcPr>
            <w:tcW w:w="2856"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C3AF2FA" w:rsidP="3C3AF2FA" w:rsidRDefault="3C3AF2FA" w14:paraId="40B0BD80" w14:textId="148088B2">
            <w:pPr>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Date marked:</w:t>
            </w:r>
          </w:p>
        </w:tc>
        <w:tc>
          <w:tcPr>
            <w:tcW w:w="1579" w:type="dxa"/>
            <w:tcBorders>
              <w:top w:val="single" w:sz="6"/>
              <w:left w:val="single" w:sz="6"/>
              <w:bottom w:val="single" w:sz="6"/>
              <w:right w:val="single" w:sz="6"/>
            </w:tcBorders>
            <w:tcMar>
              <w:left w:w="105" w:type="dxa"/>
              <w:right w:w="105" w:type="dxa"/>
            </w:tcMar>
            <w:vAlign w:val="top"/>
          </w:tcPr>
          <w:p w:rsidR="3C3AF2FA" w:rsidP="3C3AF2FA" w:rsidRDefault="3C3AF2FA" w14:paraId="5D6435D7" w14:textId="0A7EB1E4">
            <w:pPr>
              <w:spacing w:before="120" w:after="120"/>
              <w:jc w:val="both"/>
              <w:rPr>
                <w:rFonts w:ascii="Arial" w:hAnsi="Arial" w:eastAsia="Arial" w:cs="Arial"/>
                <w:b w:val="0"/>
                <w:bCs w:val="0"/>
                <w:i w:val="0"/>
                <w:iCs w:val="0"/>
                <w:sz w:val="20"/>
                <w:szCs w:val="20"/>
              </w:rPr>
            </w:pPr>
          </w:p>
        </w:tc>
      </w:tr>
      <w:tr w:rsidR="3C3AF2FA" w:rsidTr="3C3AF2FA" w14:paraId="26297DE1">
        <w:trPr>
          <w:trHeight w:val="300"/>
        </w:trPr>
        <w:tc>
          <w:tcPr>
            <w:tcW w:w="2171" w:type="dxa"/>
            <w:tcBorders>
              <w:top w:val="single" w:sz="6"/>
              <w:left w:val="single" w:sz="6"/>
              <w:bottom w:val="single" w:sz="6"/>
              <w:right w:val="single" w:sz="6"/>
            </w:tcBorders>
            <w:tcMar>
              <w:left w:w="105" w:type="dxa"/>
              <w:right w:w="105" w:type="dxa"/>
            </w:tcMar>
            <w:vAlign w:val="top"/>
          </w:tcPr>
          <w:p w:rsidR="3C3AF2FA" w:rsidP="3C3AF2FA" w:rsidRDefault="3C3AF2FA" w14:paraId="35445BED" w14:textId="734136AE">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Assignment Title:</w:t>
            </w:r>
          </w:p>
        </w:tc>
        <w:tc>
          <w:tcPr>
            <w:tcW w:w="2408" w:type="dxa"/>
            <w:tcBorders>
              <w:top w:val="single" w:sz="6"/>
              <w:left w:val="single" w:sz="6"/>
              <w:bottom w:val="single" w:sz="6"/>
              <w:right w:val="single" w:sz="6"/>
            </w:tcBorders>
            <w:tcMar>
              <w:left w:w="105" w:type="dxa"/>
              <w:right w:w="105" w:type="dxa"/>
            </w:tcMar>
            <w:vAlign w:val="top"/>
          </w:tcPr>
          <w:p w:rsidR="3C3AF2FA" w:rsidP="3C3AF2FA" w:rsidRDefault="3C3AF2FA" w14:paraId="6B871FF5" w14:textId="5CF48DAE">
            <w:pPr>
              <w:spacing w:before="120" w:after="120"/>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Academic and Research Skills</w:t>
            </w:r>
          </w:p>
        </w:tc>
        <w:tc>
          <w:tcPr>
            <w:tcW w:w="2856" w:type="dxa"/>
            <w:tcBorders>
              <w:top w:val="single" w:sz="6"/>
              <w:left w:val="single" w:sz="6"/>
              <w:bottom w:val="single" w:sz="6"/>
              <w:right w:val="single" w:sz="6"/>
            </w:tcBorders>
            <w:tcMar>
              <w:left w:w="105" w:type="dxa"/>
              <w:right w:w="105" w:type="dxa"/>
            </w:tcMar>
            <w:vAlign w:val="top"/>
          </w:tcPr>
          <w:p w:rsidR="3C3AF2FA" w:rsidP="3C3AF2FA" w:rsidRDefault="3C3AF2FA" w14:paraId="180D8EC0" w14:textId="2A706423">
            <w:pPr>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Word count (or equivalent):</w:t>
            </w:r>
          </w:p>
        </w:tc>
        <w:tc>
          <w:tcPr>
            <w:tcW w:w="1579" w:type="dxa"/>
            <w:tcBorders>
              <w:top w:val="single" w:sz="6"/>
              <w:left w:val="single" w:sz="6"/>
              <w:bottom w:val="single" w:sz="6"/>
              <w:right w:val="single" w:sz="6"/>
            </w:tcBorders>
            <w:tcMar>
              <w:left w:w="105" w:type="dxa"/>
              <w:right w:w="105" w:type="dxa"/>
            </w:tcMar>
            <w:vAlign w:val="top"/>
          </w:tcPr>
          <w:p w:rsidR="3C3AF2FA" w:rsidP="3C3AF2FA" w:rsidRDefault="3C3AF2FA" w14:paraId="4FDDB6E8" w14:textId="314C16AF">
            <w:pPr>
              <w:spacing w:before="120" w:after="120"/>
              <w:jc w:val="center"/>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3000</w:t>
            </w:r>
          </w:p>
        </w:tc>
      </w:tr>
      <w:tr w:rsidR="3C3AF2FA" w:rsidTr="3C3AF2FA" w14:paraId="69D18304">
        <w:trPr>
          <w:trHeight w:val="300"/>
        </w:trPr>
        <w:tc>
          <w:tcPr>
            <w:tcW w:w="2171" w:type="dxa"/>
            <w:tcBorders>
              <w:top w:val="single" w:sz="6"/>
              <w:left w:val="single" w:sz="6"/>
              <w:bottom w:val="single" w:sz="6"/>
              <w:right w:val="single" w:sz="6"/>
            </w:tcBorders>
            <w:tcMar>
              <w:left w:w="105" w:type="dxa"/>
              <w:right w:w="105" w:type="dxa"/>
            </w:tcMar>
            <w:vAlign w:val="top"/>
          </w:tcPr>
          <w:p w:rsidR="3C3AF2FA" w:rsidP="3C3AF2FA" w:rsidRDefault="3C3AF2FA" w14:paraId="5BB9090A" w14:textId="70708E8F">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Submission deadline:</w:t>
            </w:r>
          </w:p>
        </w:tc>
        <w:tc>
          <w:tcPr>
            <w:tcW w:w="2408" w:type="dxa"/>
            <w:tcBorders>
              <w:top w:val="single" w:sz="6"/>
              <w:left w:val="single" w:sz="6"/>
              <w:bottom w:val="single" w:sz="6"/>
              <w:right w:val="single" w:sz="6"/>
            </w:tcBorders>
            <w:tcMar>
              <w:left w:w="105" w:type="dxa"/>
              <w:right w:w="105" w:type="dxa"/>
            </w:tcMar>
            <w:vAlign w:val="top"/>
          </w:tcPr>
          <w:p w:rsidR="3C3AF2FA" w:rsidP="3C3AF2FA" w:rsidRDefault="3C3AF2FA" w14:paraId="390FD024" w14:textId="4B98BFF7">
            <w:pPr>
              <w:spacing w:before="120" w:after="120"/>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As agreed</w:t>
            </w:r>
          </w:p>
        </w:tc>
        <w:tc>
          <w:tcPr>
            <w:tcW w:w="2856" w:type="dxa"/>
            <w:tcBorders>
              <w:top w:val="single" w:sz="6"/>
              <w:left w:val="single" w:sz="6"/>
              <w:bottom w:val="single" w:sz="6"/>
              <w:right w:val="single" w:sz="6"/>
            </w:tcBorders>
            <w:tcMar>
              <w:left w:w="105" w:type="dxa"/>
              <w:right w:w="105" w:type="dxa"/>
            </w:tcMar>
            <w:vAlign w:val="top"/>
          </w:tcPr>
          <w:p w:rsidR="3C3AF2FA" w:rsidP="3C3AF2FA" w:rsidRDefault="3C3AF2FA" w14:paraId="767CAC3F" w14:textId="7AA4E478">
            <w:pPr>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Return date of provisional marks &amp; written feedback:</w:t>
            </w:r>
          </w:p>
        </w:tc>
        <w:tc>
          <w:tcPr>
            <w:tcW w:w="1579" w:type="dxa"/>
            <w:tcBorders>
              <w:top w:val="single" w:sz="6"/>
              <w:left w:val="single" w:sz="6"/>
              <w:bottom w:val="single" w:sz="6"/>
              <w:right w:val="single" w:sz="6"/>
            </w:tcBorders>
            <w:tcMar>
              <w:left w:w="105" w:type="dxa"/>
              <w:right w:w="105" w:type="dxa"/>
            </w:tcMar>
            <w:vAlign w:val="top"/>
          </w:tcPr>
          <w:p w:rsidR="3C3AF2FA" w:rsidP="3C3AF2FA" w:rsidRDefault="3C3AF2FA" w14:paraId="1C98A3B1" w14:textId="35E2D4EB">
            <w:pPr>
              <w:spacing w:before="120" w:after="120"/>
              <w:jc w:val="both"/>
              <w:rPr>
                <w:rFonts w:ascii="Arial" w:hAnsi="Arial" w:eastAsia="Arial" w:cs="Arial"/>
                <w:b w:val="0"/>
                <w:bCs w:val="0"/>
                <w:i w:val="0"/>
                <w:iCs w:val="0"/>
                <w:sz w:val="18"/>
                <w:szCs w:val="18"/>
              </w:rPr>
            </w:pPr>
          </w:p>
        </w:tc>
      </w:tr>
      <w:tr w:rsidR="3C3AF2FA" w:rsidTr="3C3AF2FA" w14:paraId="35E49BF4">
        <w:trPr>
          <w:trHeight w:val="300"/>
        </w:trPr>
        <w:tc>
          <w:tcPr>
            <w:tcW w:w="2171" w:type="dxa"/>
            <w:tcBorders>
              <w:top w:val="single" w:sz="6"/>
              <w:left w:val="single" w:sz="6"/>
              <w:bottom w:val="single" w:sz="6"/>
              <w:right w:val="single" w:sz="6"/>
            </w:tcBorders>
            <w:tcMar>
              <w:left w:w="105" w:type="dxa"/>
              <w:right w:w="105" w:type="dxa"/>
            </w:tcMar>
            <w:vAlign w:val="top"/>
          </w:tcPr>
          <w:p w:rsidR="3C3AF2FA" w:rsidP="3C3AF2FA" w:rsidRDefault="3C3AF2FA" w14:paraId="18E7286A" w14:textId="6781A981">
            <w:pPr>
              <w:spacing w:before="120" w:after="120"/>
              <w:jc w:val="both"/>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Submission method:</w:t>
            </w:r>
          </w:p>
        </w:tc>
        <w:tc>
          <w:tcPr>
            <w:tcW w:w="6843" w:type="dxa"/>
            <w:gridSpan w:val="3"/>
            <w:tcBorders>
              <w:top w:val="single" w:sz="6"/>
              <w:left w:val="single" w:sz="6"/>
              <w:bottom w:val="single" w:sz="6"/>
              <w:right w:val="single" w:sz="6"/>
            </w:tcBorders>
            <w:tcMar>
              <w:left w:w="105" w:type="dxa"/>
              <w:right w:w="105" w:type="dxa"/>
            </w:tcMar>
            <w:vAlign w:val="top"/>
          </w:tcPr>
          <w:p w:rsidR="3C3AF2FA" w:rsidP="3C3AF2FA" w:rsidRDefault="3C3AF2FA" w14:paraId="5684089E" w14:textId="2CB4E3F1">
            <w:pPr>
              <w:rPr>
                <w:rFonts w:ascii="Arial" w:hAnsi="Arial" w:eastAsia="Arial" w:cs="Arial"/>
                <w:b w:val="0"/>
                <w:bCs w:val="0"/>
                <w:i w:val="0"/>
                <w:iCs w:val="0"/>
                <w:sz w:val="20"/>
                <w:szCs w:val="20"/>
              </w:rPr>
            </w:pPr>
            <w:r w:rsidRPr="3C3AF2FA" w:rsidR="3C3AF2FA">
              <w:rPr>
                <w:rFonts w:ascii="Arial" w:hAnsi="Arial" w:eastAsia="Arial" w:cs="Arial"/>
                <w:b w:val="0"/>
                <w:bCs w:val="0"/>
                <w:i w:val="0"/>
                <w:iCs w:val="0"/>
                <w:sz w:val="20"/>
                <w:szCs w:val="20"/>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3C3AF2FA" w:rsidP="3C3AF2FA" w:rsidRDefault="3C3AF2FA" w14:paraId="294392A0" w14:textId="3EA4DA15">
            <w:pPr>
              <w:spacing w:before="120" w:after="120"/>
              <w:jc w:val="both"/>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 xml:space="preserve">Alternative submission method (if applicable): </w:t>
            </w:r>
          </w:p>
          <w:p w:rsidR="3C3AF2FA" w:rsidP="3C3AF2FA" w:rsidRDefault="3C3AF2FA" w14:paraId="03DF2DB7" w14:textId="5F7F0954">
            <w:pPr>
              <w:spacing w:before="120" w:after="120"/>
              <w:jc w:val="both"/>
              <w:rPr>
                <w:rFonts w:ascii="Arial" w:hAnsi="Arial" w:eastAsia="Arial" w:cs="Arial"/>
                <w:b w:val="0"/>
                <w:bCs w:val="0"/>
                <w:i w:val="0"/>
                <w:iCs w:val="0"/>
                <w:sz w:val="20"/>
                <w:szCs w:val="20"/>
              </w:rPr>
            </w:pPr>
            <w:r w:rsidRPr="3C3AF2FA" w:rsidR="3C3AF2FA">
              <w:rPr>
                <w:rFonts w:ascii="Arial" w:hAnsi="Arial" w:eastAsia="Arial" w:cs="Arial"/>
                <w:b w:val="1"/>
                <w:bCs w:val="1"/>
                <w:i w:val="0"/>
                <w:iCs w:val="0"/>
                <w:sz w:val="20"/>
                <w:szCs w:val="20"/>
                <w:lang w:val="en-GB"/>
              </w:rPr>
              <w:t xml:space="preserve">Late submission of the assessment will result in a late penalty mark.  </w:t>
            </w:r>
            <w:r w:rsidRPr="3C3AF2FA" w:rsidR="3C3AF2FA">
              <w:rPr>
                <w:rFonts w:ascii="Arial" w:hAnsi="Arial" w:eastAsia="Arial" w:cs="Arial"/>
                <w:b w:val="0"/>
                <w:bCs w:val="0"/>
                <w:i w:val="0"/>
                <w:iCs w:val="0"/>
                <w:sz w:val="20"/>
                <w:szCs w:val="20"/>
                <w:lang w:val="en-GB"/>
              </w:rPr>
              <w:t>Penalties for late submission: Up to one-week late, maximum mark of 40%.  Over one week late, 0%.  Only the Extenuating Circumstances Panel may approve a change to submission dates.</w:t>
            </w:r>
          </w:p>
        </w:tc>
      </w:tr>
      <w:tr w:rsidR="3C3AF2FA" w:rsidTr="3C3AF2FA" w14:paraId="725C1D5C">
        <w:trPr>
          <w:trHeight w:val="300"/>
        </w:trPr>
        <w:tc>
          <w:tcPr>
            <w:tcW w:w="2171" w:type="dxa"/>
            <w:tcBorders>
              <w:top w:val="single" w:sz="6"/>
              <w:left w:val="single" w:sz="6"/>
              <w:bottom w:val="single" w:sz="6"/>
              <w:right w:val="single" w:sz="6"/>
            </w:tcBorders>
            <w:tcMar>
              <w:left w:w="105" w:type="dxa"/>
              <w:right w:w="105" w:type="dxa"/>
            </w:tcMar>
            <w:vAlign w:val="top"/>
          </w:tcPr>
          <w:p w:rsidR="3C3AF2FA" w:rsidP="3C3AF2FA" w:rsidRDefault="3C3AF2FA" w14:paraId="5D5AFEEB" w14:textId="2C9A19A7">
            <w:pPr>
              <w:spacing w:before="120" w:after="120"/>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Academic honesty / referencing:</w:t>
            </w:r>
          </w:p>
        </w:tc>
        <w:tc>
          <w:tcPr>
            <w:tcW w:w="6843" w:type="dxa"/>
            <w:gridSpan w:val="3"/>
            <w:tcBorders>
              <w:top w:val="single" w:sz="6"/>
              <w:left w:val="single" w:sz="6"/>
              <w:bottom w:val="single" w:sz="6"/>
              <w:right w:val="single" w:sz="6"/>
            </w:tcBorders>
            <w:tcMar>
              <w:left w:w="105" w:type="dxa"/>
              <w:right w:w="105" w:type="dxa"/>
            </w:tcMar>
            <w:vAlign w:val="top"/>
          </w:tcPr>
          <w:p w:rsidR="3C3AF2FA" w:rsidP="3C3AF2FA" w:rsidRDefault="3C3AF2FA" w14:paraId="47CB8CF9" w14:textId="26D0A4E5">
            <w:pPr>
              <w:spacing w:before="120" w:after="120"/>
              <w:jc w:val="both"/>
              <w:rPr>
                <w:rFonts w:ascii="Arial" w:hAnsi="Arial" w:eastAsia="Arial" w:cs="Arial"/>
                <w:b w:val="0"/>
                <w:bCs w:val="0"/>
                <w:i w:val="0"/>
                <w:iCs w:val="0"/>
                <w:sz w:val="20"/>
                <w:szCs w:val="20"/>
              </w:rPr>
            </w:pPr>
            <w:r w:rsidRPr="3C3AF2FA" w:rsidR="3C3AF2FA">
              <w:rPr>
                <w:rFonts w:ascii="Arial" w:hAnsi="Arial" w:eastAsia="Arial" w:cs="Arial"/>
                <w:b w:val="0"/>
                <w:bCs w:val="0"/>
                <w:i w:val="0"/>
                <w:iCs w:val="0"/>
                <w:sz w:val="20"/>
                <w:szCs w:val="20"/>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9015"/>
      </w:tblGrid>
      <w:tr w:rsidR="3C3AF2FA" w:rsidTr="3C3AF2FA" w14:paraId="79A2D84E">
        <w:trPr>
          <w:trHeight w:val="300"/>
        </w:trPr>
        <w:tc>
          <w:tcPr>
            <w:tcW w:w="9015" w:type="dxa"/>
            <w:tcBorders>
              <w:top w:val="single" w:sz="6"/>
              <w:left w:val="single" w:sz="6"/>
              <w:bottom w:val="single" w:sz="6"/>
              <w:right w:val="single" w:sz="6"/>
            </w:tcBorders>
            <w:tcMar>
              <w:left w:w="105" w:type="dxa"/>
              <w:right w:w="105" w:type="dxa"/>
            </w:tcMar>
            <w:vAlign w:val="top"/>
          </w:tcPr>
          <w:p w:rsidR="3C3AF2FA" w:rsidP="3C3AF2FA" w:rsidRDefault="3C3AF2FA" w14:paraId="7B9EF266" w14:textId="3A2E76EB">
            <w:pPr>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 xml:space="preserve">Module Learning Outcomes </w:t>
            </w:r>
          </w:p>
          <w:p w:rsidR="3C3AF2FA" w:rsidP="3C3AF2FA" w:rsidRDefault="3C3AF2FA" w14:paraId="7196C312" w14:textId="54ED77F1">
            <w:pPr>
              <w:rPr>
                <w:rFonts w:ascii="Arial" w:hAnsi="Arial" w:eastAsia="Arial" w:cs="Arial"/>
                <w:b w:val="0"/>
                <w:bCs w:val="0"/>
                <w:i w:val="0"/>
                <w:iCs w:val="0"/>
                <w:sz w:val="22"/>
                <w:szCs w:val="22"/>
              </w:rPr>
            </w:pPr>
            <w:r w:rsidRPr="3C3AF2FA" w:rsidR="3C3AF2FA">
              <w:rPr>
                <w:rFonts w:ascii="Arial" w:hAnsi="Arial" w:eastAsia="Arial" w:cs="Arial"/>
                <w:b w:val="1"/>
                <w:bCs w:val="1"/>
                <w:i w:val="0"/>
                <w:iCs w:val="0"/>
                <w:sz w:val="22"/>
                <w:szCs w:val="22"/>
                <w:lang w:val="en-GB"/>
              </w:rPr>
              <w:t>(from module syllabus)</w:t>
            </w:r>
          </w:p>
        </w:tc>
      </w:tr>
      <w:tr w:rsidR="3C3AF2FA" w:rsidTr="3C3AF2FA" w14:paraId="5E5E5E02">
        <w:trPr>
          <w:trHeight w:val="300"/>
        </w:trPr>
        <w:tc>
          <w:tcPr>
            <w:tcW w:w="9015" w:type="dxa"/>
            <w:tcBorders>
              <w:top w:val="single" w:sz="6"/>
              <w:left w:val="single" w:sz="6"/>
              <w:bottom w:val="single" w:sz="6"/>
              <w:right w:val="single" w:sz="6"/>
            </w:tcBorders>
            <w:tcMar>
              <w:left w:w="105" w:type="dxa"/>
              <w:right w:w="105" w:type="dxa"/>
            </w:tcMar>
            <w:vAlign w:val="top"/>
          </w:tcPr>
          <w:p w:rsidR="3C3AF2FA" w:rsidP="3C3AF2FA" w:rsidRDefault="3C3AF2FA" w14:paraId="32AA25D6" w14:textId="6DEFD5D3">
            <w:pPr>
              <w:rPr>
                <w:rFonts w:ascii="Arial" w:hAnsi="Arial" w:eastAsia="Arial" w:cs="Arial"/>
                <w:b w:val="0"/>
                <w:bCs w:val="0"/>
                <w:i w:val="0"/>
                <w:iCs w:val="0"/>
                <w:sz w:val="22"/>
                <w:szCs w:val="22"/>
              </w:rPr>
            </w:pPr>
          </w:p>
          <w:p w:rsidR="3C3AF2FA" w:rsidP="3C3AF2FA" w:rsidRDefault="3C3AF2FA" w14:paraId="24951A2D" w14:textId="19FEDE21">
            <w:pPr>
              <w:widowControl w:val="0"/>
              <w:spacing w:line="241" w:lineRule="auto"/>
              <w:ind w:left="120" w:right="940"/>
              <w:rPr>
                <w:rFonts w:ascii="Arial" w:hAnsi="Arial" w:eastAsia="Arial" w:cs="Arial"/>
                <w:b w:val="0"/>
                <w:bCs w:val="0"/>
                <w:i w:val="0"/>
                <w:iCs w:val="0"/>
                <w:sz w:val="20"/>
                <w:szCs w:val="20"/>
              </w:rPr>
            </w:pPr>
            <w:r w:rsidRPr="3C3AF2FA" w:rsidR="3C3AF2FA">
              <w:rPr>
                <w:rFonts w:ascii="Arial" w:hAnsi="Arial" w:eastAsia="Arial" w:cs="Arial"/>
                <w:b w:val="0"/>
                <w:bCs w:val="0"/>
                <w:i w:val="0"/>
                <w:iCs w:val="0"/>
                <w:sz w:val="20"/>
                <w:szCs w:val="20"/>
                <w:lang w:val="en-GB"/>
              </w:rPr>
              <w:t>Upon the successful completion of this module, the student should be able to demonstrate the ability to:</w:t>
            </w:r>
          </w:p>
          <w:p w:rsidR="3C3AF2FA" w:rsidP="3C3AF2FA" w:rsidRDefault="3C3AF2FA" w14:paraId="0B02ED98" w14:textId="13762635">
            <w:pPr>
              <w:pStyle w:val="ListParagraph"/>
              <w:widowControl w:val="0"/>
              <w:numPr>
                <w:ilvl w:val="0"/>
                <w:numId w:val="1"/>
              </w:numPr>
              <w:spacing w:line="241" w:lineRule="auto"/>
              <w:ind w:right="940"/>
              <w:rPr>
                <w:rFonts w:ascii="Arial" w:hAnsi="Arial" w:eastAsia="Arial" w:cs="Arial"/>
                <w:b w:val="0"/>
                <w:bCs w:val="0"/>
                <w:i w:val="0"/>
                <w:iCs w:val="0"/>
                <w:sz w:val="20"/>
                <w:szCs w:val="20"/>
              </w:rPr>
            </w:pPr>
            <w:r w:rsidRPr="3C3AF2FA" w:rsidR="3C3AF2FA">
              <w:rPr>
                <w:rFonts w:ascii="Arial" w:hAnsi="Arial" w:eastAsia="Arial" w:cs="Arial"/>
                <w:b w:val="0"/>
                <w:bCs w:val="0"/>
                <w:i w:val="0"/>
                <w:iCs w:val="0"/>
                <w:sz w:val="20"/>
                <w:szCs w:val="20"/>
                <w:lang w:val="en-GB"/>
              </w:rPr>
              <w:t>Analyse published literature relating to a specific topic or subject area and produce a fully referenced, appropriately structured academic report.</w:t>
            </w:r>
          </w:p>
          <w:p w:rsidR="3C3AF2FA" w:rsidP="3C3AF2FA" w:rsidRDefault="3C3AF2FA" w14:paraId="58D0DA35" w14:textId="67BCDCAB">
            <w:pPr>
              <w:pStyle w:val="ListParagraph"/>
              <w:widowControl w:val="0"/>
              <w:numPr>
                <w:ilvl w:val="0"/>
                <w:numId w:val="1"/>
              </w:numPr>
              <w:spacing w:line="241" w:lineRule="auto"/>
              <w:ind w:right="940"/>
              <w:rPr>
                <w:rFonts w:ascii="Arial" w:hAnsi="Arial" w:eastAsia="Arial" w:cs="Arial"/>
                <w:b w:val="0"/>
                <w:bCs w:val="0"/>
                <w:i w:val="0"/>
                <w:iCs w:val="0"/>
                <w:sz w:val="20"/>
                <w:szCs w:val="20"/>
              </w:rPr>
            </w:pPr>
            <w:r w:rsidRPr="3C3AF2FA" w:rsidR="3C3AF2FA">
              <w:rPr>
                <w:rFonts w:ascii="Arial" w:hAnsi="Arial" w:eastAsia="Arial" w:cs="Arial"/>
                <w:b w:val="0"/>
                <w:bCs w:val="0"/>
                <w:i w:val="0"/>
                <w:iCs w:val="0"/>
                <w:sz w:val="20"/>
                <w:szCs w:val="20"/>
                <w:lang w:val="en-GB"/>
              </w:rPr>
              <w:t>Reflect on their learning using recognised models of reflection.</w:t>
            </w:r>
          </w:p>
          <w:p w:rsidR="3C3AF2FA" w:rsidP="3C3AF2FA" w:rsidRDefault="3C3AF2FA" w14:paraId="077FCE36" w14:textId="64BA0D6A">
            <w:pPr>
              <w:pStyle w:val="ListParagraph"/>
              <w:numPr>
                <w:ilvl w:val="0"/>
                <w:numId w:val="1"/>
              </w:numPr>
              <w:rPr>
                <w:rFonts w:ascii="Arial" w:hAnsi="Arial" w:eastAsia="Arial" w:cs="Arial"/>
                <w:b w:val="0"/>
                <w:bCs w:val="0"/>
                <w:i w:val="0"/>
                <w:iCs w:val="0"/>
                <w:sz w:val="20"/>
                <w:szCs w:val="20"/>
              </w:rPr>
            </w:pPr>
            <w:r w:rsidRPr="3C3AF2FA" w:rsidR="3C3AF2FA">
              <w:rPr>
                <w:rFonts w:ascii="Arial" w:hAnsi="Arial" w:eastAsia="Arial" w:cs="Arial"/>
                <w:b w:val="0"/>
                <w:bCs w:val="0"/>
                <w:i w:val="0"/>
                <w:iCs w:val="0"/>
                <w:sz w:val="20"/>
                <w:szCs w:val="20"/>
                <w:lang w:val="en-GB"/>
              </w:rPr>
              <w:t>Understand how to gather, analyse, and present data and be able to use data analysis to justify a management decision</w:t>
            </w:r>
          </w:p>
        </w:tc>
      </w:tr>
    </w:tbl>
    <w:p xmlns:wp14="http://schemas.microsoft.com/office/word/2010/wordml" wp14:paraId="5E5787A5" wp14:textId="10940289"/>
    <w:p w:rsidR="3C3AF2FA" w:rsidRDefault="3C3AF2FA" w14:paraId="3C8647E8" w14:textId="26B85EB0"/>
    <w:p w:rsidR="3C3AF2FA" w:rsidRDefault="3C3AF2FA" w14:paraId="74F8B7B4" w14:textId="79AC4A02"/>
    <w:p w:rsidR="3C3AF2FA" w:rsidRDefault="3C3AF2FA" w14:paraId="3A2EFFEB" w14:textId="16029126"/>
    <w:p w:rsidR="3C3AF2FA" w:rsidRDefault="3C3AF2FA" w14:paraId="00C35609" w14:textId="337C5FFD"/>
    <w:p w:rsidR="3C3AF2FA" w:rsidRDefault="3C3AF2FA" w14:paraId="2DFFD040" w14:textId="6EAF7337"/>
    <w:p w:rsidR="3C3AF2FA" w:rsidRDefault="3C3AF2FA" w14:paraId="32B563F9" w14:textId="7BB37CEC"/>
    <w:p w:rsidR="3C3AF2FA" w:rsidRDefault="3C3AF2FA" w14:paraId="4833C4CF" w14:textId="135B8F3B"/>
    <w:p w:rsidR="3C3AF2FA" w:rsidRDefault="3C3AF2FA" w14:paraId="0250406E" w14:textId="3FF15415"/>
    <w:p w:rsidR="3C3AF2FA" w:rsidRDefault="3C3AF2FA" w14:paraId="6835A9F0" w14:textId="31EFFADE"/>
    <w:p w:rsidR="3C3AF2FA" w:rsidRDefault="3C3AF2FA" w14:paraId="3BE34E8B" w14:textId="05CCC281"/>
    <w:p w:rsidR="3C3AF2FA" w:rsidRDefault="3C3AF2FA" w14:paraId="0EDE6CF3" w14:textId="6DA35D03"/>
    <w:p w:rsidR="3C3AF2FA" w:rsidRDefault="3C3AF2FA" w14:paraId="570F7A19" w14:textId="701D1E22"/>
    <w:p w:rsidR="3C3AF2FA" w:rsidRDefault="3C3AF2FA" w14:paraId="3E6014E4" w14:textId="73DBC8E2"/>
    <w:p w:rsidR="3C3AF2FA" w:rsidRDefault="3C3AF2FA" w14:paraId="6662EB65" w14:textId="1BFB8894"/>
    <w:p w:rsidR="3C3AF2FA" w:rsidRDefault="3C3AF2FA" w14:paraId="4466D50A" w14:textId="7D241953"/>
    <w:p w:rsidR="3C3AF2FA" w:rsidRDefault="3C3AF2FA" w14:paraId="6758E8F4" w14:textId="50AA4CE4"/>
    <w:p w:rsidR="3C3AF2FA" w:rsidRDefault="3C3AF2FA" w14:paraId="59287F9E" w14:textId="055B561D"/>
    <w:p w:rsidR="3C3AF2FA" w:rsidRDefault="3C3AF2FA" w14:paraId="6B8B3F47" w14:textId="08B0FCD3"/>
    <w:p w:rsidR="3C3AF2FA" w:rsidRDefault="3C3AF2FA" w14:paraId="1D519263" w14:textId="11B26EC7"/>
    <w:p w:rsidR="3C3AF2FA" w:rsidRDefault="3C3AF2FA" w14:paraId="235E2C2D" w14:textId="77BBE7DF"/>
    <w:p w:rsidR="3C3AF2FA" w:rsidRDefault="3C3AF2FA" w14:paraId="04C17D73" w14:textId="1995DF68"/>
    <w:p w:rsidR="3C3AF2FA" w:rsidRDefault="3C3AF2FA" w14:paraId="6C742594" w14:textId="4DBC8EA7"/>
    <w:p w:rsidR="3C3AF2FA" w:rsidRDefault="3C3AF2FA" w14:paraId="0F1CA1B9" w14:textId="0680DAD2"/>
    <w:p w:rsidR="3C3AF2FA" w:rsidRDefault="3C3AF2FA" w14:paraId="0B9D745E" w14:textId="2048CC86"/>
    <w:p w:rsidR="3C3AF2FA" w:rsidP="3C3AF2FA" w:rsidRDefault="3C3AF2FA" w14:paraId="000CAAA9" w14:textId="4F2E7C57">
      <w:pPr>
        <w:jc w:val="center"/>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p>
    <w:p w:rsidR="3C3AF2FA" w:rsidP="3C3AF2FA" w:rsidRDefault="3C3AF2FA" w14:paraId="52B80182" w14:textId="05B82A5C">
      <w:pPr>
        <w:jc w:val="center"/>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p>
    <w:p w:rsidR="088EC3A4" w:rsidP="3C3AF2FA" w:rsidRDefault="088EC3A4" w14:paraId="0C17F3BD" w14:textId="5487345B">
      <w:pPr>
        <w:jc w:val="center"/>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Managing Remotely: Advantages and Disadvantages for Employees, Managers, and the Business</w:t>
      </w:r>
    </w:p>
    <w:p w:rsidR="3C3AF2FA" w:rsidP="3C3AF2FA" w:rsidRDefault="3C3AF2FA" w14:paraId="1507156D" w14:textId="69AC34BC">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006484F0" w14:textId="2A29EA65">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3079922E" w14:textId="313833FD">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7F50EFE0" w14:textId="59CC2B24">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63D15E88" w14:textId="39895887">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7BA2510C" w14:textId="5D811059">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6E358827" w14:textId="7EB79690">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732F925B" w14:textId="1545B845">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3F229759" w14:textId="6A844E80">
      <w:pPr>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w:rsidR="088EC3A4" w:rsidP="3C3AF2FA" w:rsidRDefault="088EC3A4" w14:paraId="5D3AA126" w14:textId="28DD8FE6">
      <w:pPr>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3C3AF2FA" w:rsidR="088EC3A4">
        <w:rPr>
          <w:rFonts w:ascii="Calibri" w:hAnsi="Calibri" w:eastAsia="Calibri" w:cs="Calibri"/>
          <w:b w:val="1"/>
          <w:bCs w:val="1"/>
          <w:i w:val="0"/>
          <w:iCs w:val="0"/>
          <w:caps w:val="0"/>
          <w:smallCaps w:val="0"/>
          <w:noProof w:val="0"/>
          <w:color w:val="000000" w:themeColor="text1" w:themeTint="FF" w:themeShade="FF"/>
          <w:sz w:val="32"/>
          <w:szCs w:val="32"/>
          <w:lang w:val="en-GB"/>
        </w:rPr>
        <w:t>Student:</w:t>
      </w:r>
      <w:r w:rsidRPr="3C3AF2FA" w:rsidR="088EC3A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Roxana Plesca</w:t>
      </w:r>
    </w:p>
    <w:p w:rsidR="088EC3A4" w:rsidP="3C3AF2FA" w:rsidRDefault="088EC3A4" w14:paraId="45CD31B9" w14:textId="4A495894">
      <w:pPr>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3C3AF2FA" w:rsidR="088EC3A4">
        <w:rPr>
          <w:rFonts w:ascii="Calibri" w:hAnsi="Calibri" w:eastAsia="Calibri" w:cs="Calibri"/>
          <w:b w:val="1"/>
          <w:bCs w:val="1"/>
          <w:i w:val="0"/>
          <w:iCs w:val="0"/>
          <w:caps w:val="0"/>
          <w:smallCaps w:val="0"/>
          <w:noProof w:val="0"/>
          <w:color w:val="000000" w:themeColor="text1" w:themeTint="FF" w:themeShade="FF"/>
          <w:sz w:val="32"/>
          <w:szCs w:val="32"/>
          <w:lang w:val="en-GB"/>
        </w:rPr>
        <w:t>Course:</w:t>
      </w:r>
      <w:r w:rsidRPr="3C3AF2FA" w:rsidR="088EC3A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Applied Leadership &amp; Management Outreach</w:t>
      </w:r>
    </w:p>
    <w:p w:rsidR="088EC3A4" w:rsidP="3C3AF2FA" w:rsidRDefault="088EC3A4" w14:paraId="15C39968" w14:textId="077D3289">
      <w:pPr>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3C3AF2FA" w:rsidR="088EC3A4">
        <w:rPr>
          <w:rFonts w:ascii="Calibri" w:hAnsi="Calibri" w:eastAsia="Calibri" w:cs="Calibri"/>
          <w:b w:val="1"/>
          <w:bCs w:val="1"/>
          <w:i w:val="0"/>
          <w:iCs w:val="0"/>
          <w:caps w:val="0"/>
          <w:smallCaps w:val="0"/>
          <w:noProof w:val="0"/>
          <w:color w:val="000000" w:themeColor="text1" w:themeTint="FF" w:themeShade="FF"/>
          <w:sz w:val="32"/>
          <w:szCs w:val="32"/>
          <w:lang w:val="en-GB"/>
        </w:rPr>
        <w:t>Course code:</w:t>
      </w:r>
      <w:r w:rsidRPr="3C3AF2FA" w:rsidR="088EC3A4">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BMSK4015</w:t>
      </w:r>
    </w:p>
    <w:p w:rsidR="3C3AF2FA" w:rsidP="3C3AF2FA" w:rsidRDefault="3C3AF2FA" w14:paraId="108DB0E4" w14:textId="7C77F13C">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2C2C487A" w14:textId="26D37562">
      <w:pPr>
        <w:pStyle w:val="Normal"/>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3C3AF2FA" w:rsidRDefault="088EC3A4" w14:paraId="31DB2B9E" w14:textId="5A968EC3">
      <w:pPr>
        <w:pStyle w:val="Normal"/>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Summary:</w:t>
      </w:r>
    </w:p>
    <w:p w:rsidR="3C3AF2FA" w:rsidP="3C3AF2FA" w:rsidRDefault="3C3AF2FA" w14:paraId="4429C684" w14:textId="1B165EBD">
      <w:pPr>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3C3AF2FA" w:rsidRDefault="088EC3A4" w14:paraId="6B374EB8" w14:textId="4D403898">
      <w:pPr>
        <w:pStyle w:val="ListParagraph"/>
        <w:numPr>
          <w:ilvl w:val="0"/>
          <w:numId w:val="2"/>
        </w:numPr>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Introduction</w:t>
      </w:r>
    </w:p>
    <w:p w:rsidR="088EC3A4" w:rsidP="3C3AF2FA" w:rsidRDefault="088EC3A4" w14:paraId="6AD2860E" w14:textId="16125FD2">
      <w:pPr>
        <w:pStyle w:val="ListParagraph"/>
        <w:numPr>
          <w:ilvl w:val="0"/>
          <w:numId w:val="2"/>
        </w:numPr>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Advantages of Remote Work</w:t>
      </w:r>
    </w:p>
    <w:p w:rsidR="088EC3A4" w:rsidP="3C3AF2FA" w:rsidRDefault="088EC3A4" w14:paraId="34639B25" w14:textId="6C32DD74">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2.1 For Employees</w:t>
      </w:r>
    </w:p>
    <w:p w:rsidR="088EC3A4" w:rsidP="3C3AF2FA" w:rsidRDefault="088EC3A4" w14:paraId="62C2D0C2" w14:textId="77D08B9B">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2.2 For Managers</w:t>
      </w:r>
    </w:p>
    <w:p w:rsidR="088EC3A4" w:rsidP="3C3AF2FA" w:rsidRDefault="088EC3A4" w14:paraId="3DDE8186" w14:textId="4501BB88">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2.3 For the Business</w:t>
      </w:r>
    </w:p>
    <w:p w:rsidR="088EC3A4" w:rsidP="3C3AF2FA" w:rsidRDefault="088EC3A4" w14:paraId="7628F04F" w14:textId="6CCE0833">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 Disadvantages of Remote Work</w:t>
      </w:r>
    </w:p>
    <w:p w:rsidR="088EC3A4" w:rsidP="3C3AF2FA" w:rsidRDefault="088EC3A4" w14:paraId="4C68E30B" w14:textId="2A29688B">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3.1 For Employees</w:t>
      </w:r>
    </w:p>
    <w:p w:rsidR="088EC3A4" w:rsidP="3C3AF2FA" w:rsidRDefault="088EC3A4" w14:paraId="6C6A6018" w14:textId="245DF38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3.2 For Managers</w:t>
      </w:r>
    </w:p>
    <w:p w:rsidR="088EC3A4" w:rsidP="3C3AF2FA" w:rsidRDefault="088EC3A4" w14:paraId="7532A4E3" w14:textId="38CB272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3.3 For the Business</w:t>
      </w:r>
    </w:p>
    <w:p w:rsidR="088EC3A4" w:rsidP="3C3AF2FA" w:rsidRDefault="088EC3A4" w14:paraId="010CE999" w14:textId="49D0090B">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4. Reflection on Managing Remotely</w:t>
      </w:r>
    </w:p>
    <w:p w:rsidR="088EC3A4" w:rsidP="3C3AF2FA" w:rsidRDefault="088EC3A4" w14:paraId="44E4558C" w14:textId="2070AD82">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5. Recommendations</w:t>
      </w:r>
    </w:p>
    <w:p w:rsidR="088EC3A4" w:rsidP="3C3AF2FA" w:rsidRDefault="088EC3A4" w14:paraId="149895F3" w14:textId="2B996F1A">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6. Conclusion</w:t>
      </w:r>
    </w:p>
    <w:p w:rsidR="088EC3A4" w:rsidP="3C3AF2FA" w:rsidRDefault="088EC3A4" w14:paraId="073912E4" w14:textId="482FD1D2">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7. References</w:t>
      </w:r>
    </w:p>
    <w:p w:rsidR="3C3AF2FA" w:rsidP="3C3AF2FA" w:rsidRDefault="3C3AF2FA" w14:paraId="33FF0CCB" w14:textId="3F981122">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6034C042" w14:textId="616DE9D9">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52BA732C" w14:textId="7B3ACE49">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0E3C1FB9" w14:textId="53EB95F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2877805C" w14:textId="5529C2C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548B97A6" w14:textId="5A831FFF">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3C3AF2FA" w:rsidRDefault="088EC3A4" w14:paraId="551F120E" w14:textId="3C87959D">
      <w:pPr>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1. Introduction</w:t>
      </w:r>
    </w:p>
    <w:p w:rsidR="088EC3A4" w:rsidP="3C3AF2FA" w:rsidRDefault="088EC3A4" w14:paraId="2270E9FF" w14:textId="45B7EB96">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Over the past several decades, the UK has seen a significant shift from traditional office-based work to hybrid models, driven by technological advancements and changing workplace dynamics (Kurkland et al., 1999). According to the Office for National Statistics, by autumn 2024, 28% of working adults in Great Britain were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participating</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hybrid working (ONS, 2024). Statista data from December 2024 further shows that 14% worked exclusively from home, while 26% adopted a hybrid approach. During the peak of remote work in June 2020, over half of workers in the agriculture sector worked remotely,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indicating</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sector – specific variations (Statista, 2024).</w:t>
      </w:r>
    </w:p>
    <w:p w:rsidR="088EC3A4" w:rsidP="3C3AF2FA" w:rsidRDefault="088EC3A4" w14:paraId="23093B02" w14:textId="44D2AC6D">
      <w:p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Employers’ views on hybrid working’s impact on productivity have varied: a 2023 survey found that 36% believed hybrid work had no impact on productivity, 33% saw an increase, and 13%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observed</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decline (Ali et al., 2023). This highlights the need for tailored hybrid policies to suit different business needs. Financially, remote work has provided benefits, contributing an estimated £13.5 billion annually to the UK economy (Clark, 2024). </w:t>
      </w:r>
    </w:p>
    <w:p w:rsidR="088EC3A4" w:rsidP="3C3AF2FA" w:rsidRDefault="088EC3A4" w14:paraId="0187AAA1" w14:textId="67084A27">
      <w:pPr>
        <w:pStyle w:val="NoSpacing"/>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noProof w:val="0"/>
          <w:lang w:val="en-GB"/>
        </w:rPr>
        <w:t>This report will examine the advantages and disadvantages of remote management from the perspectives of employees, managers, and businesses, and offer recommendations for improving remote team management. It will also include a personal reflection using Kolb’s reflective model (Kolb, 2014).</w:t>
      </w:r>
    </w:p>
    <w:p w:rsidR="3C3AF2FA" w:rsidP="3C3AF2FA" w:rsidRDefault="3C3AF2FA" w14:paraId="4337414A" w14:textId="30AC4C4B">
      <w:pPr>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088EC3A4" w:rsidP="3C3AF2FA" w:rsidRDefault="088EC3A4" w14:paraId="51D31630" w14:textId="33189174">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 Advantages of Remote Work</w:t>
      </w:r>
    </w:p>
    <w:p w:rsidR="088EC3A4" w:rsidP="3C3AF2FA" w:rsidRDefault="088EC3A4" w14:paraId="5248F9AE" w14:textId="35120C92">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w:t>
      </w:r>
    </w:p>
    <w:p w:rsidR="088EC3A4" w:rsidP="3C3AF2FA" w:rsidRDefault="088EC3A4" w14:paraId="67214D1A" w14:textId="264C9553">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2.1 For Employees</w:t>
      </w:r>
    </w:p>
    <w:p w:rsidR="088EC3A4" w:rsidP="3C3AF2FA" w:rsidRDefault="088EC3A4" w14:paraId="437EF97A" w14:textId="113F437D">
      <w:pPr>
        <w:pStyle w:val="NoSpacing"/>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noProof w:val="0"/>
          <w:lang w:val="en-GB"/>
        </w:rPr>
        <w:t xml:space="preserve">Working remotely offers a wealth of quantitative and qualitative benefits that significantly enhance the employee experience. One of the most immediate advantages is the amount of time and money saved, which can </w:t>
      </w:r>
      <w:r w:rsidRPr="3C3AF2FA" w:rsidR="1A3E801B">
        <w:rPr>
          <w:rFonts w:ascii="Calibri" w:hAnsi="Calibri" w:eastAsia="Calibri" w:cs="Calibri"/>
          <w:noProof w:val="0"/>
          <w:lang w:val="en-GB"/>
        </w:rPr>
        <w:t>improve</w:t>
      </w:r>
      <w:r w:rsidRPr="3C3AF2FA" w:rsidR="088EC3A4">
        <w:rPr>
          <w:rFonts w:ascii="Calibri" w:hAnsi="Calibri" w:eastAsia="Calibri" w:cs="Calibri"/>
          <w:noProof w:val="0"/>
          <w:lang w:val="en-GB"/>
        </w:rPr>
        <w:t xml:space="preserve"> overall job satisfaction. Without the daily commute to the office, employees gain valuable time that would have been spent in transit, allowing them to use those extra hours for personal activities, hobbies, or even </w:t>
      </w:r>
      <w:r w:rsidRPr="3C3AF2FA" w:rsidR="088EC3A4">
        <w:rPr>
          <w:rFonts w:ascii="Calibri" w:hAnsi="Calibri" w:eastAsia="Calibri" w:cs="Calibri"/>
          <w:noProof w:val="0"/>
          <w:lang w:val="en-GB"/>
        </w:rPr>
        <w:t>additional</w:t>
      </w:r>
      <w:r w:rsidRPr="3C3AF2FA" w:rsidR="088EC3A4">
        <w:rPr>
          <w:rFonts w:ascii="Calibri" w:hAnsi="Calibri" w:eastAsia="Calibri" w:cs="Calibri"/>
          <w:noProof w:val="0"/>
          <w:lang w:val="en-GB"/>
        </w:rPr>
        <w:t xml:space="preserve"> work. This not only reduces stress but also contributes to a greater sense of work – life balance, enabling employees to </w:t>
      </w:r>
      <w:r w:rsidRPr="3C3AF2FA" w:rsidR="17D3969C">
        <w:rPr>
          <w:rFonts w:ascii="Calibri" w:hAnsi="Calibri" w:eastAsia="Calibri" w:cs="Calibri"/>
          <w:noProof w:val="0"/>
          <w:lang w:val="en-GB"/>
        </w:rPr>
        <w:t>juggle their professional responsibilities and personal lives (Kowalski et al., 2022) more effectively</w:t>
      </w:r>
      <w:r w:rsidRPr="3C3AF2FA" w:rsidR="088EC3A4">
        <w:rPr>
          <w:rFonts w:ascii="Calibri" w:hAnsi="Calibri" w:eastAsia="Calibri" w:cs="Calibri"/>
          <w:noProof w:val="0"/>
          <w:lang w:val="en-GB"/>
        </w:rPr>
        <w:t xml:space="preserve">. In addition, remote work </w:t>
      </w:r>
      <w:r w:rsidRPr="3C3AF2FA" w:rsidR="088EC3A4">
        <w:rPr>
          <w:rFonts w:ascii="Calibri" w:hAnsi="Calibri" w:eastAsia="Calibri" w:cs="Calibri"/>
          <w:noProof w:val="0"/>
          <w:lang w:val="en-GB"/>
        </w:rPr>
        <w:t>eliminates</w:t>
      </w:r>
      <w:r w:rsidRPr="3C3AF2FA" w:rsidR="088EC3A4">
        <w:rPr>
          <w:rFonts w:ascii="Calibri" w:hAnsi="Calibri" w:eastAsia="Calibri" w:cs="Calibri"/>
          <w:noProof w:val="0"/>
          <w:lang w:val="en-GB"/>
        </w:rPr>
        <w:t xml:space="preserve"> various daily expenditures that employees typically incur when working in a physical office, such as travel costs, meals, and office related expenses like snacks or drinks. This financial freedom can significantly boost overall well-being, making employees feel more secure and content with their compensation</w:t>
      </w:r>
      <w:r w:rsidRPr="3C3AF2FA" w:rsidR="7CF08DA8">
        <w:rPr>
          <w:rFonts w:ascii="Calibri" w:hAnsi="Calibri" w:eastAsia="Calibri" w:cs="Calibri"/>
          <w:noProof w:val="0"/>
          <w:lang w:val="en-GB"/>
        </w:rPr>
        <w:t xml:space="preserve"> </w:t>
      </w:r>
      <w:r w:rsidRPr="3C3AF2FA" w:rsidR="612F2CB6">
        <w:rPr>
          <w:rFonts w:ascii="Calibri" w:hAnsi="Calibri" w:eastAsia="Calibri" w:cs="Calibri"/>
          <w:b w:val="0"/>
          <w:bCs w:val="0"/>
          <w:i w:val="0"/>
          <w:iCs w:val="0"/>
          <w:caps w:val="0"/>
          <w:smallCaps w:val="0"/>
          <w:noProof w:val="0"/>
          <w:color w:val="000000" w:themeColor="text1" w:themeTint="FF" w:themeShade="FF"/>
          <w:sz w:val="24"/>
          <w:szCs w:val="24"/>
          <w:lang w:val="en-GB"/>
        </w:rPr>
        <w:t>(Bloom et al., 2015)</w:t>
      </w:r>
      <w:r w:rsidRPr="3C3AF2FA" w:rsidR="088EC3A4">
        <w:rPr>
          <w:rFonts w:ascii="Calibri" w:hAnsi="Calibri" w:eastAsia="Calibri" w:cs="Calibri"/>
          <w:noProof w:val="0"/>
          <w:lang w:val="en-GB"/>
        </w:rPr>
        <w:t>.</w:t>
      </w:r>
    </w:p>
    <w:p w:rsidR="3C3AF2FA" w:rsidP="3C3AF2FA" w:rsidRDefault="3C3AF2FA" w14:paraId="585DAA76" w14:textId="2992FD20">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088EC3A4" w:rsidP="3C3AF2FA" w:rsidRDefault="088EC3A4" w14:paraId="61261BB6" w14:textId="7D2110B3">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Research has also shown that remote work leads to a decrease in workplace distractions, which are common in traditional office environments (Kowalski et al.,</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2022). In a remote setting, employees are less likely to be interrupted by impromptu meetings or non-work-related conversations, allowing them to focus more deeply on their tasks. This reduction in distractions often results in improved concentration and better performance, contributing to higher levels of productivity (Bloom et al., 2015). What is more, remote work offers employees greater control over their daily schedules. They have the freedom to decide when and where to work, empowering them to create an environment that suits their personal preferences and boosts their efficiency. The flexibility to structure their workday, without the constraints of office hours or real-time micromanagement, can lead to a more fulfilling and creative work experience (Ipsen et al., 2021).</w:t>
      </w:r>
    </w:p>
    <w:p w:rsidR="25055DB6" w:rsidP="3C3AF2FA" w:rsidRDefault="25055DB6" w14:paraId="49C63064" w14:textId="6FD0E8DF">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25055DB6">
        <w:rPr>
          <w:rFonts w:ascii="Calibri" w:hAnsi="Calibri" w:eastAsia="Calibri" w:cs="Calibri"/>
          <w:b w:val="0"/>
          <w:bCs w:val="0"/>
          <w:i w:val="0"/>
          <w:iCs w:val="0"/>
          <w:caps w:val="0"/>
          <w:smallCaps w:val="0"/>
          <w:noProof w:val="0"/>
          <w:color w:val="000000" w:themeColor="text1" w:themeTint="FF" w:themeShade="FF"/>
          <w:sz w:val="24"/>
          <w:szCs w:val="24"/>
          <w:lang w:val="en-GB"/>
        </w:rPr>
        <w:t>Remote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work allows employees to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more control over how they spend both their time and their money. This autonomy, combined with fewer workplace distractions, creates a more balanced and rewarding professional life. For many, this combination of factors can significantly improve overall happiness, productivity, and long-term career satisfaction (Bloom et al., 2015).</w:t>
      </w:r>
    </w:p>
    <w:p w:rsidR="088EC3A4" w:rsidP="3C3AF2FA" w:rsidRDefault="088EC3A4" w14:paraId="64035528" w14:textId="0F6B640B">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w:t>
      </w:r>
    </w:p>
    <w:p w:rsidR="088EC3A4" w:rsidP="3C3AF2FA" w:rsidRDefault="088EC3A4" w14:paraId="5FCFF54B" w14:textId="69D30BFC">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2.2 For Managers</w:t>
      </w:r>
    </w:p>
    <w:p w:rsidR="088EC3A4" w:rsidP="3C3AF2FA" w:rsidRDefault="088EC3A4" w14:paraId="338994C1" w14:textId="565B1932">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Remote work offers significant advantages from a management perspective, particularly in terms of minimizing office conflict and fostering an environment that prioritises productivity. Without the daily face-to-face interactions that can sometimes lead to misunderstandings or interpersonal issues, there is less conflict to mediate, allowing managers to focus more on driving results (Cascio, 2000). This shift in dynamics often precipitates an increased output, as employees are more focused on their work rather than navigating office politics or dealing with disruptions caused by conflicting personalities.</w:t>
      </w:r>
    </w:p>
    <w:p w:rsidR="088EC3A4" w:rsidP="3C3AF2FA" w:rsidRDefault="088EC3A4" w14:paraId="0B05FC6C" w14:textId="2DBE2E93">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Furthermore, managing a team remotely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provides</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opportunity to </w:t>
      </w:r>
      <w:r w:rsidRPr="3C3AF2FA" w:rsidR="259413F5">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3C3AF2FA" w:rsidR="259413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highlight exceptional performers more clearly</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Without the distractions of physical presence, employees’ contributions are more easily tracked through measurable results and consistent communication. This allows managers to recognise top performers who consistently go above and beyond, and, importantly, it ensures that credit is given where </w:t>
      </w:r>
      <w:r w:rsidRPr="3C3AF2FA" w:rsidR="72DB2880">
        <w:rPr>
          <w:rFonts w:ascii="Calibri" w:hAnsi="Calibri" w:eastAsia="Calibri" w:cs="Calibri"/>
          <w:b w:val="0"/>
          <w:bCs w:val="0"/>
          <w:i w:val="0"/>
          <w:iCs w:val="0"/>
          <w:caps w:val="0"/>
          <w:smallCaps w:val="0"/>
          <w:noProof w:val="0"/>
          <w:color w:val="000000" w:themeColor="text1" w:themeTint="FF" w:themeShade="FF"/>
          <w:sz w:val="24"/>
          <w:szCs w:val="24"/>
          <w:lang w:val="en-GB"/>
        </w:rPr>
        <w:t>it is</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due (Bal et al., 2023).</w:t>
      </w:r>
    </w:p>
    <w:p w:rsidR="088EC3A4" w:rsidP="3C3AF2FA" w:rsidRDefault="088EC3A4" w14:paraId="4B4C3D76" w14:textId="209A3992">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Additionally, remote work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facilitates</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more objective view of the team’s dynamics and individual performance. By stepping back from day-to-day office interactions, managers can spot potential weaknesses or issues within the team more clearly. This distance enables a more impartial assessment of the situation, making it easier to notice problems early (Bloom et al., 2015). Whether </w:t>
      </w:r>
      <w:r w:rsidRPr="3C3AF2FA" w:rsidR="04277A5A">
        <w:rPr>
          <w:rFonts w:ascii="Calibri" w:hAnsi="Calibri" w:eastAsia="Calibri" w:cs="Calibri"/>
          <w:b w:val="0"/>
          <w:bCs w:val="0"/>
          <w:i w:val="0"/>
          <w:iCs w:val="0"/>
          <w:caps w:val="0"/>
          <w:smallCaps w:val="0"/>
          <w:noProof w:val="0"/>
          <w:color w:val="000000" w:themeColor="text1" w:themeTint="FF" w:themeShade="FF"/>
          <w:sz w:val="24"/>
          <w:szCs w:val="24"/>
          <w:lang w:val="en-GB"/>
        </w:rPr>
        <w:t>it is</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decline in productivity, a lack of collaboration, or an emerging skill gap, these issues are often easier to address before they escalate into larger, more complicated problems that could disrupt the overall team performance. In the end, the ability to proactively manage emerging challenges from a remote standpoint helps keep teams on track, reducing the risk of unnecessary delays or setbacks.</w:t>
      </w:r>
    </w:p>
    <w:p w:rsidR="088EC3A4" w:rsidP="3C3AF2FA" w:rsidRDefault="088EC3A4" w14:paraId="6A61D708" w14:textId="3239F1AC">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w:t>
      </w:r>
    </w:p>
    <w:p w:rsidR="088EC3A4" w:rsidP="3C3AF2FA" w:rsidRDefault="088EC3A4" w14:paraId="6D1AFB34" w14:textId="1E1E5D83">
      <w:pPr>
        <w:ind w:left="72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2.3 For the Business</w:t>
      </w:r>
    </w:p>
    <w:p w:rsidR="088EC3A4" w:rsidP="3C3AF2FA" w:rsidRDefault="088EC3A4" w14:paraId="028E8F81" w14:textId="422F287D">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shift to remote work has proven to be a significant advantage for businesses, providing several key benefits that positively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impact</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both talent acquisition and financial performance. One of the most notable advantages is the ability to attract and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retain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top talent without being constrained by geographic location. By embracing remote work, companies open their hiring pool to a global workforce, allowing them to select candidates based solely on their skill, experience, and fit for the role, rather than their proximity to the office. This expanded talent pool can lead to a stronger, more diverse workforce, which in turn can bring innovative ideas and perspectives to the business (Bal et al., 2023). Moreover, businesses can avoid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additional</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hiring costs, such as relocation bonuses and competitive signing bonuses. As the hiring process becomes less dependent on location, companies can make more cost-effective decisions while still securing high-quality candidates (Kurkland et al., 1999).</w:t>
      </w:r>
    </w:p>
    <w:p w:rsidR="088EC3A4" w:rsidP="3C3AF2FA" w:rsidRDefault="088EC3A4" w14:paraId="3724722A" w14:textId="2443DEE8">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addition, businesses that embrace remote work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are able to</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realise significant cost savings by eliminating or reducing the need for a physical office space. With no requirement for renting office space, businesses can save on overhead costs such as rent, utilities, maintenance, liability insurance, and office supplies. The savings associated with not having to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physical workspace can be reinvested into the company, whether it be in the form of better technology, employee training or increased marketing efforts. Remote work also minimises expenses related to office outfitting and equipment, as employees often work with their own resources or receive stipends to set up home offices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Chychun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al., 2023). These financial advantages allow businesses to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operate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more efficiently and profitable, especially for smaller companies or startups that may not have the capital to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large office spaces.</w:t>
      </w:r>
    </w:p>
    <w:p w:rsidR="088EC3A4" w:rsidP="3C3AF2FA" w:rsidRDefault="088EC3A4" w14:paraId="421BBD68" w14:textId="2D7C6A87">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Overall, converting to the remote work culture offers businesses increased agility and scalability, enabling quick adaptation to market shifts and the ability to hire talent from a wider pool, ensuring the workforce aligns with the growth objectives, enhancing the company’s modern and progressive image (Roberto et al., 2023), and almost guarantees its resilience in the face of unexpected adversity, such as crisis and emergencies (e.g. The COVID-19 pandemic, which was in fact the catalyst for a higher percentage of businesses converting)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Chychun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al., 2023).   </w:t>
      </w:r>
    </w:p>
    <w:p w:rsidR="088EC3A4" w:rsidP="3C3AF2FA" w:rsidRDefault="088EC3A4" w14:paraId="34AF6343" w14:textId="1D952742">
      <w:pPr>
        <w:ind w:left="0"/>
        <w:jc w:val="left"/>
        <w:rPr>
          <w:rFonts w:ascii="Calibri" w:hAnsi="Calibri" w:eastAsia="Calibri" w:cs="Calibri"/>
          <w:b w:val="0"/>
          <w:bCs w:val="0"/>
          <w:i w:val="0"/>
          <w:iCs w:val="0"/>
          <w:caps w:val="0"/>
          <w:smallCaps w:val="0"/>
          <w:noProof w:val="0"/>
          <w:color w:val="000000" w:themeColor="text1" w:themeTint="FF" w:themeShade="FF"/>
          <w:sz w:val="40"/>
          <w:szCs w:val="40"/>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40"/>
          <w:szCs w:val="40"/>
          <w:lang w:val="en-GB"/>
        </w:rPr>
        <w:t xml:space="preserve"> </w:t>
      </w:r>
    </w:p>
    <w:p w:rsidR="088EC3A4" w:rsidP="3C3AF2FA" w:rsidRDefault="088EC3A4" w14:paraId="142B5878" w14:textId="61441F89">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3. Disadvantages of Remote Work</w:t>
      </w:r>
    </w:p>
    <w:p w:rsidR="3C3AF2FA" w:rsidP="3C3AF2FA" w:rsidRDefault="3C3AF2FA" w14:paraId="7DFA753C" w14:textId="29DCA207">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3C3AF2FA" w:rsidRDefault="088EC3A4" w14:paraId="3773A330" w14:textId="09D479EB">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3.1 For Employees</w:t>
      </w:r>
    </w:p>
    <w:p w:rsidR="088EC3A4" w:rsidP="3C3AF2FA" w:rsidRDefault="088EC3A4" w14:paraId="1C2B37CF" w14:textId="3BCB9256">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use of “Bossware” - software programs designed to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employees’ activity levels and task completion - can have a significant negative impact on employees’ mental health (Gould et al., 2023). These tools often create a sense of constant surveillance, making employees feel mistrusted and as though every move is being scrutinised. This can lead to heightened anxiety, reducing both the quality and productivity of their work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over time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especially if minor infractions are penalised (Bloom et al., 2015). </w:t>
      </w:r>
    </w:p>
    <w:p w:rsidR="088EC3A4" w:rsidP="3C3AF2FA" w:rsidRDefault="088EC3A4" w14:paraId="149C74F2" w14:textId="47CB377C">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addition to these concerns, remote work can bring about other drawbacks that negatively affect employees. One key issue is poor communication, both among peers and with management, which can result in misunderstandings, feelings of isolation, and gradual decrease in collaboration (Manko et al., 2021). A lack of face-to-face interaction can also reduce intrinsic motivation, leading to idling behaviour and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consequently</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decline in overall productivity and mental health (Kowalski et al., 2022). </w:t>
      </w:r>
    </w:p>
    <w:p w:rsidR="088EC3A4" w:rsidP="3C3AF2FA" w:rsidRDefault="088EC3A4" w14:paraId="1833E742" w14:textId="077DE2F3">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Remote workers may also face practical challenges, such as not having a dedicated workspace at home, inadequate computer systems, or lacking essential peripherals, which can hinder their ability to work efficiently and comfortably. These barriers to productivity, combined with the social and emotional toll, can make remote work less appealing for some employees, or less sustainable long-term from a personal point of view (Ipsen et al., 2021).</w:t>
      </w:r>
    </w:p>
    <w:p w:rsidR="3C3AF2FA" w:rsidP="3C3AF2FA" w:rsidRDefault="3C3AF2FA" w14:paraId="71916B75" w14:textId="59D39FED">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3C3AF2FA" w:rsidRDefault="088EC3A4" w14:paraId="659E64C1" w14:textId="561C8932">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3.2 For Managers</w:t>
      </w:r>
    </w:p>
    <w:p w:rsidR="088EC3A4" w:rsidP="3C3AF2FA" w:rsidRDefault="088EC3A4" w14:paraId="189B9B5D" w14:textId="325C2DF8">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Managing remotely presents several challenges for managers, particularly the temptation to micromanage. Without direct supervision, a sense of control can be lost, leading some managers to overly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teams. This not only undermines trust but can also result in frustration and decreased morale among employees (Manko et al., 2021).</w:t>
      </w:r>
    </w:p>
    <w:p w:rsidR="088EC3A4" w:rsidP="3C3AF2FA" w:rsidRDefault="088EC3A4" w14:paraId="3BD81C2C" w14:textId="0AFCA695">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Communication issues also become more prevalent in a remote work environment, where misinterpretations are more likely due to the absence of non-verbal cues or the potential for technological glitches (Manko et al., 2021). Written messages can easily be misread, and the tone may not always come across as intended, further complicating interactions between managers and their teams.</w:t>
      </w:r>
    </w:p>
    <w:p w:rsidR="088EC3A4" w:rsidP="3C3AF2FA" w:rsidRDefault="088EC3A4" w14:paraId="1C4812A0" w14:textId="7CE82EFD">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abrupt shift to remote work, particularly during the COVID-19 pandemic, underscored the importance of adaptability. Managers who were able to embrace new tools and adjust their leadership style thrived, while those who struggled to adapt faced difficulties within their organisations (Manko et al., 2021). In such situation, the ability to quickly learn and implement new techniques became essential for continued success. </w:t>
      </w:r>
    </w:p>
    <w:p w:rsidR="088EC3A4" w:rsidP="3C3AF2FA" w:rsidRDefault="088EC3A4" w14:paraId="00EDFC0D" w14:textId="36437CC1">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Moreover, the manager’s role in developing and executing business plans becomes more difficult when the team is not physically present, due to the lack of real time feedback. Keeping collaboration flowing requires significant effort, as managers must find new ways to foster teamwork and support individual development from a distance. This challenge demands a balance of strategic oversight and personal connection, which can be harder to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without the immediate proximity of an in-office environment (Manko et al., 2021).</w:t>
      </w:r>
    </w:p>
    <w:p w:rsidR="3C3AF2FA" w:rsidP="3C3AF2FA" w:rsidRDefault="3C3AF2FA" w14:paraId="148A530F" w14:textId="73F36D6E">
      <w:pPr>
        <w:ind w:lef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088EC3A4" w:rsidP="3C3AF2FA" w:rsidRDefault="088EC3A4" w14:paraId="2CC99494" w14:textId="57617696">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3.3 For the Business</w:t>
      </w:r>
    </w:p>
    <w:p w:rsidR="088EC3A4" w:rsidP="3C3AF2FA" w:rsidRDefault="088EC3A4" w14:paraId="22577293" w14:textId="42FBC4E9">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Disadvantages of remote working from a business perspective include significant challenges related to cybersecurity, company culture, and employee trust. With employees working outside of secure office networks, businesses face an increased risk of cyber threats such as data breaches and unauthorised access to sensitive information. Ensuring robust cybersecurity protocols and providing employees with the necessary training and tools to work securely remotely becomes essential, but it can also be costly and complex (Lenka, 2021). </w:t>
      </w:r>
    </w:p>
    <w:p w:rsidR="088EC3A4" w:rsidP="3C3AF2FA" w:rsidRDefault="088EC3A4" w14:paraId="125778A0" w14:textId="203951ED">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point on the list of disadvantages is the difficulty of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maintaining</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strong company culture when employees are dispersed across various locations (and potentially time zones). The lack of in person interactions can inhibit the development of relationships, collaboration, and team cohesion, which are crucial for fostering a positive work environment. Remote work can also raise concerns about trust, as managers may worry that employees are not fully utilising their workday or are disengaged without direct oversight. This lack of visibility can create a sense of uncertainty about whether work is being done effectively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Chychun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al., 2023). </w:t>
      </w:r>
    </w:p>
    <w:p w:rsidR="088EC3A4" w:rsidP="3C3AF2FA" w:rsidRDefault="088EC3A4" w14:paraId="77CF8BE7" w14:textId="6DFE393F">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combat the stress, burnout, and decreased morale brought about by the isolation and lack of face-to-face interactions, businesses must implement new systems to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mental health and well-being of remote workers. Companies need to proactively provide mental health support and offer resources to help employees cope with the challenges of remote work (Lenka, 2021). </w:t>
      </w:r>
    </w:p>
    <w:p w:rsidR="088EC3A4" w:rsidP="3C3AF2FA" w:rsidRDefault="088EC3A4" w14:paraId="72084389" w14:textId="79A03B4D">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downside is that some industries or businesses have a more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difficult time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adapting to remote work due to the nature of their work. For example, businesses in manufacturing, retail, or those that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require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hands-on services may struggle to transition to remote operations as their core functions rely on physical presence. These businesses must explore hybrid or other alternative working models, which may still present logistical and financial challenges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Chychun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et al., 2023).</w:t>
      </w:r>
    </w:p>
    <w:p w:rsidR="3C3AF2FA" w:rsidP="3C3AF2FA" w:rsidRDefault="3C3AF2FA" w14:paraId="70A63783" w14:textId="141B4193">
      <w:pPr>
        <w:ind w:lef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088EC3A4" w:rsidP="3C3AF2FA" w:rsidRDefault="088EC3A4" w14:paraId="72902A87" w14:textId="6532C514">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4. Reflection on Managing Remotely</w:t>
      </w:r>
    </w:p>
    <w:p w:rsidR="088EC3A4" w:rsidP="3C3AF2FA" w:rsidRDefault="088EC3A4" w14:paraId="39B50A0F" w14:textId="40808555">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From my perspective, working from home allowed me to take on tasks that were previously impossible due to time constraints, as childcare became less of an issue, and my anxiety improved by avoiding real time interactions with peers and management. However, I recognise that I am fortunate, as my management team values trust over micromanagement, prioritising results over time spent,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as long as</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policies are followed.</w:t>
      </w:r>
    </w:p>
    <w:p w:rsidR="088EC3A4" w:rsidP="3C3AF2FA" w:rsidRDefault="088EC3A4" w14:paraId="7836FDF8" w14:textId="6E8385DA">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Initially, being managed remotely was difficult, as it was my first time not having direct access to feedback and guidance from upper management and my first time in a leadership role. Managing a small team and helping them meet business goals while lacking immediate clarification from a manager made things challenging. Relying on written communication like emails meant some of my questions went unanswered, forcing me to improvise or rely on my own judgement in making business decisions. While the success rate was low at first, my confidence and decision-making improved as I gained experience.</w:t>
      </w:r>
    </w:p>
    <w:p w:rsidR="088EC3A4" w:rsidP="3C3AF2FA" w:rsidRDefault="088EC3A4" w14:paraId="3861A3A9" w14:textId="1F465ADE">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Upon reflection, the key area for improvement was communication. I took active steps to address this by scheduling one-on-one virtual meetings with management to clarify details and reaching out to more experienced colleagues for guidance. In my most recent experience with remote management, these strategies have proven effective, encouraging personal and professional growth.</w:t>
      </w:r>
    </w:p>
    <w:p w:rsidR="3C3AF2FA" w:rsidP="3C3AF2FA" w:rsidRDefault="3C3AF2FA" w14:paraId="25A9A2D3" w14:textId="6E836C23">
      <w:pPr>
        <w:ind w:left="0"/>
        <w:jc w:val="left"/>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pPr>
    </w:p>
    <w:p w:rsidR="088EC3A4" w:rsidP="3C3AF2FA" w:rsidRDefault="088EC3A4" w14:paraId="67EAC49E" w14:textId="50CA3153">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5. Recommendations</w:t>
      </w:r>
    </w:p>
    <w:p w:rsidR="088EC3A4" w:rsidP="3C3AF2FA" w:rsidRDefault="088EC3A4" w14:paraId="0CAAF851" w14:textId="10E567A5">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Based on the information presented in this report, the following recommendations can be made: </w:t>
      </w:r>
    </w:p>
    <w:p w:rsidR="088EC3A4" w:rsidP="3C3AF2FA" w:rsidRDefault="088EC3A4" w14:paraId="1ECBF9C4" w14:textId="55A53D11">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Implementing a Flexible Hybrid Work Model: Employers should allow employees to choose whether to work from home or the office based on their individual needs, </w:t>
      </w:r>
      <w:r w:rsidRPr="3C3AF2FA" w:rsidR="50320651">
        <w:rPr>
          <w:rFonts w:ascii="Calibri" w:hAnsi="Calibri" w:eastAsia="Calibri" w:cs="Calibri"/>
          <w:b w:val="0"/>
          <w:bCs w:val="0"/>
          <w:i w:val="0"/>
          <w:iCs w:val="0"/>
          <w:caps w:val="0"/>
          <w:smallCaps w:val="0"/>
          <w:noProof w:val="0"/>
          <w:color w:val="000000" w:themeColor="text1" w:themeTint="FF" w:themeShade="FF"/>
          <w:sz w:val="24"/>
          <w:szCs w:val="24"/>
          <w:lang w:val="en-GB"/>
        </w:rPr>
        <w:t>which leads to</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higher job satisfaction and increased productivity.</w:t>
      </w:r>
    </w:p>
    <w:p w:rsidR="088EC3A4" w:rsidP="3C3AF2FA" w:rsidRDefault="088EC3A4" w14:paraId="5EED635D" w14:textId="50D98A42">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Conducting Regular Check-ins: Regular check-ins should be scheduled to assess not only work progress but also the mental health and well-being of employees. This ensures ongoing support and helps prevent burnout.</w:t>
      </w:r>
    </w:p>
    <w:p w:rsidR="088EC3A4" w:rsidP="3C3AF2FA" w:rsidRDefault="088EC3A4" w14:paraId="78DB7591" w14:textId="67F0AF98">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Focusing on Continuous Leadership Development: Managers should prioritise the development of leadership skills to avoid micromanagement. By trusting employees and empowering them to take ownership of their tasks, autonomy and responsibility are encouraged and safeguarded (Lenka, 2021).</w:t>
      </w:r>
    </w:p>
    <w:p w:rsidR="088EC3A4" w:rsidP="3C3AF2FA" w:rsidRDefault="088EC3A4" w14:paraId="51C959F1" w14:textId="663E6E38">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Enhancing Communication: Clear communication should be prioritised in both one-on-one meetings and group settings, ensuring expectations are understood and employees feel heard. Also, management must make sure that project instructions are clear and concise to avoid confusion</w:t>
      </w:r>
      <w:r w:rsidRPr="3C3AF2FA" w:rsidR="38FFD91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increasing efficiency.</w:t>
      </w:r>
    </w:p>
    <w:p w:rsidR="088EC3A4" w:rsidP="3C3AF2FA" w:rsidRDefault="088EC3A4" w14:paraId="15D91933" w14:textId="7F1ADB6B">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Organising Regular Team-Building Exercises: Employers should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facilitate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team-building activities, whether virtual or in person, to strengthen relationships, promote</w:t>
      </w: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collaboration, and build a sense of community. The types of activities chosen will also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help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establish</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explain the company’s culture, </w:t>
      </w:r>
      <w:r w:rsidRPr="3C3AF2FA" w:rsidR="2A37E51B">
        <w:rPr>
          <w:rFonts w:ascii="Calibri" w:hAnsi="Calibri" w:eastAsia="Calibri" w:cs="Calibri"/>
          <w:b w:val="0"/>
          <w:bCs w:val="0"/>
          <w:i w:val="0"/>
          <w:iCs w:val="0"/>
          <w:caps w:val="0"/>
          <w:smallCaps w:val="0"/>
          <w:noProof w:val="0"/>
          <w:color w:val="000000" w:themeColor="text1" w:themeTint="FF" w:themeShade="FF"/>
          <w:sz w:val="24"/>
          <w:szCs w:val="24"/>
          <w:lang w:val="en-GB"/>
        </w:rPr>
        <w:t>values,</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mission, further aiding employees in understanding their role within the company’s broader goals.</w:t>
      </w:r>
    </w:p>
    <w:p w:rsidR="088EC3A4" w:rsidP="3C3AF2FA" w:rsidRDefault="088EC3A4" w14:paraId="552DF52E" w14:textId="55C296EB">
      <w:pPr>
        <w:pStyle w:val="ListParagraph"/>
        <w:numPr>
          <w:ilvl w:val="0"/>
          <w:numId w:val="3"/>
        </w:numPr>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And lastly, Cultivating an Open, Fear-Free Culture</w:t>
      </w:r>
      <w:r w:rsidRPr="3C3AF2FA" w:rsidR="18B6D02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is essential in keeping employees engaged, </w:t>
      </w:r>
      <w:r w:rsidRPr="3C3AF2FA" w:rsidR="43B1692C">
        <w:rPr>
          <w:rFonts w:ascii="Calibri" w:hAnsi="Calibri" w:eastAsia="Calibri" w:cs="Calibri"/>
          <w:b w:val="0"/>
          <w:bCs w:val="0"/>
          <w:i w:val="0"/>
          <w:iCs w:val="0"/>
          <w:caps w:val="0"/>
          <w:smallCaps w:val="0"/>
          <w:noProof w:val="0"/>
          <w:color w:val="000000" w:themeColor="text1" w:themeTint="FF" w:themeShade="FF"/>
          <w:sz w:val="24"/>
          <w:szCs w:val="24"/>
          <w:lang w:val="en-GB"/>
        </w:rPr>
        <w:t>motivated,</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aligned with company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objectives</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88EC3A4" w:rsidP="3C3AF2FA" w:rsidRDefault="088EC3A4" w14:paraId="706316C6" w14:textId="723B1AE6">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w:t>
      </w:r>
    </w:p>
    <w:p w:rsidR="088EC3A4" w:rsidP="3C3AF2FA" w:rsidRDefault="088EC3A4" w14:paraId="15187A7F" w14:textId="717576B5">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 xml:space="preserve"> 6. Conclusion</w:t>
      </w:r>
    </w:p>
    <w:p w:rsidR="088EC3A4" w:rsidP="3C3AF2FA" w:rsidRDefault="088EC3A4" w14:paraId="13B720CC" w14:textId="603FF55F">
      <w:pPr>
        <w:ind w:lef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Remote work broadens opportunities for individuals who may not thrive in traditional work settings, including caregivers and those with specific personality traits. It unlocks new avenues for career advancement that might not have been considered otherwise and provides much needed flexibility, particularly for women, enabling them to enter and succeed in the workforce. While it reduces operational costs for businesses, it also demands greater effort from management to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strong company culture and effectively track employee productivity without resorting to micromanagement. Striking this balance can be challenging, but when achieved, the benefits far outweigh the drawbacks.</w:t>
      </w:r>
    </w:p>
    <w:p w:rsidR="3C3AF2FA" w:rsidP="3C3AF2FA" w:rsidRDefault="3C3AF2FA" w14:paraId="11FD4AA2" w14:textId="6A9A98BA">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4EF279E2" w14:textId="2B6B331A">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1189513D" w14:textId="487D532A">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110025BF" w14:textId="3D977132">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5B9E43C4" w14:textId="69139BD4">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41EC7775" w14:textId="269EDC6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78854C37" w14:textId="076B1E7F">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1E126A5B" w14:textId="6BAFA77B">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40F9AADC" w14:textId="344E75C6">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3C3AF2FA" w:rsidP="3C3AF2FA" w:rsidRDefault="3C3AF2FA" w14:paraId="58773F16" w14:textId="73ACCF84">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3C3AF2FA" w:rsidRDefault="088EC3A4" w14:paraId="47973DF1" w14:textId="3AF9FF6C">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r w:rsidRPr="3C3AF2FA" w:rsidR="088EC3A4">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t>7. References</w:t>
      </w:r>
    </w:p>
    <w:p w:rsidR="3C3AF2FA" w:rsidP="3C3AF2FA" w:rsidRDefault="3C3AF2FA" w14:paraId="73BF000D" w14:textId="07B6A4E3">
      <w:pPr>
        <w:ind w:left="0"/>
        <w:jc w:val="left"/>
        <w:rPr>
          <w:rFonts w:ascii="Aptos Display" w:hAnsi="Aptos Display" w:eastAsia="Aptos Display" w:cs="Aptos Display"/>
          <w:b w:val="0"/>
          <w:bCs w:val="0"/>
          <w:i w:val="0"/>
          <w:iCs w:val="0"/>
          <w:caps w:val="0"/>
          <w:smallCaps w:val="0"/>
          <w:noProof w:val="0"/>
          <w:color w:val="000000" w:themeColor="text1" w:themeTint="FF" w:themeShade="FF"/>
          <w:sz w:val="40"/>
          <w:szCs w:val="40"/>
          <w:lang w:val="en-GB"/>
        </w:rPr>
      </w:pPr>
    </w:p>
    <w:p w:rsidR="088EC3A4" w:rsidP="3C3AF2FA" w:rsidRDefault="088EC3A4" w14:paraId="4218CEF0" w14:textId="3CDAE5AC">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Ali, V., Corfe, S., Norman, A., &amp; Wilson, J. (2023).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Hybrid Work Commission 2023</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382e14243f8a492b">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https://www.publicfirst.co.uk/wp-content/uploads/2023/08/Hybrid-Work-Commission-report-Embargoed-until-13th-Sept-2023.pdf</w:t>
        </w:r>
      </w:hyperlink>
    </w:p>
    <w:p w:rsidR="088EC3A4" w:rsidP="3C3AF2FA" w:rsidRDefault="088EC3A4" w14:paraId="4852D4A4" w14:textId="4B43B26B">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Bal, Y., &amp;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Nazlı</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Ece Bulgur. (2023, October 30).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Remote Work: A Paradigm Shift in the Modern Workplace and Its Impact on the Workforce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ResearchGate. </w:t>
      </w:r>
      <w:hyperlink r:id="Ra504b45781ab44d5">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https://www.researchgate.net/publication/375111616_Remote_Work_A_Paradigm_Shift_in_the_Modern_Workplace_and_Its_Impact_on_the_Workforce</w:t>
        </w:r>
      </w:hyperlink>
    </w:p>
    <w:p w:rsidR="088EC3A4" w:rsidP="3C3AF2FA" w:rsidRDefault="088EC3A4" w14:paraId="5A444294" w14:textId="2B22E058">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Bloom, N., Liang, J., Roberts, J., &amp; Ying, Z. J. (2015).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Does Working from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Home Work</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 Evidence from a Chinese Experiment</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Quarterly Journal of Economics, 130(1), 165–218. </w:t>
      </w:r>
      <w:hyperlink r:id="Rda38ed0fb59d430a">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https://doi.org/10.1093/qje/qju032</w:t>
        </w:r>
      </w:hyperlink>
    </w:p>
    <w:p w:rsidR="088EC3A4" w:rsidP="3C3AF2FA" w:rsidRDefault="088EC3A4" w14:paraId="7399F4B8" w14:textId="3122379E">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Cascio, W. F. (2000).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Managing a virtual workplace.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Academy of Management Perspectives, 14(3), 81–90. </w:t>
      </w:r>
      <w:hyperlink r:id="Re9ce190f7d504568">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https://doi.org/10.5465/ame.2000.4468068</w:t>
        </w:r>
      </w:hyperlink>
    </w:p>
    <w:p w:rsidR="088EC3A4" w:rsidP="3C3AF2FA" w:rsidRDefault="088EC3A4" w14:paraId="4CF4364B" w14:textId="086C8AC8">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Chychun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Chaplynska</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Shpatakova</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 Pankova, A., &amp;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Saienko</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V. (2023).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Effective Management in the Remote Work Environment</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Journal of System and Management Sciences, 13(3). </w:t>
      </w:r>
      <w:hyperlink r:id="Rc4ebbd6b7d9a4201">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https://doi.org/10.33168/jsms.2023.0317</w:t>
        </w:r>
      </w:hyperlink>
    </w:p>
    <w:p w:rsidR="088EC3A4" w:rsidP="3C3AF2FA" w:rsidRDefault="088EC3A4" w14:paraId="1282C76F" w14:textId="5D3885AC">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Clark, D. (2024, August 21).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Impact of flexible working in the UK</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Statista. </w:t>
      </w:r>
      <w:hyperlink r:id="R1bfa88f57df94a41">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https://www.statista.com/statistics/1118605/impact-of-flexible-working-in-the-uk/</w:t>
        </w:r>
      </w:hyperlink>
    </w:p>
    <w:p w:rsidR="088EC3A4" w:rsidP="3C3AF2FA" w:rsidRDefault="088EC3A4" w14:paraId="460C9835" w14:textId="0A635835">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Gould, S. J. J., Rudnicka, A., Cook, D., Cecchinato, M. E., Newbold, J. W., &amp; Cox, A. L. (2023).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Remote Work, Work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Measurement</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and the State of Work Research in Human-Centred Computing.</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Interacting with Computers, 35(5). </w:t>
      </w:r>
      <w:hyperlink r:id="Rda1c9d3318b742a4">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https://doi.org/10.1093/iwc/iwad014</w:t>
        </w:r>
      </w:hyperlink>
    </w:p>
    <w:p w:rsidR="088EC3A4" w:rsidP="3C3AF2FA" w:rsidRDefault="088EC3A4" w14:paraId="682AB9E5" w14:textId="03773113">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Ipsen, C., van Veldhoven, M., Kirchner, K., &amp; Hansen, J. P. (2021).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Six Key Advantages and Disadvantages of Working from Home in Europe during COVID-19</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International Journal of Environmental Research and Public Health, 18(4), 1–17.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ncbi</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ac7e27bedb8d46b7">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https://www.mdpi.com/1660-4601/18/4/1826</w:t>
        </w:r>
      </w:hyperlink>
    </w:p>
    <w:p w:rsidR="088EC3A4" w:rsidP="3C3AF2FA" w:rsidRDefault="088EC3A4" w14:paraId="7C0FA671" w14:textId="3DA044FD">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Kolb, D. (2014).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Experiential learning: Experience as the source of learning and development</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(2nd ed.). Pearson Education, Inc. (Original work published 1984)</w:t>
      </w:r>
    </w:p>
    <w:p w:rsidR="088EC3A4" w:rsidP="3C3AF2FA" w:rsidRDefault="088EC3A4" w14:paraId="1C3CC2A7" w14:textId="0AE5AF9A">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Kowalski, G., &amp;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Ślebarska</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 (2022).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Remote Working and Work effectiveness: a Leader Perspective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International Journal of Environmental Research and Public Health, 19(22), 1–11. </w:t>
      </w:r>
      <w:hyperlink r:id="R65047e7b97024424">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https://doi.org/10.3390/ijerph192215326</w:t>
        </w:r>
      </w:hyperlink>
    </w:p>
    <w:p w:rsidR="088EC3A4" w:rsidP="3C3AF2FA" w:rsidRDefault="088EC3A4" w14:paraId="31C75334" w14:textId="4E83C925">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Kurkland, N. B., &amp; Bailey, D. E. (1999).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The advantages and challenges of working here, there anywhere, and anytime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Organizational Dynamics, 28(2), 53–68. </w:t>
      </w:r>
      <w:hyperlink r:id="R5ffb4786ffc54a2b">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https://doi.org/10.1016/s0090-2616(00)80016-9</w:t>
        </w:r>
      </w:hyperlink>
    </w:p>
    <w:p w:rsidR="088EC3A4" w:rsidP="3C3AF2FA" w:rsidRDefault="088EC3A4" w14:paraId="2960EB17" w14:textId="2D148345">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Lenka, D. R. (Mahapatra). (2021).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Unique Hybrid Work model- The future of remote work.</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PalArch’s</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Journal of Archaeology of Egypt / Egyptology, 18(7), 2687–2697. </w:t>
      </w:r>
      <w:hyperlink r:id="R5cf1414596564015">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https://archives.palarch.nl/index.php/jae/article/view/8694/8102</w:t>
        </w:r>
      </w:hyperlink>
    </w:p>
    <w:p w:rsidR="088EC3A4" w:rsidP="3C3AF2FA" w:rsidRDefault="088EC3A4" w14:paraId="5FCB3158" w14:textId="7911E2CE">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Manko, B. A., &amp;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Rosiński</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J. (2021).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Success factors in managing remote work: a global perspective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Organizacja I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Zarządzanie</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Kwartalnik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Naukowy</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nr 1. </w:t>
      </w:r>
      <w:hyperlink r:id="R2c97ce08f24a4e84">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https://doi.org/10.29119/1899-6116.2021.53.4</w:t>
        </w:r>
      </w:hyperlink>
    </w:p>
    <w:p w:rsidR="088EC3A4" w:rsidP="3C3AF2FA" w:rsidRDefault="088EC3A4" w14:paraId="6B480577" w14:textId="48AA01B7">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ONS. (2024, November 11).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Who are the hybrid workers?</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Ons.gov.uk; Office for National Statistics. </w:t>
      </w:r>
      <w:hyperlink r:id="R7dfc706bd5294652">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https://www.ons.gov.uk/employmentandlabourmarket/peopleinwork/employmentandemployeetypes/articles/whoarethehybridworkers/2024-11-11</w:t>
        </w:r>
      </w:hyperlink>
    </w:p>
    <w:p w:rsidR="088EC3A4" w:rsidP="3C3AF2FA" w:rsidRDefault="088EC3A4" w14:paraId="1B7D9636" w14:textId="1D8B9E59">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Roberto, R., Zini, A., Felici, B., Rao, M., &amp; </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Noussan</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 (2023).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Potential Benefits of Remote Working on Urban Mobility and Related Environmental Impacts: Results from a Case Study in Italy</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Applied Sciences, 13(1), 607. </w:t>
      </w:r>
      <w:hyperlink r:id="R7466a735fc834081">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https://doi.org/10.3390/app13010607</w:t>
        </w:r>
      </w:hyperlink>
    </w:p>
    <w:p w:rsidR="088EC3A4" w:rsidP="3C3AF2FA" w:rsidRDefault="088EC3A4" w14:paraId="1178E607" w14:textId="73F0846F">
      <w:pPr>
        <w:spacing w:before="0" w:beforeAutospacing="off" w:after="0" w:afterAutospacing="off" w:line="480" w:lineRule="auto"/>
        <w:ind w:left="720" w:right="0" w:hanging="72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Statista. (2024). </w:t>
      </w:r>
      <w:r w:rsidRPr="3C3AF2FA" w:rsidR="088EC3A4">
        <w:rPr>
          <w:rFonts w:ascii="Calibri" w:hAnsi="Calibri" w:eastAsia="Calibri" w:cs="Calibri"/>
          <w:b w:val="0"/>
          <w:bCs w:val="0"/>
          <w:i w:val="1"/>
          <w:iCs w:val="1"/>
          <w:caps w:val="0"/>
          <w:smallCaps w:val="0"/>
          <w:noProof w:val="0"/>
          <w:color w:val="000000" w:themeColor="text1" w:themeTint="FF" w:themeShade="FF"/>
          <w:sz w:val="24"/>
          <w:szCs w:val="24"/>
          <w:lang w:val="en-GB"/>
        </w:rPr>
        <w:t>Share of people working remotely, hybrid working, or at work in the United Kingdom from May 2020 to October 2024</w:t>
      </w:r>
      <w:r w:rsidRPr="3C3AF2FA" w:rsidR="088EC3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Statista. </w:t>
      </w:r>
      <w:hyperlink r:id="Ra2967d3eb4454aaa">
        <w:r w:rsidRPr="3C3AF2FA" w:rsidR="088EC3A4">
          <w:rPr>
            <w:rStyle w:val="Hyperlink"/>
            <w:rFonts w:ascii="Calibri" w:hAnsi="Calibri" w:eastAsia="Calibri" w:cs="Calibri"/>
            <w:b w:val="0"/>
            <w:bCs w:val="0"/>
            <w:i w:val="0"/>
            <w:iCs w:val="0"/>
            <w:caps w:val="0"/>
            <w:smallCaps w:val="0"/>
            <w:strike w:val="0"/>
            <w:dstrike w:val="0"/>
            <w:noProof w:val="0"/>
            <w:sz w:val="24"/>
            <w:szCs w:val="24"/>
            <w:lang w:val="en-GB"/>
          </w:rPr>
          <w:t>https://www.statista.com/statistics/1207746/coronavirus-working-location-trends-britain/</w:t>
        </w:r>
      </w:hyperlink>
    </w:p>
    <w:p w:rsidR="3C3AF2FA" w:rsidP="3C3AF2FA" w:rsidRDefault="3C3AF2FA" w14:paraId="43E5C72C" w14:textId="25B481DD">
      <w:pPr>
        <w:rPr>
          <w:rFonts w:ascii="Calibri" w:hAnsi="Calibri" w:eastAsia="Calibri" w:cs="Calibr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6f0c9b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1b8e1a1"/>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Display" w:hAnsi="Aptos Display"/>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f02aa6"/>
    <w:multiLevelType xmlns:w="http://schemas.openxmlformats.org/wordprocessingml/2006/main" w:val="hybridMultilevel"/>
    <w:lvl xmlns:w="http://schemas.openxmlformats.org/wordprocessingml/2006/main" w:ilvl="0">
      <w:start w:val="1"/>
      <w:numFmt w:val="decimal"/>
      <w:lvlText w:val="%1."/>
      <w:lvlJc w:val="left"/>
      <w:pPr>
        <w:ind w:left="1069"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3EB3EA"/>
    <w:rsid w:val="04277A5A"/>
    <w:rsid w:val="088EC3A4"/>
    <w:rsid w:val="0D932BD6"/>
    <w:rsid w:val="17D3969C"/>
    <w:rsid w:val="18B6D02E"/>
    <w:rsid w:val="191040D5"/>
    <w:rsid w:val="1A3E801B"/>
    <w:rsid w:val="1A424B76"/>
    <w:rsid w:val="1A738FAF"/>
    <w:rsid w:val="1A738FAF"/>
    <w:rsid w:val="1A880E75"/>
    <w:rsid w:val="1D033D2B"/>
    <w:rsid w:val="1D033D2B"/>
    <w:rsid w:val="25055DB6"/>
    <w:rsid w:val="259413F5"/>
    <w:rsid w:val="29592F97"/>
    <w:rsid w:val="2A37E51B"/>
    <w:rsid w:val="2E69D877"/>
    <w:rsid w:val="3085671B"/>
    <w:rsid w:val="38FFD912"/>
    <w:rsid w:val="3A9F2291"/>
    <w:rsid w:val="3A9F2291"/>
    <w:rsid w:val="3C3AF2FA"/>
    <w:rsid w:val="3FAB4662"/>
    <w:rsid w:val="3FED3259"/>
    <w:rsid w:val="43B1692C"/>
    <w:rsid w:val="46E63C15"/>
    <w:rsid w:val="49B78738"/>
    <w:rsid w:val="4E849DAC"/>
    <w:rsid w:val="4E849DAC"/>
    <w:rsid w:val="50320651"/>
    <w:rsid w:val="518DE317"/>
    <w:rsid w:val="523EB3EA"/>
    <w:rsid w:val="54FBEC22"/>
    <w:rsid w:val="5CCA3477"/>
    <w:rsid w:val="5CCA3477"/>
    <w:rsid w:val="609B0BE0"/>
    <w:rsid w:val="612F2CB6"/>
    <w:rsid w:val="72DB2880"/>
    <w:rsid w:val="73622B36"/>
    <w:rsid w:val="7B726FA2"/>
    <w:rsid w:val="7CF08DA8"/>
    <w:rsid w:val="7FC16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EB3EA"/>
  <w15:chartTrackingRefBased/>
  <w15:docId w15:val="{8A2834D3-71BC-4120-B51F-E7183CFE82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C3AF2FA"/>
    <w:pPr>
      <w:tabs>
        <w:tab w:val="center" w:leader="none" w:pos="4680"/>
        <w:tab w:val="right" w:leader="none" w:pos="9360"/>
      </w:tabs>
      <w:spacing w:after="0" w:line="240" w:lineRule="auto"/>
    </w:pPr>
  </w:style>
  <w:style w:type="paragraph" w:styleId="ListParagraph">
    <w:uiPriority w:val="34"/>
    <w:name w:val="List Paragraph"/>
    <w:basedOn w:val="Normal"/>
    <w:qFormat/>
    <w:rsid w:val="3C3AF2FA"/>
    <w:pPr>
      <w:spacing/>
      <w:ind w:left="720"/>
      <w:contextualSpacing/>
    </w:pPr>
  </w:style>
  <w:style w:type="character" w:styleId="Hyperlink">
    <w:uiPriority w:val="99"/>
    <w:name w:val="Hyperlink"/>
    <w:basedOn w:val="DefaultParagraphFont"/>
    <w:unhideWhenUsed/>
    <w:rsid w:val="3C3AF2FA"/>
    <w:rPr>
      <w:color w:val="467886"/>
      <w:u w:val="single"/>
    </w:rPr>
  </w:style>
  <w:style w:type="paragraph" w:styleId="NoSpacing">
    <w:uiPriority w:val="1"/>
    <w:name w:val="No Spacing"/>
    <w:qFormat/>
    <w:rsid w:val="3C3AF2FA"/>
    <w:pPr>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4" mc:Ignorable="w14">
    <w:name xmlns:w="http://schemas.openxmlformats.org/wordprocessingml/2006/main" w:val="Plain Table 4"/>
    <w:basedOn xmlns:w="http://schemas.openxmlformats.org/wordprocessingml/2006/main" w:val="TableNormal"/>
    <w:uiPriority xmlns:w="http://schemas.openxmlformats.org/wordprocessingml/2006/main" w:val="44"/>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df652f1dc0c412b" /><Relationship Type="http://schemas.openxmlformats.org/officeDocument/2006/relationships/hyperlink" Target="https://www.publicfirst.co.uk/wp-content/uploads/2023/08/Hybrid-Work-Commission-report-Embargoed-until-13th-Sept-2023.pdf" TargetMode="External" Id="R382e14243f8a492b" /><Relationship Type="http://schemas.openxmlformats.org/officeDocument/2006/relationships/hyperlink" Target="https://www.researchgate.net/publication/375111616_Remote_Work_A_Paradigm_Shift_in_the_Modern_Workplace_and_Its_Impact_on_the_Workforce" TargetMode="External" Id="Ra504b45781ab44d5" /><Relationship Type="http://schemas.openxmlformats.org/officeDocument/2006/relationships/hyperlink" Target="https://doi.org/10.1093/qje/qju032" TargetMode="External" Id="Rda38ed0fb59d430a" /><Relationship Type="http://schemas.openxmlformats.org/officeDocument/2006/relationships/hyperlink" Target="https://doi.org/10.5465/ame.2000.4468068" TargetMode="External" Id="Re9ce190f7d504568" /><Relationship Type="http://schemas.openxmlformats.org/officeDocument/2006/relationships/hyperlink" Target="https://doi.org/10.33168/jsms.2023.0317" TargetMode="External" Id="Rc4ebbd6b7d9a4201" /><Relationship Type="http://schemas.openxmlformats.org/officeDocument/2006/relationships/hyperlink" Target="https://www.statista.com/statistics/1118605/impact-of-flexible-working-in-the-uk/" TargetMode="External" Id="R1bfa88f57df94a41" /><Relationship Type="http://schemas.openxmlformats.org/officeDocument/2006/relationships/hyperlink" Target="https://doi.org/10.1093/iwc/iwad014" TargetMode="External" Id="Rda1c9d3318b742a4" /><Relationship Type="http://schemas.openxmlformats.org/officeDocument/2006/relationships/hyperlink" Target="https://www.mdpi.com/1660-4601/18/4/1826" TargetMode="External" Id="Rac7e27bedb8d46b7" /><Relationship Type="http://schemas.openxmlformats.org/officeDocument/2006/relationships/hyperlink" Target="https://doi.org/10.3390/ijerph192215326" TargetMode="External" Id="R65047e7b97024424" /><Relationship Type="http://schemas.openxmlformats.org/officeDocument/2006/relationships/hyperlink" Target="https://doi.org/10.1016/s0090-2616(00)80016-9" TargetMode="External" Id="R5ffb4786ffc54a2b" /><Relationship Type="http://schemas.openxmlformats.org/officeDocument/2006/relationships/hyperlink" Target="https://archives.palarch.nl/index.php/jae/article/view/8694/8102" TargetMode="External" Id="R5cf1414596564015" /><Relationship Type="http://schemas.openxmlformats.org/officeDocument/2006/relationships/hyperlink" Target="https://doi.org/10.29119/1899-6116.2021.53.4" TargetMode="External" Id="R2c97ce08f24a4e84" /><Relationship Type="http://schemas.openxmlformats.org/officeDocument/2006/relationships/hyperlink" Target="https://www.ons.gov.uk/employmentandlabourmarket/peopleinwork/employmentandemployeetypes/articles/whoarethehybridworkers/2024-11-11" TargetMode="External" Id="R7dfc706bd5294652" /><Relationship Type="http://schemas.openxmlformats.org/officeDocument/2006/relationships/hyperlink" Target="https://doi.org/10.3390/app13010607" TargetMode="External" Id="R7466a735fc834081" /><Relationship Type="http://schemas.openxmlformats.org/officeDocument/2006/relationships/hyperlink" Target="https://www.statista.com/statistics/1207746/coronavirus-working-location-trends-britain/" TargetMode="External" Id="Ra2967d3eb4454aaa" /><Relationship Type="http://schemas.openxmlformats.org/officeDocument/2006/relationships/numbering" Target="/word/numbering.xml" Id="R16f27fb0e6524a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Roxana Plesca (2425030)</dc:creator>
  <keywords/>
  <dc:description/>
  <lastModifiedBy>Roxana Plesca (2425030)</lastModifiedBy>
  <revision>2</revision>
  <dcterms:created xsi:type="dcterms:W3CDTF">2025-03-23T01:56:27.1498579Z</dcterms:created>
  <dcterms:modified xsi:type="dcterms:W3CDTF">2025-03-23T02:29:29.3532255Z</dcterms:modified>
</coreProperties>
</file>