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1F1543" w14:textId="6B8C2A54" w:rsidR="001B1864" w:rsidRDefault="001B1864" w:rsidP="001B1864">
      <w:pPr>
        <w:pStyle w:val="Heading2"/>
        <w:spacing w:line="360" w:lineRule="auto"/>
        <w:jc w:val="both"/>
        <w:rPr>
          <w:rFonts w:asciiTheme="minorHAnsi" w:eastAsiaTheme="minorHAnsi" w:hAnsiTheme="minorHAnsi" w:cstheme="minorBidi"/>
          <w:b w:val="0"/>
          <w:bCs w:val="0"/>
          <w:sz w:val="22"/>
          <w:szCs w:val="22"/>
          <w:lang w:eastAsia="en-US"/>
        </w:rPr>
      </w:pPr>
      <w:r>
        <w:rPr>
          <w:noProof/>
        </w:rPr>
        <w:drawing>
          <wp:inline distT="0" distB="0" distL="0" distR="0" wp14:anchorId="03C93964" wp14:editId="59AB621B">
            <wp:extent cx="2952750" cy="1289050"/>
            <wp:effectExtent l="0" t="0" r="0" b="6350"/>
            <wp:docPr id="1985816594" name="Picture 1" descr="University of Wales Trinity St. David | Academic Software Discou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 | Academic Software Discount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52750" cy="1289050"/>
                    </a:xfrm>
                    <a:prstGeom prst="rect">
                      <a:avLst/>
                    </a:prstGeom>
                    <a:noFill/>
                    <a:ln>
                      <a:noFill/>
                    </a:ln>
                  </pic:spPr>
                </pic:pic>
              </a:graphicData>
            </a:graphic>
          </wp:inline>
        </w:drawing>
      </w:r>
      <w:r w:rsidR="00122D17">
        <w:rPr>
          <w:rFonts w:asciiTheme="minorHAnsi" w:eastAsiaTheme="minorHAnsi" w:hAnsiTheme="minorHAnsi" w:cstheme="minorBidi"/>
          <w:b w:val="0"/>
          <w:bCs w:val="0"/>
          <w:sz w:val="22"/>
          <w:szCs w:val="22"/>
          <w:lang w:eastAsia="en-US"/>
        </w:rPr>
        <w:br/>
      </w:r>
    </w:p>
    <w:p w14:paraId="70829609" w14:textId="0492EB0B" w:rsidR="001B1864" w:rsidRDefault="00122D17" w:rsidP="001B1864">
      <w:pPr>
        <w:pStyle w:val="Heading2"/>
        <w:spacing w:line="360" w:lineRule="auto"/>
        <w:jc w:val="both"/>
        <w:rPr>
          <w:rFonts w:asciiTheme="minorHAnsi" w:eastAsiaTheme="minorHAnsi" w:hAnsiTheme="minorHAnsi" w:cstheme="minorBidi"/>
          <w:b w:val="0"/>
          <w:bCs w:val="0"/>
          <w:sz w:val="22"/>
          <w:szCs w:val="22"/>
          <w:lang w:eastAsia="en-US"/>
        </w:rPr>
      </w:pPr>
      <w:r w:rsidRPr="00B70BBF">
        <w:rPr>
          <w:rFonts w:ascii="Arial" w:eastAsiaTheme="minorHAnsi" w:hAnsi="Arial" w:cs="Arial"/>
          <w:sz w:val="24"/>
          <w:szCs w:val="24"/>
          <w:lang w:eastAsia="en-US"/>
        </w:rPr>
        <w:t>Name of Student</w:t>
      </w:r>
      <w:r w:rsidRPr="00B70BBF">
        <w:rPr>
          <w:rFonts w:ascii="Arial" w:eastAsiaTheme="minorHAnsi" w:hAnsi="Arial" w:cs="Arial"/>
          <w:b w:val="0"/>
          <w:bCs w:val="0"/>
          <w:sz w:val="22"/>
          <w:szCs w:val="22"/>
          <w:lang w:eastAsia="en-US"/>
        </w:rPr>
        <w:t>: Ohikhuare Irogho</w:t>
      </w:r>
    </w:p>
    <w:p w14:paraId="5EBC72B3" w14:textId="79E25BDE" w:rsidR="00122D17" w:rsidRDefault="00122D17" w:rsidP="001B1864">
      <w:pPr>
        <w:pStyle w:val="Heading2"/>
        <w:spacing w:line="360" w:lineRule="auto"/>
        <w:jc w:val="both"/>
        <w:rPr>
          <w:rFonts w:asciiTheme="minorHAnsi" w:eastAsiaTheme="minorHAnsi" w:hAnsiTheme="minorHAnsi" w:cstheme="minorBidi"/>
          <w:b w:val="0"/>
          <w:bCs w:val="0"/>
          <w:sz w:val="22"/>
          <w:szCs w:val="22"/>
          <w:lang w:eastAsia="en-US"/>
        </w:rPr>
      </w:pPr>
      <w:r w:rsidRPr="00B70BBF">
        <w:rPr>
          <w:rFonts w:ascii="Arial" w:eastAsiaTheme="minorHAnsi" w:hAnsi="Arial" w:cs="Arial"/>
          <w:sz w:val="24"/>
          <w:szCs w:val="24"/>
          <w:lang w:eastAsia="en-US"/>
        </w:rPr>
        <w:t>Student ID:</w:t>
      </w:r>
      <w:r>
        <w:rPr>
          <w:rFonts w:asciiTheme="minorHAnsi" w:eastAsiaTheme="minorHAnsi" w:hAnsiTheme="minorHAnsi" w:cstheme="minorBidi"/>
          <w:b w:val="0"/>
          <w:bCs w:val="0"/>
          <w:sz w:val="22"/>
          <w:szCs w:val="22"/>
          <w:lang w:eastAsia="en-US"/>
        </w:rPr>
        <w:t xml:space="preserve"> </w:t>
      </w:r>
      <w:r w:rsidRPr="00B70BBF">
        <w:rPr>
          <w:rFonts w:ascii="Arial" w:eastAsiaTheme="minorHAnsi" w:hAnsi="Arial" w:cs="Arial"/>
          <w:b w:val="0"/>
          <w:bCs w:val="0"/>
          <w:sz w:val="22"/>
          <w:szCs w:val="22"/>
          <w:lang w:eastAsia="en-US"/>
        </w:rPr>
        <w:t>2128365</w:t>
      </w:r>
    </w:p>
    <w:p w14:paraId="51AF226D" w14:textId="657D09C7" w:rsidR="00122D17" w:rsidRDefault="00122D17" w:rsidP="001B1864">
      <w:pPr>
        <w:pStyle w:val="Heading2"/>
        <w:spacing w:line="360" w:lineRule="auto"/>
        <w:jc w:val="both"/>
        <w:rPr>
          <w:rFonts w:asciiTheme="minorHAnsi" w:eastAsiaTheme="minorHAnsi" w:hAnsiTheme="minorHAnsi" w:cstheme="minorBidi"/>
          <w:b w:val="0"/>
          <w:bCs w:val="0"/>
          <w:sz w:val="22"/>
          <w:szCs w:val="22"/>
          <w:lang w:eastAsia="en-US"/>
        </w:rPr>
      </w:pPr>
      <w:r w:rsidRPr="00B70BBF">
        <w:rPr>
          <w:rFonts w:ascii="Arial" w:eastAsiaTheme="minorHAnsi" w:hAnsi="Arial" w:cs="Arial"/>
          <w:b w:val="0"/>
          <w:bCs w:val="0"/>
          <w:sz w:val="24"/>
          <w:szCs w:val="24"/>
          <w:lang w:eastAsia="en-US"/>
        </w:rPr>
        <w:t>Name of Lecturer:</w:t>
      </w:r>
      <w:r>
        <w:rPr>
          <w:rFonts w:asciiTheme="minorHAnsi" w:eastAsiaTheme="minorHAnsi" w:hAnsiTheme="minorHAnsi" w:cstheme="minorBidi"/>
          <w:b w:val="0"/>
          <w:bCs w:val="0"/>
          <w:sz w:val="22"/>
          <w:szCs w:val="22"/>
          <w:lang w:eastAsia="en-US"/>
        </w:rPr>
        <w:t xml:space="preserve"> </w:t>
      </w:r>
      <w:r w:rsidRPr="00B70BBF">
        <w:rPr>
          <w:rFonts w:ascii="Arial" w:eastAsiaTheme="minorHAnsi" w:hAnsi="Arial" w:cs="Arial"/>
          <w:b w:val="0"/>
          <w:bCs w:val="0"/>
          <w:sz w:val="22"/>
          <w:szCs w:val="22"/>
          <w:lang w:eastAsia="en-US"/>
        </w:rPr>
        <w:t>Dr Ping Wu</w:t>
      </w:r>
    </w:p>
    <w:p w14:paraId="579D5ED2" w14:textId="4CE9FF0D" w:rsidR="00122D17" w:rsidRPr="00D60FA7" w:rsidRDefault="00122D17" w:rsidP="001B1864">
      <w:pPr>
        <w:pStyle w:val="Heading2"/>
        <w:spacing w:line="360" w:lineRule="auto"/>
        <w:jc w:val="both"/>
        <w:rPr>
          <w:rFonts w:asciiTheme="minorHAnsi" w:eastAsiaTheme="minorHAnsi" w:hAnsiTheme="minorHAnsi" w:cstheme="minorBidi"/>
          <w:b w:val="0"/>
          <w:bCs w:val="0"/>
          <w:sz w:val="32"/>
          <w:szCs w:val="32"/>
          <w:lang w:eastAsia="en-US"/>
        </w:rPr>
      </w:pPr>
      <w:r w:rsidRPr="00D60FA7">
        <w:rPr>
          <w:rFonts w:ascii="Arial" w:eastAsiaTheme="minorHAnsi" w:hAnsi="Arial" w:cs="Arial"/>
          <w:b w:val="0"/>
          <w:bCs w:val="0"/>
          <w:sz w:val="32"/>
          <w:szCs w:val="32"/>
          <w:lang w:eastAsia="en-US"/>
        </w:rPr>
        <w:t>Module Title:</w:t>
      </w:r>
      <w:r w:rsidRPr="00D60FA7">
        <w:rPr>
          <w:rFonts w:asciiTheme="minorHAnsi" w:eastAsiaTheme="minorHAnsi" w:hAnsiTheme="minorHAnsi" w:cstheme="minorBidi"/>
          <w:b w:val="0"/>
          <w:bCs w:val="0"/>
          <w:sz w:val="32"/>
          <w:szCs w:val="32"/>
          <w:lang w:eastAsia="en-US"/>
        </w:rPr>
        <w:t xml:space="preserve"> </w:t>
      </w:r>
      <w:r w:rsidRPr="00D60FA7">
        <w:rPr>
          <w:rFonts w:ascii="Arial" w:eastAsiaTheme="minorHAnsi" w:hAnsi="Arial" w:cs="Arial"/>
          <w:b w:val="0"/>
          <w:bCs w:val="0"/>
          <w:sz w:val="24"/>
          <w:szCs w:val="24"/>
          <w:lang w:eastAsia="en-US"/>
        </w:rPr>
        <w:t>Population Health and Digital Health Promotion</w:t>
      </w:r>
    </w:p>
    <w:p w14:paraId="7C559DDF" w14:textId="7BAAA158" w:rsidR="00122D17" w:rsidRDefault="00122D17" w:rsidP="001B1864">
      <w:pPr>
        <w:pStyle w:val="Heading2"/>
        <w:spacing w:line="360" w:lineRule="auto"/>
        <w:jc w:val="both"/>
        <w:rPr>
          <w:rFonts w:ascii="Arial" w:eastAsiaTheme="minorHAnsi" w:hAnsi="Arial" w:cs="Arial"/>
          <w:b w:val="0"/>
          <w:bCs w:val="0"/>
          <w:sz w:val="22"/>
          <w:szCs w:val="22"/>
          <w:lang w:eastAsia="en-US"/>
        </w:rPr>
      </w:pPr>
      <w:r w:rsidRPr="00B70BBF">
        <w:rPr>
          <w:rFonts w:ascii="Arial" w:eastAsiaTheme="minorHAnsi" w:hAnsi="Arial" w:cs="Arial"/>
          <w:sz w:val="24"/>
          <w:szCs w:val="24"/>
          <w:lang w:eastAsia="en-US"/>
        </w:rPr>
        <w:t>Module Code:</w:t>
      </w:r>
      <w:r>
        <w:rPr>
          <w:rFonts w:asciiTheme="minorHAnsi" w:eastAsiaTheme="minorHAnsi" w:hAnsiTheme="minorHAnsi" w:cstheme="minorBidi"/>
          <w:b w:val="0"/>
          <w:bCs w:val="0"/>
          <w:sz w:val="22"/>
          <w:szCs w:val="22"/>
          <w:lang w:eastAsia="en-US"/>
        </w:rPr>
        <w:t xml:space="preserve"> </w:t>
      </w:r>
      <w:r w:rsidRPr="00B70BBF">
        <w:rPr>
          <w:rFonts w:ascii="Arial" w:eastAsiaTheme="minorHAnsi" w:hAnsi="Arial" w:cs="Arial"/>
          <w:b w:val="0"/>
          <w:bCs w:val="0"/>
          <w:sz w:val="22"/>
          <w:szCs w:val="22"/>
          <w:lang w:eastAsia="en-US"/>
        </w:rPr>
        <w:t>LCHS7009_LON</w:t>
      </w:r>
    </w:p>
    <w:p w14:paraId="0F226FFE" w14:textId="3FEE4023" w:rsidR="00966FB0" w:rsidRPr="00762747" w:rsidRDefault="00966FB0" w:rsidP="001B1864">
      <w:pPr>
        <w:pStyle w:val="Heading2"/>
        <w:spacing w:line="360" w:lineRule="auto"/>
        <w:jc w:val="both"/>
        <w:rPr>
          <w:rFonts w:ascii="Arial" w:eastAsiaTheme="minorHAnsi" w:hAnsi="Arial" w:cs="Arial"/>
          <w:b w:val="0"/>
          <w:bCs w:val="0"/>
          <w:sz w:val="24"/>
          <w:szCs w:val="24"/>
          <w:lang w:eastAsia="en-US"/>
        </w:rPr>
      </w:pPr>
      <w:r w:rsidRPr="0043667C">
        <w:rPr>
          <w:rFonts w:ascii="Arial" w:eastAsiaTheme="minorHAnsi" w:hAnsi="Arial" w:cs="Arial"/>
          <w:sz w:val="28"/>
          <w:szCs w:val="28"/>
          <w:lang w:eastAsia="en-US"/>
        </w:rPr>
        <w:t>Assessment Ti</w:t>
      </w:r>
      <w:r w:rsidR="0043667C" w:rsidRPr="0043667C">
        <w:rPr>
          <w:rFonts w:ascii="Arial" w:eastAsiaTheme="minorHAnsi" w:hAnsi="Arial" w:cs="Arial"/>
          <w:sz w:val="28"/>
          <w:szCs w:val="28"/>
          <w:lang w:eastAsia="en-US"/>
        </w:rPr>
        <w:t>tle:</w:t>
      </w:r>
      <w:r w:rsidR="00E21E2A">
        <w:rPr>
          <w:rFonts w:ascii="Arial" w:eastAsiaTheme="minorHAnsi" w:hAnsi="Arial" w:cs="Arial"/>
          <w:sz w:val="28"/>
          <w:szCs w:val="28"/>
          <w:lang w:eastAsia="en-US"/>
        </w:rPr>
        <w:t xml:space="preserve"> </w:t>
      </w:r>
      <w:r w:rsidR="00E21E2A" w:rsidRPr="00762747">
        <w:rPr>
          <w:rFonts w:ascii="Arial" w:eastAsiaTheme="minorHAnsi" w:hAnsi="Arial" w:cs="Arial"/>
          <w:b w:val="0"/>
          <w:bCs w:val="0"/>
          <w:sz w:val="24"/>
          <w:szCs w:val="24"/>
          <w:lang w:eastAsia="en-US"/>
        </w:rPr>
        <w:t xml:space="preserve">Wearable </w:t>
      </w:r>
      <w:r w:rsidR="007340A0" w:rsidRPr="00762747">
        <w:rPr>
          <w:rFonts w:ascii="Arial" w:eastAsiaTheme="minorHAnsi" w:hAnsi="Arial" w:cs="Arial"/>
          <w:b w:val="0"/>
          <w:bCs w:val="0"/>
          <w:sz w:val="24"/>
          <w:szCs w:val="24"/>
          <w:lang w:eastAsia="en-US"/>
        </w:rPr>
        <w:t>Activity Tracker</w:t>
      </w:r>
      <w:r w:rsidR="009C11D4" w:rsidRPr="00762747">
        <w:rPr>
          <w:rFonts w:ascii="Arial" w:eastAsiaTheme="minorHAnsi" w:hAnsi="Arial" w:cs="Arial"/>
          <w:b w:val="0"/>
          <w:bCs w:val="0"/>
          <w:sz w:val="24"/>
          <w:szCs w:val="24"/>
          <w:lang w:eastAsia="en-US"/>
        </w:rPr>
        <w:t>s for Physical-</w:t>
      </w:r>
      <w:r w:rsidR="00D60FA7" w:rsidRPr="00762747">
        <w:rPr>
          <w:rFonts w:ascii="Arial" w:eastAsiaTheme="minorHAnsi" w:hAnsi="Arial" w:cs="Arial"/>
          <w:b w:val="0"/>
          <w:bCs w:val="0"/>
          <w:sz w:val="24"/>
          <w:szCs w:val="24"/>
          <w:lang w:eastAsia="en-US"/>
        </w:rPr>
        <w:t>Activity Promotion.</w:t>
      </w:r>
    </w:p>
    <w:p w14:paraId="5EC0A867" w14:textId="06B9DAC8" w:rsidR="00122D17" w:rsidRDefault="00122D17" w:rsidP="001B1864">
      <w:pPr>
        <w:pStyle w:val="Heading2"/>
        <w:spacing w:line="360" w:lineRule="auto"/>
        <w:jc w:val="both"/>
        <w:rPr>
          <w:rFonts w:asciiTheme="minorHAnsi" w:eastAsiaTheme="minorHAnsi" w:hAnsiTheme="minorHAnsi" w:cstheme="minorBidi"/>
          <w:b w:val="0"/>
          <w:bCs w:val="0"/>
          <w:sz w:val="22"/>
          <w:szCs w:val="22"/>
          <w:lang w:eastAsia="en-US"/>
        </w:rPr>
      </w:pPr>
      <w:r w:rsidRPr="00B70BBF">
        <w:rPr>
          <w:rFonts w:ascii="Arial" w:eastAsiaTheme="minorHAnsi" w:hAnsi="Arial" w:cs="Arial"/>
          <w:sz w:val="24"/>
          <w:szCs w:val="24"/>
          <w:lang w:eastAsia="en-US"/>
        </w:rPr>
        <w:t>Date of Submission:</w:t>
      </w:r>
      <w:r>
        <w:rPr>
          <w:rFonts w:asciiTheme="minorHAnsi" w:eastAsiaTheme="minorHAnsi" w:hAnsiTheme="minorHAnsi" w:cstheme="minorBidi"/>
          <w:b w:val="0"/>
          <w:bCs w:val="0"/>
          <w:sz w:val="22"/>
          <w:szCs w:val="22"/>
          <w:lang w:eastAsia="en-US"/>
        </w:rPr>
        <w:t xml:space="preserve"> </w:t>
      </w:r>
      <w:r w:rsidRPr="00B70BBF">
        <w:rPr>
          <w:rFonts w:ascii="Arial" w:eastAsiaTheme="minorHAnsi" w:hAnsi="Arial" w:cs="Arial"/>
          <w:b w:val="0"/>
          <w:bCs w:val="0"/>
          <w:sz w:val="22"/>
          <w:szCs w:val="22"/>
          <w:lang w:eastAsia="en-US"/>
        </w:rPr>
        <w:t>31/03/2026</w:t>
      </w:r>
    </w:p>
    <w:p w14:paraId="4C341D9B" w14:textId="77777777" w:rsidR="00B70BBF" w:rsidRDefault="00B70BBF" w:rsidP="001B1864">
      <w:pPr>
        <w:pStyle w:val="Heading2"/>
        <w:spacing w:line="360" w:lineRule="auto"/>
        <w:jc w:val="both"/>
        <w:rPr>
          <w:rFonts w:asciiTheme="minorHAnsi" w:eastAsiaTheme="minorHAnsi" w:hAnsiTheme="minorHAnsi" w:cstheme="minorBidi"/>
          <w:b w:val="0"/>
          <w:bCs w:val="0"/>
          <w:sz w:val="22"/>
          <w:szCs w:val="22"/>
          <w:lang w:eastAsia="en-US"/>
        </w:rPr>
      </w:pPr>
    </w:p>
    <w:p w14:paraId="43CA08DB" w14:textId="77777777" w:rsidR="00B70BBF" w:rsidRDefault="00B70BBF" w:rsidP="001B1864">
      <w:pPr>
        <w:pStyle w:val="Heading2"/>
        <w:spacing w:line="360" w:lineRule="auto"/>
        <w:jc w:val="both"/>
        <w:rPr>
          <w:rFonts w:asciiTheme="minorHAnsi" w:eastAsiaTheme="minorHAnsi" w:hAnsiTheme="minorHAnsi" w:cstheme="minorBidi"/>
          <w:b w:val="0"/>
          <w:bCs w:val="0"/>
          <w:sz w:val="22"/>
          <w:szCs w:val="22"/>
          <w:lang w:eastAsia="en-US"/>
        </w:rPr>
      </w:pPr>
    </w:p>
    <w:p w14:paraId="1B80C306" w14:textId="77777777" w:rsidR="00B70BBF" w:rsidRDefault="00B70BBF" w:rsidP="001B1864">
      <w:pPr>
        <w:pStyle w:val="Heading2"/>
        <w:spacing w:line="360" w:lineRule="auto"/>
        <w:jc w:val="both"/>
        <w:rPr>
          <w:rFonts w:asciiTheme="minorHAnsi" w:eastAsiaTheme="minorHAnsi" w:hAnsiTheme="minorHAnsi" w:cstheme="minorBidi"/>
          <w:b w:val="0"/>
          <w:bCs w:val="0"/>
          <w:sz w:val="22"/>
          <w:szCs w:val="22"/>
          <w:lang w:eastAsia="en-US"/>
        </w:rPr>
      </w:pPr>
    </w:p>
    <w:p w14:paraId="1938AA91" w14:textId="77777777" w:rsidR="00B70BBF" w:rsidRDefault="00B70BBF" w:rsidP="001B1864">
      <w:pPr>
        <w:pStyle w:val="Heading2"/>
        <w:spacing w:line="360" w:lineRule="auto"/>
        <w:jc w:val="both"/>
        <w:rPr>
          <w:rFonts w:asciiTheme="minorHAnsi" w:eastAsiaTheme="minorHAnsi" w:hAnsiTheme="minorHAnsi" w:cstheme="minorBidi"/>
          <w:b w:val="0"/>
          <w:bCs w:val="0"/>
          <w:sz w:val="22"/>
          <w:szCs w:val="22"/>
          <w:lang w:eastAsia="en-US"/>
        </w:rPr>
      </w:pPr>
    </w:p>
    <w:p w14:paraId="0F12B560" w14:textId="77777777" w:rsidR="00B70BBF" w:rsidRDefault="00B70BBF" w:rsidP="001B1864">
      <w:pPr>
        <w:pStyle w:val="Heading2"/>
        <w:spacing w:line="360" w:lineRule="auto"/>
        <w:jc w:val="both"/>
        <w:rPr>
          <w:rFonts w:asciiTheme="minorHAnsi" w:eastAsiaTheme="minorHAnsi" w:hAnsiTheme="minorHAnsi" w:cstheme="minorBidi"/>
          <w:b w:val="0"/>
          <w:bCs w:val="0"/>
          <w:sz w:val="22"/>
          <w:szCs w:val="22"/>
          <w:lang w:eastAsia="en-US"/>
        </w:rPr>
      </w:pPr>
    </w:p>
    <w:p w14:paraId="27C5FD8B" w14:textId="77777777" w:rsidR="00B70BBF" w:rsidRDefault="00B70BBF" w:rsidP="001B1864">
      <w:pPr>
        <w:pStyle w:val="Heading2"/>
        <w:spacing w:line="360" w:lineRule="auto"/>
        <w:jc w:val="both"/>
        <w:rPr>
          <w:rFonts w:asciiTheme="minorHAnsi" w:eastAsiaTheme="minorHAnsi" w:hAnsiTheme="minorHAnsi" w:cstheme="minorBidi"/>
          <w:b w:val="0"/>
          <w:bCs w:val="0"/>
          <w:sz w:val="22"/>
          <w:szCs w:val="22"/>
          <w:lang w:eastAsia="en-US"/>
        </w:rPr>
      </w:pPr>
    </w:p>
    <w:p w14:paraId="1DF0E0BB" w14:textId="77777777" w:rsidR="00B70BBF" w:rsidRDefault="00B70BBF" w:rsidP="001B1864">
      <w:pPr>
        <w:pStyle w:val="Heading2"/>
        <w:spacing w:line="360" w:lineRule="auto"/>
        <w:jc w:val="both"/>
        <w:rPr>
          <w:rFonts w:asciiTheme="minorHAnsi" w:eastAsiaTheme="minorHAnsi" w:hAnsiTheme="minorHAnsi" w:cstheme="minorBidi"/>
          <w:b w:val="0"/>
          <w:bCs w:val="0"/>
          <w:sz w:val="22"/>
          <w:szCs w:val="22"/>
          <w:lang w:eastAsia="en-US"/>
        </w:rPr>
      </w:pPr>
    </w:p>
    <w:p w14:paraId="7B98A5EB" w14:textId="77777777" w:rsidR="00B70BBF" w:rsidRDefault="00B70BBF" w:rsidP="001B1864">
      <w:pPr>
        <w:pStyle w:val="Heading2"/>
        <w:spacing w:line="360" w:lineRule="auto"/>
        <w:jc w:val="both"/>
        <w:rPr>
          <w:rFonts w:asciiTheme="minorHAnsi" w:eastAsiaTheme="minorHAnsi" w:hAnsiTheme="minorHAnsi" w:cstheme="minorBidi"/>
          <w:b w:val="0"/>
          <w:bCs w:val="0"/>
          <w:sz w:val="22"/>
          <w:szCs w:val="22"/>
          <w:lang w:eastAsia="en-US"/>
        </w:rPr>
      </w:pPr>
    </w:p>
    <w:p w14:paraId="32D4A5DE" w14:textId="547A03A5" w:rsidR="001B1864" w:rsidRDefault="001B1864" w:rsidP="001B1864">
      <w:pPr>
        <w:pStyle w:val="Heading2"/>
        <w:spacing w:line="360" w:lineRule="auto"/>
        <w:jc w:val="both"/>
        <w:rPr>
          <w:rFonts w:asciiTheme="minorHAnsi" w:eastAsiaTheme="minorHAnsi" w:hAnsiTheme="minorHAnsi" w:cstheme="minorBidi"/>
          <w:b w:val="0"/>
          <w:bCs w:val="0"/>
          <w:sz w:val="22"/>
          <w:szCs w:val="22"/>
          <w:lang w:eastAsia="en-US"/>
        </w:rPr>
      </w:pPr>
    </w:p>
    <w:p w14:paraId="041B1D1B" w14:textId="5645F2A2" w:rsidR="001B1864" w:rsidRDefault="001B1864"/>
    <w:p w14:paraId="5696DB4A" w14:textId="39BC33C7" w:rsidR="000E317E" w:rsidRPr="001B1864" w:rsidRDefault="000E317E" w:rsidP="001B1864">
      <w:pPr>
        <w:pStyle w:val="Heading2"/>
        <w:spacing w:line="360" w:lineRule="auto"/>
        <w:jc w:val="both"/>
        <w:rPr>
          <w:rFonts w:ascii="Arial" w:hAnsi="Arial" w:cs="Arial"/>
          <w:sz w:val="22"/>
          <w:szCs w:val="22"/>
        </w:rPr>
      </w:pPr>
      <w:r w:rsidRPr="001B1864">
        <w:rPr>
          <w:rFonts w:ascii="Arial" w:hAnsi="Arial" w:cs="Arial"/>
          <w:sz w:val="22"/>
          <w:szCs w:val="22"/>
        </w:rPr>
        <w:t>Blog 1 — Wearable Activity Trackers for Physical-Activity Promotion</w:t>
      </w:r>
    </w:p>
    <w:p w14:paraId="74678CC2" w14:textId="60B879F0" w:rsidR="000E317E" w:rsidRPr="001B1864" w:rsidRDefault="000E317E" w:rsidP="001B1864">
      <w:pPr>
        <w:pStyle w:val="Heading3"/>
        <w:spacing w:line="360" w:lineRule="auto"/>
        <w:jc w:val="both"/>
        <w:rPr>
          <w:rFonts w:ascii="Arial" w:hAnsi="Arial" w:cs="Arial"/>
          <w:color w:val="auto"/>
          <w:sz w:val="22"/>
          <w:szCs w:val="22"/>
        </w:rPr>
      </w:pPr>
      <w:r w:rsidRPr="001B1864">
        <w:rPr>
          <w:rFonts w:ascii="Arial" w:hAnsi="Arial" w:cs="Arial"/>
          <w:color w:val="auto"/>
          <w:sz w:val="22"/>
          <w:szCs w:val="22"/>
        </w:rPr>
        <w:t>Digital Self-Monitoring to Address Physical Inactivity</w:t>
      </w:r>
      <w:r w:rsidR="001B1864" w:rsidRPr="001B1864">
        <w:rPr>
          <w:rFonts w:ascii="Arial" w:hAnsi="Arial" w:cs="Arial"/>
          <w:color w:val="auto"/>
          <w:sz w:val="22"/>
          <w:szCs w:val="22"/>
        </w:rPr>
        <w:t>.</w:t>
      </w:r>
      <w:r w:rsidR="00D65787">
        <w:rPr>
          <w:rFonts w:ascii="Arial" w:hAnsi="Arial" w:cs="Arial"/>
          <w:color w:val="auto"/>
          <w:sz w:val="22"/>
          <w:szCs w:val="22"/>
        </w:rPr>
        <w:t xml:space="preserve"> Statistic have it that </w:t>
      </w:r>
      <w:r w:rsidR="006B2775">
        <w:rPr>
          <w:rFonts w:ascii="Arial" w:hAnsi="Arial" w:cs="Arial"/>
          <w:color w:val="auto"/>
          <w:sz w:val="22"/>
          <w:szCs w:val="22"/>
        </w:rPr>
        <w:t>in 2024, 52% of UK citizens uses a smart wearable, such as smartwatch or fitness band and it has been projected that in 2026, more than 740 million people will be using smartwatches globally.</w:t>
      </w:r>
      <w:r w:rsidR="00C47587">
        <w:rPr>
          <w:rFonts w:ascii="Arial" w:hAnsi="Arial" w:cs="Arial"/>
          <w:color w:val="auto"/>
          <w:sz w:val="22"/>
          <w:szCs w:val="22"/>
        </w:rPr>
        <w:t xml:space="preserve"> (Caldwell, 2026).</w:t>
      </w:r>
    </w:p>
    <w:p w14:paraId="438FD760" w14:textId="353688F8" w:rsidR="000E317E" w:rsidRPr="001B1864" w:rsidRDefault="000E317E" w:rsidP="001B1864">
      <w:pPr>
        <w:pStyle w:val="NormalWeb"/>
        <w:spacing w:line="360" w:lineRule="auto"/>
        <w:jc w:val="both"/>
        <w:rPr>
          <w:rFonts w:ascii="Arial" w:hAnsi="Arial" w:cs="Arial"/>
          <w:sz w:val="22"/>
          <w:szCs w:val="22"/>
        </w:rPr>
      </w:pPr>
      <w:r w:rsidRPr="001B1864">
        <w:rPr>
          <w:rFonts w:ascii="Arial" w:hAnsi="Arial" w:cs="Arial"/>
          <w:sz w:val="22"/>
          <w:szCs w:val="22"/>
        </w:rPr>
        <w:t>Wearable trackers support self-monitoring and feedback, key mechanisms for behaviour change in digital health promotion.</w:t>
      </w:r>
    </w:p>
    <w:p w14:paraId="0046631B" w14:textId="01F8FF50" w:rsidR="005C10D0" w:rsidRPr="001B1864" w:rsidRDefault="005C10D0" w:rsidP="001B1864">
      <w:pPr>
        <w:pStyle w:val="Heading2"/>
        <w:spacing w:before="0" w:beforeAutospacing="0" w:after="0" w:afterAutospacing="0" w:line="360" w:lineRule="auto"/>
        <w:jc w:val="both"/>
        <w:rPr>
          <w:rFonts w:ascii="Arial" w:hAnsi="Arial" w:cs="Arial"/>
          <w:b w:val="0"/>
          <w:bCs w:val="0"/>
          <w:sz w:val="22"/>
          <w:szCs w:val="22"/>
        </w:rPr>
      </w:pPr>
      <w:r w:rsidRPr="001B1864">
        <w:rPr>
          <w:rFonts w:ascii="Arial" w:hAnsi="Arial" w:cs="Arial"/>
          <w:b w:val="0"/>
          <w:bCs w:val="0"/>
          <w:sz w:val="22"/>
          <w:szCs w:val="22"/>
        </w:rPr>
        <w:t xml:space="preserve">Physical inactivity is a major global public-health issue, and one of the leading risk factors of non-communicable </w:t>
      </w:r>
      <w:r w:rsidR="00D65787">
        <w:rPr>
          <w:rFonts w:ascii="Arial" w:hAnsi="Arial" w:cs="Arial"/>
          <w:b w:val="0"/>
          <w:bCs w:val="0"/>
          <w:sz w:val="22"/>
          <w:szCs w:val="22"/>
        </w:rPr>
        <w:t>diseases</w:t>
      </w:r>
      <w:r w:rsidRPr="001B1864">
        <w:rPr>
          <w:rFonts w:ascii="Arial" w:hAnsi="Arial" w:cs="Arial"/>
          <w:b w:val="0"/>
          <w:bCs w:val="0"/>
          <w:sz w:val="22"/>
          <w:szCs w:val="22"/>
        </w:rPr>
        <w:t xml:space="preserve">, such as cardiovascular disease, diabetes, and some cancers (World Health Organisation, 2022). In the global population, physical activity </w:t>
      </w:r>
      <w:r w:rsidR="006E061A" w:rsidRPr="001B1864">
        <w:rPr>
          <w:rFonts w:ascii="Arial" w:hAnsi="Arial" w:cs="Arial"/>
          <w:b w:val="0"/>
          <w:bCs w:val="0"/>
          <w:sz w:val="22"/>
          <w:szCs w:val="22"/>
        </w:rPr>
        <w:t xml:space="preserve">levels do not meet recommended rates, leading to increased mortality and </w:t>
      </w:r>
      <w:r w:rsidRPr="001B1864">
        <w:rPr>
          <w:rFonts w:ascii="Arial" w:hAnsi="Arial" w:cs="Arial"/>
          <w:b w:val="0"/>
          <w:bCs w:val="0"/>
          <w:sz w:val="22"/>
          <w:szCs w:val="22"/>
        </w:rPr>
        <w:t>health-care costs (World Health Organisation, 2022). The high-rate urbanisation, increasing numbers of sedentary jobs, and increased reliance on motorised transport have further reduced the daily energy expenditure, especially among urban residents (</w:t>
      </w:r>
      <w:proofErr w:type="spellStart"/>
      <w:r w:rsidRPr="001B1864">
        <w:rPr>
          <w:rFonts w:ascii="Arial" w:hAnsi="Arial" w:cs="Arial"/>
          <w:b w:val="0"/>
          <w:bCs w:val="0"/>
          <w:sz w:val="22"/>
          <w:szCs w:val="22"/>
        </w:rPr>
        <w:t>Guthold</w:t>
      </w:r>
      <w:proofErr w:type="spellEnd"/>
      <w:r w:rsidRPr="001B1864">
        <w:rPr>
          <w:rFonts w:ascii="Arial" w:hAnsi="Arial" w:cs="Arial"/>
          <w:b w:val="0"/>
          <w:bCs w:val="0"/>
          <w:sz w:val="22"/>
          <w:szCs w:val="22"/>
        </w:rPr>
        <w:t xml:space="preserve"> et al., 2018). As a result, there has been the use of scalable digital interventions to encourage active lifestyles.</w:t>
      </w:r>
    </w:p>
    <w:p w14:paraId="2754C57F" w14:textId="77777777" w:rsidR="00E158BC" w:rsidRPr="001B1864" w:rsidRDefault="00653013" w:rsidP="001B1864">
      <w:pPr>
        <w:pStyle w:val="Heading2"/>
        <w:spacing w:before="0" w:beforeAutospacing="0" w:after="0" w:afterAutospacing="0" w:line="360" w:lineRule="auto"/>
        <w:jc w:val="both"/>
        <w:rPr>
          <w:rFonts w:ascii="Arial" w:hAnsi="Arial" w:cs="Arial"/>
          <w:b w:val="0"/>
          <w:bCs w:val="0"/>
          <w:sz w:val="22"/>
          <w:szCs w:val="22"/>
        </w:rPr>
      </w:pPr>
      <w:r w:rsidRPr="001B1864">
        <w:rPr>
          <w:rFonts w:ascii="Arial" w:hAnsi="Arial" w:cs="Arial"/>
          <w:noProof/>
          <w:sz w:val="22"/>
          <w:szCs w:val="22"/>
        </w:rPr>
        <w:drawing>
          <wp:inline distT="0" distB="0" distL="0" distR="0" wp14:anchorId="7D300F03" wp14:editId="37BCDC8D">
            <wp:extent cx="5731510" cy="2865755"/>
            <wp:effectExtent l="0" t="0" r="2540" b="0"/>
            <wp:docPr id="1" name="Picture 1" descr="https://www.tigahealth.com/wp-content/uploads/2021/06/wearable-tech-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igahealth.com/wp-content/uploads/2021/06/wearable-tech-1.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7A2965F0" w14:textId="77777777" w:rsidR="00653013" w:rsidRPr="001B1864" w:rsidRDefault="006E061A" w:rsidP="001B1864">
      <w:pPr>
        <w:pStyle w:val="Heading2"/>
        <w:spacing w:before="0" w:beforeAutospacing="0" w:after="0" w:afterAutospacing="0" w:line="360" w:lineRule="auto"/>
        <w:jc w:val="both"/>
        <w:rPr>
          <w:rFonts w:ascii="Arial" w:hAnsi="Arial" w:cs="Arial"/>
          <w:b w:val="0"/>
          <w:bCs w:val="0"/>
          <w:sz w:val="22"/>
          <w:szCs w:val="22"/>
        </w:rPr>
      </w:pPr>
      <w:r w:rsidRPr="001B1864">
        <w:rPr>
          <w:rFonts w:ascii="Arial" w:hAnsi="Arial" w:cs="Arial"/>
          <w:b w:val="0"/>
          <w:sz w:val="22"/>
          <w:szCs w:val="22"/>
        </w:rPr>
        <w:t>(Tiga Healthcare Technologies, 2025)</w:t>
      </w:r>
    </w:p>
    <w:p w14:paraId="21389762" w14:textId="77777777" w:rsidR="009D18A3" w:rsidRPr="001B1864" w:rsidRDefault="009D18A3" w:rsidP="001B1864">
      <w:pPr>
        <w:pStyle w:val="Heading2"/>
        <w:spacing w:before="0" w:beforeAutospacing="0" w:after="0" w:afterAutospacing="0" w:line="360" w:lineRule="auto"/>
        <w:jc w:val="both"/>
        <w:rPr>
          <w:rFonts w:ascii="Arial" w:hAnsi="Arial" w:cs="Arial"/>
          <w:b w:val="0"/>
          <w:bCs w:val="0"/>
          <w:i/>
          <w:sz w:val="22"/>
          <w:szCs w:val="22"/>
        </w:rPr>
      </w:pPr>
      <w:r w:rsidRPr="001B1864">
        <w:rPr>
          <w:rFonts w:ascii="Arial" w:hAnsi="Arial" w:cs="Arial"/>
          <w:b w:val="0"/>
          <w:bCs w:val="0"/>
          <w:i/>
          <w:sz w:val="22"/>
          <w:szCs w:val="22"/>
        </w:rPr>
        <w:t>Digital Technology in Health Promotion</w:t>
      </w:r>
    </w:p>
    <w:p w14:paraId="1314535C" w14:textId="77777777" w:rsidR="005C10D0" w:rsidRPr="001B1864" w:rsidRDefault="005C10D0" w:rsidP="001B1864">
      <w:pPr>
        <w:pStyle w:val="Heading2"/>
        <w:spacing w:before="0" w:beforeAutospacing="0" w:after="0" w:afterAutospacing="0" w:line="360" w:lineRule="auto"/>
        <w:jc w:val="both"/>
        <w:rPr>
          <w:rFonts w:ascii="Arial" w:hAnsi="Arial" w:cs="Arial"/>
          <w:b w:val="0"/>
          <w:bCs w:val="0"/>
          <w:sz w:val="22"/>
          <w:szCs w:val="22"/>
        </w:rPr>
      </w:pPr>
      <w:r w:rsidRPr="001B1864">
        <w:rPr>
          <w:rFonts w:ascii="Arial" w:hAnsi="Arial" w:cs="Arial"/>
          <w:b w:val="0"/>
          <w:bCs w:val="0"/>
          <w:sz w:val="22"/>
          <w:szCs w:val="22"/>
        </w:rPr>
        <w:t>Wearable activity devices, including smartwatches and fitness bracelets, are the most prominent digital technologies applied in health promotion. These trackers keep track of the number of steps, heart rate, and calories burned, and create instant feedback on a smartphone (Brickwood et al., 2019). The behaviour-change methods integrated into these platforms, including goal setting, prompts and rewards, adhere to already established theoretical models, such as Social Cognitive Theory and the Behaviour Change Wheel (Michie et al., 2017).  </w:t>
      </w:r>
    </w:p>
    <w:p w14:paraId="0DCEB236" w14:textId="77777777" w:rsidR="005C10D0" w:rsidRPr="001B1864" w:rsidRDefault="00BC3123" w:rsidP="001B1864">
      <w:pPr>
        <w:pStyle w:val="Heading2"/>
        <w:spacing w:before="0" w:beforeAutospacing="0" w:after="0" w:afterAutospacing="0" w:line="360" w:lineRule="auto"/>
        <w:jc w:val="both"/>
        <w:rPr>
          <w:rFonts w:ascii="Arial" w:hAnsi="Arial" w:cs="Arial"/>
          <w:b w:val="0"/>
          <w:bCs w:val="0"/>
          <w:sz w:val="22"/>
          <w:szCs w:val="22"/>
        </w:rPr>
      </w:pPr>
      <w:r w:rsidRPr="001B1864">
        <w:rPr>
          <w:rFonts w:ascii="Arial" w:hAnsi="Arial" w:cs="Arial"/>
          <w:b w:val="0"/>
          <w:bCs w:val="0"/>
          <w:sz w:val="22"/>
          <w:szCs w:val="22"/>
        </w:rPr>
        <w:t>W</w:t>
      </w:r>
      <w:r w:rsidR="005C10D0" w:rsidRPr="001B1864">
        <w:rPr>
          <w:rFonts w:ascii="Arial" w:hAnsi="Arial" w:cs="Arial"/>
          <w:b w:val="0"/>
          <w:bCs w:val="0"/>
          <w:sz w:val="22"/>
          <w:szCs w:val="22"/>
        </w:rPr>
        <w:t>eb</w:t>
      </w:r>
      <w:r w:rsidRPr="001B1864">
        <w:rPr>
          <w:rFonts w:ascii="Arial" w:hAnsi="Arial" w:cs="Arial"/>
          <w:b w:val="0"/>
          <w:bCs w:val="0"/>
          <w:sz w:val="22"/>
          <w:szCs w:val="22"/>
        </w:rPr>
        <w:t>link</w:t>
      </w:r>
      <w:r w:rsidR="005C10D0" w:rsidRPr="001B1864">
        <w:rPr>
          <w:rFonts w:ascii="Arial" w:hAnsi="Arial" w:cs="Arial"/>
          <w:b w:val="0"/>
          <w:bCs w:val="0"/>
          <w:sz w:val="22"/>
          <w:szCs w:val="22"/>
        </w:rPr>
        <w:t xml:space="preserve">: Wearable tech example of digital tracker programme - </w:t>
      </w:r>
      <w:hyperlink r:id="rId8" w:history="1">
        <w:r w:rsidRPr="001B1864">
          <w:rPr>
            <w:rStyle w:val="Hyperlink"/>
            <w:rFonts w:ascii="Arial" w:hAnsi="Arial" w:cs="Arial"/>
            <w:b w:val="0"/>
            <w:bCs w:val="0"/>
            <w:sz w:val="22"/>
            <w:szCs w:val="22"/>
          </w:rPr>
          <w:t>www.activehealthtech-demo.org/wearables</w:t>
        </w:r>
      </w:hyperlink>
      <w:r w:rsidR="005C10D0" w:rsidRPr="001B1864">
        <w:rPr>
          <w:rFonts w:ascii="Arial" w:hAnsi="Arial" w:cs="Arial"/>
          <w:b w:val="0"/>
          <w:bCs w:val="0"/>
          <w:sz w:val="22"/>
          <w:szCs w:val="22"/>
        </w:rPr>
        <w:t>.</w:t>
      </w:r>
    </w:p>
    <w:p w14:paraId="4D978786" w14:textId="77777777" w:rsidR="00BC3123" w:rsidRPr="001B1864" w:rsidRDefault="00BC3123" w:rsidP="001B1864">
      <w:pPr>
        <w:pStyle w:val="Heading2"/>
        <w:spacing w:before="0" w:beforeAutospacing="0" w:after="0" w:afterAutospacing="0" w:line="360" w:lineRule="auto"/>
        <w:jc w:val="both"/>
        <w:rPr>
          <w:rFonts w:ascii="Arial" w:hAnsi="Arial" w:cs="Arial"/>
          <w:b w:val="0"/>
          <w:bCs w:val="0"/>
          <w:sz w:val="22"/>
          <w:szCs w:val="22"/>
        </w:rPr>
      </w:pPr>
      <w:r w:rsidRPr="001B1864">
        <w:rPr>
          <w:rFonts w:ascii="Arial" w:hAnsi="Arial" w:cs="Arial"/>
          <w:noProof/>
          <w:sz w:val="22"/>
          <w:szCs w:val="22"/>
        </w:rPr>
        <w:drawing>
          <wp:inline distT="0" distB="0" distL="0" distR="0" wp14:anchorId="715FE0CA" wp14:editId="063F99FA">
            <wp:extent cx="2748915" cy="4051300"/>
            <wp:effectExtent l="0" t="0" r="0" b="6350"/>
            <wp:docPr id="5" name="Picture 5" descr="Get started with Fitness on iPhone - Apple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t started with Fitness on iPhone - Apple Suppor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63990" cy="4073517"/>
                    </a:xfrm>
                    <a:prstGeom prst="rect">
                      <a:avLst/>
                    </a:prstGeom>
                    <a:noFill/>
                    <a:ln>
                      <a:noFill/>
                    </a:ln>
                  </pic:spPr>
                </pic:pic>
              </a:graphicData>
            </a:graphic>
          </wp:inline>
        </w:drawing>
      </w:r>
    </w:p>
    <w:p w14:paraId="49370B94" w14:textId="77777777" w:rsidR="006E061A" w:rsidRPr="001B1864" w:rsidRDefault="006E061A" w:rsidP="001B1864">
      <w:pPr>
        <w:pStyle w:val="Heading2"/>
        <w:spacing w:before="0" w:beforeAutospacing="0" w:after="0" w:afterAutospacing="0" w:line="360" w:lineRule="auto"/>
        <w:jc w:val="both"/>
        <w:rPr>
          <w:rFonts w:ascii="Arial" w:hAnsi="Arial" w:cs="Arial"/>
          <w:b w:val="0"/>
          <w:sz w:val="22"/>
          <w:szCs w:val="22"/>
        </w:rPr>
      </w:pPr>
      <w:r w:rsidRPr="001B1864">
        <w:rPr>
          <w:rFonts w:ascii="Arial" w:hAnsi="Arial" w:cs="Arial"/>
          <w:b w:val="0"/>
          <w:sz w:val="22"/>
          <w:szCs w:val="22"/>
        </w:rPr>
        <w:t>(Apple, 2025).</w:t>
      </w:r>
    </w:p>
    <w:p w14:paraId="5FC3F5D2" w14:textId="77777777" w:rsidR="009D18A3" w:rsidRPr="001B1864" w:rsidRDefault="009D18A3" w:rsidP="001B1864">
      <w:pPr>
        <w:pStyle w:val="Heading2"/>
        <w:spacing w:before="0" w:beforeAutospacing="0" w:after="0" w:afterAutospacing="0" w:line="360" w:lineRule="auto"/>
        <w:jc w:val="both"/>
        <w:rPr>
          <w:rFonts w:ascii="Arial" w:hAnsi="Arial" w:cs="Arial"/>
          <w:b w:val="0"/>
          <w:i/>
          <w:sz w:val="22"/>
          <w:szCs w:val="22"/>
        </w:rPr>
      </w:pPr>
      <w:r w:rsidRPr="001B1864">
        <w:rPr>
          <w:rFonts w:ascii="Arial" w:hAnsi="Arial" w:cs="Arial"/>
          <w:b w:val="0"/>
          <w:i/>
          <w:sz w:val="22"/>
          <w:szCs w:val="22"/>
        </w:rPr>
        <w:t>Evidence of Effectiveness</w:t>
      </w:r>
    </w:p>
    <w:p w14:paraId="7BBA56F2" w14:textId="4CC3A43B" w:rsidR="005C10D0" w:rsidRDefault="005C10D0" w:rsidP="001B1864">
      <w:pPr>
        <w:pStyle w:val="Heading2"/>
        <w:spacing w:before="0" w:beforeAutospacing="0" w:after="0" w:afterAutospacing="0" w:line="360" w:lineRule="auto"/>
        <w:jc w:val="both"/>
        <w:rPr>
          <w:rFonts w:ascii="Arial" w:hAnsi="Arial" w:cs="Arial"/>
          <w:b w:val="0"/>
          <w:bCs w:val="0"/>
          <w:sz w:val="22"/>
          <w:szCs w:val="22"/>
        </w:rPr>
      </w:pPr>
      <w:r w:rsidRPr="001B1864">
        <w:rPr>
          <w:rFonts w:ascii="Arial" w:hAnsi="Arial" w:cs="Arial"/>
          <w:b w:val="0"/>
          <w:bCs w:val="0"/>
          <w:sz w:val="22"/>
          <w:szCs w:val="22"/>
        </w:rPr>
        <w:t>It has been suggested that wearable technology interventions can be used to increase the level of physical activity, especially in the short run. A systematic review claimed that</w:t>
      </w:r>
      <w:r w:rsidR="00D65787">
        <w:rPr>
          <w:rFonts w:ascii="Arial" w:hAnsi="Arial" w:cs="Arial"/>
          <w:b w:val="0"/>
          <w:bCs w:val="0"/>
          <w:sz w:val="22"/>
          <w:szCs w:val="22"/>
        </w:rPr>
        <w:t xml:space="preserve"> 75% </w:t>
      </w:r>
      <w:r w:rsidR="00C47587">
        <w:rPr>
          <w:rFonts w:ascii="Arial" w:hAnsi="Arial" w:cs="Arial"/>
          <w:b w:val="0"/>
          <w:bCs w:val="0"/>
          <w:sz w:val="22"/>
          <w:szCs w:val="22"/>
        </w:rPr>
        <w:t xml:space="preserve">of </w:t>
      </w:r>
      <w:r w:rsidR="00C47587" w:rsidRPr="001B1864">
        <w:rPr>
          <w:rFonts w:ascii="Arial" w:hAnsi="Arial" w:cs="Arial"/>
          <w:b w:val="0"/>
          <w:bCs w:val="0"/>
          <w:sz w:val="22"/>
          <w:szCs w:val="22"/>
        </w:rPr>
        <w:t>users</w:t>
      </w:r>
      <w:r w:rsidRPr="001B1864">
        <w:rPr>
          <w:rFonts w:ascii="Arial" w:hAnsi="Arial" w:cs="Arial"/>
          <w:b w:val="0"/>
          <w:bCs w:val="0"/>
          <w:sz w:val="22"/>
          <w:szCs w:val="22"/>
        </w:rPr>
        <w:t xml:space="preserve"> reported a considerable rise in the number of steps per day and moderate-vigorous exercise as compared to</w:t>
      </w:r>
      <w:r w:rsidR="00D65787">
        <w:rPr>
          <w:rFonts w:ascii="Arial" w:hAnsi="Arial" w:cs="Arial"/>
          <w:b w:val="0"/>
          <w:bCs w:val="0"/>
          <w:sz w:val="22"/>
          <w:szCs w:val="22"/>
        </w:rPr>
        <w:t xml:space="preserve"> 25% </w:t>
      </w:r>
      <w:r w:rsidR="00D65787" w:rsidRPr="001B1864">
        <w:rPr>
          <w:rFonts w:ascii="Arial" w:hAnsi="Arial" w:cs="Arial"/>
          <w:b w:val="0"/>
          <w:bCs w:val="0"/>
          <w:sz w:val="22"/>
          <w:szCs w:val="22"/>
        </w:rPr>
        <w:t>non</w:t>
      </w:r>
      <w:r w:rsidRPr="001B1864">
        <w:rPr>
          <w:rFonts w:ascii="Arial" w:hAnsi="Arial" w:cs="Arial"/>
          <w:b w:val="0"/>
          <w:bCs w:val="0"/>
          <w:sz w:val="22"/>
          <w:szCs w:val="22"/>
        </w:rPr>
        <w:t>-users (Brickwood et al., 2019). Randomised controlled trials also indicate the benefits of weight management and cardiometabolic measurements with wearable use with behavioural counselling (</w:t>
      </w:r>
      <w:proofErr w:type="spellStart"/>
      <w:r w:rsidRPr="001B1864">
        <w:rPr>
          <w:rFonts w:ascii="Arial" w:hAnsi="Arial" w:cs="Arial"/>
          <w:b w:val="0"/>
          <w:bCs w:val="0"/>
          <w:sz w:val="22"/>
          <w:szCs w:val="22"/>
        </w:rPr>
        <w:t>Jakic</w:t>
      </w:r>
      <w:proofErr w:type="spellEnd"/>
      <w:r w:rsidRPr="001B1864">
        <w:rPr>
          <w:rFonts w:ascii="Arial" w:hAnsi="Arial" w:cs="Arial"/>
          <w:b w:val="0"/>
          <w:bCs w:val="0"/>
          <w:sz w:val="22"/>
          <w:szCs w:val="22"/>
        </w:rPr>
        <w:t xml:space="preserve"> et al., 2016).</w:t>
      </w:r>
    </w:p>
    <w:p w14:paraId="631C7047" w14:textId="77777777" w:rsidR="00B70BBF" w:rsidRPr="001B1864" w:rsidRDefault="00B70BBF" w:rsidP="001B1864">
      <w:pPr>
        <w:pStyle w:val="Heading2"/>
        <w:spacing w:before="0" w:beforeAutospacing="0" w:after="0" w:afterAutospacing="0" w:line="360" w:lineRule="auto"/>
        <w:jc w:val="both"/>
        <w:rPr>
          <w:rFonts w:ascii="Arial" w:hAnsi="Arial" w:cs="Arial"/>
          <w:b w:val="0"/>
          <w:bCs w:val="0"/>
          <w:sz w:val="22"/>
          <w:szCs w:val="22"/>
        </w:rPr>
      </w:pPr>
    </w:p>
    <w:p w14:paraId="36A68411" w14:textId="77777777" w:rsidR="00BC3123" w:rsidRPr="001B1864" w:rsidRDefault="00BC3123" w:rsidP="001B1864">
      <w:pPr>
        <w:pStyle w:val="Heading2"/>
        <w:spacing w:before="0" w:beforeAutospacing="0" w:after="0" w:afterAutospacing="0" w:line="360" w:lineRule="auto"/>
        <w:jc w:val="both"/>
        <w:rPr>
          <w:rFonts w:ascii="Arial" w:hAnsi="Arial" w:cs="Arial"/>
          <w:b w:val="0"/>
          <w:bCs w:val="0"/>
          <w:sz w:val="22"/>
          <w:szCs w:val="22"/>
        </w:rPr>
      </w:pPr>
      <w:r w:rsidRPr="001B1864">
        <w:rPr>
          <w:rFonts w:ascii="Arial" w:hAnsi="Arial" w:cs="Arial"/>
          <w:b w:val="0"/>
          <w:bCs w:val="0"/>
          <w:noProof/>
          <w:sz w:val="22"/>
          <w:szCs w:val="22"/>
        </w:rPr>
        <w:drawing>
          <wp:inline distT="0" distB="0" distL="0" distR="0" wp14:anchorId="660A86C0" wp14:editId="6365EDCE">
            <wp:extent cx="3175000" cy="1908518"/>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89005" cy="1916937"/>
                    </a:xfrm>
                    <a:prstGeom prst="rect">
                      <a:avLst/>
                    </a:prstGeom>
                    <a:noFill/>
                  </pic:spPr>
                </pic:pic>
              </a:graphicData>
            </a:graphic>
          </wp:inline>
        </w:drawing>
      </w:r>
    </w:p>
    <w:p w14:paraId="2D254749" w14:textId="77777777" w:rsidR="006E061A" w:rsidRDefault="006E061A" w:rsidP="001B1864">
      <w:pPr>
        <w:spacing w:line="360" w:lineRule="auto"/>
        <w:rPr>
          <w:rFonts w:ascii="Arial" w:hAnsi="Arial" w:cs="Arial"/>
        </w:rPr>
      </w:pPr>
      <w:r w:rsidRPr="001B1864">
        <w:rPr>
          <w:rFonts w:ascii="Arial" w:hAnsi="Arial" w:cs="Arial"/>
        </w:rPr>
        <w:t>(WHO, 2022).</w:t>
      </w:r>
    </w:p>
    <w:p w14:paraId="00E82310" w14:textId="77777777" w:rsidR="00B70BBF" w:rsidRPr="001B1864" w:rsidRDefault="00B70BBF" w:rsidP="001B1864">
      <w:pPr>
        <w:spacing w:line="360" w:lineRule="auto"/>
        <w:rPr>
          <w:rFonts w:ascii="Arial" w:hAnsi="Arial" w:cs="Arial"/>
        </w:rPr>
      </w:pPr>
    </w:p>
    <w:p w14:paraId="0A2C7D76" w14:textId="77777777" w:rsidR="009D18A3" w:rsidRPr="001B1864" w:rsidRDefault="009D18A3" w:rsidP="001B1864">
      <w:pPr>
        <w:spacing w:line="360" w:lineRule="auto"/>
        <w:rPr>
          <w:rFonts w:ascii="Arial" w:hAnsi="Arial" w:cs="Arial"/>
          <w:i/>
        </w:rPr>
      </w:pPr>
      <w:r w:rsidRPr="001B1864">
        <w:rPr>
          <w:rFonts w:ascii="Arial" w:hAnsi="Arial" w:cs="Arial"/>
          <w:i/>
        </w:rPr>
        <w:t>Critical Impact and Limitations</w:t>
      </w:r>
    </w:p>
    <w:p w14:paraId="67D5C559" w14:textId="77777777" w:rsidR="005C10D0" w:rsidRPr="001B1864" w:rsidRDefault="005C10D0" w:rsidP="001B1864">
      <w:pPr>
        <w:pStyle w:val="Heading2"/>
        <w:spacing w:before="0" w:beforeAutospacing="0" w:after="0" w:afterAutospacing="0" w:line="360" w:lineRule="auto"/>
        <w:jc w:val="both"/>
        <w:rPr>
          <w:rFonts w:ascii="Arial" w:hAnsi="Arial" w:cs="Arial"/>
          <w:b w:val="0"/>
          <w:bCs w:val="0"/>
          <w:sz w:val="22"/>
          <w:szCs w:val="22"/>
        </w:rPr>
      </w:pPr>
      <w:r w:rsidRPr="001B1864">
        <w:rPr>
          <w:rFonts w:ascii="Arial" w:hAnsi="Arial" w:cs="Arial"/>
          <w:b w:val="0"/>
          <w:bCs w:val="0"/>
          <w:sz w:val="22"/>
          <w:szCs w:val="22"/>
        </w:rPr>
        <w:t>Despite these advantages, there are constraints on the effectiveness in the long term. The engagement of the user often reduces after the initial period of novelty, thus restricting long-term behaviour change (Patel et al., 2017). The population of wearable users is also rather uneven, as younger and more affluent people are more likely to wear them, which may further contribute to digital health inequalities (</w:t>
      </w:r>
      <w:proofErr w:type="spellStart"/>
      <w:r w:rsidRPr="001B1864">
        <w:rPr>
          <w:rFonts w:ascii="Arial" w:hAnsi="Arial" w:cs="Arial"/>
          <w:b w:val="0"/>
          <w:bCs w:val="0"/>
          <w:sz w:val="22"/>
          <w:szCs w:val="22"/>
        </w:rPr>
        <w:t>Vandelanotte</w:t>
      </w:r>
      <w:proofErr w:type="spellEnd"/>
      <w:r w:rsidRPr="001B1864">
        <w:rPr>
          <w:rFonts w:ascii="Arial" w:hAnsi="Arial" w:cs="Arial"/>
          <w:b w:val="0"/>
          <w:bCs w:val="0"/>
          <w:sz w:val="22"/>
          <w:szCs w:val="22"/>
        </w:rPr>
        <w:t xml:space="preserve"> et al., 2020). Besides, the number of steps does not necessarily lead to the long-term clinical outcomes, including lower disease rates (</w:t>
      </w:r>
      <w:proofErr w:type="spellStart"/>
      <w:r w:rsidRPr="001B1864">
        <w:rPr>
          <w:rFonts w:ascii="Arial" w:hAnsi="Arial" w:cs="Arial"/>
          <w:b w:val="0"/>
          <w:bCs w:val="0"/>
          <w:sz w:val="22"/>
          <w:szCs w:val="22"/>
        </w:rPr>
        <w:t>Jakicic</w:t>
      </w:r>
      <w:proofErr w:type="spellEnd"/>
      <w:r w:rsidRPr="001B1864">
        <w:rPr>
          <w:rFonts w:ascii="Arial" w:hAnsi="Arial" w:cs="Arial"/>
          <w:b w:val="0"/>
          <w:bCs w:val="0"/>
          <w:sz w:val="22"/>
          <w:szCs w:val="22"/>
        </w:rPr>
        <w:t xml:space="preserve"> et al., 2016).</w:t>
      </w:r>
    </w:p>
    <w:p w14:paraId="0F00CAFD" w14:textId="77777777" w:rsidR="00854106" w:rsidRPr="001B1864" w:rsidRDefault="007E4226" w:rsidP="001B1864">
      <w:pPr>
        <w:pStyle w:val="Heading2"/>
        <w:spacing w:before="0" w:beforeAutospacing="0" w:after="0" w:afterAutospacing="0" w:line="360" w:lineRule="auto"/>
        <w:jc w:val="both"/>
        <w:rPr>
          <w:rFonts w:ascii="Arial" w:hAnsi="Arial" w:cs="Arial"/>
          <w:b w:val="0"/>
          <w:bCs w:val="0"/>
          <w:i/>
          <w:sz w:val="22"/>
          <w:szCs w:val="22"/>
        </w:rPr>
      </w:pPr>
      <w:r w:rsidRPr="001B1864">
        <w:rPr>
          <w:rFonts w:ascii="Arial" w:hAnsi="Arial" w:cs="Arial"/>
          <w:b w:val="0"/>
          <w:bCs w:val="0"/>
          <w:i/>
          <w:sz w:val="22"/>
          <w:szCs w:val="22"/>
        </w:rPr>
        <w:t>Addressing the Shortfalls</w:t>
      </w:r>
    </w:p>
    <w:p w14:paraId="2C7815B7" w14:textId="77777777" w:rsidR="005C10D0" w:rsidRPr="001B1864" w:rsidRDefault="005C10D0" w:rsidP="001B1864">
      <w:pPr>
        <w:pStyle w:val="NormalWeb"/>
        <w:spacing w:before="0" w:beforeAutospacing="0" w:after="0" w:afterAutospacing="0" w:line="360" w:lineRule="auto"/>
        <w:jc w:val="both"/>
        <w:rPr>
          <w:rFonts w:ascii="Arial" w:hAnsi="Arial" w:cs="Arial"/>
          <w:sz w:val="22"/>
          <w:szCs w:val="22"/>
        </w:rPr>
      </w:pPr>
      <w:r w:rsidRPr="001B1864">
        <w:rPr>
          <w:rFonts w:ascii="Arial" w:hAnsi="Arial" w:cs="Arial"/>
          <w:sz w:val="22"/>
          <w:szCs w:val="22"/>
        </w:rPr>
        <w:t>To cope with these inadequacies, it will be essential to include wearable technologies in multi-component health-promotion programmes that will embrace professional support and community engagement, which may increase adherence and sustainability (Michie et al., 2017). Equitable access may also develop through the subsidisation of devices and enhance digital literacy (</w:t>
      </w:r>
      <w:proofErr w:type="spellStart"/>
      <w:r w:rsidRPr="001B1864">
        <w:rPr>
          <w:rFonts w:ascii="Arial" w:hAnsi="Arial" w:cs="Arial"/>
          <w:sz w:val="22"/>
          <w:szCs w:val="22"/>
        </w:rPr>
        <w:t>Vandelanotte</w:t>
      </w:r>
      <w:proofErr w:type="spellEnd"/>
      <w:r w:rsidRPr="001B1864">
        <w:rPr>
          <w:rFonts w:ascii="Arial" w:hAnsi="Arial" w:cs="Arial"/>
          <w:sz w:val="22"/>
          <w:szCs w:val="22"/>
        </w:rPr>
        <w:t xml:space="preserve"> et al., 2020). Altogether, wearable trackers are useful instruments of digital health promotion with maximum effectiveness when integrated into the overall plans of work on the health of the population.</w:t>
      </w:r>
    </w:p>
    <w:p w14:paraId="15E5E41A" w14:textId="77777777" w:rsidR="00FA0FA3" w:rsidRPr="001B1864" w:rsidRDefault="00FA0FA3" w:rsidP="001B1864">
      <w:pPr>
        <w:spacing w:before="100" w:beforeAutospacing="1" w:after="100" w:afterAutospacing="1" w:line="360" w:lineRule="auto"/>
        <w:rPr>
          <w:rFonts w:ascii="Arial" w:eastAsia="Times New Roman" w:hAnsi="Arial" w:cs="Arial"/>
          <w:lang w:eastAsia="en-GB"/>
        </w:rPr>
      </w:pPr>
    </w:p>
    <w:p w14:paraId="2F6C6C06" w14:textId="77777777" w:rsidR="00A302E6" w:rsidRPr="001B1864" w:rsidRDefault="00A302E6" w:rsidP="001B1864">
      <w:pPr>
        <w:spacing w:line="360" w:lineRule="auto"/>
        <w:rPr>
          <w:rFonts w:ascii="Arial" w:hAnsi="Arial" w:cs="Arial"/>
          <w:b/>
        </w:rPr>
      </w:pPr>
    </w:p>
    <w:p w14:paraId="6D78ECF5" w14:textId="77777777" w:rsidR="00A302E6" w:rsidRPr="001B1864" w:rsidRDefault="00A302E6" w:rsidP="001B1864">
      <w:pPr>
        <w:spacing w:line="360" w:lineRule="auto"/>
        <w:rPr>
          <w:rFonts w:ascii="Arial" w:hAnsi="Arial" w:cs="Arial"/>
          <w:b/>
        </w:rPr>
      </w:pPr>
    </w:p>
    <w:p w14:paraId="5327577B" w14:textId="77777777" w:rsidR="00A302E6" w:rsidRDefault="00A302E6" w:rsidP="001B1864">
      <w:pPr>
        <w:spacing w:line="360" w:lineRule="auto"/>
        <w:rPr>
          <w:rFonts w:ascii="Arial" w:hAnsi="Arial" w:cs="Arial"/>
          <w:b/>
        </w:rPr>
      </w:pPr>
    </w:p>
    <w:p w14:paraId="3CF5321E" w14:textId="77777777" w:rsidR="00EE4C00" w:rsidRPr="001B1864" w:rsidRDefault="00EE4C00" w:rsidP="001B1864">
      <w:pPr>
        <w:spacing w:line="360" w:lineRule="auto"/>
        <w:rPr>
          <w:rFonts w:ascii="Arial" w:hAnsi="Arial" w:cs="Arial"/>
          <w:b/>
        </w:rPr>
      </w:pPr>
    </w:p>
    <w:p w14:paraId="2753F9DA" w14:textId="77777777" w:rsidR="006E061A" w:rsidRPr="001B1864" w:rsidRDefault="006E061A" w:rsidP="001B1864">
      <w:pPr>
        <w:spacing w:line="360" w:lineRule="auto"/>
        <w:rPr>
          <w:rFonts w:ascii="Arial" w:hAnsi="Arial" w:cs="Arial"/>
          <w:b/>
        </w:rPr>
      </w:pPr>
    </w:p>
    <w:p w14:paraId="5BA4F6D0" w14:textId="77777777" w:rsidR="00A302E6" w:rsidRPr="001B1864" w:rsidRDefault="00A302E6" w:rsidP="001B1864">
      <w:pPr>
        <w:spacing w:line="360" w:lineRule="auto"/>
        <w:rPr>
          <w:rFonts w:ascii="Arial" w:hAnsi="Arial" w:cs="Arial"/>
          <w:b/>
        </w:rPr>
      </w:pPr>
      <w:r w:rsidRPr="001B1864">
        <w:rPr>
          <w:rFonts w:ascii="Arial" w:hAnsi="Arial" w:cs="Arial"/>
          <w:b/>
        </w:rPr>
        <w:t xml:space="preserve">Reference </w:t>
      </w:r>
    </w:p>
    <w:p w14:paraId="629D6280" w14:textId="77777777" w:rsidR="006E061A" w:rsidRPr="001B1864" w:rsidRDefault="006E061A" w:rsidP="001B1864">
      <w:pPr>
        <w:pStyle w:val="Heading1"/>
        <w:shd w:val="clear" w:color="auto" w:fill="FFFFFF"/>
        <w:spacing w:before="0" w:line="360" w:lineRule="auto"/>
        <w:rPr>
          <w:rFonts w:ascii="Arial" w:hAnsi="Arial" w:cs="Arial"/>
          <w:color w:val="auto"/>
          <w:spacing w:val="2"/>
          <w:sz w:val="22"/>
          <w:szCs w:val="22"/>
        </w:rPr>
      </w:pPr>
      <w:r w:rsidRPr="001B1864">
        <w:rPr>
          <w:rFonts w:ascii="Arial" w:hAnsi="Arial" w:cs="Arial"/>
          <w:color w:val="auto"/>
          <w:sz w:val="22"/>
          <w:szCs w:val="22"/>
        </w:rPr>
        <w:t xml:space="preserve">Apple, (2025). </w:t>
      </w:r>
      <w:r w:rsidRPr="001B1864">
        <w:rPr>
          <w:rFonts w:ascii="Arial" w:hAnsi="Arial" w:cs="Arial"/>
          <w:bCs/>
          <w:color w:val="auto"/>
          <w:spacing w:val="2"/>
          <w:sz w:val="22"/>
          <w:szCs w:val="22"/>
        </w:rPr>
        <w:t xml:space="preserve">Get started with Fitness on iPhone. </w:t>
      </w:r>
      <w:r w:rsidRPr="001B1864">
        <w:rPr>
          <w:rFonts w:ascii="Arial" w:hAnsi="Arial" w:cs="Arial"/>
          <w:color w:val="auto"/>
          <w:sz w:val="22"/>
          <w:szCs w:val="22"/>
        </w:rPr>
        <w:t xml:space="preserve">Available at: </w:t>
      </w:r>
      <w:hyperlink r:id="rId11" w:history="1">
        <w:r w:rsidRPr="001B1864">
          <w:rPr>
            <w:rStyle w:val="Hyperlink"/>
            <w:rFonts w:ascii="Arial" w:hAnsi="Arial" w:cs="Arial"/>
            <w:color w:val="auto"/>
            <w:sz w:val="22"/>
            <w:szCs w:val="22"/>
          </w:rPr>
          <w:t>https://support.apple.com/en-ng/guide/iphone/ipha5dddb411/ios</w:t>
        </w:r>
      </w:hyperlink>
      <w:r w:rsidRPr="001B1864">
        <w:rPr>
          <w:rFonts w:ascii="Arial" w:hAnsi="Arial" w:cs="Arial"/>
          <w:color w:val="auto"/>
          <w:sz w:val="22"/>
          <w:szCs w:val="22"/>
        </w:rPr>
        <w:t xml:space="preserve"> (Accessed: 27 February 2026).</w:t>
      </w:r>
    </w:p>
    <w:p w14:paraId="4AD8B9A4" w14:textId="77777777" w:rsidR="006E061A" w:rsidRDefault="006E061A" w:rsidP="001B1864">
      <w:pPr>
        <w:pStyle w:val="NormalWeb"/>
        <w:spacing w:line="360" w:lineRule="auto"/>
        <w:rPr>
          <w:rFonts w:ascii="Arial" w:hAnsi="Arial" w:cs="Arial"/>
          <w:sz w:val="22"/>
          <w:szCs w:val="22"/>
        </w:rPr>
      </w:pPr>
      <w:r w:rsidRPr="001B1864">
        <w:rPr>
          <w:rFonts w:ascii="Arial" w:hAnsi="Arial" w:cs="Arial"/>
          <w:sz w:val="22"/>
          <w:szCs w:val="22"/>
        </w:rPr>
        <w:t xml:space="preserve">Brickwood, K.J., Watson, G., O’Brien, J. and Williams, A.D., (2019). Consumer-based wearable activity trackers increase physical activity participation: systematic review and meta-analysis. </w:t>
      </w:r>
      <w:r w:rsidRPr="001B1864">
        <w:rPr>
          <w:rStyle w:val="Emphasis"/>
          <w:rFonts w:ascii="Arial" w:hAnsi="Arial" w:cs="Arial"/>
          <w:sz w:val="22"/>
          <w:szCs w:val="22"/>
        </w:rPr>
        <w:t xml:space="preserve">JMIR mHealth and </w:t>
      </w:r>
      <w:proofErr w:type="spellStart"/>
      <w:r w:rsidRPr="001B1864">
        <w:rPr>
          <w:rStyle w:val="Emphasis"/>
          <w:rFonts w:ascii="Arial" w:hAnsi="Arial" w:cs="Arial"/>
          <w:sz w:val="22"/>
          <w:szCs w:val="22"/>
        </w:rPr>
        <w:t>uHealth</w:t>
      </w:r>
      <w:proofErr w:type="spellEnd"/>
      <w:r w:rsidRPr="001B1864">
        <w:rPr>
          <w:rFonts w:ascii="Arial" w:hAnsi="Arial" w:cs="Arial"/>
          <w:sz w:val="22"/>
          <w:szCs w:val="22"/>
        </w:rPr>
        <w:t>, 7(4), e11819.</w:t>
      </w:r>
    </w:p>
    <w:p w14:paraId="253F01D5" w14:textId="7165AEDA" w:rsidR="00C47587" w:rsidRPr="001B1864" w:rsidRDefault="00C47587" w:rsidP="001B1864">
      <w:pPr>
        <w:pStyle w:val="NormalWeb"/>
        <w:spacing w:line="360" w:lineRule="auto"/>
        <w:rPr>
          <w:rFonts w:ascii="Arial" w:hAnsi="Arial" w:cs="Arial"/>
          <w:sz w:val="22"/>
          <w:szCs w:val="22"/>
        </w:rPr>
      </w:pPr>
      <w:r>
        <w:rPr>
          <w:rFonts w:ascii="Arial" w:hAnsi="Arial" w:cs="Arial"/>
          <w:sz w:val="22"/>
          <w:szCs w:val="22"/>
        </w:rPr>
        <w:t xml:space="preserve">Caldwell A. (2026). Global Surge in Demand for Smart Wearables, </w:t>
      </w:r>
      <w:r w:rsidRPr="00EE4C00">
        <w:rPr>
          <w:rFonts w:ascii="Arial" w:hAnsi="Arial" w:cs="Arial"/>
          <w:i/>
          <w:iCs/>
          <w:sz w:val="22"/>
          <w:szCs w:val="22"/>
        </w:rPr>
        <w:t>European Medical</w:t>
      </w:r>
      <w:r>
        <w:rPr>
          <w:rFonts w:ascii="Arial" w:hAnsi="Arial" w:cs="Arial"/>
          <w:sz w:val="22"/>
          <w:szCs w:val="22"/>
        </w:rPr>
        <w:t xml:space="preserve"> </w:t>
      </w:r>
      <w:r w:rsidRPr="00EE4C00">
        <w:rPr>
          <w:rFonts w:ascii="Arial" w:hAnsi="Arial" w:cs="Arial"/>
          <w:i/>
          <w:iCs/>
          <w:sz w:val="22"/>
          <w:szCs w:val="22"/>
        </w:rPr>
        <w:t>Journal (BMJ)</w:t>
      </w:r>
      <w:r>
        <w:rPr>
          <w:rFonts w:ascii="Arial" w:hAnsi="Arial" w:cs="Arial"/>
          <w:sz w:val="22"/>
          <w:szCs w:val="22"/>
        </w:rPr>
        <w:t xml:space="preserve">.Available at: </w:t>
      </w:r>
      <w:hyperlink r:id="rId12" w:history="1">
        <w:r w:rsidRPr="00351DA0">
          <w:rPr>
            <w:rStyle w:val="Hyperlink"/>
            <w:rFonts w:ascii="Arial" w:hAnsi="Arial" w:cs="Arial"/>
            <w:sz w:val="22"/>
            <w:szCs w:val="22"/>
          </w:rPr>
          <w:t>https://www.emjreviews.com/general-healthcare/news/global-surge-in-demand-for-smart-wearables/#:~:text=/ehjdh/ztag005.-,THERE%20has%20been%20a%20global%20surge%20in%20the%20demand%20for,Health%20Implications</w:t>
        </w:r>
      </w:hyperlink>
      <w:r>
        <w:rPr>
          <w:rFonts w:ascii="Arial" w:hAnsi="Arial" w:cs="Arial"/>
          <w:sz w:val="22"/>
          <w:szCs w:val="22"/>
        </w:rPr>
        <w:t xml:space="preserve"> (Accessed 30 March 2026).</w:t>
      </w:r>
    </w:p>
    <w:p w14:paraId="7756AD0E" w14:textId="77777777" w:rsidR="006E061A" w:rsidRPr="001B1864" w:rsidRDefault="006E061A" w:rsidP="001B1864">
      <w:pPr>
        <w:pStyle w:val="NormalWeb"/>
        <w:spacing w:line="360" w:lineRule="auto"/>
        <w:rPr>
          <w:rFonts w:ascii="Arial" w:hAnsi="Arial" w:cs="Arial"/>
          <w:sz w:val="22"/>
          <w:szCs w:val="22"/>
          <w:shd w:val="clear" w:color="auto" w:fill="FFFFFF"/>
        </w:rPr>
      </w:pPr>
      <w:proofErr w:type="spellStart"/>
      <w:r w:rsidRPr="001B1864">
        <w:rPr>
          <w:rFonts w:ascii="Arial" w:hAnsi="Arial" w:cs="Arial"/>
          <w:sz w:val="22"/>
          <w:szCs w:val="22"/>
          <w:shd w:val="clear" w:color="auto" w:fill="FFFFFF"/>
        </w:rPr>
        <w:t>Guthold</w:t>
      </w:r>
      <w:proofErr w:type="spellEnd"/>
      <w:r w:rsidRPr="001B1864">
        <w:rPr>
          <w:rFonts w:ascii="Arial" w:hAnsi="Arial" w:cs="Arial"/>
          <w:sz w:val="22"/>
          <w:szCs w:val="22"/>
          <w:shd w:val="clear" w:color="auto" w:fill="FFFFFF"/>
        </w:rPr>
        <w:t>, R., Stevens, G. A., Riley, L. M., &amp; Bull, F. C. (2018). Worldwide trends in insufficient physical activity from 2001 to 2016: a pooled analysis of 358 population-based surveys with 1· 9 million participants. </w:t>
      </w:r>
      <w:r w:rsidRPr="001B1864">
        <w:rPr>
          <w:rFonts w:ascii="Arial" w:hAnsi="Arial" w:cs="Arial"/>
          <w:i/>
          <w:iCs/>
          <w:sz w:val="22"/>
          <w:szCs w:val="22"/>
          <w:shd w:val="clear" w:color="auto" w:fill="FFFFFF"/>
        </w:rPr>
        <w:t>The lancet global health</w:t>
      </w:r>
      <w:r w:rsidRPr="001B1864">
        <w:rPr>
          <w:rFonts w:ascii="Arial" w:hAnsi="Arial" w:cs="Arial"/>
          <w:sz w:val="22"/>
          <w:szCs w:val="22"/>
          <w:shd w:val="clear" w:color="auto" w:fill="FFFFFF"/>
        </w:rPr>
        <w:t>, </w:t>
      </w:r>
      <w:r w:rsidRPr="001B1864">
        <w:rPr>
          <w:rFonts w:ascii="Arial" w:hAnsi="Arial" w:cs="Arial"/>
          <w:i/>
          <w:iCs/>
          <w:sz w:val="22"/>
          <w:szCs w:val="22"/>
          <w:shd w:val="clear" w:color="auto" w:fill="FFFFFF"/>
        </w:rPr>
        <w:t>6</w:t>
      </w:r>
      <w:r w:rsidRPr="001B1864">
        <w:rPr>
          <w:rFonts w:ascii="Arial" w:hAnsi="Arial" w:cs="Arial"/>
          <w:sz w:val="22"/>
          <w:szCs w:val="22"/>
          <w:shd w:val="clear" w:color="auto" w:fill="FFFFFF"/>
        </w:rPr>
        <w:t>(10), e1077-e1086.</w:t>
      </w:r>
    </w:p>
    <w:p w14:paraId="5339E22E" w14:textId="77777777" w:rsidR="006E061A" w:rsidRPr="001B1864" w:rsidRDefault="006E061A" w:rsidP="001B1864">
      <w:pPr>
        <w:pStyle w:val="NormalWeb"/>
        <w:spacing w:line="360" w:lineRule="auto"/>
        <w:rPr>
          <w:rFonts w:ascii="Arial" w:hAnsi="Arial" w:cs="Arial"/>
          <w:sz w:val="22"/>
          <w:szCs w:val="22"/>
        </w:rPr>
      </w:pPr>
      <w:proofErr w:type="spellStart"/>
      <w:r w:rsidRPr="001B1864">
        <w:rPr>
          <w:rFonts w:ascii="Arial" w:hAnsi="Arial" w:cs="Arial"/>
          <w:sz w:val="22"/>
          <w:szCs w:val="22"/>
        </w:rPr>
        <w:t>Jakicic</w:t>
      </w:r>
      <w:proofErr w:type="spellEnd"/>
      <w:r w:rsidRPr="001B1864">
        <w:rPr>
          <w:rFonts w:ascii="Arial" w:hAnsi="Arial" w:cs="Arial"/>
          <w:sz w:val="22"/>
          <w:szCs w:val="22"/>
        </w:rPr>
        <w:t xml:space="preserve">, J.M., Davis, K.K., Rogers, R.J., King, W.C., Marcus, M.D., Helsel, D., Rickman, A.D., Wahed, A.S. and Belle, S.H., (2016). Effect of wearable technology combined with a lifestyle intervention on long-term weight loss: the IDEA randomized clinical trial. </w:t>
      </w:r>
      <w:r w:rsidRPr="001B1864">
        <w:rPr>
          <w:rStyle w:val="Emphasis"/>
          <w:rFonts w:ascii="Arial" w:hAnsi="Arial" w:cs="Arial"/>
          <w:sz w:val="22"/>
          <w:szCs w:val="22"/>
        </w:rPr>
        <w:t>JAMA</w:t>
      </w:r>
      <w:r w:rsidRPr="001B1864">
        <w:rPr>
          <w:rFonts w:ascii="Arial" w:hAnsi="Arial" w:cs="Arial"/>
          <w:sz w:val="22"/>
          <w:szCs w:val="22"/>
        </w:rPr>
        <w:t>, 316(11), pp.1161–1171.</w:t>
      </w:r>
    </w:p>
    <w:p w14:paraId="6EA6CE5B" w14:textId="77777777" w:rsidR="006E061A" w:rsidRPr="001B1864" w:rsidRDefault="006E061A" w:rsidP="001B1864">
      <w:pPr>
        <w:pStyle w:val="NormalWeb"/>
        <w:spacing w:line="360" w:lineRule="auto"/>
        <w:rPr>
          <w:rFonts w:ascii="Arial" w:hAnsi="Arial" w:cs="Arial"/>
          <w:sz w:val="22"/>
          <w:szCs w:val="22"/>
        </w:rPr>
      </w:pPr>
      <w:r w:rsidRPr="001B1864">
        <w:rPr>
          <w:rFonts w:ascii="Arial" w:hAnsi="Arial" w:cs="Arial"/>
          <w:sz w:val="22"/>
          <w:szCs w:val="22"/>
        </w:rPr>
        <w:t xml:space="preserve">Michie, S., van Stralen, M.M. and West, R., (2017). The Behaviour Change Wheel: A new method for characterising and designing behaviour change interventions. </w:t>
      </w:r>
      <w:r w:rsidRPr="001B1864">
        <w:rPr>
          <w:rStyle w:val="Emphasis"/>
          <w:rFonts w:ascii="Arial" w:hAnsi="Arial" w:cs="Arial"/>
          <w:sz w:val="22"/>
          <w:szCs w:val="22"/>
        </w:rPr>
        <w:t>Implementation Science</w:t>
      </w:r>
      <w:r w:rsidRPr="001B1864">
        <w:rPr>
          <w:rFonts w:ascii="Arial" w:hAnsi="Arial" w:cs="Arial"/>
          <w:sz w:val="22"/>
          <w:szCs w:val="22"/>
        </w:rPr>
        <w:t>, 6(1), p.42.</w:t>
      </w:r>
    </w:p>
    <w:p w14:paraId="10477C7C" w14:textId="77777777" w:rsidR="006E061A" w:rsidRPr="006E061A" w:rsidRDefault="006E061A" w:rsidP="001B1864">
      <w:pPr>
        <w:pStyle w:val="NormalWeb"/>
        <w:spacing w:line="360" w:lineRule="auto"/>
        <w:rPr>
          <w:rFonts w:asciiTheme="minorHAnsi" w:hAnsiTheme="minorHAnsi" w:cstheme="minorHAnsi"/>
        </w:rPr>
      </w:pPr>
      <w:r w:rsidRPr="001B1864">
        <w:rPr>
          <w:rFonts w:ascii="Arial" w:hAnsi="Arial" w:cs="Arial"/>
          <w:sz w:val="22"/>
          <w:szCs w:val="22"/>
        </w:rPr>
        <w:t xml:space="preserve">Patel, M.S., Asch, D.A. and Volpp, K.G., (2017). Wearable devices as facilitators, not drivers, of health </w:t>
      </w:r>
      <w:proofErr w:type="spellStart"/>
      <w:r w:rsidRPr="001B1864">
        <w:rPr>
          <w:rFonts w:ascii="Arial" w:hAnsi="Arial" w:cs="Arial"/>
          <w:sz w:val="22"/>
          <w:szCs w:val="22"/>
        </w:rPr>
        <w:t>behavior</w:t>
      </w:r>
      <w:proofErr w:type="spellEnd"/>
      <w:r w:rsidRPr="001B1864">
        <w:rPr>
          <w:rFonts w:ascii="Arial" w:hAnsi="Arial" w:cs="Arial"/>
          <w:sz w:val="22"/>
          <w:szCs w:val="22"/>
        </w:rPr>
        <w:t xml:space="preserve"> ch</w:t>
      </w:r>
      <w:r w:rsidRPr="006E061A">
        <w:rPr>
          <w:rFonts w:asciiTheme="minorHAnsi" w:hAnsiTheme="minorHAnsi" w:cstheme="minorHAnsi"/>
        </w:rPr>
        <w:t xml:space="preserve">ange. </w:t>
      </w:r>
      <w:r w:rsidRPr="006E061A">
        <w:rPr>
          <w:rStyle w:val="Emphasis"/>
          <w:rFonts w:asciiTheme="minorHAnsi" w:hAnsiTheme="minorHAnsi" w:cstheme="minorHAnsi"/>
        </w:rPr>
        <w:t>JAMA</w:t>
      </w:r>
      <w:r w:rsidRPr="006E061A">
        <w:rPr>
          <w:rFonts w:asciiTheme="minorHAnsi" w:hAnsiTheme="minorHAnsi" w:cstheme="minorHAnsi"/>
        </w:rPr>
        <w:t>, 313(5), pp.459–460.</w:t>
      </w:r>
    </w:p>
    <w:p w14:paraId="217F6B9A" w14:textId="77777777" w:rsidR="006E061A" w:rsidRPr="006E061A" w:rsidRDefault="006E061A" w:rsidP="00653013">
      <w:pPr>
        <w:rPr>
          <w:rFonts w:cstheme="minorHAnsi"/>
          <w:sz w:val="24"/>
          <w:szCs w:val="24"/>
        </w:rPr>
      </w:pPr>
      <w:r w:rsidRPr="006E061A">
        <w:rPr>
          <w:rFonts w:cstheme="minorHAnsi"/>
          <w:sz w:val="24"/>
          <w:szCs w:val="24"/>
        </w:rPr>
        <w:t>Tiga Healthcare Technologies, (2025). Does Wearable Technology Improve Health? Available at: https://www.tigahealth.com/does-wearable-technology-improve-health/ (Accessed: 27 February 2026).</w:t>
      </w:r>
    </w:p>
    <w:p w14:paraId="304FC285" w14:textId="77777777" w:rsidR="006E061A" w:rsidRPr="006E061A" w:rsidRDefault="006E061A" w:rsidP="00A302E6">
      <w:pPr>
        <w:pStyle w:val="Subtitle"/>
        <w:rPr>
          <w:rFonts w:cstheme="minorHAnsi"/>
          <w:color w:val="auto"/>
          <w:sz w:val="24"/>
          <w:szCs w:val="24"/>
        </w:rPr>
      </w:pPr>
      <w:proofErr w:type="spellStart"/>
      <w:r w:rsidRPr="006E061A">
        <w:rPr>
          <w:rFonts w:cstheme="minorHAnsi"/>
          <w:color w:val="auto"/>
          <w:sz w:val="24"/>
          <w:szCs w:val="24"/>
        </w:rPr>
        <w:t>Vandelanotte</w:t>
      </w:r>
      <w:proofErr w:type="spellEnd"/>
      <w:r w:rsidRPr="006E061A">
        <w:rPr>
          <w:rFonts w:cstheme="minorHAnsi"/>
          <w:color w:val="auto"/>
          <w:sz w:val="24"/>
          <w:szCs w:val="24"/>
        </w:rPr>
        <w:t xml:space="preserve">, C., Müller, A.M., Short, C.E., Hingle, M., Nathan, N., Williams, S.L., Lopez, M.L. and Parekh, S., (2020). Past, present and future of eHealth and mHealth research to improve physical activity and dietary </w:t>
      </w:r>
      <w:proofErr w:type="spellStart"/>
      <w:r w:rsidRPr="006E061A">
        <w:rPr>
          <w:rFonts w:cstheme="minorHAnsi"/>
          <w:color w:val="auto"/>
          <w:sz w:val="24"/>
          <w:szCs w:val="24"/>
        </w:rPr>
        <w:t>behaviors</w:t>
      </w:r>
      <w:proofErr w:type="spellEnd"/>
      <w:r w:rsidRPr="006E061A">
        <w:rPr>
          <w:rFonts w:cstheme="minorHAnsi"/>
          <w:color w:val="auto"/>
          <w:sz w:val="24"/>
          <w:szCs w:val="24"/>
        </w:rPr>
        <w:t xml:space="preserve">. </w:t>
      </w:r>
      <w:r w:rsidRPr="006E061A">
        <w:rPr>
          <w:rStyle w:val="Emphasis"/>
          <w:rFonts w:cstheme="minorHAnsi"/>
          <w:color w:val="auto"/>
          <w:sz w:val="24"/>
          <w:szCs w:val="24"/>
        </w:rPr>
        <w:t xml:space="preserve">Journal of Nutrition Education and </w:t>
      </w:r>
      <w:proofErr w:type="spellStart"/>
      <w:r w:rsidRPr="006E061A">
        <w:rPr>
          <w:rStyle w:val="Emphasis"/>
          <w:rFonts w:cstheme="minorHAnsi"/>
          <w:color w:val="auto"/>
          <w:sz w:val="24"/>
          <w:szCs w:val="24"/>
        </w:rPr>
        <w:t>Behavior</w:t>
      </w:r>
      <w:proofErr w:type="spellEnd"/>
      <w:r w:rsidRPr="006E061A">
        <w:rPr>
          <w:rFonts w:cstheme="minorHAnsi"/>
          <w:color w:val="auto"/>
          <w:sz w:val="24"/>
          <w:szCs w:val="24"/>
        </w:rPr>
        <w:t>, 52(3), pp.219–228.</w:t>
      </w:r>
    </w:p>
    <w:p w14:paraId="7EE63E68" w14:textId="77777777" w:rsidR="006E061A" w:rsidRPr="001B1864" w:rsidRDefault="006E061A" w:rsidP="001B1864">
      <w:pPr>
        <w:pStyle w:val="NormalWeb"/>
        <w:spacing w:line="360" w:lineRule="auto"/>
        <w:rPr>
          <w:rFonts w:ascii="Arial" w:hAnsi="Arial" w:cs="Arial"/>
          <w:sz w:val="22"/>
          <w:szCs w:val="22"/>
        </w:rPr>
      </w:pPr>
      <w:r w:rsidRPr="001B1864">
        <w:rPr>
          <w:rFonts w:ascii="Arial" w:hAnsi="Arial" w:cs="Arial"/>
          <w:sz w:val="22"/>
          <w:szCs w:val="22"/>
        </w:rPr>
        <w:t xml:space="preserve">World Health Organization, (2022). </w:t>
      </w:r>
      <w:r w:rsidRPr="001B1864">
        <w:rPr>
          <w:rStyle w:val="Emphasis"/>
          <w:rFonts w:ascii="Arial" w:hAnsi="Arial" w:cs="Arial"/>
          <w:sz w:val="22"/>
          <w:szCs w:val="22"/>
        </w:rPr>
        <w:t>Physical activity factsheet</w:t>
      </w:r>
      <w:r w:rsidRPr="001B1864">
        <w:rPr>
          <w:rFonts w:ascii="Arial" w:hAnsi="Arial" w:cs="Arial"/>
          <w:sz w:val="22"/>
          <w:szCs w:val="22"/>
        </w:rPr>
        <w:t xml:space="preserve">. Geneva: World Health Organization. Available at: </w:t>
      </w:r>
      <w:hyperlink r:id="rId13" w:tgtFrame="_new" w:history="1">
        <w:r w:rsidRPr="001B1864">
          <w:rPr>
            <w:rStyle w:val="Hyperlink"/>
            <w:rFonts w:ascii="Arial" w:hAnsi="Arial" w:cs="Arial"/>
            <w:color w:val="auto"/>
            <w:sz w:val="22"/>
            <w:szCs w:val="22"/>
          </w:rPr>
          <w:t>https://www.who.int</w:t>
        </w:r>
      </w:hyperlink>
      <w:r w:rsidRPr="001B1864">
        <w:rPr>
          <w:rFonts w:ascii="Arial" w:hAnsi="Arial" w:cs="Arial"/>
          <w:sz w:val="22"/>
          <w:szCs w:val="22"/>
        </w:rPr>
        <w:t xml:space="preserve"> (Accessed: 27 February 2026).</w:t>
      </w:r>
    </w:p>
    <w:p w14:paraId="61F510AB" w14:textId="77777777" w:rsidR="00A956A2" w:rsidRPr="001B1864" w:rsidRDefault="00A956A2" w:rsidP="001B1864">
      <w:pPr>
        <w:spacing w:line="360" w:lineRule="auto"/>
        <w:rPr>
          <w:rFonts w:ascii="Arial" w:hAnsi="Arial" w:cs="Arial"/>
        </w:rPr>
      </w:pPr>
    </w:p>
    <w:p w14:paraId="118D57C0" w14:textId="77777777" w:rsidR="004526BA" w:rsidRPr="001B1864" w:rsidRDefault="004526BA" w:rsidP="001B1864">
      <w:pPr>
        <w:spacing w:line="360" w:lineRule="auto"/>
        <w:rPr>
          <w:rFonts w:ascii="Arial" w:hAnsi="Arial" w:cs="Arial"/>
        </w:rPr>
      </w:pPr>
    </w:p>
    <w:p w14:paraId="766C1C3D" w14:textId="77777777" w:rsidR="004526BA" w:rsidRPr="001B1864" w:rsidRDefault="004526BA" w:rsidP="001B1864">
      <w:pPr>
        <w:spacing w:line="360" w:lineRule="auto"/>
        <w:rPr>
          <w:rFonts w:ascii="Arial" w:hAnsi="Arial" w:cs="Arial"/>
        </w:rPr>
      </w:pPr>
    </w:p>
    <w:p w14:paraId="2C8458E8" w14:textId="77777777" w:rsidR="004526BA" w:rsidRPr="001B1864" w:rsidRDefault="004526BA" w:rsidP="001B1864">
      <w:pPr>
        <w:spacing w:line="360" w:lineRule="auto"/>
        <w:rPr>
          <w:rFonts w:ascii="Arial" w:hAnsi="Arial" w:cs="Arial"/>
        </w:rPr>
      </w:pPr>
    </w:p>
    <w:p w14:paraId="6C5382C9" w14:textId="77777777" w:rsidR="002657F8" w:rsidRPr="001B1864" w:rsidRDefault="002657F8" w:rsidP="001B1864">
      <w:pPr>
        <w:spacing w:line="360" w:lineRule="auto"/>
        <w:rPr>
          <w:rFonts w:ascii="Arial" w:hAnsi="Arial" w:cs="Arial"/>
        </w:rPr>
      </w:pPr>
    </w:p>
    <w:p w14:paraId="5ACD564C" w14:textId="5E127A59" w:rsidR="004526BA" w:rsidRPr="001B1864" w:rsidRDefault="004526BA" w:rsidP="001B1864">
      <w:pPr>
        <w:spacing w:line="360" w:lineRule="auto"/>
        <w:rPr>
          <w:rFonts w:ascii="Arial" w:hAnsi="Arial" w:cs="Arial"/>
        </w:rPr>
      </w:pPr>
      <w:r w:rsidRPr="001B1864">
        <w:rPr>
          <w:rFonts w:ascii="Arial" w:hAnsi="Arial" w:cs="Arial"/>
        </w:rPr>
        <w:t>Blog 2 — Designed Digital Technology: “</w:t>
      </w:r>
      <w:r w:rsidR="001B1864" w:rsidRPr="001B1864">
        <w:rPr>
          <w:rFonts w:ascii="Arial" w:hAnsi="Arial" w:cs="Arial"/>
        </w:rPr>
        <w:t>Step Together</w:t>
      </w:r>
      <w:r w:rsidRPr="001B1864">
        <w:rPr>
          <w:rFonts w:ascii="Arial" w:hAnsi="Arial" w:cs="Arial"/>
        </w:rPr>
        <w:t>” Community Activity Platform</w:t>
      </w:r>
    </w:p>
    <w:p w14:paraId="1274966D" w14:textId="77777777" w:rsidR="004526BA" w:rsidRPr="001B1864" w:rsidRDefault="004526BA" w:rsidP="001B1864">
      <w:pPr>
        <w:spacing w:line="360" w:lineRule="auto"/>
        <w:rPr>
          <w:rFonts w:ascii="Arial" w:hAnsi="Arial" w:cs="Arial"/>
        </w:rPr>
      </w:pPr>
      <w:r w:rsidRPr="001B1864">
        <w:rPr>
          <w:rFonts w:ascii="Arial" w:hAnsi="Arial" w:cs="Arial"/>
        </w:rPr>
        <w:t>An Inclusive Digital In</w:t>
      </w:r>
      <w:r w:rsidR="00F534BD" w:rsidRPr="001B1864">
        <w:rPr>
          <w:rFonts w:ascii="Arial" w:hAnsi="Arial" w:cs="Arial"/>
        </w:rPr>
        <w:t>tervention for Health Promotion</w:t>
      </w:r>
    </w:p>
    <w:p w14:paraId="1DBB8DE5" w14:textId="77777777" w:rsidR="00EC5446" w:rsidRPr="001B1864" w:rsidRDefault="004526BA" w:rsidP="001B1864">
      <w:pPr>
        <w:spacing w:line="360" w:lineRule="auto"/>
        <w:rPr>
          <w:rFonts w:ascii="Arial" w:hAnsi="Arial" w:cs="Arial"/>
        </w:rPr>
      </w:pPr>
      <w:r w:rsidRPr="001B1864">
        <w:rPr>
          <w:rFonts w:ascii="Arial" w:hAnsi="Arial" w:cs="Arial"/>
        </w:rPr>
        <w:t>Caption: Community-centred digital programmes combine technology with social support to sustain phys</w:t>
      </w:r>
      <w:r w:rsidR="00F534BD" w:rsidRPr="001B1864">
        <w:rPr>
          <w:rFonts w:ascii="Arial" w:hAnsi="Arial" w:cs="Arial"/>
        </w:rPr>
        <w:t>ical-activity behaviour change.</w:t>
      </w:r>
    </w:p>
    <w:p w14:paraId="3F3F49CE" w14:textId="77777777" w:rsidR="00FD27DB" w:rsidRPr="001B1864" w:rsidRDefault="00FD27DB" w:rsidP="001B1864">
      <w:pPr>
        <w:spacing w:line="360" w:lineRule="auto"/>
        <w:jc w:val="both"/>
        <w:rPr>
          <w:rFonts w:ascii="Arial" w:hAnsi="Arial" w:cs="Arial"/>
          <w:i/>
        </w:rPr>
      </w:pPr>
      <w:r w:rsidRPr="001B1864">
        <w:rPr>
          <w:rFonts w:ascii="Arial" w:hAnsi="Arial" w:cs="Arial"/>
          <w:i/>
        </w:rPr>
        <w:t>Description of the Designed Technology</w:t>
      </w:r>
    </w:p>
    <w:p w14:paraId="79FF45D7" w14:textId="5EF990F9" w:rsidR="00B91295" w:rsidRPr="001B1864" w:rsidRDefault="001B1864" w:rsidP="001B1864">
      <w:pPr>
        <w:spacing w:line="360" w:lineRule="auto"/>
        <w:jc w:val="both"/>
        <w:rPr>
          <w:rFonts w:ascii="Arial" w:hAnsi="Arial" w:cs="Arial"/>
        </w:rPr>
      </w:pPr>
      <w:r w:rsidRPr="001B1864">
        <w:rPr>
          <w:rFonts w:ascii="Arial" w:hAnsi="Arial" w:cs="Arial"/>
        </w:rPr>
        <w:t>Step Together</w:t>
      </w:r>
      <w:r w:rsidR="00B91295" w:rsidRPr="001B1864">
        <w:rPr>
          <w:rFonts w:ascii="Arial" w:hAnsi="Arial" w:cs="Arial"/>
        </w:rPr>
        <w:t xml:space="preserve"> is a mHealth (mobile health) community-based mobile platform that combines wearable technology and will encourage physical activity in underserved communities. It is an integrated wearable fitness, mobile application, and SMS service to enhance the usability of people with minimal digital resources (Free et al., 2013). The platform has a step-monitoring system that is adaptive, to monitor activity of the day and give feedback in real time via apps or SMS. Monitoring of self and feedback has been found to enhance the level of physical activity (Brickwood et al., 2019). Community-based challenges are also a part of </w:t>
      </w:r>
      <w:r w:rsidR="00B70BBF" w:rsidRPr="001B1864">
        <w:rPr>
          <w:rFonts w:ascii="Arial" w:hAnsi="Arial" w:cs="Arial"/>
        </w:rPr>
        <w:t>Step Together</w:t>
      </w:r>
      <w:r w:rsidR="00B91295" w:rsidRPr="001B1864">
        <w:rPr>
          <w:rFonts w:ascii="Arial" w:hAnsi="Arial" w:cs="Arial"/>
        </w:rPr>
        <w:t xml:space="preserve">: users join teams within a neighbourhood, which increases motivation and compliance because of social support (Maher et al., 2014). Moreover, a health dashboard can help medical workers to track anonymised data and offer specific help. The combination of a goal setting, feedback and social interaction can be attributed to the well-known behaviour-change models (Michie et al., 2017). In general, </w:t>
      </w:r>
      <w:r w:rsidR="00B70BBF" w:rsidRPr="001B1864">
        <w:rPr>
          <w:rFonts w:ascii="Arial" w:hAnsi="Arial" w:cs="Arial"/>
        </w:rPr>
        <w:t>Step Together</w:t>
      </w:r>
      <w:r w:rsidR="00B91295" w:rsidRPr="001B1864">
        <w:rPr>
          <w:rFonts w:ascii="Arial" w:hAnsi="Arial" w:cs="Arial"/>
        </w:rPr>
        <w:t xml:space="preserve"> will solve physical inactivity and digital health disparities (</w:t>
      </w:r>
      <w:proofErr w:type="spellStart"/>
      <w:r w:rsidR="00B91295" w:rsidRPr="001B1864">
        <w:rPr>
          <w:rFonts w:ascii="Arial" w:hAnsi="Arial" w:cs="Arial"/>
        </w:rPr>
        <w:t>Vandelanotte</w:t>
      </w:r>
      <w:proofErr w:type="spellEnd"/>
      <w:r w:rsidR="00B91295" w:rsidRPr="001B1864">
        <w:rPr>
          <w:rFonts w:ascii="Arial" w:hAnsi="Arial" w:cs="Arial"/>
        </w:rPr>
        <w:t xml:space="preserve"> et al., 2020).</w:t>
      </w:r>
    </w:p>
    <w:p w14:paraId="5127396C" w14:textId="77777777" w:rsidR="009D18A3" w:rsidRPr="001B1864" w:rsidRDefault="009D18A3" w:rsidP="001B1864">
      <w:pPr>
        <w:spacing w:line="360" w:lineRule="auto"/>
        <w:jc w:val="both"/>
        <w:rPr>
          <w:rFonts w:ascii="Arial" w:hAnsi="Arial" w:cs="Arial"/>
          <w:i/>
        </w:rPr>
      </w:pPr>
      <w:r w:rsidRPr="001B1864">
        <w:rPr>
          <w:rFonts w:ascii="Arial" w:hAnsi="Arial" w:cs="Arial"/>
          <w:i/>
        </w:rPr>
        <w:t>Application in Health Promotion</w:t>
      </w:r>
    </w:p>
    <w:p w14:paraId="68D2C8DC" w14:textId="7217F697" w:rsidR="00EC5446" w:rsidRPr="001B1864" w:rsidRDefault="00EC5446" w:rsidP="001B1864">
      <w:pPr>
        <w:spacing w:line="360" w:lineRule="auto"/>
        <w:jc w:val="both"/>
        <w:rPr>
          <w:rFonts w:ascii="Arial" w:hAnsi="Arial" w:cs="Arial"/>
        </w:rPr>
      </w:pPr>
      <w:r w:rsidRPr="001B1864">
        <w:rPr>
          <w:rFonts w:ascii="Arial" w:hAnsi="Arial" w:cs="Arial"/>
        </w:rPr>
        <w:t xml:space="preserve">The proposed solution that is aimed at overcoming these barriers is a community-based digital platform called </w:t>
      </w:r>
      <w:r w:rsidR="00B70BBF" w:rsidRPr="001B1864">
        <w:rPr>
          <w:rFonts w:ascii="Arial" w:hAnsi="Arial" w:cs="Arial"/>
        </w:rPr>
        <w:t>Step Together</w:t>
      </w:r>
      <w:r w:rsidRPr="001B1864">
        <w:rPr>
          <w:rFonts w:ascii="Arial" w:hAnsi="Arial" w:cs="Arial"/>
        </w:rPr>
        <w:t xml:space="preserve">. The intervention is the intertwining of low-priced wearable sensors, mobile applications and SMS capabilities, allowing other individuals who lack access to </w:t>
      </w:r>
      <w:r w:rsidR="00752AD9" w:rsidRPr="001B1864">
        <w:rPr>
          <w:rFonts w:ascii="Arial" w:hAnsi="Arial" w:cs="Arial"/>
        </w:rPr>
        <w:t xml:space="preserve">smartphones or unreliable </w:t>
      </w:r>
      <w:r w:rsidR="00092B2B" w:rsidRPr="001B1864">
        <w:rPr>
          <w:rFonts w:ascii="Arial" w:hAnsi="Arial" w:cs="Arial"/>
        </w:rPr>
        <w:t>connections</w:t>
      </w:r>
      <w:r w:rsidRPr="001B1864">
        <w:rPr>
          <w:rFonts w:ascii="Arial" w:hAnsi="Arial" w:cs="Arial"/>
        </w:rPr>
        <w:t xml:space="preserve"> to participate (Free et al., 2013). Users join neighbourhood teams, </w:t>
      </w:r>
      <w:r w:rsidR="00FD27DB" w:rsidRPr="001B1864">
        <w:rPr>
          <w:rFonts w:ascii="Arial" w:hAnsi="Arial" w:cs="Arial"/>
        </w:rPr>
        <w:t xml:space="preserve">who are </w:t>
      </w:r>
      <w:r w:rsidRPr="001B1864">
        <w:rPr>
          <w:rFonts w:ascii="Arial" w:hAnsi="Arial" w:cs="Arial"/>
        </w:rPr>
        <w:t>involved in challenges to take steps, and are provided with personalised motivational messages based on the data on activities. The community workers and healthcare professionals can monitor the anonymised progress using a dashboard, which helps to provide specific assistance to people who are at risk of inactivity-r</w:t>
      </w:r>
      <w:r w:rsidR="00FD27DB" w:rsidRPr="001B1864">
        <w:rPr>
          <w:rFonts w:ascii="Arial" w:hAnsi="Arial" w:cs="Arial"/>
        </w:rPr>
        <w:t>elated conditions.</w:t>
      </w:r>
    </w:p>
    <w:p w14:paraId="79709DF3" w14:textId="77777777" w:rsidR="008A1D9F" w:rsidRPr="001B1864" w:rsidRDefault="008A1D9F" w:rsidP="001B1864">
      <w:pPr>
        <w:spacing w:line="360" w:lineRule="auto"/>
        <w:jc w:val="both"/>
        <w:rPr>
          <w:rFonts w:ascii="Arial" w:hAnsi="Arial" w:cs="Arial"/>
        </w:rPr>
      </w:pPr>
      <w:r w:rsidRPr="001B1864">
        <w:rPr>
          <w:rFonts w:ascii="Arial" w:hAnsi="Arial" w:cs="Arial"/>
          <w:noProof/>
          <w:lang w:eastAsia="en-GB"/>
        </w:rPr>
        <w:drawing>
          <wp:inline distT="0" distB="0" distL="0" distR="0" wp14:anchorId="5860D6D8" wp14:editId="161F0299">
            <wp:extent cx="4725281" cy="2579370"/>
            <wp:effectExtent l="0" t="0" r="0" b="0"/>
            <wp:docPr id="7" name="Picture 7" descr="The Benefits of a Walking Group - The New York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Benefits of a Walking Group - The New York Tim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71373" cy="2604530"/>
                    </a:xfrm>
                    <a:prstGeom prst="rect">
                      <a:avLst/>
                    </a:prstGeom>
                    <a:noFill/>
                    <a:ln>
                      <a:noFill/>
                    </a:ln>
                  </pic:spPr>
                </pic:pic>
              </a:graphicData>
            </a:graphic>
          </wp:inline>
        </w:drawing>
      </w:r>
    </w:p>
    <w:p w14:paraId="7068610B" w14:textId="77777777" w:rsidR="002657F8" w:rsidRPr="001B1864" w:rsidRDefault="009F23BA" w:rsidP="001B1864">
      <w:pPr>
        <w:spacing w:line="360" w:lineRule="auto"/>
        <w:jc w:val="both"/>
        <w:rPr>
          <w:rFonts w:ascii="Arial" w:hAnsi="Arial" w:cs="Arial"/>
        </w:rPr>
      </w:pPr>
      <w:r w:rsidRPr="001B1864">
        <w:rPr>
          <w:rFonts w:ascii="Arial" w:hAnsi="Arial" w:cs="Arial"/>
        </w:rPr>
        <w:t>(</w:t>
      </w:r>
      <w:proofErr w:type="spellStart"/>
      <w:r w:rsidR="002657F8" w:rsidRPr="001B1864">
        <w:rPr>
          <w:rFonts w:ascii="Arial" w:hAnsi="Arial" w:cs="Arial"/>
        </w:rPr>
        <w:t>Ch</w:t>
      </w:r>
      <w:r w:rsidRPr="001B1864">
        <w:rPr>
          <w:rFonts w:ascii="Arial" w:hAnsi="Arial" w:cs="Arial"/>
        </w:rPr>
        <w:t>e</w:t>
      </w:r>
      <w:r w:rsidR="002657F8" w:rsidRPr="001B1864">
        <w:rPr>
          <w:rFonts w:ascii="Arial" w:hAnsi="Arial" w:cs="Arial"/>
        </w:rPr>
        <w:t>ettam</w:t>
      </w:r>
      <w:proofErr w:type="spellEnd"/>
      <w:r w:rsidR="002657F8" w:rsidRPr="001B1864">
        <w:rPr>
          <w:rFonts w:ascii="Arial" w:hAnsi="Arial" w:cs="Arial"/>
        </w:rPr>
        <w:t xml:space="preserve">, </w:t>
      </w:r>
      <w:r w:rsidRPr="001B1864">
        <w:rPr>
          <w:rFonts w:ascii="Arial" w:hAnsi="Arial" w:cs="Arial"/>
        </w:rPr>
        <w:t>2024).</w:t>
      </w:r>
    </w:p>
    <w:p w14:paraId="6F5FE73E" w14:textId="797ECD7E" w:rsidR="00EC5446" w:rsidRPr="001B1864" w:rsidRDefault="009D18A3" w:rsidP="001B1864">
      <w:pPr>
        <w:spacing w:line="360" w:lineRule="auto"/>
        <w:jc w:val="both"/>
        <w:rPr>
          <w:rFonts w:ascii="Arial" w:hAnsi="Arial" w:cs="Arial"/>
        </w:rPr>
      </w:pPr>
      <w:r w:rsidRPr="001B1864">
        <w:rPr>
          <w:rFonts w:ascii="Arial" w:hAnsi="Arial" w:cs="Arial"/>
        </w:rPr>
        <w:t>Web</w:t>
      </w:r>
      <w:r w:rsidR="00EC5446" w:rsidRPr="001B1864">
        <w:rPr>
          <w:rFonts w:ascii="Arial" w:hAnsi="Arial" w:cs="Arial"/>
        </w:rPr>
        <w:t xml:space="preserve">link: </w:t>
      </w:r>
      <w:r w:rsidR="00B70BBF" w:rsidRPr="001B1864">
        <w:rPr>
          <w:rFonts w:ascii="Arial" w:hAnsi="Arial" w:cs="Arial"/>
        </w:rPr>
        <w:t>step Together</w:t>
      </w:r>
      <w:r w:rsidR="00EC5446" w:rsidRPr="001B1864">
        <w:rPr>
          <w:rFonts w:ascii="Arial" w:hAnsi="Arial" w:cs="Arial"/>
        </w:rPr>
        <w:t xml:space="preserve"> prototype — </w:t>
      </w:r>
      <w:r w:rsidRPr="001B1864">
        <w:rPr>
          <w:rFonts w:ascii="Arial" w:hAnsi="Arial" w:cs="Arial"/>
        </w:rPr>
        <w:t>www.steptogether-community.org/</w:t>
      </w:r>
      <w:r w:rsidR="00EC5446" w:rsidRPr="001B1864">
        <w:rPr>
          <w:rFonts w:ascii="Arial" w:hAnsi="Arial" w:cs="Arial"/>
        </w:rPr>
        <w:t>demo.</w:t>
      </w:r>
    </w:p>
    <w:p w14:paraId="4D37264A" w14:textId="77777777" w:rsidR="00EC5446" w:rsidRPr="001B1864" w:rsidRDefault="009D18A3" w:rsidP="001B1864">
      <w:pPr>
        <w:spacing w:line="360" w:lineRule="auto"/>
        <w:jc w:val="both"/>
        <w:rPr>
          <w:rFonts w:ascii="Arial" w:hAnsi="Arial" w:cs="Arial"/>
          <w:i/>
        </w:rPr>
      </w:pPr>
      <w:r w:rsidRPr="001B1864">
        <w:rPr>
          <w:rFonts w:ascii="Arial" w:hAnsi="Arial" w:cs="Arial"/>
          <w:i/>
        </w:rPr>
        <w:t>Critical Impact</w:t>
      </w:r>
    </w:p>
    <w:p w14:paraId="57C4CCF5" w14:textId="1F08C718" w:rsidR="00B91295" w:rsidRPr="001B1864" w:rsidRDefault="00765040" w:rsidP="001B1864">
      <w:pPr>
        <w:spacing w:line="360" w:lineRule="auto"/>
        <w:jc w:val="both"/>
        <w:rPr>
          <w:rFonts w:ascii="Arial" w:hAnsi="Arial" w:cs="Arial"/>
        </w:rPr>
      </w:pPr>
      <w:r w:rsidRPr="001B1864">
        <w:rPr>
          <w:rFonts w:ascii="Arial" w:hAnsi="Arial" w:cs="Arial"/>
        </w:rPr>
        <w:t xml:space="preserve">The </w:t>
      </w:r>
      <w:r w:rsidR="00B70BBF" w:rsidRPr="001B1864">
        <w:rPr>
          <w:rFonts w:ascii="Arial" w:hAnsi="Arial" w:cs="Arial"/>
        </w:rPr>
        <w:t>Step Together</w:t>
      </w:r>
      <w:r w:rsidR="00B91295" w:rsidRPr="001B1864">
        <w:rPr>
          <w:rFonts w:ascii="Arial" w:hAnsi="Arial" w:cs="Arial"/>
        </w:rPr>
        <w:t xml:space="preserve"> platform has </w:t>
      </w:r>
      <w:proofErr w:type="gramStart"/>
      <w:r w:rsidR="00B91295" w:rsidRPr="001B1864">
        <w:rPr>
          <w:rFonts w:ascii="Arial" w:hAnsi="Arial" w:cs="Arial"/>
        </w:rPr>
        <w:t>a number of</w:t>
      </w:r>
      <w:proofErr w:type="gramEnd"/>
      <w:r w:rsidR="00B91295" w:rsidRPr="001B1864">
        <w:rPr>
          <w:rFonts w:ascii="Arial" w:hAnsi="Arial" w:cs="Arial"/>
        </w:rPr>
        <w:t xml:space="preserve"> benefits to digital health promotion, especially when it comes to enhancing access and engagement. The low-cost wearable sensors are combined with mobile, and SMS capabilities, which makes the intervention less expensive and more accessible through cost and internet availability, contributing to fairer participation (Free et al., 2013). Moreover, community-based challenges and social interaction can increase motivation and accountability, which </w:t>
      </w:r>
      <w:proofErr w:type="gramStart"/>
      <w:r w:rsidR="00B91295" w:rsidRPr="001B1864">
        <w:rPr>
          <w:rFonts w:ascii="Arial" w:hAnsi="Arial" w:cs="Arial"/>
        </w:rPr>
        <w:t>are considered to be</w:t>
      </w:r>
      <w:proofErr w:type="gramEnd"/>
      <w:r w:rsidR="00B91295" w:rsidRPr="001B1864">
        <w:rPr>
          <w:rFonts w:ascii="Arial" w:hAnsi="Arial" w:cs="Arial"/>
        </w:rPr>
        <w:t xml:space="preserve"> among the major factors contributing to the long-term physical activity behaviour (Maher et al., 2014). Its effectiveness is even enhanced by the inclusion of behaviour-change strategies</w:t>
      </w:r>
      <w:r w:rsidRPr="001B1864">
        <w:rPr>
          <w:rFonts w:ascii="Arial" w:hAnsi="Arial" w:cs="Arial"/>
        </w:rPr>
        <w:t>,</w:t>
      </w:r>
      <w:r w:rsidR="00B91295" w:rsidRPr="001B1864">
        <w:rPr>
          <w:rFonts w:ascii="Arial" w:hAnsi="Arial" w:cs="Arial"/>
        </w:rPr>
        <w:t xml:space="preserve"> including goal setting, feedback and social support (Michie et al., 2017). Nevertheless, regardless of these advantages, there are significant weaknesses. Digital dependency could be biassed, excluding low-digital and low-access people, and could support health disparities (</w:t>
      </w:r>
      <w:proofErr w:type="spellStart"/>
      <w:r w:rsidR="00B91295" w:rsidRPr="001B1864">
        <w:rPr>
          <w:rFonts w:ascii="Arial" w:hAnsi="Arial" w:cs="Arial"/>
        </w:rPr>
        <w:t>Vandelanotte</w:t>
      </w:r>
      <w:proofErr w:type="spellEnd"/>
      <w:r w:rsidR="00B91295" w:rsidRPr="001B1864">
        <w:rPr>
          <w:rFonts w:ascii="Arial" w:hAnsi="Arial" w:cs="Arial"/>
        </w:rPr>
        <w:t xml:space="preserve"> et al., 2020). Moreover, it is also not easy to sustain long-term user engagement as motivation can </w:t>
      </w:r>
      <w:r w:rsidRPr="001B1864">
        <w:rPr>
          <w:rFonts w:ascii="Arial" w:hAnsi="Arial" w:cs="Arial"/>
        </w:rPr>
        <w:t>decrease</w:t>
      </w:r>
      <w:r w:rsidR="00B91295" w:rsidRPr="001B1864">
        <w:rPr>
          <w:rFonts w:ascii="Arial" w:hAnsi="Arial" w:cs="Arial"/>
        </w:rPr>
        <w:t xml:space="preserve"> after the novelty of the intervention wears out. Issues of data privacy and ethical handling of personal health information also arise</w:t>
      </w:r>
      <w:r w:rsidRPr="001B1864">
        <w:rPr>
          <w:rFonts w:ascii="Arial" w:hAnsi="Arial" w:cs="Arial"/>
        </w:rPr>
        <w:t>, which</w:t>
      </w:r>
      <w:r w:rsidR="00B91295" w:rsidRPr="001B1864">
        <w:rPr>
          <w:rFonts w:ascii="Arial" w:hAnsi="Arial" w:cs="Arial"/>
        </w:rPr>
        <w:t xml:space="preserve"> may have an impact on user trust and involvement. Thus, although </w:t>
      </w:r>
      <w:r w:rsidR="00B70BBF" w:rsidRPr="001B1864">
        <w:rPr>
          <w:rFonts w:ascii="Arial" w:hAnsi="Arial" w:cs="Arial"/>
        </w:rPr>
        <w:t>Step Together</w:t>
      </w:r>
      <w:r w:rsidR="00B91295" w:rsidRPr="001B1864">
        <w:rPr>
          <w:rFonts w:ascii="Arial" w:hAnsi="Arial" w:cs="Arial"/>
        </w:rPr>
        <w:t xml:space="preserve"> has a lot of potential, it will also not work without passable solving of these limitations during the implementation.</w:t>
      </w:r>
    </w:p>
    <w:p w14:paraId="33F7B84F" w14:textId="77777777" w:rsidR="008A1D9F" w:rsidRPr="001B1864" w:rsidRDefault="009575B4" w:rsidP="001B1864">
      <w:pPr>
        <w:spacing w:line="360" w:lineRule="auto"/>
        <w:jc w:val="both"/>
        <w:rPr>
          <w:rFonts w:ascii="Arial" w:hAnsi="Arial" w:cs="Arial"/>
        </w:rPr>
      </w:pPr>
      <w:r w:rsidRPr="001B1864">
        <w:rPr>
          <w:rFonts w:ascii="Arial" w:hAnsi="Arial" w:cs="Arial"/>
          <w:noProof/>
          <w:lang w:eastAsia="en-GB"/>
        </w:rPr>
        <w:drawing>
          <wp:inline distT="0" distB="0" distL="0" distR="0" wp14:anchorId="3EB37129" wp14:editId="050919F9">
            <wp:extent cx="5290835" cy="3103245"/>
            <wp:effectExtent l="0" t="0" r="5080" b="1905"/>
            <wp:docPr id="10" name="Picture 10" descr="4 Social Benefits of Physical Activity | Vision Personal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4 Social Benefits of Physical Activity | Vision Personal Train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95028" cy="3105704"/>
                    </a:xfrm>
                    <a:prstGeom prst="rect">
                      <a:avLst/>
                    </a:prstGeom>
                    <a:noFill/>
                    <a:ln>
                      <a:noFill/>
                    </a:ln>
                  </pic:spPr>
                </pic:pic>
              </a:graphicData>
            </a:graphic>
          </wp:inline>
        </w:drawing>
      </w:r>
    </w:p>
    <w:p w14:paraId="4166785B" w14:textId="77777777" w:rsidR="009F23BA" w:rsidRPr="001B1864" w:rsidRDefault="009F23BA" w:rsidP="001B1864">
      <w:pPr>
        <w:spacing w:line="360" w:lineRule="auto"/>
        <w:jc w:val="both"/>
        <w:rPr>
          <w:rFonts w:ascii="Arial" w:hAnsi="Arial" w:cs="Arial"/>
        </w:rPr>
      </w:pPr>
      <w:r w:rsidRPr="001B1864">
        <w:rPr>
          <w:rFonts w:ascii="Arial" w:hAnsi="Arial" w:cs="Arial"/>
        </w:rPr>
        <w:t>(Vision Personal Training, 2025).</w:t>
      </w:r>
    </w:p>
    <w:p w14:paraId="132403BE" w14:textId="77777777" w:rsidR="007E4226" w:rsidRPr="001B1864" w:rsidRDefault="007E4226" w:rsidP="001B1864">
      <w:pPr>
        <w:spacing w:line="360" w:lineRule="auto"/>
        <w:jc w:val="both"/>
        <w:rPr>
          <w:rFonts w:ascii="Arial" w:hAnsi="Arial" w:cs="Arial"/>
          <w:i/>
        </w:rPr>
      </w:pPr>
      <w:r w:rsidRPr="001B1864">
        <w:rPr>
          <w:rFonts w:ascii="Arial" w:hAnsi="Arial" w:cs="Arial"/>
          <w:i/>
        </w:rPr>
        <w:t>Addressing the Shortfalls</w:t>
      </w:r>
    </w:p>
    <w:p w14:paraId="67B04AD7" w14:textId="11A5545D" w:rsidR="00B91295" w:rsidRPr="001B1864" w:rsidRDefault="00B91295" w:rsidP="001B1864">
      <w:pPr>
        <w:spacing w:line="360" w:lineRule="auto"/>
        <w:jc w:val="both"/>
        <w:rPr>
          <w:rFonts w:ascii="Arial" w:hAnsi="Arial" w:cs="Arial"/>
        </w:rPr>
      </w:pPr>
      <w:r w:rsidRPr="001B1864">
        <w:rPr>
          <w:rFonts w:ascii="Arial" w:hAnsi="Arial" w:cs="Arial"/>
        </w:rPr>
        <w:t xml:space="preserve">To overcome these weaknesses, some of the strategies that </w:t>
      </w:r>
      <w:r w:rsidR="00B70BBF" w:rsidRPr="001B1864">
        <w:rPr>
          <w:rFonts w:ascii="Arial" w:hAnsi="Arial" w:cs="Arial"/>
        </w:rPr>
        <w:t>Step Together</w:t>
      </w:r>
      <w:r w:rsidRPr="001B1864">
        <w:rPr>
          <w:rFonts w:ascii="Arial" w:hAnsi="Arial" w:cs="Arial"/>
        </w:rPr>
        <w:t xml:space="preserve"> should consider </w:t>
      </w:r>
      <w:proofErr w:type="gramStart"/>
      <w:r w:rsidRPr="001B1864">
        <w:rPr>
          <w:rFonts w:ascii="Arial" w:hAnsi="Arial" w:cs="Arial"/>
        </w:rPr>
        <w:t>to enhance</w:t>
      </w:r>
      <w:proofErr w:type="gramEnd"/>
      <w:r w:rsidRPr="001B1864">
        <w:rPr>
          <w:rFonts w:ascii="Arial" w:hAnsi="Arial" w:cs="Arial"/>
        </w:rPr>
        <w:t xml:space="preserve"> accessibility among the underserved </w:t>
      </w:r>
      <w:r w:rsidR="00B70BBF" w:rsidRPr="001B1864">
        <w:rPr>
          <w:rFonts w:ascii="Arial" w:hAnsi="Arial" w:cs="Arial"/>
        </w:rPr>
        <w:t>include</w:t>
      </w:r>
      <w:r w:rsidRPr="001B1864">
        <w:rPr>
          <w:rFonts w:ascii="Arial" w:hAnsi="Arial" w:cs="Arial"/>
        </w:rPr>
        <w:t xml:space="preserve"> digital literacy support, subsidised devices, and inclusive design features (</w:t>
      </w:r>
      <w:proofErr w:type="spellStart"/>
      <w:r w:rsidRPr="001B1864">
        <w:rPr>
          <w:rFonts w:ascii="Arial" w:hAnsi="Arial" w:cs="Arial"/>
        </w:rPr>
        <w:t>Vandelanotte</w:t>
      </w:r>
      <w:proofErr w:type="spellEnd"/>
      <w:r w:rsidRPr="001B1864">
        <w:rPr>
          <w:rFonts w:ascii="Arial" w:hAnsi="Arial" w:cs="Arial"/>
        </w:rPr>
        <w:t xml:space="preserve"> et al., 2020). Privacy-by-design practises can contribute to increasing user trust and continuous user feedback and dynamism can serve to maintain engagement in the long term (Free et al., 2013). Also, the implementation and scalability can also be supported by collaboration with the public-health organisations. </w:t>
      </w:r>
      <w:r w:rsidR="00B70BBF" w:rsidRPr="001B1864">
        <w:rPr>
          <w:rFonts w:ascii="Arial" w:hAnsi="Arial" w:cs="Arial"/>
        </w:rPr>
        <w:t>Step Together</w:t>
      </w:r>
      <w:r w:rsidRPr="001B1864">
        <w:rPr>
          <w:rFonts w:ascii="Arial" w:hAnsi="Arial" w:cs="Arial"/>
        </w:rPr>
        <w:t xml:space="preserve"> can deliver a fair and sustainable digital health promotion strategy that considers technology, behavioural science and community engagement to decrease physical inactivity, should it be implemented correctly (Michie et al., 2017)</w:t>
      </w:r>
    </w:p>
    <w:p w14:paraId="71340A7F" w14:textId="77777777" w:rsidR="00765040" w:rsidRPr="001B1864" w:rsidRDefault="00765040" w:rsidP="001B1864">
      <w:pPr>
        <w:spacing w:line="360" w:lineRule="auto"/>
        <w:rPr>
          <w:rFonts w:ascii="Arial" w:hAnsi="Arial" w:cs="Arial"/>
          <w:b/>
        </w:rPr>
      </w:pPr>
    </w:p>
    <w:p w14:paraId="748395A8" w14:textId="77777777" w:rsidR="00765040" w:rsidRPr="001B1864" w:rsidRDefault="00765040" w:rsidP="001B1864">
      <w:pPr>
        <w:spacing w:line="360" w:lineRule="auto"/>
        <w:rPr>
          <w:rFonts w:ascii="Arial" w:hAnsi="Arial" w:cs="Arial"/>
          <w:b/>
        </w:rPr>
      </w:pPr>
    </w:p>
    <w:p w14:paraId="7711410B" w14:textId="77777777" w:rsidR="00765040" w:rsidRPr="001B1864" w:rsidRDefault="00765040" w:rsidP="001B1864">
      <w:pPr>
        <w:spacing w:line="360" w:lineRule="auto"/>
        <w:rPr>
          <w:rFonts w:ascii="Arial" w:hAnsi="Arial" w:cs="Arial"/>
          <w:b/>
        </w:rPr>
      </w:pPr>
    </w:p>
    <w:p w14:paraId="6BF93C4D" w14:textId="77777777" w:rsidR="00765040" w:rsidRPr="001B1864" w:rsidRDefault="00765040" w:rsidP="001B1864">
      <w:pPr>
        <w:spacing w:line="360" w:lineRule="auto"/>
        <w:rPr>
          <w:rFonts w:ascii="Arial" w:hAnsi="Arial" w:cs="Arial"/>
          <w:b/>
        </w:rPr>
      </w:pPr>
    </w:p>
    <w:p w14:paraId="538B592C" w14:textId="77777777" w:rsidR="00765040" w:rsidRPr="001B1864" w:rsidRDefault="00765040" w:rsidP="001B1864">
      <w:pPr>
        <w:spacing w:line="360" w:lineRule="auto"/>
        <w:rPr>
          <w:rFonts w:ascii="Arial" w:hAnsi="Arial" w:cs="Arial"/>
          <w:b/>
        </w:rPr>
      </w:pPr>
    </w:p>
    <w:p w14:paraId="23E8C8EC" w14:textId="77777777" w:rsidR="00765040" w:rsidRPr="001B1864" w:rsidRDefault="00765040" w:rsidP="001B1864">
      <w:pPr>
        <w:spacing w:line="360" w:lineRule="auto"/>
        <w:rPr>
          <w:rFonts w:ascii="Arial" w:hAnsi="Arial" w:cs="Arial"/>
          <w:b/>
        </w:rPr>
      </w:pPr>
    </w:p>
    <w:p w14:paraId="3470DAB4" w14:textId="77777777" w:rsidR="007C26E6" w:rsidRPr="001B1864" w:rsidRDefault="007C26E6" w:rsidP="001B1864">
      <w:pPr>
        <w:spacing w:line="360" w:lineRule="auto"/>
        <w:rPr>
          <w:rFonts w:ascii="Arial" w:hAnsi="Arial" w:cs="Arial"/>
        </w:rPr>
      </w:pPr>
      <w:r w:rsidRPr="001B1864">
        <w:rPr>
          <w:rFonts w:ascii="Arial" w:hAnsi="Arial" w:cs="Arial"/>
          <w:b/>
        </w:rPr>
        <w:t xml:space="preserve">Reference </w:t>
      </w:r>
    </w:p>
    <w:p w14:paraId="6883047A" w14:textId="77777777" w:rsidR="009F23BA" w:rsidRPr="001B1864" w:rsidRDefault="009F23BA" w:rsidP="001B1864">
      <w:pPr>
        <w:pStyle w:val="NormalWeb"/>
        <w:spacing w:line="360" w:lineRule="auto"/>
        <w:rPr>
          <w:rFonts w:ascii="Arial" w:hAnsi="Arial" w:cs="Arial"/>
          <w:sz w:val="22"/>
          <w:szCs w:val="22"/>
        </w:rPr>
      </w:pPr>
      <w:proofErr w:type="spellStart"/>
      <w:r w:rsidRPr="001B1864">
        <w:rPr>
          <w:rFonts w:ascii="Arial" w:hAnsi="Arial" w:cs="Arial"/>
          <w:sz w:val="22"/>
          <w:szCs w:val="22"/>
        </w:rPr>
        <w:t>Cheettam</w:t>
      </w:r>
      <w:proofErr w:type="spellEnd"/>
      <w:r w:rsidRPr="001B1864">
        <w:rPr>
          <w:rFonts w:ascii="Arial" w:hAnsi="Arial" w:cs="Arial"/>
          <w:sz w:val="22"/>
          <w:szCs w:val="22"/>
        </w:rPr>
        <w:t xml:space="preserve">, J., (2024). The benefits of a walking group. Available at: </w:t>
      </w:r>
      <w:hyperlink r:id="rId16" w:history="1">
        <w:r w:rsidRPr="001B1864">
          <w:rPr>
            <w:rStyle w:val="Hyperlink"/>
            <w:rFonts w:ascii="Arial" w:hAnsi="Arial" w:cs="Arial"/>
            <w:sz w:val="22"/>
            <w:szCs w:val="22"/>
          </w:rPr>
          <w:t>https://www.nytimes.com/2024/04/01/well/move/walking-groups-health.html</w:t>
        </w:r>
      </w:hyperlink>
      <w:r w:rsidRPr="001B1864">
        <w:rPr>
          <w:rFonts w:ascii="Arial" w:hAnsi="Arial" w:cs="Arial"/>
          <w:sz w:val="22"/>
          <w:szCs w:val="22"/>
        </w:rPr>
        <w:t xml:space="preserve"> (Accessed: 27 February 2026).</w:t>
      </w:r>
    </w:p>
    <w:p w14:paraId="054FBB67" w14:textId="77777777" w:rsidR="009F23BA" w:rsidRPr="001B1864" w:rsidRDefault="009F23BA" w:rsidP="001B1864">
      <w:pPr>
        <w:pStyle w:val="NormalWeb"/>
        <w:spacing w:line="360" w:lineRule="auto"/>
        <w:rPr>
          <w:rFonts w:ascii="Arial" w:hAnsi="Arial" w:cs="Arial"/>
          <w:sz w:val="22"/>
          <w:szCs w:val="22"/>
        </w:rPr>
      </w:pPr>
      <w:r w:rsidRPr="001B1864">
        <w:rPr>
          <w:rFonts w:ascii="Arial" w:hAnsi="Arial" w:cs="Arial"/>
          <w:sz w:val="22"/>
          <w:szCs w:val="22"/>
        </w:rPr>
        <w:t xml:space="preserve">Free, C., Phillips, G., Watson, L., Galli, L., Felix, L., Edwards, P., Patel, V., &amp; Haines, A. (2013). The effectiveness of mobile-health technologies to improve health care service delivery processes: a systematic review and meta-analysis. </w:t>
      </w:r>
      <w:proofErr w:type="spellStart"/>
      <w:r w:rsidRPr="001B1864">
        <w:rPr>
          <w:rFonts w:ascii="Arial" w:hAnsi="Arial" w:cs="Arial"/>
          <w:sz w:val="22"/>
          <w:szCs w:val="22"/>
        </w:rPr>
        <w:t>PLoS</w:t>
      </w:r>
      <w:proofErr w:type="spellEnd"/>
      <w:r w:rsidRPr="001B1864">
        <w:rPr>
          <w:rFonts w:ascii="Arial" w:hAnsi="Arial" w:cs="Arial"/>
          <w:sz w:val="22"/>
          <w:szCs w:val="22"/>
        </w:rPr>
        <w:t xml:space="preserve"> medicine, 10(1), e1001363. </w:t>
      </w:r>
      <w:hyperlink r:id="rId17" w:history="1">
        <w:r w:rsidRPr="001B1864">
          <w:rPr>
            <w:rStyle w:val="Hyperlink"/>
            <w:rFonts w:ascii="Arial" w:hAnsi="Arial" w:cs="Arial"/>
            <w:color w:val="auto"/>
            <w:sz w:val="22"/>
            <w:szCs w:val="22"/>
          </w:rPr>
          <w:t>https://doi.org/10.1371/journal.pmed.1001363</w:t>
        </w:r>
      </w:hyperlink>
    </w:p>
    <w:p w14:paraId="5ED5144A" w14:textId="77777777" w:rsidR="009F23BA" w:rsidRPr="001B1864" w:rsidRDefault="009F23BA" w:rsidP="001B1864">
      <w:pPr>
        <w:pStyle w:val="NormalWeb"/>
        <w:spacing w:line="360" w:lineRule="auto"/>
        <w:rPr>
          <w:rFonts w:ascii="Arial" w:hAnsi="Arial" w:cs="Arial"/>
          <w:sz w:val="22"/>
          <w:szCs w:val="22"/>
        </w:rPr>
      </w:pPr>
      <w:r w:rsidRPr="001B1864">
        <w:rPr>
          <w:rFonts w:ascii="Arial" w:hAnsi="Arial" w:cs="Arial"/>
          <w:sz w:val="22"/>
          <w:szCs w:val="22"/>
        </w:rPr>
        <w:t xml:space="preserve">Maher, C., Lewis, L., Ferrar, K., Marshall, S., De </w:t>
      </w:r>
      <w:proofErr w:type="spellStart"/>
      <w:r w:rsidRPr="001B1864">
        <w:rPr>
          <w:rFonts w:ascii="Arial" w:hAnsi="Arial" w:cs="Arial"/>
          <w:sz w:val="22"/>
          <w:szCs w:val="22"/>
        </w:rPr>
        <w:t>Bourdeaudhuij</w:t>
      </w:r>
      <w:proofErr w:type="spellEnd"/>
      <w:r w:rsidRPr="001B1864">
        <w:rPr>
          <w:rFonts w:ascii="Arial" w:hAnsi="Arial" w:cs="Arial"/>
          <w:sz w:val="22"/>
          <w:szCs w:val="22"/>
        </w:rPr>
        <w:t xml:space="preserve">, I. and </w:t>
      </w:r>
      <w:proofErr w:type="spellStart"/>
      <w:r w:rsidRPr="001B1864">
        <w:rPr>
          <w:rFonts w:ascii="Arial" w:hAnsi="Arial" w:cs="Arial"/>
          <w:sz w:val="22"/>
          <w:szCs w:val="22"/>
        </w:rPr>
        <w:t>Vandelanotte</w:t>
      </w:r>
      <w:proofErr w:type="spellEnd"/>
      <w:r w:rsidRPr="001B1864">
        <w:rPr>
          <w:rFonts w:ascii="Arial" w:hAnsi="Arial" w:cs="Arial"/>
          <w:sz w:val="22"/>
          <w:szCs w:val="22"/>
        </w:rPr>
        <w:t xml:space="preserve">, C., (2014). Are health </w:t>
      </w:r>
      <w:proofErr w:type="spellStart"/>
      <w:r w:rsidRPr="001B1864">
        <w:rPr>
          <w:rFonts w:ascii="Arial" w:hAnsi="Arial" w:cs="Arial"/>
          <w:sz w:val="22"/>
          <w:szCs w:val="22"/>
        </w:rPr>
        <w:t>behavior</w:t>
      </w:r>
      <w:proofErr w:type="spellEnd"/>
      <w:r w:rsidRPr="001B1864">
        <w:rPr>
          <w:rFonts w:ascii="Arial" w:hAnsi="Arial" w:cs="Arial"/>
          <w:sz w:val="22"/>
          <w:szCs w:val="22"/>
        </w:rPr>
        <w:t xml:space="preserve"> change interventions that use online social networks effective? A systematic review. </w:t>
      </w:r>
      <w:r w:rsidRPr="001B1864">
        <w:rPr>
          <w:rStyle w:val="Emphasis"/>
          <w:rFonts w:ascii="Arial" w:hAnsi="Arial" w:cs="Arial"/>
          <w:sz w:val="22"/>
          <w:szCs w:val="22"/>
        </w:rPr>
        <w:t>Journal of Medical Internet Research</w:t>
      </w:r>
      <w:r w:rsidRPr="001B1864">
        <w:rPr>
          <w:rFonts w:ascii="Arial" w:hAnsi="Arial" w:cs="Arial"/>
          <w:sz w:val="22"/>
          <w:szCs w:val="22"/>
        </w:rPr>
        <w:t>, 16(2), e40.</w:t>
      </w:r>
    </w:p>
    <w:p w14:paraId="2F784BBA" w14:textId="77777777" w:rsidR="009F23BA" w:rsidRPr="001B1864" w:rsidRDefault="009F23BA" w:rsidP="001B1864">
      <w:pPr>
        <w:pStyle w:val="NormalWeb"/>
        <w:spacing w:line="360" w:lineRule="auto"/>
        <w:rPr>
          <w:rFonts w:ascii="Arial" w:hAnsi="Arial" w:cs="Arial"/>
          <w:sz w:val="22"/>
          <w:szCs w:val="22"/>
        </w:rPr>
      </w:pPr>
      <w:r w:rsidRPr="001B1864">
        <w:rPr>
          <w:rFonts w:ascii="Arial" w:hAnsi="Arial" w:cs="Arial"/>
          <w:sz w:val="22"/>
          <w:szCs w:val="22"/>
        </w:rPr>
        <w:t xml:space="preserve">Michie, S., van Stralen, M.M. and West, R., (2017). The Behaviour Change Wheel: A new method for characterising and designing behaviour change interventions. </w:t>
      </w:r>
      <w:r w:rsidRPr="001B1864">
        <w:rPr>
          <w:rStyle w:val="Emphasis"/>
          <w:rFonts w:ascii="Arial" w:hAnsi="Arial" w:cs="Arial"/>
          <w:sz w:val="22"/>
          <w:szCs w:val="22"/>
        </w:rPr>
        <w:t>Implementation Science</w:t>
      </w:r>
      <w:r w:rsidRPr="001B1864">
        <w:rPr>
          <w:rFonts w:ascii="Arial" w:hAnsi="Arial" w:cs="Arial"/>
          <w:sz w:val="22"/>
          <w:szCs w:val="22"/>
        </w:rPr>
        <w:t>, 6(1), p.42.</w:t>
      </w:r>
    </w:p>
    <w:p w14:paraId="34FDE72D" w14:textId="77777777" w:rsidR="009F23BA" w:rsidRPr="001B1864" w:rsidRDefault="009F23BA" w:rsidP="001B1864">
      <w:pPr>
        <w:pStyle w:val="Subtitle"/>
        <w:spacing w:line="360" w:lineRule="auto"/>
        <w:rPr>
          <w:rFonts w:ascii="Arial" w:hAnsi="Arial" w:cs="Arial"/>
          <w:color w:val="auto"/>
        </w:rPr>
      </w:pPr>
      <w:proofErr w:type="spellStart"/>
      <w:r w:rsidRPr="001B1864">
        <w:rPr>
          <w:rFonts w:ascii="Arial" w:hAnsi="Arial" w:cs="Arial"/>
          <w:color w:val="auto"/>
        </w:rPr>
        <w:t>Vandelanotte</w:t>
      </w:r>
      <w:proofErr w:type="spellEnd"/>
      <w:r w:rsidRPr="001B1864">
        <w:rPr>
          <w:rFonts w:ascii="Arial" w:hAnsi="Arial" w:cs="Arial"/>
          <w:color w:val="auto"/>
        </w:rPr>
        <w:t xml:space="preserve">, C., Müller, A.M., Short, C.E., Hingle, M., Nathan, N., Williams, S.L., Lopez, M.L. and Parekh, S., (2020). Past, present and future of eHealth and mHealth research to improve physical activity and dietary </w:t>
      </w:r>
      <w:proofErr w:type="spellStart"/>
      <w:r w:rsidRPr="001B1864">
        <w:rPr>
          <w:rFonts w:ascii="Arial" w:hAnsi="Arial" w:cs="Arial"/>
          <w:color w:val="auto"/>
        </w:rPr>
        <w:t>behaviors</w:t>
      </w:r>
      <w:proofErr w:type="spellEnd"/>
      <w:r w:rsidRPr="001B1864">
        <w:rPr>
          <w:rFonts w:ascii="Arial" w:hAnsi="Arial" w:cs="Arial"/>
          <w:color w:val="auto"/>
        </w:rPr>
        <w:t xml:space="preserve">. </w:t>
      </w:r>
      <w:r w:rsidRPr="001B1864">
        <w:rPr>
          <w:rStyle w:val="Emphasis"/>
          <w:rFonts w:ascii="Arial" w:hAnsi="Arial" w:cs="Arial"/>
          <w:color w:val="auto"/>
        </w:rPr>
        <w:t xml:space="preserve">Journal of Nutrition Education and </w:t>
      </w:r>
      <w:proofErr w:type="spellStart"/>
      <w:r w:rsidRPr="001B1864">
        <w:rPr>
          <w:rStyle w:val="Emphasis"/>
          <w:rFonts w:ascii="Arial" w:hAnsi="Arial" w:cs="Arial"/>
          <w:color w:val="auto"/>
        </w:rPr>
        <w:t>Behavior</w:t>
      </w:r>
      <w:proofErr w:type="spellEnd"/>
      <w:r w:rsidRPr="001B1864">
        <w:rPr>
          <w:rFonts w:ascii="Arial" w:hAnsi="Arial" w:cs="Arial"/>
          <w:color w:val="auto"/>
        </w:rPr>
        <w:t>, 52(3), pp.219–228.</w:t>
      </w:r>
    </w:p>
    <w:p w14:paraId="0B9A8391" w14:textId="77777777" w:rsidR="009F23BA" w:rsidRPr="001B1864" w:rsidRDefault="009F23BA" w:rsidP="001B1864">
      <w:pPr>
        <w:spacing w:line="360" w:lineRule="auto"/>
        <w:rPr>
          <w:rFonts w:ascii="Arial" w:hAnsi="Arial" w:cs="Arial"/>
        </w:rPr>
      </w:pPr>
      <w:r w:rsidRPr="001B1864">
        <w:rPr>
          <w:rFonts w:ascii="Arial" w:hAnsi="Arial" w:cs="Arial"/>
        </w:rPr>
        <w:t xml:space="preserve">Vision Personal Training, (2025). </w:t>
      </w:r>
      <w:r w:rsidRPr="001B1864">
        <w:rPr>
          <w:rStyle w:val="Emphasis"/>
          <w:rFonts w:ascii="Arial" w:hAnsi="Arial" w:cs="Arial"/>
        </w:rPr>
        <w:t>Group training session promoting physical activity</w:t>
      </w:r>
      <w:r w:rsidRPr="001B1864">
        <w:rPr>
          <w:rFonts w:ascii="Arial" w:hAnsi="Arial" w:cs="Arial"/>
        </w:rPr>
        <w:t>. Available at:</w:t>
      </w:r>
      <w:r w:rsidRPr="001B1864">
        <w:rPr>
          <w:rFonts w:ascii="Arial" w:hAnsi="Arial" w:cs="Arial"/>
        </w:rPr>
        <w:br/>
      </w:r>
      <w:hyperlink r:id="rId18" w:tgtFrame="_new" w:history="1">
        <w:r w:rsidRPr="001B1864">
          <w:rPr>
            <w:rStyle w:val="Hyperlink"/>
            <w:rFonts w:ascii="Arial" w:hAnsi="Arial" w:cs="Arial"/>
          </w:rPr>
          <w:t>https://www.visionpersonaltraining.com/sites/default/files/styles/hero_banner/public/2025-01/Group%20Training_06_0.png</w:t>
        </w:r>
      </w:hyperlink>
      <w:r w:rsidRPr="001B1864">
        <w:rPr>
          <w:rFonts w:ascii="Arial" w:hAnsi="Arial" w:cs="Arial"/>
        </w:rPr>
        <w:t xml:space="preserve"> (Accessed: 1 March 2026).</w:t>
      </w:r>
    </w:p>
    <w:p w14:paraId="41B5F977" w14:textId="77777777" w:rsidR="009F23BA" w:rsidRPr="001B1864" w:rsidRDefault="009F23BA" w:rsidP="001B1864">
      <w:pPr>
        <w:pStyle w:val="NormalWeb"/>
        <w:spacing w:line="360" w:lineRule="auto"/>
        <w:rPr>
          <w:rFonts w:ascii="Arial" w:hAnsi="Arial" w:cs="Arial"/>
          <w:sz w:val="22"/>
          <w:szCs w:val="22"/>
        </w:rPr>
      </w:pPr>
      <w:r w:rsidRPr="001B1864">
        <w:rPr>
          <w:rFonts w:ascii="Arial" w:hAnsi="Arial" w:cs="Arial"/>
          <w:sz w:val="22"/>
          <w:szCs w:val="22"/>
        </w:rPr>
        <w:t xml:space="preserve">World Health Organization, (2022). </w:t>
      </w:r>
      <w:r w:rsidRPr="001B1864">
        <w:rPr>
          <w:rStyle w:val="Emphasis"/>
          <w:rFonts w:ascii="Arial" w:hAnsi="Arial" w:cs="Arial"/>
          <w:sz w:val="22"/>
          <w:szCs w:val="22"/>
        </w:rPr>
        <w:t>Physical activity factsheet</w:t>
      </w:r>
      <w:r w:rsidRPr="001B1864">
        <w:rPr>
          <w:rFonts w:ascii="Arial" w:hAnsi="Arial" w:cs="Arial"/>
          <w:sz w:val="22"/>
          <w:szCs w:val="22"/>
        </w:rPr>
        <w:t xml:space="preserve">. Available at: </w:t>
      </w:r>
      <w:hyperlink r:id="rId19" w:tgtFrame="_new" w:history="1">
        <w:r w:rsidRPr="001B1864">
          <w:rPr>
            <w:rStyle w:val="Hyperlink"/>
            <w:rFonts w:ascii="Arial" w:hAnsi="Arial" w:cs="Arial"/>
            <w:color w:val="auto"/>
            <w:sz w:val="22"/>
            <w:szCs w:val="22"/>
          </w:rPr>
          <w:t>https://www.who.int</w:t>
        </w:r>
      </w:hyperlink>
      <w:r w:rsidRPr="001B1864">
        <w:rPr>
          <w:rFonts w:ascii="Arial" w:hAnsi="Arial" w:cs="Arial"/>
          <w:sz w:val="22"/>
          <w:szCs w:val="22"/>
        </w:rPr>
        <w:t xml:space="preserve"> (Accessed: 27 February 2026).</w:t>
      </w:r>
    </w:p>
    <w:sectPr w:rsidR="009F23BA" w:rsidRPr="001B1864" w:rsidSect="001B18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FA9BC7" w14:textId="77777777" w:rsidR="00914CD6" w:rsidRDefault="00914CD6" w:rsidP="00BE1B4B">
      <w:pPr>
        <w:spacing w:after="0" w:line="240" w:lineRule="auto"/>
      </w:pPr>
      <w:r>
        <w:separator/>
      </w:r>
    </w:p>
  </w:endnote>
  <w:endnote w:type="continuationSeparator" w:id="0">
    <w:p w14:paraId="12E4B047" w14:textId="77777777" w:rsidR="00914CD6" w:rsidRDefault="00914CD6" w:rsidP="00BE1B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46BDE5" w14:textId="77777777" w:rsidR="00914CD6" w:rsidRDefault="00914CD6" w:rsidP="00BE1B4B">
      <w:pPr>
        <w:spacing w:after="0" w:line="240" w:lineRule="auto"/>
      </w:pPr>
      <w:r>
        <w:separator/>
      </w:r>
    </w:p>
  </w:footnote>
  <w:footnote w:type="continuationSeparator" w:id="0">
    <w:p w14:paraId="32707019" w14:textId="77777777" w:rsidR="00914CD6" w:rsidRDefault="00914CD6" w:rsidP="00BE1B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0FA3"/>
    <w:rsid w:val="00090601"/>
    <w:rsid w:val="00092B2B"/>
    <w:rsid w:val="000E317E"/>
    <w:rsid w:val="00122D17"/>
    <w:rsid w:val="001845FE"/>
    <w:rsid w:val="001B1864"/>
    <w:rsid w:val="001C5DC2"/>
    <w:rsid w:val="0023240D"/>
    <w:rsid w:val="002657F8"/>
    <w:rsid w:val="00274910"/>
    <w:rsid w:val="003F20F6"/>
    <w:rsid w:val="0043667C"/>
    <w:rsid w:val="004526BA"/>
    <w:rsid w:val="005B187E"/>
    <w:rsid w:val="005C10D0"/>
    <w:rsid w:val="0063768E"/>
    <w:rsid w:val="00653013"/>
    <w:rsid w:val="006B2775"/>
    <w:rsid w:val="006E061A"/>
    <w:rsid w:val="007340A0"/>
    <w:rsid w:val="00752262"/>
    <w:rsid w:val="00752AD9"/>
    <w:rsid w:val="00762747"/>
    <w:rsid w:val="00765040"/>
    <w:rsid w:val="007C26E6"/>
    <w:rsid w:val="007D2BF1"/>
    <w:rsid w:val="007E4226"/>
    <w:rsid w:val="0083409F"/>
    <w:rsid w:val="00854106"/>
    <w:rsid w:val="008A1D9F"/>
    <w:rsid w:val="008B6647"/>
    <w:rsid w:val="008D111F"/>
    <w:rsid w:val="00914CD6"/>
    <w:rsid w:val="009575B4"/>
    <w:rsid w:val="00966FB0"/>
    <w:rsid w:val="009C11D4"/>
    <w:rsid w:val="009D18A3"/>
    <w:rsid w:val="009F23BA"/>
    <w:rsid w:val="00A302E6"/>
    <w:rsid w:val="00A3335D"/>
    <w:rsid w:val="00A956A2"/>
    <w:rsid w:val="00B70BBF"/>
    <w:rsid w:val="00B91295"/>
    <w:rsid w:val="00BC3123"/>
    <w:rsid w:val="00BE1B4B"/>
    <w:rsid w:val="00C47587"/>
    <w:rsid w:val="00D2663C"/>
    <w:rsid w:val="00D60FA7"/>
    <w:rsid w:val="00D65787"/>
    <w:rsid w:val="00DC311F"/>
    <w:rsid w:val="00DD0111"/>
    <w:rsid w:val="00E158BC"/>
    <w:rsid w:val="00E21E2A"/>
    <w:rsid w:val="00EC5446"/>
    <w:rsid w:val="00EE4C00"/>
    <w:rsid w:val="00F534BD"/>
    <w:rsid w:val="00FA0FA3"/>
    <w:rsid w:val="00FD2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0C15D"/>
  <w15:chartTrackingRefBased/>
  <w15:docId w15:val="{E9E51288-1137-4719-84C7-60F0F5175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3BA"/>
  </w:style>
  <w:style w:type="paragraph" w:styleId="Heading1">
    <w:name w:val="heading 1"/>
    <w:basedOn w:val="Normal"/>
    <w:next w:val="Normal"/>
    <w:link w:val="Heading1Char"/>
    <w:uiPriority w:val="9"/>
    <w:qFormat/>
    <w:rsid w:val="0065301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A0FA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0E317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A0FA3"/>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FA0F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0E317E"/>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0E317E"/>
    <w:rPr>
      <w:b/>
      <w:bCs/>
    </w:rPr>
  </w:style>
  <w:style w:type="character" w:styleId="Hyperlink">
    <w:name w:val="Hyperlink"/>
    <w:basedOn w:val="DefaultParagraphFont"/>
    <w:uiPriority w:val="99"/>
    <w:unhideWhenUsed/>
    <w:rsid w:val="00BC3123"/>
    <w:rPr>
      <w:color w:val="0563C1" w:themeColor="hyperlink"/>
      <w:u w:val="single"/>
    </w:rPr>
  </w:style>
  <w:style w:type="character" w:styleId="Emphasis">
    <w:name w:val="Emphasis"/>
    <w:basedOn w:val="DefaultParagraphFont"/>
    <w:uiPriority w:val="20"/>
    <w:qFormat/>
    <w:rsid w:val="007C26E6"/>
    <w:rPr>
      <w:i/>
      <w:iCs/>
    </w:rPr>
  </w:style>
  <w:style w:type="paragraph" w:styleId="Subtitle">
    <w:name w:val="Subtitle"/>
    <w:basedOn w:val="Normal"/>
    <w:next w:val="Normal"/>
    <w:link w:val="SubtitleChar"/>
    <w:uiPriority w:val="11"/>
    <w:qFormat/>
    <w:rsid w:val="005B187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B187E"/>
    <w:rPr>
      <w:rFonts w:eastAsiaTheme="minorEastAsia"/>
      <w:color w:val="5A5A5A" w:themeColor="text1" w:themeTint="A5"/>
      <w:spacing w:val="15"/>
    </w:rPr>
  </w:style>
  <w:style w:type="paragraph" w:styleId="Header">
    <w:name w:val="header"/>
    <w:basedOn w:val="Normal"/>
    <w:link w:val="HeaderChar"/>
    <w:uiPriority w:val="99"/>
    <w:unhideWhenUsed/>
    <w:rsid w:val="00BE1B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B4B"/>
  </w:style>
  <w:style w:type="paragraph" w:styleId="Footer">
    <w:name w:val="footer"/>
    <w:basedOn w:val="Normal"/>
    <w:link w:val="FooterChar"/>
    <w:uiPriority w:val="99"/>
    <w:unhideWhenUsed/>
    <w:rsid w:val="00BE1B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B4B"/>
  </w:style>
  <w:style w:type="character" w:customStyle="1" w:styleId="Heading1Char">
    <w:name w:val="Heading 1 Char"/>
    <w:basedOn w:val="DefaultParagraphFont"/>
    <w:link w:val="Heading1"/>
    <w:uiPriority w:val="9"/>
    <w:rsid w:val="00653013"/>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1B18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1864"/>
    <w:rPr>
      <w:rFonts w:eastAsiaTheme="minorEastAsia"/>
      <w:lang w:val="en-US"/>
    </w:rPr>
  </w:style>
  <w:style w:type="character" w:styleId="UnresolvedMention">
    <w:name w:val="Unresolved Mention"/>
    <w:basedOn w:val="DefaultParagraphFont"/>
    <w:uiPriority w:val="99"/>
    <w:semiHidden/>
    <w:unhideWhenUsed/>
    <w:rsid w:val="00C475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535920">
      <w:bodyDiv w:val="1"/>
      <w:marLeft w:val="0"/>
      <w:marRight w:val="0"/>
      <w:marTop w:val="0"/>
      <w:marBottom w:val="0"/>
      <w:divBdr>
        <w:top w:val="none" w:sz="0" w:space="0" w:color="auto"/>
        <w:left w:val="none" w:sz="0" w:space="0" w:color="auto"/>
        <w:bottom w:val="none" w:sz="0" w:space="0" w:color="auto"/>
        <w:right w:val="none" w:sz="0" w:space="0" w:color="auto"/>
      </w:divBdr>
    </w:div>
    <w:div w:id="276259902">
      <w:bodyDiv w:val="1"/>
      <w:marLeft w:val="0"/>
      <w:marRight w:val="0"/>
      <w:marTop w:val="0"/>
      <w:marBottom w:val="0"/>
      <w:divBdr>
        <w:top w:val="none" w:sz="0" w:space="0" w:color="auto"/>
        <w:left w:val="none" w:sz="0" w:space="0" w:color="auto"/>
        <w:bottom w:val="none" w:sz="0" w:space="0" w:color="auto"/>
        <w:right w:val="none" w:sz="0" w:space="0" w:color="auto"/>
      </w:divBdr>
    </w:div>
    <w:div w:id="383993755">
      <w:bodyDiv w:val="1"/>
      <w:marLeft w:val="0"/>
      <w:marRight w:val="0"/>
      <w:marTop w:val="0"/>
      <w:marBottom w:val="0"/>
      <w:divBdr>
        <w:top w:val="none" w:sz="0" w:space="0" w:color="auto"/>
        <w:left w:val="none" w:sz="0" w:space="0" w:color="auto"/>
        <w:bottom w:val="none" w:sz="0" w:space="0" w:color="auto"/>
        <w:right w:val="none" w:sz="0" w:space="0" w:color="auto"/>
      </w:divBdr>
    </w:div>
    <w:div w:id="711268212">
      <w:bodyDiv w:val="1"/>
      <w:marLeft w:val="0"/>
      <w:marRight w:val="0"/>
      <w:marTop w:val="0"/>
      <w:marBottom w:val="0"/>
      <w:divBdr>
        <w:top w:val="none" w:sz="0" w:space="0" w:color="auto"/>
        <w:left w:val="none" w:sz="0" w:space="0" w:color="auto"/>
        <w:bottom w:val="none" w:sz="0" w:space="0" w:color="auto"/>
        <w:right w:val="none" w:sz="0" w:space="0" w:color="auto"/>
      </w:divBdr>
    </w:div>
    <w:div w:id="1378965166">
      <w:bodyDiv w:val="1"/>
      <w:marLeft w:val="0"/>
      <w:marRight w:val="0"/>
      <w:marTop w:val="0"/>
      <w:marBottom w:val="0"/>
      <w:divBdr>
        <w:top w:val="none" w:sz="0" w:space="0" w:color="auto"/>
        <w:left w:val="none" w:sz="0" w:space="0" w:color="auto"/>
        <w:bottom w:val="none" w:sz="0" w:space="0" w:color="auto"/>
        <w:right w:val="none" w:sz="0" w:space="0" w:color="auto"/>
      </w:divBdr>
    </w:div>
    <w:div w:id="1810399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tivehealthtech-demo.org/wearables" TargetMode="External"/><Relationship Id="rId13" Type="http://schemas.openxmlformats.org/officeDocument/2006/relationships/hyperlink" Target="https://www.who.int" TargetMode="External"/><Relationship Id="rId18" Type="http://schemas.openxmlformats.org/officeDocument/2006/relationships/hyperlink" Target="https://www.visionpersonaltraining.com/sites/default/files/styles/hero_banner/public/2025-01/Group%20Training_06_0.png"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www.emjreviews.com/general-healthcare/news/global-surge-in-demand-for-smart-wearables/#:~:text=/ehjdh/ztag005.-,THERE%20has%20been%20a%20global%20surge%20in%20the%20demand%20for,Health%20Implications" TargetMode="External"/><Relationship Id="rId17" Type="http://schemas.openxmlformats.org/officeDocument/2006/relationships/hyperlink" Target="https://doi.org/10.1371/journal.pmed.1001363" TargetMode="External"/><Relationship Id="rId2" Type="http://schemas.openxmlformats.org/officeDocument/2006/relationships/settings" Target="settings.xml"/><Relationship Id="rId16" Type="http://schemas.openxmlformats.org/officeDocument/2006/relationships/hyperlink" Target="https://www.nytimes.com/2024/04/01/well/move/walking-groups-health.htm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support.apple.com/en-ng/guide/iphone/ipha5dddb411/ios" TargetMode="External"/><Relationship Id="rId5" Type="http://schemas.openxmlformats.org/officeDocument/2006/relationships/endnotes" Target="endnotes.xml"/><Relationship Id="rId15" Type="http://schemas.openxmlformats.org/officeDocument/2006/relationships/image" Target="media/image6.png"/><Relationship Id="rId10" Type="http://schemas.openxmlformats.org/officeDocument/2006/relationships/image" Target="media/image4.png"/><Relationship Id="rId19" Type="http://schemas.openxmlformats.org/officeDocument/2006/relationships/hyperlink" Target="https://www.who.int"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1780</Words>
  <Characters>11521</Characters>
  <Application>Microsoft Office Word</Application>
  <DocSecurity>0</DocSecurity>
  <Lines>205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Destiny</dc:creator>
  <cp:keywords/>
  <dc:description/>
  <cp:lastModifiedBy>Ohikhuare Irogho (2128365)</cp:lastModifiedBy>
  <cp:revision>2</cp:revision>
  <dcterms:created xsi:type="dcterms:W3CDTF">2026-03-30T17:15:00Z</dcterms:created>
  <dcterms:modified xsi:type="dcterms:W3CDTF">2026-03-30T17:15:00Z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8d86b5ca-d633-4a92-bef5-608e9568bbe4</vt:lpwstr>
  </property>
</Properties>
</file>