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bookmarkStart w:colFirst="0" w:colLast="0" w:name="kix.dijoltaemb6a" w:id="0"/>
    <w:bookmarkEnd w:id="0"/>
    <w:p w:rsidR="00000000" w:rsidDel="00000000" w:rsidP="00000000" w:rsidRDefault="00000000" w:rsidRPr="00000000" w14:paraId="00000001">
      <w:pPr>
        <w:spacing w:line="278.00000000000006" w:lineRule="auto"/>
        <w:ind w:left="502" w:hanging="360"/>
        <w:jc w:val="center"/>
        <w:rPr>
          <w:color w:val="1f2328"/>
        </w:rPr>
      </w:pPr>
      <w:r w:rsidDel="00000000" w:rsidR="00000000" w:rsidRPr="00000000">
        <w:rPr>
          <w:b w:val="1"/>
          <w:bCs w:val="1"/>
        </w:rPr>
        <w:drawing>
          <wp:inline distB="0" distT="0" distL="0" distR="0">
            <wp:extent cx="2238687" cy="924054"/>
            <wp:effectExtent b="0" l="0" r="0" t="0"/>
            <wp:docPr descr="A close up of a sign&#10;&#10;AI-generated content may be incorrect." id="1" name="image2.png"/>
            <a:graphic>
              <a:graphicData uri="http://schemas.openxmlformats.org/drawingml/2006/picture">
                <pic:pic>
                  <pic:nvPicPr>
                    <pic:cNvPr descr="A close up of a sign&#10;&#10;AI-generated content may be incorrect." id="0" name="image2.png"/>
                    <pic:cNvPicPr preferRelativeResize="0"/>
                  </pic:nvPicPr>
                  <pic:blipFill>
                    <a:blip r:embed="rId6"/>
                    <a:srcRect b="0" l="0" r="0" t="0"/>
                    <a:stretch>
                      <a:fillRect/>
                    </a:stretch>
                  </pic:blipFill>
                  <pic:spPr>
                    <a:xfrm>
                      <a:off x="0" y="0"/>
                      <a:ext cx="2238687" cy="92405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1"/>
        <w:keepNext w:val="0"/>
        <w:keepLines w:val="0"/>
        <w:spacing w:after="120" w:before="480" w:line="278.00000000000006" w:lineRule="auto"/>
        <w:ind w:left="502" w:hanging="360"/>
        <w:jc w:val="center"/>
        <w:rPr>
          <w:color w:val="1f2328"/>
          <w:sz w:val="46"/>
          <w:szCs w:val="46"/>
        </w:rPr>
      </w:pPr>
      <w:bookmarkStart w:colFirst="0" w:colLast="0" w:name="_jzr00rxxl35h" w:id="1"/>
      <w:bookmarkEnd w:id="1"/>
      <w:r w:rsidDel="00000000" w:rsidR="00000000" w:rsidRPr="00000000">
        <w:rPr>
          <w:color w:val="1f2328"/>
          <w:sz w:val="46"/>
          <w:szCs w:val="46"/>
          <w:rtl w:val="0"/>
        </w:rPr>
        <w:t xml:space="preserve">Data Security, Governance and Compliance</w:t>
      </w:r>
    </w:p>
    <w:p w:rsidR="00000000" w:rsidDel="00000000" w:rsidP="00000000" w:rsidRDefault="00000000" w:rsidRPr="00000000" w14:paraId="00000003">
      <w:pPr>
        <w:spacing w:line="278.00000000000006" w:lineRule="auto"/>
        <w:jc w:val="left"/>
        <w:rPr/>
      </w:pPr>
      <w:r w:rsidDel="00000000" w:rsidR="00000000" w:rsidRPr="00000000">
        <w:rPr>
          <w:rtl w:val="0"/>
        </w:rPr>
      </w:r>
    </w:p>
    <w:p w:rsidR="00000000" w:rsidDel="00000000" w:rsidP="00000000" w:rsidRDefault="00000000" w:rsidRPr="00000000" w14:paraId="00000004">
      <w:pPr>
        <w:spacing w:line="278.00000000000006" w:lineRule="auto"/>
        <w:jc w:val="left"/>
        <w:rPr/>
      </w:pPr>
      <w:r w:rsidDel="00000000" w:rsidR="00000000" w:rsidRPr="00000000">
        <w:rPr>
          <w:rtl w:val="0"/>
        </w:rPr>
      </w:r>
    </w:p>
    <w:p w:rsidR="00000000" w:rsidDel="00000000" w:rsidP="00000000" w:rsidRDefault="00000000" w:rsidRPr="00000000" w14:paraId="00000005">
      <w:pPr>
        <w:spacing w:line="278.00000000000006" w:lineRule="auto"/>
        <w:jc w:val="left"/>
        <w:rPr/>
      </w:pPr>
      <w:r w:rsidDel="00000000" w:rsidR="00000000" w:rsidRPr="00000000">
        <w:rPr>
          <w:rtl w:val="0"/>
        </w:rPr>
      </w:r>
    </w:p>
    <w:p w:rsidR="00000000" w:rsidDel="00000000" w:rsidP="00000000" w:rsidRDefault="00000000" w:rsidRPr="00000000" w14:paraId="00000006">
      <w:pPr>
        <w:spacing w:line="278.00000000000006" w:lineRule="auto"/>
        <w:jc w:val="left"/>
        <w:rPr/>
      </w:pPr>
      <w:r w:rsidDel="00000000" w:rsidR="00000000" w:rsidRPr="00000000">
        <w:rPr>
          <w:rtl w:val="0"/>
        </w:rPr>
      </w:r>
    </w:p>
    <w:p w:rsidR="00000000" w:rsidDel="00000000" w:rsidP="00000000" w:rsidRDefault="00000000" w:rsidRPr="00000000" w14:paraId="00000007">
      <w:pPr>
        <w:spacing w:after="0" w:line="240" w:lineRule="auto"/>
        <w:jc w:val="left"/>
        <w:rPr>
          <w:rFonts w:ascii="Arial" w:cs="Arial" w:eastAsia="Arial" w:hAnsi="Arial"/>
          <w:sz w:val="22"/>
          <w:szCs w:val="22"/>
        </w:rPr>
      </w:pPr>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sz w:val="28"/>
          <w:szCs w:val="28"/>
          <w:rtl w:val="0"/>
        </w:rPr>
        <w:t xml:space="preserve">Data Security, Governance and Compliance</w:t>
        <w:br w:type="textWrapping"/>
      </w:r>
      <w:r w:rsidDel="00000000" w:rsidR="00000000" w:rsidRPr="00000000">
        <w:rPr>
          <w:b w:val="1"/>
          <w:bCs w:val="1"/>
          <w:sz w:val="28"/>
          <w:szCs w:val="28"/>
          <w:rtl w:val="0"/>
        </w:rPr>
        <w:t xml:space="preserve">Module code: </w:t>
      </w:r>
      <w:r w:rsidDel="00000000" w:rsidR="00000000" w:rsidRPr="00000000">
        <w:rPr>
          <w:sz w:val="28"/>
          <w:szCs w:val="28"/>
          <w:rtl w:val="0"/>
        </w:rPr>
        <w:t xml:space="preserve">ACCA7028</w:t>
      </w:r>
      <w:r w:rsidDel="00000000" w:rsidR="00000000" w:rsidRPr="00000000">
        <w:rPr>
          <w:b w:val="1"/>
          <w:bCs w:val="1"/>
          <w:sz w:val="28"/>
          <w:szCs w:val="28"/>
          <w:rtl w:val="0"/>
        </w:rPr>
        <w:t xml:space="preserve"> </w:t>
      </w:r>
      <w:r w:rsidDel="00000000" w:rsidR="00000000" w:rsidRPr="00000000">
        <w:rPr>
          <w:sz w:val="28"/>
          <w:szCs w:val="28"/>
          <w:rtl w:val="0"/>
        </w:rPr>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Dr DIPO DUNSIN</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Vinay Kirtibhai Donda</w:t>
      </w:r>
      <w:r w:rsidDel="00000000" w:rsidR="00000000" w:rsidRPr="00000000">
        <w:rPr>
          <w:b w:val="1"/>
          <w:bCs w:val="1"/>
          <w:sz w:val="28"/>
          <w:szCs w:val="28"/>
          <w:rtl w:val="0"/>
        </w:rPr>
        <w:br w:type="textWrapping"/>
        <w:t xml:space="preserve">Student ID: </w:t>
      </w:r>
      <w:r w:rsidDel="00000000" w:rsidR="00000000" w:rsidRPr="00000000">
        <w:rPr>
          <w:color w:val="0f0f0f"/>
          <w:sz w:val="28"/>
          <w:szCs w:val="28"/>
          <w:highlight w:val="white"/>
          <w:rtl w:val="0"/>
        </w:rPr>
        <w:t xml:space="preserve">2509592</w:t>
      </w:r>
      <w:r w:rsidDel="00000000" w:rsidR="00000000" w:rsidRPr="00000000">
        <w:rPr>
          <w:rtl w:val="0"/>
        </w:rPr>
      </w:r>
    </w:p>
    <w:p w:rsidR="00000000" w:rsidDel="00000000" w:rsidP="00000000" w:rsidRDefault="00000000" w:rsidRPr="00000000" w14:paraId="00000008">
      <w:pPr>
        <w:spacing w:line="278.00000000000006" w:lineRule="auto"/>
        <w:jc w:val="center"/>
        <w:rPr>
          <w:b w:val="1"/>
          <w:bCs w:val="1"/>
          <w:sz w:val="48"/>
          <w:szCs w:val="48"/>
        </w:rPr>
      </w:pPr>
      <w:r w:rsidDel="00000000" w:rsidR="00000000" w:rsidRPr="00000000">
        <w:rPr>
          <w:rtl w:val="0"/>
        </w:rPr>
      </w:r>
    </w:p>
    <w:p w:rsidR="00000000" w:rsidDel="00000000" w:rsidP="00000000" w:rsidRDefault="00000000" w:rsidRPr="00000000" w14:paraId="00000009">
      <w:pPr>
        <w:pStyle w:val="Heading1"/>
        <w:rPr/>
      </w:pPr>
      <w:bookmarkStart w:colFirst="0" w:colLast="0" w:name="_9knplvlp2r21" w:id="2"/>
      <w:bookmarkEnd w:id="2"/>
      <w:r w:rsidDel="00000000" w:rsidR="00000000" w:rsidRPr="00000000">
        <w:rPr>
          <w:rtl w:val="0"/>
        </w:rPr>
      </w:r>
    </w:p>
    <w:p w:rsidR="00000000" w:rsidDel="00000000" w:rsidP="00000000" w:rsidRDefault="00000000" w:rsidRPr="00000000" w14:paraId="0000000A">
      <w:pPr>
        <w:pStyle w:val="Heading1"/>
        <w:rPr/>
      </w:pPr>
      <w:bookmarkStart w:colFirst="0" w:colLast="0" w:name="_yuw90lqpi4a5" w:id="3"/>
      <w:bookmarkEnd w:id="3"/>
      <w:r w:rsidDel="00000000" w:rsidR="00000000" w:rsidRPr="00000000">
        <w:rPr>
          <w:rtl w:val="0"/>
        </w:rPr>
      </w:r>
    </w:p>
    <w:p w:rsidR="00000000" w:rsidDel="00000000" w:rsidP="00000000" w:rsidRDefault="00000000" w:rsidRPr="00000000" w14:paraId="0000000B">
      <w:pPr>
        <w:pStyle w:val="Heading1"/>
        <w:rPr/>
      </w:pPr>
      <w:bookmarkStart w:colFirst="0" w:colLast="0" w:name="_wc75vw2cx53r" w:id="4"/>
      <w:bookmarkEnd w:id="4"/>
      <w:r w:rsidDel="00000000" w:rsidR="00000000" w:rsidRPr="00000000">
        <w:rPr>
          <w:rtl w:val="0"/>
        </w:rPr>
      </w:r>
    </w:p>
    <w:p w:rsidR="00000000" w:rsidDel="00000000" w:rsidP="00000000" w:rsidRDefault="00000000" w:rsidRPr="00000000" w14:paraId="0000000C">
      <w:pPr>
        <w:pStyle w:val="Heading1"/>
        <w:rPr/>
      </w:pPr>
      <w:bookmarkStart w:colFirst="0" w:colLast="0" w:name="_76xo0ju0f5c" w:id="5"/>
      <w:bookmarkEnd w:id="5"/>
      <w:r w:rsidDel="00000000" w:rsidR="00000000" w:rsidRPr="00000000">
        <w:rPr>
          <w:rtl w:val="0"/>
        </w:rPr>
      </w:r>
    </w:p>
    <w:p w:rsidR="00000000" w:rsidDel="00000000" w:rsidP="00000000" w:rsidRDefault="00000000" w:rsidRPr="00000000" w14:paraId="0000000D">
      <w:pPr>
        <w:pStyle w:val="Heading1"/>
        <w:rPr/>
      </w:pPr>
      <w:bookmarkStart w:colFirst="0" w:colLast="0" w:name="_uznzm1c8e28l" w:id="6"/>
      <w:bookmarkEnd w:id="6"/>
      <w:r w:rsidDel="00000000" w:rsidR="00000000" w:rsidRPr="00000000">
        <w:rPr>
          <w:rtl w:val="0"/>
        </w:rPr>
      </w:r>
    </w:p>
    <w:p w:rsidR="00000000" w:rsidDel="00000000" w:rsidP="00000000" w:rsidRDefault="00000000" w:rsidRPr="00000000" w14:paraId="0000000E">
      <w:pPr>
        <w:pStyle w:val="Heading1"/>
        <w:rPr/>
      </w:pPr>
      <w:bookmarkStart w:colFirst="0" w:colLast="0" w:name="_ejohi7s2p1e6" w:id="7"/>
      <w:bookmarkEnd w:id="7"/>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pStyle w:val="Heading1"/>
        <w:rPr/>
      </w:pPr>
      <w:bookmarkStart w:colFirst="0" w:colLast="0" w:name="_aw81r3uf8bb8" w:id="8"/>
      <w:bookmarkEnd w:id="8"/>
      <w:r w:rsidDel="00000000" w:rsidR="00000000" w:rsidRPr="00000000">
        <w:rPr>
          <w:rtl w:val="0"/>
        </w:rPr>
        <w:t xml:space="preserve">Abstract</w:t>
      </w:r>
    </w:p>
    <w:p w:rsidR="00000000" w:rsidDel="00000000" w:rsidP="00000000" w:rsidRDefault="00000000" w:rsidRPr="00000000" w14:paraId="00000011">
      <w:pPr>
        <w:rPr/>
      </w:pPr>
      <w:r w:rsidDel="00000000" w:rsidR="00000000" w:rsidRPr="00000000">
        <w:rPr>
          <w:rtl w:val="0"/>
        </w:rPr>
        <w:t xml:space="preserve">FullerHealth is a multinational brand of healthy living, which uses cloud based, wireless and BYOD access, however at present, works without seamless security policies or governance exposing staff, customer and intellectual property information to high risk. This report will carry out tests of the available resources in place on the structuring of security frameworks, such as ISO 27001, ITIL and other supplementary frameworks, and generalises the framework to be used in crafting a custom information security governance framework, in the context of NatureGreen. The suggested strategy will establish a well-defined governance structure, risk management protocol, policy framework, protection and continuity protocol, and an implementation dynamic roadmap that will back the alignment of ISO 27001 wherever necessary. Such-like recommendations focus on executive sponsorship, prioritisation through risk, constant monitoring and recalibration of controls and policies based on changes in threats, technologies and regulations, and display future improvement directions using AI directed detection and automated response to enhance the resiliency at scale. </w:t>
      </w: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1649250740"/>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aw81r3uf8bb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7e2jnhbiyby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sas7yl4t061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Background and Context</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89ytspdhxbt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Purpose and Scope</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bakm1qn0cj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Key Assumptions</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3a6u6y42pny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Literature Review: Security Frameworks and Models</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a26pv5xd0m7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International Organization for Standardization (ISO 27000 Series)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7mgfwuc6eee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Information Technology Infrastructure Library (ITIL)</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8j70wk8kc52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Other Relevant Frameworks</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wsnizmlwux1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Synthesis and Gap Analysis</w:t>
              <w:tab/>
              <w:t xml:space="preserve">10</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x6c1a5lg82l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Proposed Security Governance Framework for NatureGreen</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qoyciybp7e8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Framework Design Philosophy</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w8v1bwcej1y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Governance Structure</w:t>
              <w:tab/>
              <w:t xml:space="preserve">11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t35jyde4vnz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Strategic Security Planning</w:t>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4jtgbkquw0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 Security Policies and Procedures</w:t>
              <w:tab/>
              <w:t xml:space="preserve">13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ieecjyc6mg3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3.5 Risk Management Framework</w:t>
              <w:tab/>
              <w:t xml:space="preserve">14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ex7ua0acxa0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3.6 Compliance and Legal Requirements</w:t>
              <w:tab/>
              <w:t xml:space="preserve">15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dlrh849y9la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3.7 Protection Mechanisms</w:t>
              <w:tab/>
              <w:t xml:space="preserve">15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plb8bhgeq0u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3.8 Contingency and Business Continuity Planning</w:t>
              <w:tab/>
              <w:t xml:space="preserve">16</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c5qw7w7s45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3.9 Service Level Agreements (SLAs)</w:t>
              <w:tab/>
              <w:t xml:space="preserve">16</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p61mr86gtjw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Critical Analysis</w:t>
              <w:tab/>
              <w:t xml:space="preserve">16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135s0gw7j8v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The Dynamic Nature of Cybersecurity Threats</w:t>
              <w:tab/>
              <w:t xml:space="preserve">16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kt7ziq6vgsx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Technological Advancement and Regulatory Adaptation</w:t>
              <w:tab/>
              <w:t xml:space="preserve">17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tsdfco5mbsf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Benefits of Regular Updates to Standards</w:t>
              <w:tab/>
              <w:t xml:space="preserve">17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rkhqrx9joel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4.4 Challenges and Considerations</w:t>
              <w:tab/>
              <w:t xml:space="preserve">18</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gybc0h2mq43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Implementation Roadmap for NatureGreen</w:t>
              <w:tab/>
              <w:t xml:space="preserve">18</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frxhc9d86kv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Phased Implementation Approach</w:t>
              <w:tab/>
              <w:t xml:space="preserve">18</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1kae6vmb40u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Success Factors and Key Recommendations</w:t>
              <w:tab/>
              <w:t xml:space="preserve">19</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9640ffwxu4g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Conclusion</w:t>
              <w:tab/>
              <w:t xml:space="preserve">19</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9n1w5fgwak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20</w:t>
            </w:r>
          </w:hyperlink>
          <w:r w:rsidDel="00000000" w:rsidR="00000000" w:rsidRPr="00000000">
            <w:rPr>
              <w:rtl w:val="0"/>
            </w:rPr>
          </w:r>
        </w:p>
        <w:p w:rsidR="00000000" w:rsidDel="00000000" w:rsidP="00000000" w:rsidRDefault="00000000" w:rsidRPr="00000000" w14:paraId="0000003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2">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line="278.00000000000006" w:lineRule="auto"/>
        <w:jc w:val="left"/>
        <w:rPr>
          <w:b w:val="1"/>
          <w:bCs w:val="1"/>
          <w:sz w:val="32"/>
          <w:szCs w:val="32"/>
        </w:rPr>
      </w:pPr>
      <w:r w:rsidDel="00000000" w:rsidR="00000000" w:rsidRPr="00000000">
        <w:rPr>
          <w:b w:val="1"/>
          <w:bCs w:val="1"/>
          <w:sz w:val="32"/>
          <w:szCs w:val="32"/>
          <w:rtl w:val="0"/>
        </w:rPr>
        <w:t xml:space="preserve">List of Figures</w:t>
      </w:r>
    </w:p>
    <w:sdt>
      <w:sdtPr>
        <w:id w:val="841660084"/>
        <w:docPartObj>
          <w:docPartGallery w:val="Table of Contents"/>
          <w:docPartUnique w:val="1"/>
        </w:docPartObj>
      </w:sdtPr>
      <w:sdtContent>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sxbcb1y78tf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Overview of ISO 27001–27002 Framework Relationship</w:t>
              <w:tab/>
              <w:t xml:space="preserve">7</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ne1k6yvss1j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 ITIL Service Lifecycle</w:t>
              <w:tab/>
              <w:t xml:space="preserve">9</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mh2n4uexiwi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3: Information Security Governance Structure Overview</w:t>
              <w:tab/>
              <w:t xml:space="preserve">12</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eham6jdk645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4: Comprehensive cyclical framework for risk management</w:t>
              <w:tab/>
              <w:t xml:space="preserve">14</w:t>
            </w:r>
          </w:hyperlink>
          <w:r w:rsidDel="00000000" w:rsidR="00000000" w:rsidRPr="00000000">
            <w:rPr>
              <w:rtl w:val="0"/>
            </w:rPr>
          </w:r>
        </w:p>
        <w:p w:rsidR="00000000" w:rsidDel="00000000" w:rsidP="00000000" w:rsidRDefault="00000000" w:rsidRPr="00000000" w14:paraId="00000038">
          <w:pPr>
            <w:spacing w:line="278.00000000000006" w:lineRule="auto"/>
            <w:jc w:val="left"/>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9">
      <w:pPr>
        <w:spacing w:line="278.00000000000006" w:lineRule="auto"/>
        <w:jc w:val="left"/>
        <w:rPr>
          <w:b w:val="1"/>
          <w:bCs w:val="1"/>
          <w:sz w:val="32"/>
          <w:szCs w:val="32"/>
        </w:rPr>
      </w:pPr>
      <w:r w:rsidDel="00000000" w:rsidR="00000000" w:rsidRPr="00000000">
        <w:rPr>
          <w:b w:val="1"/>
          <w:bCs w:val="1"/>
          <w:sz w:val="32"/>
          <w:szCs w:val="32"/>
          <w:rtl w:val="0"/>
        </w:rPr>
        <w:t xml:space="preserve">List of Tables</w:t>
      </w:r>
    </w:p>
    <w:sdt>
      <w:sdtPr>
        <w:id w:val="407340045"/>
        <w:docPartObj>
          <w:docPartGallery w:val="Table of Contents"/>
          <w:docPartUnique w:val="1"/>
        </w:docPartObj>
      </w:sdtPr>
      <w:sdtContent>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mb2z5zt06n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 ISO 27001 and 27002 domain comparison</w:t>
              <w:tab/>
              <w:t xml:space="preserve">7</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9em4urmdi45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2: Key IT processes and security contributions</w:t>
              <w:tab/>
              <w:t xml:space="preserve">8</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5ivdfxeb8c3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3: Comparison of major IT security frameworks</w:t>
              <w:tab/>
              <w:t xml:space="preserve">10</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aaynt4gob0s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4: Comparison of framework insights and gaps</w:t>
              <w:tab/>
              <w:t xml:space="preserve">11</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r9dscar2slx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5: Primary Contributions of Security Frameworks</w:t>
              <w:tab/>
              <w:t xml:space="preserve">11</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evms0gdbsdw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6: Information Security Governance Roles and Responsibilities</w:t>
              <w:tab/>
              <w:t xml:space="preserve">12</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ssan19693y0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7: Balanced Scorecard Perspectives for Security KPIs</w:t>
              <w:tab/>
              <w:t xml:space="preserve">13</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qz21j7cvip7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8: Key Security Policy Domains and Priorities</w:t>
              <w:tab/>
              <w:t xml:space="preserve">13</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faxufsleili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9: Key Compliance Areas and Their Focus</w:t>
              <w:tab/>
              <w:t xml:space="preserve">15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td9j16j11kt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10: Core Components of Business Continuity Planning</w:t>
              <w:tab/>
              <w:t xml:space="preserve">16</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azppeglh47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11: Regulatory needs driven by emerging technologies</w:t>
              <w:tab/>
              <w:t xml:space="preserve">17</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sd257uydgmb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12: Phased roadmap for enhancing security maturity</w:t>
              <w:tab/>
              <w:t xml:space="preserve">18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6">
      <w:pPr>
        <w:spacing w:line="278.00000000000006" w:lineRule="auto"/>
        <w:jc w:val="left"/>
        <w:rPr/>
      </w:pPr>
      <w:r w:rsidDel="00000000" w:rsidR="00000000" w:rsidRPr="00000000">
        <w:rPr>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47">
      <w:pPr>
        <w:pStyle w:val="Heading1"/>
        <w:rPr/>
      </w:pPr>
      <w:bookmarkStart w:colFirst="0" w:colLast="0" w:name="_7e2jnhbiybyn" w:id="9"/>
      <w:bookmarkEnd w:id="9"/>
      <w:r w:rsidDel="00000000" w:rsidR="00000000" w:rsidRPr="00000000">
        <w:rPr>
          <w:rtl w:val="0"/>
        </w:rPr>
        <w:t xml:space="preserve">1. Introduction</w:t>
      </w:r>
    </w:p>
    <w:p w:rsidR="00000000" w:rsidDel="00000000" w:rsidP="00000000" w:rsidRDefault="00000000" w:rsidRPr="00000000" w14:paraId="00000048">
      <w:pPr>
        <w:pStyle w:val="Heading2"/>
        <w:rPr/>
      </w:pPr>
      <w:bookmarkStart w:colFirst="0" w:colLast="0" w:name="_sas7yl4t061n" w:id="10"/>
      <w:bookmarkEnd w:id="10"/>
      <w:r w:rsidDel="00000000" w:rsidR="00000000" w:rsidRPr="00000000">
        <w:rPr>
          <w:rtl w:val="0"/>
        </w:rPr>
        <w:t xml:space="preserve">1.1 Background and Context</w:t>
      </w:r>
    </w:p>
    <w:p w:rsidR="00000000" w:rsidDel="00000000" w:rsidP="00000000" w:rsidRDefault="00000000" w:rsidRPr="00000000" w14:paraId="00000049">
      <w:pPr>
        <w:rPr/>
      </w:pPr>
      <w:r w:rsidDel="00000000" w:rsidR="00000000" w:rsidRPr="00000000">
        <w:rPr>
          <w:rtl w:val="0"/>
        </w:rPr>
        <w:t xml:space="preserve">NatureGreen (NG) is an international company, which deals in products that help in maintaining a healthy lifestyle, and it is termed to be among the most desired brands throughout the world, having vast global business activities and effective internet and social media connectivity. It is a sensitive network with cloud-based services providing services to its staff and customers and the majority of the network connections are wireless (around 95%). NG is putting a severe strain on both employees and customers to allow them to use their own devices to access corporate resources, which adds to complex bring your own device (BYOD) risks. Meanwhile, the organisation has to expose vast amounts of staff and customer information and defend the intellectual property worth billions, but it is currently functioning without a formal security policy framework and its information protection policies are chaotic.</w:t>
      </w:r>
    </w:p>
    <w:p w:rsidR="00000000" w:rsidDel="00000000" w:rsidP="00000000" w:rsidRDefault="00000000" w:rsidRPr="00000000" w14:paraId="0000004A">
      <w:pPr>
        <w:pStyle w:val="Heading2"/>
        <w:rPr/>
      </w:pPr>
      <w:bookmarkStart w:colFirst="0" w:colLast="0" w:name="_89ytspdhxbt1" w:id="11"/>
      <w:bookmarkEnd w:id="11"/>
      <w:r w:rsidDel="00000000" w:rsidR="00000000" w:rsidRPr="00000000">
        <w:rPr>
          <w:rtl w:val="0"/>
        </w:rPr>
        <w:t xml:space="preserve">1.2 Purpose and Scope</w:t>
      </w:r>
    </w:p>
    <w:p w:rsidR="00000000" w:rsidDel="00000000" w:rsidP="00000000" w:rsidRDefault="00000000" w:rsidRPr="00000000" w14:paraId="0000004B">
      <w:pPr>
        <w:rPr/>
      </w:pPr>
      <w:r w:rsidDel="00000000" w:rsidR="00000000" w:rsidRPr="00000000">
        <w:rPr>
          <w:rtl w:val="0"/>
        </w:rPr>
        <w:t xml:space="preserve">This consultancy report would be aimed at applying best principles and practices of data security, governance and compliance to the situation presented in NatureGreen and suggest a logical security governance strategy that can resolve the identified weaknesses. The report is based on the studies of the known security frameworks and models such as ISO 27000 and ITIL, and utilises the literature to make the appropriate organisational security framework and discuss the changing regulations and standards equations. The building blocks will include a review of applicant frameworks, NG specific framework, critical analysis of regulatory change, and implementation roadmap.</w:t>
      </w:r>
    </w:p>
    <w:p w:rsidR="00000000" w:rsidDel="00000000" w:rsidP="00000000" w:rsidRDefault="00000000" w:rsidRPr="00000000" w14:paraId="0000004C">
      <w:pPr>
        <w:pStyle w:val="Heading2"/>
        <w:rPr/>
      </w:pPr>
      <w:bookmarkStart w:colFirst="0" w:colLast="0" w:name="_hbakm1qn0cje" w:id="12"/>
      <w:bookmarkEnd w:id="12"/>
      <w:r w:rsidDel="00000000" w:rsidR="00000000" w:rsidRPr="00000000">
        <w:rPr>
          <w:rtl w:val="0"/>
        </w:rPr>
        <w:t xml:space="preserve">1.3 Key Assumptions</w:t>
      </w:r>
    </w:p>
    <w:p w:rsidR="00000000" w:rsidDel="00000000" w:rsidP="00000000" w:rsidRDefault="00000000" w:rsidRPr="00000000" w14:paraId="0000004D">
      <w:pPr>
        <w:rPr/>
      </w:pPr>
      <w:r w:rsidDel="00000000" w:rsidR="00000000" w:rsidRPr="00000000">
        <w:rPr>
          <w:rtl w:val="0"/>
        </w:rPr>
        <w:t xml:space="preserve">This report is limited to the facts given in the description of the NatureGreen case, and it considers them to be a true reflection of the way NG presently has its environment of the world, consisting of the cloud and wire-based system. It does not assume prior, formal information security policies or governance arrangements other than that which is mentioned expressly and does not bring about vendor-specific technology or architecture details which are not documented. Additional assumptions needed to complete the detailed design are going to be mentioned specifically in subsequent sections and distinctly dissociated with the facts of the scenario.</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1"/>
        <w:rPr/>
      </w:pPr>
      <w:bookmarkStart w:colFirst="0" w:colLast="0" w:name="_3a6u6y42pnym" w:id="13"/>
      <w:bookmarkEnd w:id="13"/>
      <w:r w:rsidDel="00000000" w:rsidR="00000000" w:rsidRPr="00000000">
        <w:rPr>
          <w:rtl w:val="0"/>
        </w:rPr>
        <w:t xml:space="preserve">2. Literature Review: Security Frameworks and Models</w:t>
      </w:r>
    </w:p>
    <w:p w:rsidR="00000000" w:rsidDel="00000000" w:rsidP="00000000" w:rsidRDefault="00000000" w:rsidRPr="00000000" w14:paraId="00000050">
      <w:pPr>
        <w:pStyle w:val="Heading2"/>
        <w:rPr/>
      </w:pPr>
      <w:bookmarkStart w:colFirst="0" w:colLast="0" w:name="_a26pv5xd0m7f" w:id="14"/>
      <w:bookmarkEnd w:id="14"/>
      <w:r w:rsidDel="00000000" w:rsidR="00000000" w:rsidRPr="00000000">
        <w:rPr>
          <w:rtl w:val="0"/>
        </w:rPr>
        <w:t xml:space="preserve">2.1 International Organization for Standardization (ISO 27000 Series)</w:t>
      </w:r>
    </w:p>
    <w:p w:rsidR="00000000" w:rsidDel="00000000" w:rsidP="00000000" w:rsidRDefault="00000000" w:rsidRPr="00000000" w14:paraId="00000051">
      <w:pPr>
        <w:rPr/>
      </w:pPr>
      <w:r w:rsidDel="00000000" w:rsidR="00000000" w:rsidRPr="00000000">
        <w:rPr>
          <w:rtl w:val="0"/>
        </w:rPr>
        <w:t xml:space="preserve">The family of ISO/IEC 27000 specifies a risk-based, structured method of information security management, and is based on an Information Security Management System (ISMS). It spells out the mandatory management-system requirement (context, leadership, planning, support, operation, performance evaluation and improvement) and an Annex of reference controls (ISO/IEC 27001). ISO/IEC 27002 helps this by giving specific implementation advice on these controls, grouped into thematic areas including asset management, access control, operations security and communications security [1], [2]. </w:t>
      </w:r>
    </w:p>
    <w:p w:rsidR="00000000" w:rsidDel="00000000" w:rsidP="00000000" w:rsidRDefault="00000000" w:rsidRPr="00000000" w14:paraId="00000052">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mb2z5zt06n3" w:id="15"/>
      <w:bookmarkEnd w:id="15"/>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 ISO 27001 and 27002 domain comparison</w:t>
      </w:r>
    </w:p>
    <w:tbl>
      <w:tblPr>
        <w:tblStyle w:val="Table1"/>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405"/>
        <w:gridCol w:w="3402"/>
        <w:gridCol w:w="3209"/>
        <w:tblGridChange w:id="0">
          <w:tblGrid>
            <w:gridCol w:w="2405"/>
            <w:gridCol w:w="3402"/>
            <w:gridCol w:w="3209"/>
          </w:tblGrid>
        </w:tblGridChange>
      </w:tblGrid>
      <w:tr>
        <w:trPr>
          <w:cantSplit w:val="0"/>
          <w:tblHeader w:val="0"/>
        </w:trPr>
        <w:tc>
          <w:tcPr/>
          <w:p w:rsidR="00000000" w:rsidDel="00000000" w:rsidP="00000000" w:rsidRDefault="00000000" w:rsidRPr="00000000" w14:paraId="00000053">
            <w:pPr>
              <w:jc w:val="center"/>
              <w:rPr/>
            </w:pPr>
            <w:r w:rsidDel="00000000" w:rsidR="00000000" w:rsidRPr="00000000">
              <w:rPr>
                <w:b w:val="0"/>
                <w:bCs w:val="0"/>
                <w:rtl w:val="0"/>
              </w:rPr>
              <w:t xml:space="preserve">Domain</w:t>
            </w:r>
            <w:r w:rsidDel="00000000" w:rsidR="00000000" w:rsidRPr="00000000">
              <w:rPr>
                <w:rtl w:val="0"/>
              </w:rPr>
            </w:r>
          </w:p>
        </w:tc>
        <w:tc>
          <w:tcPr/>
          <w:p w:rsidR="00000000" w:rsidDel="00000000" w:rsidP="00000000" w:rsidRDefault="00000000" w:rsidRPr="00000000" w14:paraId="00000054">
            <w:pPr>
              <w:jc w:val="center"/>
              <w:rPr/>
            </w:pPr>
            <w:r w:rsidDel="00000000" w:rsidR="00000000" w:rsidRPr="00000000">
              <w:rPr>
                <w:b w:val="0"/>
                <w:bCs w:val="0"/>
                <w:rtl w:val="0"/>
              </w:rPr>
              <w:t xml:space="preserve">ISO 27001 focus (Annex A)</w:t>
            </w:r>
            <w:r w:rsidDel="00000000" w:rsidR="00000000" w:rsidRPr="00000000">
              <w:rPr>
                <w:rtl w:val="0"/>
              </w:rPr>
            </w:r>
          </w:p>
        </w:tc>
        <w:tc>
          <w:tcPr/>
          <w:p w:rsidR="00000000" w:rsidDel="00000000" w:rsidP="00000000" w:rsidRDefault="00000000" w:rsidRPr="00000000" w14:paraId="00000055">
            <w:pPr>
              <w:jc w:val="center"/>
              <w:rPr/>
            </w:pPr>
            <w:r w:rsidDel="00000000" w:rsidR="00000000" w:rsidRPr="00000000">
              <w:rPr>
                <w:b w:val="0"/>
                <w:bCs w:val="0"/>
                <w:rtl w:val="0"/>
              </w:rPr>
              <w:t xml:space="preserve">ISO 27002 example controls</w:t>
            </w:r>
            <w:r w:rsidDel="00000000" w:rsidR="00000000" w:rsidRPr="00000000">
              <w:rPr>
                <w:rtl w:val="0"/>
              </w:rPr>
            </w:r>
          </w:p>
        </w:tc>
      </w:tr>
      <w:tr>
        <w:trPr>
          <w:cantSplit w:val="0"/>
          <w:tblHeader w:val="0"/>
        </w:trPr>
        <w:tc>
          <w:tcPr/>
          <w:p w:rsidR="00000000" w:rsidDel="00000000" w:rsidP="00000000" w:rsidRDefault="00000000" w:rsidRPr="00000000" w14:paraId="00000056">
            <w:pPr>
              <w:jc w:val="left"/>
              <w:rPr/>
            </w:pPr>
            <w:r w:rsidDel="00000000" w:rsidR="00000000" w:rsidRPr="00000000">
              <w:rPr>
                <w:rtl w:val="0"/>
              </w:rPr>
              <w:t xml:space="preserve">Organisation &amp; governance</w:t>
            </w:r>
          </w:p>
        </w:tc>
        <w:tc>
          <w:tcPr/>
          <w:p w:rsidR="00000000" w:rsidDel="00000000" w:rsidP="00000000" w:rsidRDefault="00000000" w:rsidRPr="00000000" w14:paraId="00000057">
            <w:pPr>
              <w:jc w:val="left"/>
              <w:rPr/>
            </w:pPr>
            <w:r w:rsidDel="00000000" w:rsidR="00000000" w:rsidRPr="00000000">
              <w:rPr>
                <w:rtl w:val="0"/>
              </w:rPr>
              <w:t xml:space="preserve">Information security policies, roles, ISMS</w:t>
            </w:r>
          </w:p>
        </w:tc>
        <w:tc>
          <w:tcPr/>
          <w:p w:rsidR="00000000" w:rsidDel="00000000" w:rsidP="00000000" w:rsidRDefault="00000000" w:rsidRPr="00000000" w14:paraId="00000058">
            <w:pPr>
              <w:jc w:val="left"/>
              <w:rPr/>
            </w:pPr>
            <w:r w:rsidDel="00000000" w:rsidR="00000000" w:rsidRPr="00000000">
              <w:rPr>
                <w:rtl w:val="0"/>
              </w:rPr>
              <w:t xml:space="preserve">Policy management, segregation of duties</w:t>
            </w:r>
          </w:p>
        </w:tc>
      </w:tr>
      <w:tr>
        <w:trPr>
          <w:cantSplit w:val="0"/>
          <w:tblHeader w:val="0"/>
        </w:trPr>
        <w:tc>
          <w:tcPr/>
          <w:p w:rsidR="00000000" w:rsidDel="00000000" w:rsidP="00000000" w:rsidRDefault="00000000" w:rsidRPr="00000000" w14:paraId="00000059">
            <w:pPr>
              <w:jc w:val="left"/>
              <w:rPr/>
            </w:pPr>
            <w:r w:rsidDel="00000000" w:rsidR="00000000" w:rsidRPr="00000000">
              <w:rPr>
                <w:rtl w:val="0"/>
              </w:rPr>
              <w:t xml:space="preserve">Asset &amp; access management</w:t>
            </w:r>
          </w:p>
        </w:tc>
        <w:tc>
          <w:tcPr/>
          <w:p w:rsidR="00000000" w:rsidDel="00000000" w:rsidP="00000000" w:rsidRDefault="00000000" w:rsidRPr="00000000" w14:paraId="0000005A">
            <w:pPr>
              <w:jc w:val="left"/>
              <w:rPr/>
            </w:pPr>
            <w:r w:rsidDel="00000000" w:rsidR="00000000" w:rsidRPr="00000000">
              <w:rPr>
                <w:rtl w:val="0"/>
              </w:rPr>
              <w:t xml:space="preserve">Asset inventory, access control</w:t>
            </w:r>
          </w:p>
        </w:tc>
        <w:tc>
          <w:tcPr/>
          <w:p w:rsidR="00000000" w:rsidDel="00000000" w:rsidP="00000000" w:rsidRDefault="00000000" w:rsidRPr="00000000" w14:paraId="0000005B">
            <w:pPr>
              <w:jc w:val="left"/>
              <w:rPr/>
            </w:pPr>
            <w:r w:rsidDel="00000000" w:rsidR="00000000" w:rsidRPr="00000000">
              <w:rPr>
                <w:rtl w:val="0"/>
              </w:rPr>
              <w:t xml:space="preserve">Classification, least privilege, authentication</w:t>
            </w:r>
          </w:p>
        </w:tc>
      </w:tr>
      <w:tr>
        <w:trPr>
          <w:cantSplit w:val="0"/>
          <w:tblHeader w:val="0"/>
        </w:trPr>
        <w:tc>
          <w:tcPr/>
          <w:p w:rsidR="00000000" w:rsidDel="00000000" w:rsidP="00000000" w:rsidRDefault="00000000" w:rsidRPr="00000000" w14:paraId="0000005C">
            <w:pPr>
              <w:jc w:val="left"/>
              <w:rPr/>
            </w:pPr>
            <w:r w:rsidDel="00000000" w:rsidR="00000000" w:rsidRPr="00000000">
              <w:rPr>
                <w:rtl w:val="0"/>
              </w:rPr>
              <w:t xml:space="preserve">Operations &amp; communications</w:t>
            </w:r>
          </w:p>
        </w:tc>
        <w:tc>
          <w:tcPr/>
          <w:p w:rsidR="00000000" w:rsidDel="00000000" w:rsidP="00000000" w:rsidRDefault="00000000" w:rsidRPr="00000000" w14:paraId="0000005D">
            <w:pPr>
              <w:jc w:val="left"/>
              <w:rPr/>
            </w:pPr>
            <w:r w:rsidDel="00000000" w:rsidR="00000000" w:rsidRPr="00000000">
              <w:rPr>
                <w:rtl w:val="0"/>
              </w:rPr>
              <w:t xml:space="preserve">Operations security, network security</w:t>
            </w:r>
          </w:p>
        </w:tc>
        <w:tc>
          <w:tcPr/>
          <w:p w:rsidR="00000000" w:rsidDel="00000000" w:rsidP="00000000" w:rsidRDefault="00000000" w:rsidRPr="00000000" w14:paraId="0000005E">
            <w:pPr>
              <w:jc w:val="left"/>
              <w:rPr/>
            </w:pPr>
            <w:r w:rsidDel="00000000" w:rsidR="00000000" w:rsidRPr="00000000">
              <w:rPr>
                <w:rtl w:val="0"/>
              </w:rPr>
              <w:t xml:space="preserve">Logging, change control, secure network architecture</w:t>
            </w:r>
          </w:p>
        </w:tc>
      </w:tr>
      <w:tr>
        <w:trPr>
          <w:cantSplit w:val="0"/>
          <w:tblHeader w:val="0"/>
        </w:trPr>
        <w:tc>
          <w:tcPr/>
          <w:p w:rsidR="00000000" w:rsidDel="00000000" w:rsidP="00000000" w:rsidRDefault="00000000" w:rsidRPr="00000000" w14:paraId="0000005F">
            <w:pPr>
              <w:jc w:val="left"/>
              <w:rPr/>
            </w:pPr>
            <w:r w:rsidDel="00000000" w:rsidR="00000000" w:rsidRPr="00000000">
              <w:rPr>
                <w:rtl w:val="0"/>
              </w:rPr>
              <w:t xml:space="preserve">Supplier &amp; cloud relationships</w:t>
            </w:r>
          </w:p>
        </w:tc>
        <w:tc>
          <w:tcPr/>
          <w:p w:rsidR="00000000" w:rsidDel="00000000" w:rsidP="00000000" w:rsidRDefault="00000000" w:rsidRPr="00000000" w14:paraId="00000060">
            <w:pPr>
              <w:jc w:val="left"/>
              <w:rPr/>
            </w:pPr>
            <w:r w:rsidDel="00000000" w:rsidR="00000000" w:rsidRPr="00000000">
              <w:rPr>
                <w:rtl w:val="0"/>
              </w:rPr>
              <w:t xml:space="preserve">Supplier security requirements</w:t>
            </w:r>
          </w:p>
        </w:tc>
        <w:tc>
          <w:tcPr/>
          <w:p w:rsidR="00000000" w:rsidDel="00000000" w:rsidP="00000000" w:rsidRDefault="00000000" w:rsidRPr="00000000" w14:paraId="00000061">
            <w:pPr>
              <w:jc w:val="left"/>
              <w:rPr/>
            </w:pPr>
            <w:r w:rsidDel="00000000" w:rsidR="00000000" w:rsidRPr="00000000">
              <w:rPr>
                <w:rtl w:val="0"/>
              </w:rPr>
              <w:t xml:space="preserve">Security clauses in contracts, cloud service review</w:t>
            </w:r>
          </w:p>
        </w:tc>
      </w:tr>
    </w:tbl>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keepNext w:val="1"/>
        <w:jc w:val="center"/>
        <w:rPr/>
      </w:pPr>
      <w:r w:rsidDel="00000000" w:rsidR="00000000" w:rsidRPr="00000000">
        <w:rPr/>
        <w:drawing>
          <wp:inline distB="0" distT="0" distL="0" distR="0">
            <wp:extent cx="5519019" cy="2817598"/>
            <wp:effectExtent b="0" l="0" r="0" t="0"/>
            <wp:docPr descr="A diagram of a system&#10;&#10;AI-generated content may be incorrect." id="2" name="image3.jpg"/>
            <a:graphic>
              <a:graphicData uri="http://schemas.openxmlformats.org/drawingml/2006/picture">
                <pic:pic>
                  <pic:nvPicPr>
                    <pic:cNvPr descr="A diagram of a system&#10;&#10;AI-generated content may be incorrect." id="0" name="image3.jpg"/>
                    <pic:cNvPicPr preferRelativeResize="0"/>
                  </pic:nvPicPr>
                  <pic:blipFill>
                    <a:blip r:embed="rId7"/>
                    <a:srcRect b="0" l="0" r="0" t="0"/>
                    <a:stretch>
                      <a:fillRect/>
                    </a:stretch>
                  </pic:blipFill>
                  <pic:spPr>
                    <a:xfrm>
                      <a:off x="0" y="0"/>
                      <a:ext cx="5519019" cy="2817598"/>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sxbcb1y78tfr" w:id="16"/>
      <w:bookmarkEnd w:id="16"/>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Figure 1: Overview of ISO 27001–27002 Framework Relationship</w:t>
      </w:r>
    </w:p>
    <w:p w:rsidR="00000000" w:rsidDel="00000000" w:rsidP="00000000" w:rsidRDefault="00000000" w:rsidRPr="00000000" w14:paraId="00000065">
      <w:pPr>
        <w:rPr/>
      </w:pPr>
      <w:r w:rsidDel="00000000" w:rsidR="00000000" w:rsidRPr="00000000">
        <w:rPr>
          <w:rtl w:val="0"/>
        </w:rPr>
        <w:t xml:space="preserve">In the case of an organisation such as NatureGreen, which is a cloud-based and mostly wireless system, with such extensive BYOD pressure, ISO 27001/27002 would offer systematic controls over the security of the networks, endpoints, and in transit and rest data and govern the relationships of suppliers and clouds. Roadmap to ISMS based on these standards would assist NG in maintaining confidentiality, integrity, and availability of customer information, staff and intellectual-property information and, however, allowing the organization to monitor and enhance security posture [1], [2], [3].</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pStyle w:val="Heading2"/>
        <w:rPr/>
      </w:pPr>
      <w:bookmarkStart w:colFirst="0" w:colLast="0" w:name="_7mgfwuc6eeeo" w:id="17"/>
      <w:bookmarkEnd w:id="17"/>
      <w:r w:rsidDel="00000000" w:rsidR="00000000" w:rsidRPr="00000000">
        <w:rPr>
          <w:rtl w:val="0"/>
        </w:rPr>
        <w:t xml:space="preserve">2.2 Information Technology Infrastructure Library (ITIL)</w:t>
      </w:r>
    </w:p>
    <w:p w:rsidR="00000000" w:rsidDel="00000000" w:rsidP="00000000" w:rsidRDefault="00000000" w:rsidRPr="00000000" w14:paraId="00000068">
      <w:pPr>
        <w:rPr/>
      </w:pPr>
      <w:r w:rsidDel="00000000" w:rsidR="00000000" w:rsidRPr="00000000">
        <w:rPr>
          <w:rtl w:val="0"/>
        </w:rPr>
        <w:t xml:space="preserve">ITIL is a popular IT service management (ITSM) system that stipulates ideal practice of processes in planning, delivering and enhancing IT services in order to support business goals at all times. Currently, ITIL has structured practices into a system of service value and a system of value chain; these focus on constant improvement, formally in processes and role/responsibility, performance measures and measures of responsibility [4], [5], [6]. </w:t>
      </w:r>
    </w:p>
    <w:p w:rsidR="00000000" w:rsidDel="00000000" w:rsidP="00000000" w:rsidRDefault="00000000" w:rsidRPr="00000000" w14:paraId="00000069">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9em4urmdi452" w:id="18"/>
      <w:bookmarkEnd w:id="18"/>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2: Key IT processes and security contributions</w:t>
      </w:r>
    </w:p>
    <w:tbl>
      <w:tblPr>
        <w:tblStyle w:val="Table2"/>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547"/>
        <w:gridCol w:w="2693"/>
        <w:gridCol w:w="3776"/>
        <w:tblGridChange w:id="0">
          <w:tblGrid>
            <w:gridCol w:w="2547"/>
            <w:gridCol w:w="2693"/>
            <w:gridCol w:w="3776"/>
          </w:tblGrid>
        </w:tblGridChange>
      </w:tblGrid>
      <w:tr>
        <w:trPr>
          <w:cantSplit w:val="0"/>
          <w:tblHeader w:val="0"/>
        </w:trPr>
        <w:tc>
          <w:tcPr/>
          <w:p w:rsidR="00000000" w:rsidDel="00000000" w:rsidP="00000000" w:rsidRDefault="00000000" w:rsidRPr="00000000" w14:paraId="0000006A">
            <w:pPr>
              <w:jc w:val="center"/>
              <w:rPr/>
            </w:pPr>
            <w:r w:rsidDel="00000000" w:rsidR="00000000" w:rsidRPr="00000000">
              <w:rPr>
                <w:b w:val="0"/>
                <w:bCs w:val="0"/>
                <w:rtl w:val="0"/>
              </w:rPr>
              <w:t xml:space="preserve">Process</w:t>
            </w:r>
            <w:r w:rsidDel="00000000" w:rsidR="00000000" w:rsidRPr="00000000">
              <w:rPr>
                <w:rtl w:val="0"/>
              </w:rPr>
            </w:r>
          </w:p>
        </w:tc>
        <w:tc>
          <w:tcPr/>
          <w:p w:rsidR="00000000" w:rsidDel="00000000" w:rsidP="00000000" w:rsidRDefault="00000000" w:rsidRPr="00000000" w14:paraId="0000006B">
            <w:pPr>
              <w:jc w:val="center"/>
              <w:rPr/>
            </w:pPr>
            <w:r w:rsidDel="00000000" w:rsidR="00000000" w:rsidRPr="00000000">
              <w:rPr>
                <w:b w:val="0"/>
                <w:bCs w:val="0"/>
                <w:rtl w:val="0"/>
              </w:rPr>
              <w:t xml:space="preserve">Primary objective</w:t>
            </w:r>
            <w:r w:rsidDel="00000000" w:rsidR="00000000" w:rsidRPr="00000000">
              <w:rPr>
                <w:rtl w:val="0"/>
              </w:rPr>
            </w:r>
          </w:p>
        </w:tc>
        <w:tc>
          <w:tcPr/>
          <w:p w:rsidR="00000000" w:rsidDel="00000000" w:rsidP="00000000" w:rsidRDefault="00000000" w:rsidRPr="00000000" w14:paraId="0000006C">
            <w:pPr>
              <w:jc w:val="center"/>
              <w:rPr/>
            </w:pPr>
            <w:r w:rsidDel="00000000" w:rsidR="00000000" w:rsidRPr="00000000">
              <w:rPr>
                <w:b w:val="0"/>
                <w:bCs w:val="0"/>
                <w:rtl w:val="0"/>
              </w:rPr>
              <w:t xml:space="preserve">Contribution to security/governance</w:t>
            </w:r>
            <w:r w:rsidDel="00000000" w:rsidR="00000000" w:rsidRPr="00000000">
              <w:rPr>
                <w:rtl w:val="0"/>
              </w:rPr>
            </w:r>
          </w:p>
        </w:tc>
      </w:tr>
      <w:tr>
        <w:trPr>
          <w:cantSplit w:val="0"/>
          <w:tblHeader w:val="0"/>
        </w:trPr>
        <w:tc>
          <w:tcPr/>
          <w:p w:rsidR="00000000" w:rsidDel="00000000" w:rsidP="00000000" w:rsidRDefault="00000000" w:rsidRPr="00000000" w14:paraId="0000006D">
            <w:pPr>
              <w:jc w:val="left"/>
              <w:rPr/>
            </w:pPr>
            <w:r w:rsidDel="00000000" w:rsidR="00000000" w:rsidRPr="00000000">
              <w:rPr>
                <w:rtl w:val="0"/>
              </w:rPr>
              <w:t xml:space="preserve">Incident Management</w:t>
            </w:r>
          </w:p>
        </w:tc>
        <w:tc>
          <w:tcPr/>
          <w:p w:rsidR="00000000" w:rsidDel="00000000" w:rsidP="00000000" w:rsidRDefault="00000000" w:rsidRPr="00000000" w14:paraId="0000006E">
            <w:pPr>
              <w:jc w:val="left"/>
              <w:rPr/>
            </w:pPr>
            <w:r w:rsidDel="00000000" w:rsidR="00000000" w:rsidRPr="00000000">
              <w:rPr>
                <w:rtl w:val="0"/>
              </w:rPr>
              <w:t xml:space="preserve">Restore normal service as quickly as possible</w:t>
            </w:r>
          </w:p>
        </w:tc>
        <w:tc>
          <w:tcPr/>
          <w:p w:rsidR="00000000" w:rsidDel="00000000" w:rsidP="00000000" w:rsidRDefault="00000000" w:rsidRPr="00000000" w14:paraId="0000006F">
            <w:pPr>
              <w:jc w:val="left"/>
              <w:rPr/>
            </w:pPr>
            <w:r w:rsidDel="00000000" w:rsidR="00000000" w:rsidRPr="00000000">
              <w:rPr>
                <w:rtl w:val="0"/>
              </w:rPr>
              <w:t xml:space="preserve">Standardised handling of security incidents, reduced downtime</w:t>
            </w:r>
          </w:p>
        </w:tc>
      </w:tr>
      <w:tr>
        <w:trPr>
          <w:cantSplit w:val="0"/>
          <w:tblHeader w:val="0"/>
        </w:trPr>
        <w:tc>
          <w:tcPr/>
          <w:p w:rsidR="00000000" w:rsidDel="00000000" w:rsidP="00000000" w:rsidRDefault="00000000" w:rsidRPr="00000000" w14:paraId="00000070">
            <w:pPr>
              <w:jc w:val="left"/>
              <w:rPr/>
            </w:pPr>
            <w:r w:rsidDel="00000000" w:rsidR="00000000" w:rsidRPr="00000000">
              <w:rPr>
                <w:rtl w:val="0"/>
              </w:rPr>
              <w:t xml:space="preserve">Change Management/Control</w:t>
            </w:r>
          </w:p>
        </w:tc>
        <w:tc>
          <w:tcPr/>
          <w:p w:rsidR="00000000" w:rsidDel="00000000" w:rsidP="00000000" w:rsidRDefault="00000000" w:rsidRPr="00000000" w14:paraId="00000071">
            <w:pPr>
              <w:jc w:val="left"/>
              <w:rPr/>
            </w:pPr>
            <w:r w:rsidDel="00000000" w:rsidR="00000000" w:rsidRPr="00000000">
              <w:rPr>
                <w:rtl w:val="0"/>
              </w:rPr>
              <w:t xml:space="preserve">Ensure changes are assessed, authorised and tracked</w:t>
            </w:r>
          </w:p>
        </w:tc>
        <w:tc>
          <w:tcPr/>
          <w:p w:rsidR="00000000" w:rsidDel="00000000" w:rsidP="00000000" w:rsidRDefault="00000000" w:rsidRPr="00000000" w14:paraId="00000072">
            <w:pPr>
              <w:jc w:val="left"/>
              <w:rPr/>
            </w:pPr>
            <w:r w:rsidDel="00000000" w:rsidR="00000000" w:rsidRPr="00000000">
              <w:rPr>
                <w:rtl w:val="0"/>
              </w:rPr>
              <w:t xml:space="preserve">Limits risk of insecure or uncontrolled changes to IT services</w:t>
            </w:r>
          </w:p>
        </w:tc>
      </w:tr>
      <w:tr>
        <w:trPr>
          <w:cantSplit w:val="0"/>
          <w:tblHeader w:val="0"/>
        </w:trPr>
        <w:tc>
          <w:tcPr/>
          <w:p w:rsidR="00000000" w:rsidDel="00000000" w:rsidP="00000000" w:rsidRDefault="00000000" w:rsidRPr="00000000" w14:paraId="00000073">
            <w:pPr>
              <w:jc w:val="left"/>
              <w:rPr/>
            </w:pPr>
            <w:r w:rsidDel="00000000" w:rsidR="00000000" w:rsidRPr="00000000">
              <w:rPr>
                <w:rtl w:val="0"/>
              </w:rPr>
              <w:t xml:space="preserve">Service Continuity Mgmt</w:t>
            </w:r>
          </w:p>
        </w:tc>
        <w:tc>
          <w:tcPr/>
          <w:p w:rsidR="00000000" w:rsidDel="00000000" w:rsidP="00000000" w:rsidRDefault="00000000" w:rsidRPr="00000000" w14:paraId="00000074">
            <w:pPr>
              <w:jc w:val="left"/>
              <w:rPr/>
            </w:pPr>
            <w:r w:rsidDel="00000000" w:rsidR="00000000" w:rsidRPr="00000000">
              <w:rPr>
                <w:rtl w:val="0"/>
              </w:rPr>
              <w:t xml:space="preserve">Ensure IT services can be recovered after disruption</w:t>
            </w:r>
          </w:p>
        </w:tc>
        <w:tc>
          <w:tcPr/>
          <w:p w:rsidR="00000000" w:rsidDel="00000000" w:rsidP="00000000" w:rsidRDefault="00000000" w:rsidRPr="00000000" w14:paraId="00000075">
            <w:pPr>
              <w:jc w:val="left"/>
              <w:rPr/>
            </w:pPr>
            <w:r w:rsidDel="00000000" w:rsidR="00000000" w:rsidRPr="00000000">
              <w:rPr>
                <w:rtl w:val="0"/>
              </w:rPr>
              <w:t xml:space="preserve">Supports resilience, disaster recovery and availability targets</w:t>
            </w:r>
          </w:p>
        </w:tc>
      </w:tr>
    </w:tbl>
    <w:p w:rsidR="00000000" w:rsidDel="00000000" w:rsidP="00000000" w:rsidRDefault="00000000" w:rsidRPr="00000000" w14:paraId="00000076">
      <w:pPr>
        <w:tabs>
          <w:tab w:val="left" w:leader="none" w:pos="5625"/>
        </w:tabs>
        <w:rPr/>
      </w:pPr>
      <w:r w:rsidDel="00000000" w:rsidR="00000000" w:rsidRPr="00000000">
        <w:rPr>
          <w:rtl w:val="0"/>
        </w:rPr>
      </w:r>
    </w:p>
    <w:p w:rsidR="00000000" w:rsidDel="00000000" w:rsidP="00000000" w:rsidRDefault="00000000" w:rsidRPr="00000000" w14:paraId="00000077">
      <w:pPr>
        <w:tabs>
          <w:tab w:val="left" w:leader="none" w:pos="5625"/>
        </w:tabs>
        <w:rPr/>
      </w:pPr>
      <w:r w:rsidDel="00000000" w:rsidR="00000000" w:rsidRPr="00000000">
        <w:rPr>
          <w:rtl w:val="0"/>
        </w:rPr>
      </w:r>
    </w:p>
    <w:p w:rsidR="00000000" w:rsidDel="00000000" w:rsidP="00000000" w:rsidRDefault="00000000" w:rsidRPr="00000000" w14:paraId="00000078">
      <w:pPr>
        <w:keepNext w:val="1"/>
        <w:tabs>
          <w:tab w:val="left" w:leader="none" w:pos="5625"/>
        </w:tabs>
        <w:rPr/>
      </w:pPr>
      <w:r w:rsidDel="00000000" w:rsidR="00000000" w:rsidRPr="00000000">
        <w:rPr>
          <w:rtl w:val="0"/>
        </w:rPr>
      </w:r>
    </w:p>
    <w:p w:rsidR="00000000" w:rsidDel="00000000" w:rsidP="00000000" w:rsidRDefault="00000000" w:rsidRPr="00000000" w14:paraId="00000079">
      <w:pPr>
        <w:keepNext w:val="1"/>
        <w:tabs>
          <w:tab w:val="left" w:leader="none" w:pos="5625"/>
        </w:tabs>
        <w:rPr/>
      </w:pPr>
      <w:r w:rsidDel="00000000" w:rsidR="00000000" w:rsidRPr="00000000">
        <w:rPr/>
        <w:drawing>
          <wp:inline distB="0" distT="0" distL="0" distR="0">
            <wp:extent cx="5731510" cy="2792730"/>
            <wp:effectExtent b="0" l="0" r="0" t="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510" cy="2792730"/>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ne1k6yvss1j7" w:id="19"/>
      <w:bookmarkEnd w:id="19"/>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Figure 2: ITIL Service Lifecycle</w:t>
      </w:r>
    </w:p>
    <w:p w:rsidR="00000000" w:rsidDel="00000000" w:rsidP="00000000" w:rsidRDefault="00000000" w:rsidRPr="00000000" w14:paraId="0000007B">
      <w:pPr>
        <w:tabs>
          <w:tab w:val="left" w:leader="none" w:pos="5625"/>
        </w:tabs>
        <w:rPr/>
      </w:pPr>
      <w:r w:rsidDel="00000000" w:rsidR="00000000" w:rsidRPr="00000000">
        <w:rPr>
          <w:rtl w:val="0"/>
        </w:rPr>
        <w:tab/>
      </w:r>
    </w:p>
    <w:p w:rsidR="00000000" w:rsidDel="00000000" w:rsidP="00000000" w:rsidRDefault="00000000" w:rsidRPr="00000000" w14:paraId="0000007C">
      <w:pPr>
        <w:rPr/>
      </w:pPr>
      <w:r w:rsidDel="00000000" w:rsidR="00000000" w:rsidRPr="00000000">
        <w:rPr>
          <w:rtl w:val="0"/>
        </w:rPr>
        <w:t xml:space="preserve">When coupled with information security management, ITIL processes offer governance tools like specified workflows, approval procedures/steps, service level goals and reporting which can incorporate security needs into the routine business processes. In the case of NatureGreen, cloud-delivered, mostly wireless technology, ITIL-based practice of incident, change and continuity would enable an organized work with the outages and security incidents, regulated implementation of the changes in cloud and wireless technology and infrastructure, and a formal continuity strategy in case of critical services used by the personnel and clients [7], [8], [9].</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pStyle w:val="Heading2"/>
        <w:rPr/>
      </w:pPr>
      <w:bookmarkStart w:colFirst="0" w:colLast="0" w:name="_8j70wk8kc52a" w:id="20"/>
      <w:bookmarkEnd w:id="20"/>
      <w:r w:rsidDel="00000000" w:rsidR="00000000" w:rsidRPr="00000000">
        <w:rPr>
          <w:rtl w:val="0"/>
        </w:rPr>
        <w:t xml:space="preserve">2.3 Other Relevant Frameworks</w:t>
      </w:r>
    </w:p>
    <w:p w:rsidR="00000000" w:rsidDel="00000000" w:rsidP="00000000" w:rsidRDefault="00000000" w:rsidRPr="00000000" w14:paraId="0000007F">
      <w:pPr>
        <w:rPr/>
      </w:pPr>
      <w:r w:rsidDel="00000000" w:rsidR="00000000" w:rsidRPr="00000000">
        <w:rPr>
          <w:rtl w:val="0"/>
        </w:rPr>
        <w:t xml:space="preserve">NIST Cybersecurity Framework (CSF) features a risk-based set of cybersecurity outcomes sorted into five core functions Identify, Protect, Detect, Respond and Recover that can be utilized to measure the security state of the organised system, establish an objective profile and prioritize improvement actions. It is technology neutral and is made in an fashion that is designed to map controls and maturity levels of various environments, using a flexible way [1], [10], [11]. </w:t>
      </w:r>
    </w:p>
    <w:p w:rsidR="00000000" w:rsidDel="00000000" w:rsidP="00000000" w:rsidRDefault="00000000" w:rsidRPr="00000000" w14:paraId="00000080">
      <w:pPr>
        <w:rPr/>
      </w:pPr>
      <w:r w:rsidDel="00000000" w:rsidR="00000000" w:rsidRPr="00000000">
        <w:rPr>
          <w:rtl w:val="0"/>
        </w:rPr>
        <w:t xml:space="preserve">COBIT is an enterprise model of the governance and management of IT that creates principles, objectives and processes to make sure that IT provides value to the stakeholders, and addresses the risk and compliance requirements. It separates governance practices (e.g., evaluate-direct-monitor) and management practices (e.g., align-plan-organise, deliver-service-support), which offers a framework that can accommodate and manage security and compliance efforts. They are normally used together but not as a competitors, and unlike the ISO/IEC 27001, which focuses on certifiable ISMS requirements and ITIL, which focuses on service management practices, some of the aspects addressed by NIST CSF and governance and performance are highlighted by COBIT [2], [6], [10], [12]. </w:t>
      </w:r>
    </w:p>
    <w:p w:rsidR="00000000" w:rsidDel="00000000" w:rsidP="00000000" w:rsidRDefault="00000000" w:rsidRPr="00000000" w14:paraId="00000081">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5ivdfxeb8c3d" w:id="21"/>
      <w:bookmarkEnd w:id="21"/>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3: Comparison of major IT security frameworks</w:t>
      </w:r>
    </w:p>
    <w:tbl>
      <w:tblPr>
        <w:tblStyle w:val="Table3"/>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555"/>
        <w:gridCol w:w="2268"/>
        <w:gridCol w:w="2409"/>
        <w:gridCol w:w="2784"/>
        <w:tblGridChange w:id="0">
          <w:tblGrid>
            <w:gridCol w:w="1555"/>
            <w:gridCol w:w="2268"/>
            <w:gridCol w:w="2409"/>
            <w:gridCol w:w="2784"/>
          </w:tblGrid>
        </w:tblGridChange>
      </w:tblGrid>
      <w:tr>
        <w:trPr>
          <w:cantSplit w:val="0"/>
          <w:tblHeader w:val="0"/>
        </w:trPr>
        <w:tc>
          <w:tcPr/>
          <w:p w:rsidR="00000000" w:rsidDel="00000000" w:rsidP="00000000" w:rsidRDefault="00000000" w:rsidRPr="00000000" w14:paraId="00000082">
            <w:pPr>
              <w:jc w:val="left"/>
              <w:rPr/>
            </w:pPr>
            <w:r w:rsidDel="00000000" w:rsidR="00000000" w:rsidRPr="00000000">
              <w:rPr>
                <w:b w:val="0"/>
                <w:bCs w:val="0"/>
                <w:rtl w:val="0"/>
              </w:rPr>
              <w:t xml:space="preserve">Framework</w:t>
            </w:r>
            <w:r w:rsidDel="00000000" w:rsidR="00000000" w:rsidRPr="00000000">
              <w:rPr>
                <w:rtl w:val="0"/>
              </w:rPr>
            </w:r>
          </w:p>
        </w:tc>
        <w:tc>
          <w:tcPr/>
          <w:p w:rsidR="00000000" w:rsidDel="00000000" w:rsidP="00000000" w:rsidRDefault="00000000" w:rsidRPr="00000000" w14:paraId="00000083">
            <w:pPr>
              <w:jc w:val="left"/>
              <w:rPr/>
            </w:pPr>
            <w:r w:rsidDel="00000000" w:rsidR="00000000" w:rsidRPr="00000000">
              <w:rPr>
                <w:b w:val="0"/>
                <w:bCs w:val="0"/>
                <w:rtl w:val="0"/>
              </w:rPr>
              <w:t xml:space="preserve">Primary focus</w:t>
            </w:r>
            <w:r w:rsidDel="00000000" w:rsidR="00000000" w:rsidRPr="00000000">
              <w:rPr>
                <w:rtl w:val="0"/>
              </w:rPr>
            </w:r>
          </w:p>
        </w:tc>
        <w:tc>
          <w:tcPr/>
          <w:p w:rsidR="00000000" w:rsidDel="00000000" w:rsidP="00000000" w:rsidRDefault="00000000" w:rsidRPr="00000000" w14:paraId="00000084">
            <w:pPr>
              <w:jc w:val="left"/>
              <w:rPr/>
            </w:pPr>
            <w:r w:rsidDel="00000000" w:rsidR="00000000" w:rsidRPr="00000000">
              <w:rPr>
                <w:b w:val="0"/>
                <w:bCs w:val="0"/>
                <w:rtl w:val="0"/>
              </w:rPr>
              <w:t xml:space="preserve">Key strengths</w:t>
            </w:r>
            <w:r w:rsidDel="00000000" w:rsidR="00000000" w:rsidRPr="00000000">
              <w:rPr>
                <w:rtl w:val="0"/>
              </w:rPr>
            </w:r>
          </w:p>
        </w:tc>
        <w:tc>
          <w:tcPr/>
          <w:p w:rsidR="00000000" w:rsidDel="00000000" w:rsidP="00000000" w:rsidRDefault="00000000" w:rsidRPr="00000000" w14:paraId="00000085">
            <w:pPr>
              <w:jc w:val="left"/>
              <w:rPr/>
            </w:pPr>
            <w:r w:rsidDel="00000000" w:rsidR="00000000" w:rsidRPr="00000000">
              <w:rPr>
                <w:b w:val="0"/>
                <w:bCs w:val="0"/>
                <w:rtl w:val="0"/>
              </w:rPr>
              <w:t xml:space="preserve">Typical limitations</w:t>
            </w:r>
            <w:r w:rsidDel="00000000" w:rsidR="00000000" w:rsidRPr="00000000">
              <w:rPr>
                <w:rtl w:val="0"/>
              </w:rPr>
            </w:r>
          </w:p>
        </w:tc>
      </w:tr>
      <w:tr>
        <w:trPr>
          <w:cantSplit w:val="0"/>
          <w:tblHeader w:val="0"/>
        </w:trPr>
        <w:tc>
          <w:tcPr/>
          <w:p w:rsidR="00000000" w:rsidDel="00000000" w:rsidP="00000000" w:rsidRDefault="00000000" w:rsidRPr="00000000" w14:paraId="00000086">
            <w:pPr>
              <w:jc w:val="left"/>
              <w:rPr/>
            </w:pPr>
            <w:r w:rsidDel="00000000" w:rsidR="00000000" w:rsidRPr="00000000">
              <w:rPr>
                <w:rtl w:val="0"/>
              </w:rPr>
              <w:t xml:space="preserve">ISO/IEC 27001</w:t>
            </w:r>
          </w:p>
        </w:tc>
        <w:tc>
          <w:tcPr/>
          <w:p w:rsidR="00000000" w:rsidDel="00000000" w:rsidP="00000000" w:rsidRDefault="00000000" w:rsidRPr="00000000" w14:paraId="00000087">
            <w:pPr>
              <w:jc w:val="left"/>
              <w:rPr/>
            </w:pPr>
            <w:r w:rsidDel="00000000" w:rsidR="00000000" w:rsidRPr="00000000">
              <w:rPr>
                <w:rtl w:val="0"/>
              </w:rPr>
              <w:t xml:space="preserve">ISMS requirements and controls.</w:t>
            </w:r>
          </w:p>
        </w:tc>
        <w:tc>
          <w:tcPr/>
          <w:p w:rsidR="00000000" w:rsidDel="00000000" w:rsidP="00000000" w:rsidRDefault="00000000" w:rsidRPr="00000000" w14:paraId="00000088">
            <w:pPr>
              <w:jc w:val="left"/>
              <w:rPr/>
            </w:pPr>
            <w:r w:rsidDel="00000000" w:rsidR="00000000" w:rsidRPr="00000000">
              <w:rPr>
                <w:rtl w:val="0"/>
              </w:rPr>
              <w:t xml:space="preserve">Certifiable, widely recognised standard.</w:t>
            </w:r>
          </w:p>
        </w:tc>
        <w:tc>
          <w:tcPr/>
          <w:p w:rsidR="00000000" w:rsidDel="00000000" w:rsidP="00000000" w:rsidRDefault="00000000" w:rsidRPr="00000000" w14:paraId="00000089">
            <w:pPr>
              <w:jc w:val="left"/>
              <w:rPr/>
            </w:pPr>
            <w:r w:rsidDel="00000000" w:rsidR="00000000" w:rsidRPr="00000000">
              <w:rPr>
                <w:rtl w:val="0"/>
              </w:rPr>
              <w:t xml:space="preserve">More prescriptive, implementation-heavy.</w:t>
            </w:r>
          </w:p>
        </w:tc>
      </w:tr>
      <w:tr>
        <w:trPr>
          <w:cantSplit w:val="0"/>
          <w:tblHeader w:val="0"/>
        </w:trPr>
        <w:tc>
          <w:tcPr/>
          <w:p w:rsidR="00000000" w:rsidDel="00000000" w:rsidP="00000000" w:rsidRDefault="00000000" w:rsidRPr="00000000" w14:paraId="0000008A">
            <w:pPr>
              <w:jc w:val="left"/>
              <w:rPr/>
            </w:pPr>
            <w:r w:rsidDel="00000000" w:rsidR="00000000" w:rsidRPr="00000000">
              <w:rPr>
                <w:rtl w:val="0"/>
              </w:rPr>
              <w:t xml:space="preserve">NIST CSF</w:t>
            </w:r>
          </w:p>
        </w:tc>
        <w:tc>
          <w:tcPr/>
          <w:p w:rsidR="00000000" w:rsidDel="00000000" w:rsidP="00000000" w:rsidRDefault="00000000" w:rsidRPr="00000000" w14:paraId="0000008B">
            <w:pPr>
              <w:jc w:val="left"/>
              <w:rPr/>
            </w:pPr>
            <w:r w:rsidDel="00000000" w:rsidR="00000000" w:rsidRPr="00000000">
              <w:rPr>
                <w:rtl w:val="0"/>
              </w:rPr>
              <w:t xml:space="preserve">Cybersecurity risk posture functions.</w:t>
            </w:r>
          </w:p>
        </w:tc>
        <w:tc>
          <w:tcPr/>
          <w:p w:rsidR="00000000" w:rsidDel="00000000" w:rsidP="00000000" w:rsidRDefault="00000000" w:rsidRPr="00000000" w14:paraId="0000008C">
            <w:pPr>
              <w:jc w:val="left"/>
              <w:rPr/>
            </w:pPr>
            <w:r w:rsidDel="00000000" w:rsidR="00000000" w:rsidRPr="00000000">
              <w:rPr>
                <w:rtl w:val="0"/>
              </w:rPr>
              <w:t xml:space="preserve">Flexible, high-level, easy to map to others.</w:t>
            </w:r>
          </w:p>
        </w:tc>
        <w:tc>
          <w:tcPr/>
          <w:p w:rsidR="00000000" w:rsidDel="00000000" w:rsidP="00000000" w:rsidRDefault="00000000" w:rsidRPr="00000000" w14:paraId="0000008D">
            <w:pPr>
              <w:jc w:val="left"/>
              <w:rPr/>
            </w:pPr>
            <w:r w:rsidDel="00000000" w:rsidR="00000000" w:rsidRPr="00000000">
              <w:rPr>
                <w:rtl w:val="0"/>
              </w:rPr>
              <w:t xml:space="preserve">Voluntary, less detailed control guidance.</w:t>
            </w:r>
          </w:p>
        </w:tc>
      </w:tr>
      <w:tr>
        <w:trPr>
          <w:cantSplit w:val="0"/>
          <w:tblHeader w:val="0"/>
        </w:trPr>
        <w:tc>
          <w:tcPr/>
          <w:p w:rsidR="00000000" w:rsidDel="00000000" w:rsidP="00000000" w:rsidRDefault="00000000" w:rsidRPr="00000000" w14:paraId="0000008E">
            <w:pPr>
              <w:jc w:val="left"/>
              <w:rPr/>
            </w:pPr>
            <w:r w:rsidDel="00000000" w:rsidR="00000000" w:rsidRPr="00000000">
              <w:rPr>
                <w:rtl w:val="0"/>
              </w:rPr>
              <w:t xml:space="preserve">COBIT</w:t>
            </w:r>
          </w:p>
        </w:tc>
        <w:tc>
          <w:tcPr/>
          <w:p w:rsidR="00000000" w:rsidDel="00000000" w:rsidP="00000000" w:rsidRDefault="00000000" w:rsidRPr="00000000" w14:paraId="0000008F">
            <w:pPr>
              <w:jc w:val="left"/>
              <w:rPr/>
            </w:pPr>
            <w:r w:rsidDel="00000000" w:rsidR="00000000" w:rsidRPr="00000000">
              <w:rPr>
                <w:rtl w:val="0"/>
              </w:rPr>
              <w:t xml:space="preserve">IT governance and management.</w:t>
            </w:r>
          </w:p>
        </w:tc>
        <w:tc>
          <w:tcPr/>
          <w:p w:rsidR="00000000" w:rsidDel="00000000" w:rsidP="00000000" w:rsidRDefault="00000000" w:rsidRPr="00000000" w14:paraId="00000090">
            <w:pPr>
              <w:jc w:val="left"/>
              <w:rPr/>
            </w:pPr>
            <w:r w:rsidDel="00000000" w:rsidR="00000000" w:rsidRPr="00000000">
              <w:rPr>
                <w:rtl w:val="0"/>
              </w:rPr>
              <w:t xml:space="preserve">Strong focus on value, risk and compliance.</w:t>
            </w:r>
          </w:p>
        </w:tc>
        <w:tc>
          <w:tcPr/>
          <w:p w:rsidR="00000000" w:rsidDel="00000000" w:rsidP="00000000" w:rsidRDefault="00000000" w:rsidRPr="00000000" w14:paraId="00000091">
            <w:pPr>
              <w:jc w:val="left"/>
              <w:rPr/>
            </w:pPr>
            <w:r w:rsidDel="00000000" w:rsidR="00000000" w:rsidRPr="00000000">
              <w:rPr>
                <w:rtl w:val="0"/>
              </w:rPr>
              <w:t xml:space="preserve">Requires tailoring, less technical detail.</w:t>
            </w:r>
          </w:p>
        </w:tc>
      </w:tr>
      <w:tr>
        <w:trPr>
          <w:cantSplit w:val="0"/>
          <w:tblHeader w:val="0"/>
        </w:trPr>
        <w:tc>
          <w:tcPr/>
          <w:p w:rsidR="00000000" w:rsidDel="00000000" w:rsidP="00000000" w:rsidRDefault="00000000" w:rsidRPr="00000000" w14:paraId="00000092">
            <w:pPr>
              <w:jc w:val="left"/>
              <w:rPr/>
            </w:pPr>
            <w:r w:rsidDel="00000000" w:rsidR="00000000" w:rsidRPr="00000000">
              <w:rPr>
                <w:rtl w:val="0"/>
              </w:rPr>
              <w:t xml:space="preserve">ITIL</w:t>
            </w:r>
          </w:p>
        </w:tc>
        <w:tc>
          <w:tcPr/>
          <w:p w:rsidR="00000000" w:rsidDel="00000000" w:rsidP="00000000" w:rsidRDefault="00000000" w:rsidRPr="00000000" w14:paraId="00000093">
            <w:pPr>
              <w:jc w:val="left"/>
              <w:rPr/>
            </w:pPr>
            <w:r w:rsidDel="00000000" w:rsidR="00000000" w:rsidRPr="00000000">
              <w:rPr>
                <w:rtl w:val="0"/>
              </w:rPr>
              <w:t xml:space="preserve">IT service management practices.</w:t>
            </w:r>
          </w:p>
        </w:tc>
        <w:tc>
          <w:tcPr/>
          <w:p w:rsidR="00000000" w:rsidDel="00000000" w:rsidP="00000000" w:rsidRDefault="00000000" w:rsidRPr="00000000" w14:paraId="00000094">
            <w:pPr>
              <w:jc w:val="left"/>
              <w:rPr/>
            </w:pPr>
            <w:r w:rsidDel="00000000" w:rsidR="00000000" w:rsidRPr="00000000">
              <w:rPr>
                <w:rtl w:val="0"/>
              </w:rPr>
              <w:t xml:space="preserve">Mature operational process guidance.</w:t>
            </w:r>
          </w:p>
        </w:tc>
        <w:tc>
          <w:tcPr/>
          <w:p w:rsidR="00000000" w:rsidDel="00000000" w:rsidP="00000000" w:rsidRDefault="00000000" w:rsidRPr="00000000" w14:paraId="00000095">
            <w:pPr>
              <w:jc w:val="left"/>
              <w:rPr/>
            </w:pPr>
            <w:r w:rsidDel="00000000" w:rsidR="00000000" w:rsidRPr="00000000">
              <w:rPr>
                <w:rtl w:val="0"/>
              </w:rPr>
              <w:t xml:space="preserve">Not security-specific by default.</w:t>
            </w:r>
          </w:p>
        </w:tc>
      </w:tr>
    </w:tbl>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pStyle w:val="Heading2"/>
        <w:rPr/>
      </w:pPr>
      <w:bookmarkStart w:colFirst="0" w:colLast="0" w:name="_wsnizmlwux1b" w:id="22"/>
      <w:bookmarkEnd w:id="22"/>
      <w:r w:rsidDel="00000000" w:rsidR="00000000" w:rsidRPr="00000000">
        <w:rPr>
          <w:rtl w:val="0"/>
        </w:rPr>
        <w:t xml:space="preserve">2.4 Synthesis and Gap Analysis</w:t>
      </w:r>
    </w:p>
    <w:p w:rsidR="00000000" w:rsidDel="00000000" w:rsidP="00000000" w:rsidRDefault="00000000" w:rsidRPr="00000000" w14:paraId="00000098">
      <w:pPr>
        <w:rPr/>
      </w:pPr>
      <w:r w:rsidDel="00000000" w:rsidR="00000000" w:rsidRPr="00000000">
        <w:rPr>
          <w:rtl w:val="0"/>
        </w:rPr>
        <w:t xml:space="preserve">Together, ISO 27001/27002, ITIL, NIST CSF and COBIT provide a complementary advice on the controls, the service processes, risk posture and governance. This is because naturegreen does not have policies and uncomprising governance and thus such structures remain largely untested, though the environment is multifaceted and cloud based and wireless [2], [6], [10].</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aaynt4gob0st" w:id="23"/>
      <w:bookmarkEnd w:id="23"/>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4: Comparison of framework insights and gaps</w:t>
      </w:r>
    </w:p>
    <w:tbl>
      <w:tblPr>
        <w:tblStyle w:val="Table4"/>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980"/>
        <w:gridCol w:w="3544"/>
        <w:gridCol w:w="3492"/>
        <w:tblGridChange w:id="0">
          <w:tblGrid>
            <w:gridCol w:w="1980"/>
            <w:gridCol w:w="3544"/>
            <w:gridCol w:w="3492"/>
          </w:tblGrid>
        </w:tblGridChange>
      </w:tblGrid>
      <w:tr>
        <w:trPr>
          <w:cantSplit w:val="0"/>
          <w:tblHeader w:val="0"/>
        </w:trPr>
        <w:tc>
          <w:tcPr/>
          <w:p w:rsidR="00000000" w:rsidDel="00000000" w:rsidP="00000000" w:rsidRDefault="00000000" w:rsidRPr="00000000" w14:paraId="0000009D">
            <w:pPr>
              <w:jc w:val="left"/>
              <w:rPr/>
            </w:pPr>
            <w:r w:rsidDel="00000000" w:rsidR="00000000" w:rsidRPr="00000000">
              <w:rPr>
                <w:b w:val="0"/>
                <w:bCs w:val="0"/>
                <w:rtl w:val="0"/>
              </w:rPr>
              <w:t xml:space="preserve">Area</w:t>
            </w:r>
            <w:r w:rsidDel="00000000" w:rsidR="00000000" w:rsidRPr="00000000">
              <w:rPr>
                <w:rtl w:val="0"/>
              </w:rPr>
            </w:r>
          </w:p>
        </w:tc>
        <w:tc>
          <w:tcPr/>
          <w:p w:rsidR="00000000" w:rsidDel="00000000" w:rsidP="00000000" w:rsidRDefault="00000000" w:rsidRPr="00000000" w14:paraId="0000009E">
            <w:pPr>
              <w:jc w:val="left"/>
              <w:rPr/>
            </w:pPr>
            <w:r w:rsidDel="00000000" w:rsidR="00000000" w:rsidRPr="00000000">
              <w:rPr>
                <w:b w:val="0"/>
                <w:bCs w:val="0"/>
                <w:rtl w:val="0"/>
              </w:rPr>
              <w:t xml:space="preserve">Framework insights</w:t>
            </w:r>
            <w:r w:rsidDel="00000000" w:rsidR="00000000" w:rsidRPr="00000000">
              <w:rPr>
                <w:rtl w:val="0"/>
              </w:rPr>
            </w:r>
          </w:p>
        </w:tc>
        <w:tc>
          <w:tcPr/>
          <w:p w:rsidR="00000000" w:rsidDel="00000000" w:rsidP="00000000" w:rsidRDefault="00000000" w:rsidRPr="00000000" w14:paraId="0000009F">
            <w:pPr>
              <w:jc w:val="left"/>
              <w:rPr/>
            </w:pPr>
            <w:r w:rsidDel="00000000" w:rsidR="00000000" w:rsidRPr="00000000">
              <w:rPr>
                <w:b w:val="0"/>
                <w:bCs w:val="0"/>
                <w:rtl w:val="0"/>
              </w:rPr>
              <w:t xml:space="preserve">Gap at NatureGreen</w:t>
            </w:r>
            <w:r w:rsidDel="00000000" w:rsidR="00000000" w:rsidRPr="00000000">
              <w:rPr>
                <w:rtl w:val="0"/>
              </w:rPr>
            </w:r>
          </w:p>
        </w:tc>
      </w:tr>
      <w:tr>
        <w:trPr>
          <w:cantSplit w:val="0"/>
          <w:tblHeader w:val="0"/>
        </w:trPr>
        <w:tc>
          <w:tcPr/>
          <w:p w:rsidR="00000000" w:rsidDel="00000000" w:rsidP="00000000" w:rsidRDefault="00000000" w:rsidRPr="00000000" w14:paraId="000000A0">
            <w:pPr>
              <w:jc w:val="left"/>
              <w:rPr/>
            </w:pPr>
            <w:r w:rsidDel="00000000" w:rsidR="00000000" w:rsidRPr="00000000">
              <w:rPr>
                <w:rtl w:val="0"/>
              </w:rPr>
              <w:t xml:space="preserve">Governance</w:t>
            </w:r>
          </w:p>
        </w:tc>
        <w:tc>
          <w:tcPr/>
          <w:p w:rsidR="00000000" w:rsidDel="00000000" w:rsidP="00000000" w:rsidRDefault="00000000" w:rsidRPr="00000000" w14:paraId="000000A1">
            <w:pPr>
              <w:jc w:val="left"/>
              <w:rPr/>
            </w:pPr>
            <w:r w:rsidDel="00000000" w:rsidR="00000000" w:rsidRPr="00000000">
              <w:rPr>
                <w:rtl w:val="0"/>
              </w:rPr>
              <w:t xml:space="preserve">COBIT defines structures, roles and oversight.</w:t>
            </w:r>
          </w:p>
        </w:tc>
        <w:tc>
          <w:tcPr/>
          <w:p w:rsidR="00000000" w:rsidDel="00000000" w:rsidP="00000000" w:rsidRDefault="00000000" w:rsidRPr="00000000" w14:paraId="000000A2">
            <w:pPr>
              <w:jc w:val="left"/>
              <w:rPr/>
            </w:pPr>
            <w:r w:rsidDel="00000000" w:rsidR="00000000" w:rsidRPr="00000000">
              <w:rPr>
                <w:rtl w:val="0"/>
              </w:rPr>
              <w:t xml:space="preserve">No established security governance or policy.</w:t>
            </w:r>
          </w:p>
        </w:tc>
      </w:tr>
      <w:tr>
        <w:trPr>
          <w:cantSplit w:val="0"/>
          <w:tblHeader w:val="0"/>
        </w:trPr>
        <w:tc>
          <w:tcPr/>
          <w:p w:rsidR="00000000" w:rsidDel="00000000" w:rsidP="00000000" w:rsidRDefault="00000000" w:rsidRPr="00000000" w14:paraId="000000A3">
            <w:pPr>
              <w:jc w:val="left"/>
              <w:rPr/>
            </w:pPr>
            <w:r w:rsidDel="00000000" w:rsidR="00000000" w:rsidRPr="00000000">
              <w:rPr>
                <w:rtl w:val="0"/>
              </w:rPr>
              <w:t xml:space="preserve">ISMS controls</w:t>
            </w:r>
          </w:p>
        </w:tc>
        <w:tc>
          <w:tcPr/>
          <w:p w:rsidR="00000000" w:rsidDel="00000000" w:rsidP="00000000" w:rsidRDefault="00000000" w:rsidRPr="00000000" w14:paraId="000000A4">
            <w:pPr>
              <w:jc w:val="left"/>
              <w:rPr/>
            </w:pPr>
            <w:r w:rsidDel="00000000" w:rsidR="00000000" w:rsidRPr="00000000">
              <w:rPr>
                <w:rtl w:val="0"/>
              </w:rPr>
              <w:t xml:space="preserve">ISO 27001/27002 specify control set and ISMS cycle.</w:t>
            </w:r>
          </w:p>
        </w:tc>
        <w:tc>
          <w:tcPr/>
          <w:p w:rsidR="00000000" w:rsidDel="00000000" w:rsidP="00000000" w:rsidRDefault="00000000" w:rsidRPr="00000000" w14:paraId="000000A5">
            <w:pPr>
              <w:jc w:val="left"/>
              <w:rPr/>
            </w:pPr>
            <w:r w:rsidDel="00000000" w:rsidR="00000000" w:rsidRPr="00000000">
              <w:rPr>
                <w:rtl w:val="0"/>
              </w:rPr>
              <w:t xml:space="preserve">Controls not formalised or risk-driven.</w:t>
            </w:r>
          </w:p>
        </w:tc>
      </w:tr>
      <w:tr>
        <w:trPr>
          <w:cantSplit w:val="0"/>
          <w:tblHeader w:val="0"/>
        </w:trPr>
        <w:tc>
          <w:tcPr/>
          <w:p w:rsidR="00000000" w:rsidDel="00000000" w:rsidP="00000000" w:rsidRDefault="00000000" w:rsidRPr="00000000" w14:paraId="000000A6">
            <w:pPr>
              <w:jc w:val="left"/>
              <w:rPr/>
            </w:pPr>
            <w:r w:rsidDel="00000000" w:rsidR="00000000" w:rsidRPr="00000000">
              <w:rPr>
                <w:rtl w:val="0"/>
              </w:rPr>
              <w:t xml:space="preserve">Service processes</w:t>
            </w:r>
          </w:p>
        </w:tc>
        <w:tc>
          <w:tcPr/>
          <w:p w:rsidR="00000000" w:rsidDel="00000000" w:rsidP="00000000" w:rsidRDefault="00000000" w:rsidRPr="00000000" w14:paraId="000000A7">
            <w:pPr>
              <w:jc w:val="left"/>
              <w:rPr/>
            </w:pPr>
            <w:r w:rsidDel="00000000" w:rsidR="00000000" w:rsidRPr="00000000">
              <w:rPr>
                <w:rtl w:val="0"/>
              </w:rPr>
              <w:t xml:space="preserve">ITIL structures incidents, changes, continuity.</w:t>
            </w:r>
          </w:p>
        </w:tc>
        <w:tc>
          <w:tcPr/>
          <w:p w:rsidR="00000000" w:rsidDel="00000000" w:rsidP="00000000" w:rsidRDefault="00000000" w:rsidRPr="00000000" w14:paraId="000000A8">
            <w:pPr>
              <w:jc w:val="left"/>
              <w:rPr/>
            </w:pPr>
            <w:r w:rsidDel="00000000" w:rsidR="00000000" w:rsidRPr="00000000">
              <w:rPr>
                <w:rtl w:val="0"/>
              </w:rPr>
              <w:t xml:space="preserve">Disorganised operational security practices.</w:t>
            </w:r>
          </w:p>
        </w:tc>
      </w:tr>
      <w:tr>
        <w:trPr>
          <w:cantSplit w:val="0"/>
          <w:tblHeader w:val="0"/>
        </w:trPr>
        <w:tc>
          <w:tcPr/>
          <w:p w:rsidR="00000000" w:rsidDel="00000000" w:rsidP="00000000" w:rsidRDefault="00000000" w:rsidRPr="00000000" w14:paraId="000000A9">
            <w:pPr>
              <w:jc w:val="left"/>
              <w:rPr/>
            </w:pPr>
            <w:r w:rsidDel="00000000" w:rsidR="00000000" w:rsidRPr="00000000">
              <w:rPr>
                <w:rtl w:val="0"/>
              </w:rPr>
              <w:t xml:space="preserve">Risk posture</w:t>
            </w:r>
          </w:p>
        </w:tc>
        <w:tc>
          <w:tcPr/>
          <w:p w:rsidR="00000000" w:rsidDel="00000000" w:rsidP="00000000" w:rsidRDefault="00000000" w:rsidRPr="00000000" w14:paraId="000000AA">
            <w:pPr>
              <w:jc w:val="left"/>
              <w:rPr/>
            </w:pPr>
            <w:r w:rsidDel="00000000" w:rsidR="00000000" w:rsidRPr="00000000">
              <w:rPr>
                <w:rtl w:val="0"/>
              </w:rPr>
              <w:t xml:space="preserve">NIST CSF frames identify–protect–detect–respond–recover.</w:t>
            </w:r>
          </w:p>
        </w:tc>
        <w:tc>
          <w:tcPr/>
          <w:p w:rsidR="00000000" w:rsidDel="00000000" w:rsidP="00000000" w:rsidRDefault="00000000" w:rsidRPr="00000000" w14:paraId="000000AB">
            <w:pPr>
              <w:jc w:val="left"/>
              <w:rPr/>
            </w:pPr>
            <w:r w:rsidDel="00000000" w:rsidR="00000000" w:rsidRPr="00000000">
              <w:rPr>
                <w:rtl w:val="0"/>
              </w:rPr>
              <w:t xml:space="preserve">No documented, holistic risk posture.</w:t>
            </w:r>
          </w:p>
        </w:tc>
      </w:tr>
    </w:tbl>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pStyle w:val="Heading1"/>
        <w:rPr/>
      </w:pPr>
      <w:bookmarkStart w:colFirst="0" w:colLast="0" w:name="_x6c1a5lg82lr" w:id="24"/>
      <w:bookmarkEnd w:id="24"/>
      <w:r w:rsidDel="00000000" w:rsidR="00000000" w:rsidRPr="00000000">
        <w:rPr>
          <w:rtl w:val="0"/>
        </w:rPr>
        <w:t xml:space="preserve">3. Proposed Security Governance Framework for NatureGreen</w:t>
      </w:r>
    </w:p>
    <w:p w:rsidR="00000000" w:rsidDel="00000000" w:rsidP="00000000" w:rsidRDefault="00000000" w:rsidRPr="00000000" w14:paraId="000000AE">
      <w:pPr>
        <w:pStyle w:val="Heading2"/>
        <w:rPr/>
      </w:pPr>
      <w:bookmarkStart w:colFirst="0" w:colLast="0" w:name="_qoyciybp7e8k" w:id="25"/>
      <w:bookmarkEnd w:id="25"/>
      <w:r w:rsidDel="00000000" w:rsidR="00000000" w:rsidRPr="00000000">
        <w:rPr>
          <w:rtl w:val="0"/>
        </w:rPr>
        <w:t xml:space="preserve">3.1 Framework Design Philosophy</w:t>
      </w:r>
    </w:p>
    <w:p w:rsidR="00000000" w:rsidDel="00000000" w:rsidP="00000000" w:rsidRDefault="00000000" w:rsidRPr="00000000" w14:paraId="000000AF">
      <w:pPr>
        <w:rPr/>
      </w:pPr>
      <w:r w:rsidDel="00000000" w:rsidR="00000000" w:rsidRPr="00000000">
        <w:rPr>
          <w:rtl w:val="0"/>
        </w:rPr>
        <w:t xml:space="preserve">The presented security governance framework will be a risk-based, tailor-made, design that puts together the ISO/IEC 27001 ISMS model and ITIL service management practices, with the core integration research. The basis of the control and management system is in ISO 27001 whereas operation processes in incidents, changes and continuity are included in ITIL so that security controls are integrated into the daily services delivery. This holistic solution can be separated into the mission of NatureGreen to provide its clients all over the world with reliable cloud-based, wireless services and still securing their vital data and intellectual property in a seamless model of governance [2], [6], [13], [14], [15].</w:t>
      </w:r>
    </w:p>
    <w:p w:rsidR="00000000" w:rsidDel="00000000" w:rsidP="00000000" w:rsidRDefault="00000000" w:rsidRPr="00000000" w14:paraId="000000B0">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r9dscar2slxc" w:id="26"/>
      <w:bookmarkEnd w:id="26"/>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5: Primary Contributions of Security Frameworks</w:t>
      </w:r>
    </w:p>
    <w:tbl>
      <w:tblPr>
        <w:tblStyle w:val="Table5"/>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3539"/>
        <w:gridCol w:w="5477"/>
        <w:tblGridChange w:id="0">
          <w:tblGrid>
            <w:gridCol w:w="3539"/>
            <w:gridCol w:w="5477"/>
          </w:tblGrid>
        </w:tblGridChange>
      </w:tblGrid>
      <w:tr>
        <w:trPr>
          <w:cantSplit w:val="0"/>
          <w:tblHeader w:val="0"/>
        </w:trPr>
        <w:tc>
          <w:tcPr/>
          <w:p w:rsidR="00000000" w:rsidDel="00000000" w:rsidP="00000000" w:rsidRDefault="00000000" w:rsidRPr="00000000" w14:paraId="000000B1">
            <w:pPr>
              <w:jc w:val="left"/>
              <w:rPr/>
            </w:pPr>
            <w:r w:rsidDel="00000000" w:rsidR="00000000" w:rsidRPr="00000000">
              <w:rPr>
                <w:b w:val="0"/>
                <w:bCs w:val="0"/>
                <w:rtl w:val="0"/>
              </w:rPr>
              <w:t xml:space="preserve">Element</w:t>
            </w:r>
            <w:r w:rsidDel="00000000" w:rsidR="00000000" w:rsidRPr="00000000">
              <w:rPr>
                <w:rtl w:val="0"/>
              </w:rPr>
            </w:r>
          </w:p>
        </w:tc>
        <w:tc>
          <w:tcPr/>
          <w:p w:rsidR="00000000" w:rsidDel="00000000" w:rsidP="00000000" w:rsidRDefault="00000000" w:rsidRPr="00000000" w14:paraId="000000B2">
            <w:pPr>
              <w:jc w:val="left"/>
              <w:rPr/>
            </w:pPr>
            <w:r w:rsidDel="00000000" w:rsidR="00000000" w:rsidRPr="00000000">
              <w:rPr>
                <w:b w:val="0"/>
                <w:bCs w:val="0"/>
                <w:rtl w:val="0"/>
              </w:rPr>
              <w:t xml:space="preserve">Primary contribution</w:t>
            </w:r>
            <w:r w:rsidDel="00000000" w:rsidR="00000000" w:rsidRPr="00000000">
              <w:rPr>
                <w:rtl w:val="0"/>
              </w:rPr>
            </w:r>
          </w:p>
        </w:tc>
      </w:tr>
      <w:tr>
        <w:trPr>
          <w:cantSplit w:val="0"/>
          <w:tblHeader w:val="0"/>
        </w:trPr>
        <w:tc>
          <w:tcPr/>
          <w:p w:rsidR="00000000" w:rsidDel="00000000" w:rsidP="00000000" w:rsidRDefault="00000000" w:rsidRPr="00000000" w14:paraId="000000B3">
            <w:pPr>
              <w:jc w:val="left"/>
              <w:rPr/>
            </w:pPr>
            <w:r w:rsidDel="00000000" w:rsidR="00000000" w:rsidRPr="00000000">
              <w:rPr>
                <w:rtl w:val="0"/>
              </w:rPr>
              <w:t xml:space="preserve">ISO/IEC 27001</w:t>
            </w:r>
          </w:p>
        </w:tc>
        <w:tc>
          <w:tcPr/>
          <w:p w:rsidR="00000000" w:rsidDel="00000000" w:rsidP="00000000" w:rsidRDefault="00000000" w:rsidRPr="00000000" w14:paraId="000000B4">
            <w:pPr>
              <w:jc w:val="left"/>
              <w:rPr/>
            </w:pPr>
            <w:r w:rsidDel="00000000" w:rsidR="00000000" w:rsidRPr="00000000">
              <w:rPr>
                <w:rtl w:val="0"/>
              </w:rPr>
              <w:t xml:space="preserve">Risk-based ISMS and control framework.</w:t>
            </w:r>
          </w:p>
        </w:tc>
      </w:tr>
      <w:tr>
        <w:trPr>
          <w:cantSplit w:val="0"/>
          <w:tblHeader w:val="0"/>
        </w:trPr>
        <w:tc>
          <w:tcPr/>
          <w:p w:rsidR="00000000" w:rsidDel="00000000" w:rsidP="00000000" w:rsidRDefault="00000000" w:rsidRPr="00000000" w14:paraId="000000B5">
            <w:pPr>
              <w:jc w:val="left"/>
              <w:rPr/>
            </w:pPr>
            <w:r w:rsidDel="00000000" w:rsidR="00000000" w:rsidRPr="00000000">
              <w:rPr>
                <w:rtl w:val="0"/>
              </w:rPr>
              <w:t xml:space="preserve">ITIL</w:t>
            </w:r>
          </w:p>
        </w:tc>
        <w:tc>
          <w:tcPr/>
          <w:p w:rsidR="00000000" w:rsidDel="00000000" w:rsidP="00000000" w:rsidRDefault="00000000" w:rsidRPr="00000000" w14:paraId="000000B6">
            <w:pPr>
              <w:jc w:val="left"/>
              <w:rPr/>
            </w:pPr>
            <w:r w:rsidDel="00000000" w:rsidR="00000000" w:rsidRPr="00000000">
              <w:rPr>
                <w:rtl w:val="0"/>
              </w:rPr>
              <w:t xml:space="preserve">Operationalisation through ITSM practices.</w:t>
            </w:r>
          </w:p>
        </w:tc>
      </w:tr>
      <w:tr>
        <w:trPr>
          <w:cantSplit w:val="0"/>
          <w:tblHeader w:val="0"/>
        </w:trPr>
        <w:tc>
          <w:tcPr/>
          <w:p w:rsidR="00000000" w:rsidDel="00000000" w:rsidP="00000000" w:rsidRDefault="00000000" w:rsidRPr="00000000" w14:paraId="000000B7">
            <w:pPr>
              <w:jc w:val="left"/>
              <w:rPr/>
            </w:pPr>
            <w:r w:rsidDel="00000000" w:rsidR="00000000" w:rsidRPr="00000000">
              <w:rPr>
                <w:rtl w:val="0"/>
              </w:rPr>
              <w:t xml:space="preserve">Risk orientation</w:t>
            </w:r>
          </w:p>
        </w:tc>
        <w:tc>
          <w:tcPr/>
          <w:p w:rsidR="00000000" w:rsidDel="00000000" w:rsidP="00000000" w:rsidRDefault="00000000" w:rsidRPr="00000000" w14:paraId="000000B8">
            <w:pPr>
              <w:jc w:val="left"/>
              <w:rPr/>
            </w:pPr>
            <w:r w:rsidDel="00000000" w:rsidR="00000000" w:rsidRPr="00000000">
              <w:rPr>
                <w:rtl w:val="0"/>
              </w:rPr>
              <w:t xml:space="preserve">Prioritised treatment of material threats.</w:t>
            </w:r>
          </w:p>
        </w:tc>
      </w:tr>
    </w:tbl>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pStyle w:val="Heading2"/>
        <w:rPr/>
      </w:pPr>
      <w:bookmarkStart w:colFirst="0" w:colLast="0" w:name="_w8v1bwcej1yl" w:id="27"/>
      <w:bookmarkEnd w:id="27"/>
      <w:r w:rsidDel="00000000" w:rsidR="00000000" w:rsidRPr="00000000">
        <w:rPr>
          <w:rtl w:val="0"/>
        </w:rPr>
        <w:t xml:space="preserve">3.2 Governance Structure</w:t>
      </w:r>
    </w:p>
    <w:p w:rsidR="00000000" w:rsidDel="00000000" w:rsidP="00000000" w:rsidRDefault="00000000" w:rsidRPr="00000000" w14:paraId="000000BB">
      <w:pPr>
        <w:rPr/>
      </w:pPr>
      <w:r w:rsidDel="00000000" w:rsidR="00000000" w:rsidRPr="00000000">
        <w:rPr>
          <w:rtl w:val="0"/>
        </w:rPr>
        <w:t xml:space="preserve">Studies on information security governance indicate that clear board oversight and an individual CISO and cross-functional committees are crucial to hold the organizations accountable and aligned to strategy. Since the current risk management and governance environment is informal, and partially because of the current lack of formal security regimes and policies, the present report is proposing a hierarchy form of approach in which the risk appetite is determined by the Board, business-level security results are managed by the executives, and the overall security operations of an enterprise are led by a CISO. The policy approval, prioritisation of risks and making major security investments, as well as operation security teams and service owners, are done and reported in the Security Steering Committee which is a committee of representatives of IT, legal, HR and key business units led by the CISO [16].</w:t>
      </w:r>
    </w:p>
    <w:p w:rsidR="00000000" w:rsidDel="00000000" w:rsidP="00000000" w:rsidRDefault="00000000" w:rsidRPr="00000000" w14:paraId="000000BC">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evms0gdbsdwa" w:id="28"/>
      <w:bookmarkEnd w:id="28"/>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6: Information Security Governance Roles and Responsibilities</w:t>
      </w:r>
    </w:p>
    <w:tbl>
      <w:tblPr>
        <w:tblStyle w:val="Table6"/>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3256"/>
        <w:gridCol w:w="3685"/>
        <w:gridCol w:w="2075"/>
        <w:tblGridChange w:id="0">
          <w:tblGrid>
            <w:gridCol w:w="3256"/>
            <w:gridCol w:w="3685"/>
            <w:gridCol w:w="2075"/>
          </w:tblGrid>
        </w:tblGridChange>
      </w:tblGrid>
      <w:tr>
        <w:trPr>
          <w:cantSplit w:val="0"/>
          <w:tblHeader w:val="0"/>
        </w:trPr>
        <w:tc>
          <w:tcPr/>
          <w:p w:rsidR="00000000" w:rsidDel="00000000" w:rsidP="00000000" w:rsidRDefault="00000000" w:rsidRPr="00000000" w14:paraId="000000BD">
            <w:pPr>
              <w:jc w:val="left"/>
              <w:rPr/>
            </w:pPr>
            <w:r w:rsidDel="00000000" w:rsidR="00000000" w:rsidRPr="00000000">
              <w:rPr>
                <w:b w:val="0"/>
                <w:bCs w:val="0"/>
                <w:rtl w:val="0"/>
              </w:rPr>
              <w:t xml:space="preserve">Role/Body</w:t>
            </w:r>
            <w:r w:rsidDel="00000000" w:rsidR="00000000" w:rsidRPr="00000000">
              <w:rPr>
                <w:rtl w:val="0"/>
              </w:rPr>
            </w:r>
          </w:p>
        </w:tc>
        <w:tc>
          <w:tcPr/>
          <w:p w:rsidR="00000000" w:rsidDel="00000000" w:rsidP="00000000" w:rsidRDefault="00000000" w:rsidRPr="00000000" w14:paraId="000000BE">
            <w:pPr>
              <w:jc w:val="left"/>
              <w:rPr/>
            </w:pPr>
            <w:r w:rsidDel="00000000" w:rsidR="00000000" w:rsidRPr="00000000">
              <w:rPr>
                <w:b w:val="0"/>
                <w:bCs w:val="0"/>
                <w:rtl w:val="0"/>
              </w:rPr>
              <w:t xml:space="preserve">Key responsibilities</w:t>
            </w:r>
            <w:r w:rsidDel="00000000" w:rsidR="00000000" w:rsidRPr="00000000">
              <w:rPr>
                <w:rtl w:val="0"/>
              </w:rPr>
            </w:r>
          </w:p>
        </w:tc>
        <w:tc>
          <w:tcPr/>
          <w:p w:rsidR="00000000" w:rsidDel="00000000" w:rsidP="00000000" w:rsidRDefault="00000000" w:rsidRPr="00000000" w14:paraId="000000BF">
            <w:pPr>
              <w:jc w:val="left"/>
              <w:rPr/>
            </w:pPr>
            <w:r w:rsidDel="00000000" w:rsidR="00000000" w:rsidRPr="00000000">
              <w:rPr>
                <w:b w:val="0"/>
                <w:bCs w:val="0"/>
                <w:rtl w:val="0"/>
              </w:rPr>
              <w:t xml:space="preserve">Reports to</w:t>
            </w:r>
            <w:r w:rsidDel="00000000" w:rsidR="00000000" w:rsidRPr="00000000">
              <w:rPr>
                <w:rtl w:val="0"/>
              </w:rPr>
            </w:r>
          </w:p>
        </w:tc>
      </w:tr>
      <w:tr>
        <w:trPr>
          <w:cantSplit w:val="0"/>
          <w:tblHeader w:val="0"/>
        </w:trPr>
        <w:tc>
          <w:tcPr/>
          <w:p w:rsidR="00000000" w:rsidDel="00000000" w:rsidP="00000000" w:rsidRDefault="00000000" w:rsidRPr="00000000" w14:paraId="000000C0">
            <w:pPr>
              <w:jc w:val="left"/>
              <w:rPr/>
            </w:pPr>
            <w:r w:rsidDel="00000000" w:rsidR="00000000" w:rsidRPr="00000000">
              <w:rPr>
                <w:rtl w:val="0"/>
              </w:rPr>
              <w:t xml:space="preserve">Board / Executive</w:t>
            </w:r>
          </w:p>
        </w:tc>
        <w:tc>
          <w:tcPr/>
          <w:p w:rsidR="00000000" w:rsidDel="00000000" w:rsidP="00000000" w:rsidRDefault="00000000" w:rsidRPr="00000000" w14:paraId="000000C1">
            <w:pPr>
              <w:jc w:val="left"/>
              <w:rPr/>
            </w:pPr>
            <w:r w:rsidDel="00000000" w:rsidR="00000000" w:rsidRPr="00000000">
              <w:rPr>
                <w:rtl w:val="0"/>
              </w:rPr>
              <w:t xml:space="preserve">Approve strategy, set risk appetite.</w:t>
            </w:r>
          </w:p>
        </w:tc>
        <w:tc>
          <w:tcPr/>
          <w:p w:rsidR="00000000" w:rsidDel="00000000" w:rsidP="00000000" w:rsidRDefault="00000000" w:rsidRPr="00000000" w14:paraId="000000C2">
            <w:pPr>
              <w:jc w:val="left"/>
              <w:rPr/>
            </w:pPr>
            <w:r w:rsidDel="00000000" w:rsidR="00000000" w:rsidRPr="00000000">
              <w:rPr>
                <w:rtl w:val="0"/>
              </w:rPr>
              <w:t xml:space="preserve">Shareholders</w:t>
            </w:r>
          </w:p>
        </w:tc>
      </w:tr>
      <w:tr>
        <w:trPr>
          <w:cantSplit w:val="0"/>
          <w:tblHeader w:val="0"/>
        </w:trPr>
        <w:tc>
          <w:tcPr/>
          <w:p w:rsidR="00000000" w:rsidDel="00000000" w:rsidP="00000000" w:rsidRDefault="00000000" w:rsidRPr="00000000" w14:paraId="000000C3">
            <w:pPr>
              <w:jc w:val="left"/>
              <w:rPr/>
            </w:pPr>
            <w:r w:rsidDel="00000000" w:rsidR="00000000" w:rsidRPr="00000000">
              <w:rPr>
                <w:rtl w:val="0"/>
              </w:rPr>
              <w:t xml:space="preserve">CISO</w:t>
            </w:r>
          </w:p>
        </w:tc>
        <w:tc>
          <w:tcPr/>
          <w:p w:rsidR="00000000" w:rsidDel="00000000" w:rsidP="00000000" w:rsidRDefault="00000000" w:rsidRPr="00000000" w14:paraId="000000C4">
            <w:pPr>
              <w:jc w:val="left"/>
              <w:rPr/>
            </w:pPr>
            <w:r w:rsidDel="00000000" w:rsidR="00000000" w:rsidRPr="00000000">
              <w:rPr>
                <w:rtl w:val="0"/>
              </w:rPr>
              <w:t xml:space="preserve">Lead ISMS, advise board, manage security.</w:t>
            </w:r>
          </w:p>
        </w:tc>
        <w:tc>
          <w:tcPr/>
          <w:p w:rsidR="00000000" w:rsidDel="00000000" w:rsidP="00000000" w:rsidRDefault="00000000" w:rsidRPr="00000000" w14:paraId="000000C5">
            <w:pPr>
              <w:jc w:val="left"/>
              <w:rPr/>
            </w:pPr>
            <w:r w:rsidDel="00000000" w:rsidR="00000000" w:rsidRPr="00000000">
              <w:rPr>
                <w:rtl w:val="0"/>
              </w:rPr>
              <w:t xml:space="preserve">CEO / Executive</w:t>
            </w:r>
          </w:p>
        </w:tc>
      </w:tr>
      <w:tr>
        <w:trPr>
          <w:cantSplit w:val="0"/>
          <w:tblHeader w:val="0"/>
        </w:trPr>
        <w:tc>
          <w:tcPr/>
          <w:p w:rsidR="00000000" w:rsidDel="00000000" w:rsidP="00000000" w:rsidRDefault="00000000" w:rsidRPr="00000000" w14:paraId="000000C6">
            <w:pPr>
              <w:jc w:val="left"/>
              <w:rPr/>
            </w:pPr>
            <w:r w:rsidDel="00000000" w:rsidR="00000000" w:rsidRPr="00000000">
              <w:rPr>
                <w:rtl w:val="0"/>
              </w:rPr>
              <w:t xml:space="preserve">Security Steering Committee</w:t>
            </w:r>
          </w:p>
        </w:tc>
        <w:tc>
          <w:tcPr/>
          <w:p w:rsidR="00000000" w:rsidDel="00000000" w:rsidP="00000000" w:rsidRDefault="00000000" w:rsidRPr="00000000" w14:paraId="000000C7">
            <w:pPr>
              <w:jc w:val="left"/>
              <w:rPr/>
            </w:pPr>
            <w:r w:rsidDel="00000000" w:rsidR="00000000" w:rsidRPr="00000000">
              <w:rPr>
                <w:rtl w:val="0"/>
              </w:rPr>
              <w:t xml:space="preserve">Govern policies, risks, major initiatives.</w:t>
            </w:r>
          </w:p>
        </w:tc>
        <w:tc>
          <w:tcPr/>
          <w:p w:rsidR="00000000" w:rsidDel="00000000" w:rsidP="00000000" w:rsidRDefault="00000000" w:rsidRPr="00000000" w14:paraId="000000C8">
            <w:pPr>
              <w:jc w:val="left"/>
              <w:rPr/>
            </w:pPr>
            <w:r w:rsidDel="00000000" w:rsidR="00000000" w:rsidRPr="00000000">
              <w:rPr>
                <w:rtl w:val="0"/>
              </w:rPr>
              <w:t xml:space="preserve">CISO / Executive</w:t>
            </w:r>
          </w:p>
        </w:tc>
      </w:tr>
      <w:tr>
        <w:trPr>
          <w:cantSplit w:val="0"/>
          <w:tblHeader w:val="0"/>
        </w:trPr>
        <w:tc>
          <w:tcPr/>
          <w:p w:rsidR="00000000" w:rsidDel="00000000" w:rsidP="00000000" w:rsidRDefault="00000000" w:rsidRPr="00000000" w14:paraId="000000C9">
            <w:pPr>
              <w:jc w:val="left"/>
              <w:rPr/>
            </w:pPr>
            <w:r w:rsidDel="00000000" w:rsidR="00000000" w:rsidRPr="00000000">
              <w:rPr>
                <w:rtl w:val="0"/>
              </w:rPr>
              <w:t xml:space="preserve">Operational Security &amp; IT</w:t>
            </w:r>
          </w:p>
        </w:tc>
        <w:tc>
          <w:tcPr/>
          <w:p w:rsidR="00000000" w:rsidDel="00000000" w:rsidP="00000000" w:rsidRDefault="00000000" w:rsidRPr="00000000" w14:paraId="000000CA">
            <w:pPr>
              <w:jc w:val="left"/>
              <w:rPr/>
            </w:pPr>
            <w:r w:rsidDel="00000000" w:rsidR="00000000" w:rsidRPr="00000000">
              <w:rPr>
                <w:rtl w:val="0"/>
              </w:rPr>
              <w:t xml:space="preserve">Implement controls, report incidents.</w:t>
            </w:r>
          </w:p>
        </w:tc>
        <w:tc>
          <w:tcPr/>
          <w:p w:rsidR="00000000" w:rsidDel="00000000" w:rsidP="00000000" w:rsidRDefault="00000000" w:rsidRPr="00000000" w14:paraId="000000CB">
            <w:pPr>
              <w:jc w:val="left"/>
              <w:rPr/>
            </w:pPr>
            <w:r w:rsidDel="00000000" w:rsidR="00000000" w:rsidRPr="00000000">
              <w:rPr>
                <w:rtl w:val="0"/>
              </w:rPr>
              <w:t xml:space="preserve">CISO / CIO</w:t>
            </w:r>
          </w:p>
        </w:tc>
      </w:tr>
    </w:tbl>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keepNext w:val="1"/>
        <w:rPr/>
      </w:pPr>
      <w:r w:rsidDel="00000000" w:rsidR="00000000" w:rsidRPr="00000000">
        <w:rPr/>
        <w:drawing>
          <wp:inline distB="0" distT="0" distL="0" distR="0">
            <wp:extent cx="5731510" cy="3126105"/>
            <wp:effectExtent b="0" l="0" r="0" t="0"/>
            <wp:docPr descr="A diagram of a company&#10;&#10;AI-generated content may be incorrect." id="3" name="image4.png"/>
            <a:graphic>
              <a:graphicData uri="http://schemas.openxmlformats.org/drawingml/2006/picture">
                <pic:pic>
                  <pic:nvPicPr>
                    <pic:cNvPr descr="A diagram of a company&#10;&#10;AI-generated content may be incorrect." id="0" name="image4.png"/>
                    <pic:cNvPicPr preferRelativeResize="0"/>
                  </pic:nvPicPr>
                  <pic:blipFill>
                    <a:blip r:embed="rId9"/>
                    <a:srcRect b="0" l="0" r="0" t="0"/>
                    <a:stretch>
                      <a:fillRect/>
                    </a:stretch>
                  </pic:blipFill>
                  <pic:spPr>
                    <a:xfrm>
                      <a:off x="0" y="0"/>
                      <a:ext cx="5731510" cy="3126105"/>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mh2n4uexiwiu" w:id="29"/>
      <w:bookmarkEnd w:id="29"/>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Figure 3: Information Security Governance Structure Overview</w:t>
      </w:r>
    </w:p>
    <w:p w:rsidR="00000000" w:rsidDel="00000000" w:rsidP="00000000" w:rsidRDefault="00000000" w:rsidRPr="00000000" w14:paraId="000000CF">
      <w:pPr>
        <w:pStyle w:val="Heading2"/>
        <w:rPr/>
      </w:pPr>
      <w:bookmarkStart w:colFirst="0" w:colLast="0" w:name="_t35jyde4vnzk" w:id="30"/>
      <w:bookmarkEnd w:id="30"/>
      <w:r w:rsidDel="00000000" w:rsidR="00000000" w:rsidRPr="00000000">
        <w:rPr>
          <w:rtl w:val="0"/>
        </w:rPr>
        <w:t xml:space="preserve">3.3 Strategic Security Planning</w:t>
      </w:r>
    </w:p>
    <w:p w:rsidR="00000000" w:rsidDel="00000000" w:rsidP="00000000" w:rsidRDefault="00000000" w:rsidRPr="00000000" w14:paraId="000000D0">
      <w:pPr>
        <w:rPr/>
      </w:pPr>
      <w:r w:rsidDel="00000000" w:rsidR="00000000" w:rsidRPr="00000000">
        <w:rPr>
          <w:rtl w:val="0"/>
        </w:rPr>
        <w:t xml:space="preserve">Strategic security planning converts the broad-level security aspirations to a logical vision, mission and quantifiable objectives that direct long-term safeguarding of information assets by an organisation. Information security vision and mission statements bring guidance, and strategic outcomes represent the desired state of affairs like resilience, regulatory compliance and trusted digital services. To guarantee congruity with business strategy, these goals are drilled down into key performance indicators (KPIs) and initiatives along business-perspective similar lines as in a balanced scorecard financial, customer, internal process, and learning and growth such that security performance could be handled just like any other strategic capability [16], [17], [18].</w:t>
      </w:r>
    </w:p>
    <w:p w:rsidR="00000000" w:rsidDel="00000000" w:rsidP="00000000" w:rsidRDefault="00000000" w:rsidRPr="00000000" w14:paraId="000000D1">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ssan19693y0n" w:id="31"/>
      <w:bookmarkEnd w:id="31"/>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7: Balanced Scorecard Perspectives for Security KPIs</w:t>
      </w:r>
    </w:p>
    <w:tbl>
      <w:tblPr>
        <w:tblStyle w:val="Table7"/>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830"/>
        <w:gridCol w:w="6186"/>
        <w:tblGridChange w:id="0">
          <w:tblGrid>
            <w:gridCol w:w="2830"/>
            <w:gridCol w:w="6186"/>
          </w:tblGrid>
        </w:tblGridChange>
      </w:tblGrid>
      <w:tr>
        <w:trPr>
          <w:cantSplit w:val="0"/>
          <w:tblHeader w:val="0"/>
        </w:trPr>
        <w:tc>
          <w:tcPr/>
          <w:p w:rsidR="00000000" w:rsidDel="00000000" w:rsidP="00000000" w:rsidRDefault="00000000" w:rsidRPr="00000000" w14:paraId="000000D2">
            <w:pPr>
              <w:jc w:val="left"/>
              <w:rPr/>
            </w:pPr>
            <w:r w:rsidDel="00000000" w:rsidR="00000000" w:rsidRPr="00000000">
              <w:rPr>
                <w:b w:val="0"/>
                <w:bCs w:val="0"/>
                <w:rtl w:val="0"/>
              </w:rPr>
              <w:t xml:space="preserve">Perspective</w:t>
            </w:r>
            <w:r w:rsidDel="00000000" w:rsidR="00000000" w:rsidRPr="00000000">
              <w:rPr>
                <w:rtl w:val="0"/>
              </w:rPr>
            </w:r>
          </w:p>
        </w:tc>
        <w:tc>
          <w:tcPr/>
          <w:p w:rsidR="00000000" w:rsidDel="00000000" w:rsidP="00000000" w:rsidRDefault="00000000" w:rsidRPr="00000000" w14:paraId="000000D3">
            <w:pPr>
              <w:jc w:val="left"/>
              <w:rPr/>
            </w:pPr>
            <w:r w:rsidDel="00000000" w:rsidR="00000000" w:rsidRPr="00000000">
              <w:rPr>
                <w:b w:val="0"/>
                <w:bCs w:val="0"/>
                <w:rtl w:val="0"/>
              </w:rPr>
              <w:t xml:space="preserve">Example security-governance KPI type</w:t>
            </w:r>
            <w:r w:rsidDel="00000000" w:rsidR="00000000" w:rsidRPr="00000000">
              <w:rPr>
                <w:rtl w:val="0"/>
              </w:rPr>
            </w:r>
          </w:p>
        </w:tc>
      </w:tr>
      <w:tr>
        <w:trPr>
          <w:cantSplit w:val="0"/>
          <w:tblHeader w:val="0"/>
        </w:trPr>
        <w:tc>
          <w:tcPr/>
          <w:p w:rsidR="00000000" w:rsidDel="00000000" w:rsidP="00000000" w:rsidRDefault="00000000" w:rsidRPr="00000000" w14:paraId="000000D4">
            <w:pPr>
              <w:jc w:val="left"/>
              <w:rPr/>
            </w:pPr>
            <w:r w:rsidDel="00000000" w:rsidR="00000000" w:rsidRPr="00000000">
              <w:rPr>
                <w:rtl w:val="0"/>
              </w:rPr>
              <w:t xml:space="preserve">Financial</w:t>
            </w:r>
          </w:p>
        </w:tc>
        <w:tc>
          <w:tcPr/>
          <w:p w:rsidR="00000000" w:rsidDel="00000000" w:rsidP="00000000" w:rsidRDefault="00000000" w:rsidRPr="00000000" w14:paraId="000000D5">
            <w:pPr>
              <w:jc w:val="left"/>
              <w:rPr/>
            </w:pPr>
            <w:r w:rsidDel="00000000" w:rsidR="00000000" w:rsidRPr="00000000">
              <w:rPr>
                <w:rtl w:val="0"/>
              </w:rPr>
              <w:t xml:space="preserve">Cost of security incidents, % security spend vs. IT.</w:t>
            </w:r>
          </w:p>
        </w:tc>
      </w:tr>
      <w:tr>
        <w:trPr>
          <w:cantSplit w:val="0"/>
          <w:tblHeader w:val="0"/>
        </w:trPr>
        <w:tc>
          <w:tcPr/>
          <w:p w:rsidR="00000000" w:rsidDel="00000000" w:rsidP="00000000" w:rsidRDefault="00000000" w:rsidRPr="00000000" w14:paraId="000000D6">
            <w:pPr>
              <w:jc w:val="left"/>
              <w:rPr/>
            </w:pPr>
            <w:r w:rsidDel="00000000" w:rsidR="00000000" w:rsidRPr="00000000">
              <w:rPr>
                <w:rtl w:val="0"/>
              </w:rPr>
              <w:t xml:space="preserve">Customer/stakeholder</w:t>
            </w:r>
          </w:p>
        </w:tc>
        <w:tc>
          <w:tcPr/>
          <w:p w:rsidR="00000000" w:rsidDel="00000000" w:rsidP="00000000" w:rsidRDefault="00000000" w:rsidRPr="00000000" w14:paraId="000000D7">
            <w:pPr>
              <w:jc w:val="left"/>
              <w:rPr/>
            </w:pPr>
            <w:r w:rsidDel="00000000" w:rsidR="00000000" w:rsidRPr="00000000">
              <w:rPr>
                <w:rtl w:val="0"/>
              </w:rPr>
              <w:t xml:space="preserve">Trust/satisfaction, incident impact on customers.</w:t>
            </w:r>
          </w:p>
        </w:tc>
      </w:tr>
      <w:tr>
        <w:trPr>
          <w:cantSplit w:val="0"/>
          <w:tblHeader w:val="0"/>
        </w:trPr>
        <w:tc>
          <w:tcPr/>
          <w:p w:rsidR="00000000" w:rsidDel="00000000" w:rsidP="00000000" w:rsidRDefault="00000000" w:rsidRPr="00000000" w14:paraId="000000D8">
            <w:pPr>
              <w:jc w:val="left"/>
              <w:rPr/>
            </w:pPr>
            <w:r w:rsidDel="00000000" w:rsidR="00000000" w:rsidRPr="00000000">
              <w:rPr>
                <w:rtl w:val="0"/>
              </w:rPr>
              <w:t xml:space="preserve">Internal processes</w:t>
            </w:r>
          </w:p>
        </w:tc>
        <w:tc>
          <w:tcPr/>
          <w:p w:rsidR="00000000" w:rsidDel="00000000" w:rsidP="00000000" w:rsidRDefault="00000000" w:rsidRPr="00000000" w14:paraId="000000D9">
            <w:pPr>
              <w:jc w:val="left"/>
              <w:rPr/>
            </w:pPr>
            <w:r w:rsidDel="00000000" w:rsidR="00000000" w:rsidRPr="00000000">
              <w:rPr>
                <w:rtl w:val="0"/>
              </w:rPr>
              <w:t xml:space="preserve">Mean time to detect/respond, policy compliance rate.</w:t>
            </w:r>
          </w:p>
        </w:tc>
      </w:tr>
      <w:tr>
        <w:trPr>
          <w:cantSplit w:val="0"/>
          <w:tblHeader w:val="0"/>
        </w:trPr>
        <w:tc>
          <w:tcPr/>
          <w:p w:rsidR="00000000" w:rsidDel="00000000" w:rsidP="00000000" w:rsidRDefault="00000000" w:rsidRPr="00000000" w14:paraId="000000DA">
            <w:pPr>
              <w:jc w:val="left"/>
              <w:rPr/>
            </w:pPr>
            <w:r w:rsidDel="00000000" w:rsidR="00000000" w:rsidRPr="00000000">
              <w:rPr>
                <w:rtl w:val="0"/>
              </w:rPr>
              <w:t xml:space="preserve">Learning &amp; growth</w:t>
            </w:r>
          </w:p>
        </w:tc>
        <w:tc>
          <w:tcPr/>
          <w:p w:rsidR="00000000" w:rsidDel="00000000" w:rsidP="00000000" w:rsidRDefault="00000000" w:rsidRPr="00000000" w14:paraId="000000DB">
            <w:pPr>
              <w:jc w:val="left"/>
              <w:rPr/>
            </w:pPr>
            <w:r w:rsidDel="00000000" w:rsidR="00000000" w:rsidRPr="00000000">
              <w:rPr>
                <w:rtl w:val="0"/>
              </w:rPr>
              <w:t xml:space="preserve">Training coverage, skills maturity, culture metrics.</w:t>
            </w:r>
          </w:p>
        </w:tc>
      </w:tr>
    </w:tbl>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pStyle w:val="Heading2"/>
        <w:rPr/>
      </w:pPr>
      <w:bookmarkStart w:colFirst="0" w:colLast="0" w:name="_4jtgbkquw0o" w:id="32"/>
      <w:bookmarkEnd w:id="32"/>
      <w:r w:rsidDel="00000000" w:rsidR="00000000" w:rsidRPr="00000000">
        <w:rPr>
          <w:rtl w:val="0"/>
        </w:rPr>
        <w:t xml:space="preserve">3.4 Security Policies and Procedures</w:t>
      </w:r>
    </w:p>
    <w:p w:rsidR="00000000" w:rsidDel="00000000" w:rsidP="00000000" w:rsidRDefault="00000000" w:rsidRPr="00000000" w14:paraId="000000DE">
      <w:pPr>
        <w:rPr/>
      </w:pPr>
      <w:r w:rsidDel="00000000" w:rsidR="00000000" w:rsidRPr="00000000">
        <w:rPr>
          <w:rtl w:val="0"/>
        </w:rPr>
        <w:t xml:space="preserve">The security policies and procedures are to be designed in a distinct hierarchy where the strategic policies at the organisation-wide level define general principles, the tactical standards at the control requirements level and the operational procedures at the step-by-step implementation and enforcement. In the case of NatureGreen which as of now lacks a defined security policy framework, formal policies are needed to control the usage of the personal devices, cloud services and sensitive data of the staff, customer, and intellectual property, and these policies are backed by detailed configuration, monitoring and compliance standards and procedures.</w:t>
      </w:r>
    </w:p>
    <w:p w:rsidR="00000000" w:rsidDel="00000000" w:rsidP="00000000" w:rsidRDefault="00000000" w:rsidRPr="00000000" w14:paraId="000000DF">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qz21j7cvip75" w:id="33"/>
      <w:bookmarkEnd w:id="33"/>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8: Key Security Policy Domains and Priorities</w:t>
      </w:r>
    </w:p>
    <w:tbl>
      <w:tblPr>
        <w:tblStyle w:val="Table8"/>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3539"/>
        <w:gridCol w:w="4111"/>
        <w:gridCol w:w="1366"/>
        <w:tblGridChange w:id="0">
          <w:tblGrid>
            <w:gridCol w:w="3539"/>
            <w:gridCol w:w="4111"/>
            <w:gridCol w:w="1366"/>
          </w:tblGrid>
        </w:tblGridChange>
      </w:tblGrid>
      <w:tr>
        <w:trPr>
          <w:cantSplit w:val="0"/>
          <w:tblHeader w:val="0"/>
        </w:trPr>
        <w:tc>
          <w:tcPr/>
          <w:p w:rsidR="00000000" w:rsidDel="00000000" w:rsidP="00000000" w:rsidRDefault="00000000" w:rsidRPr="00000000" w14:paraId="000000E0">
            <w:pPr>
              <w:jc w:val="left"/>
              <w:rPr/>
            </w:pPr>
            <w:r w:rsidDel="00000000" w:rsidR="00000000" w:rsidRPr="00000000">
              <w:rPr>
                <w:b w:val="0"/>
                <w:bCs w:val="0"/>
                <w:rtl w:val="0"/>
              </w:rPr>
              <w:t xml:space="preserve">Policy domain</w:t>
            </w:r>
            <w:r w:rsidDel="00000000" w:rsidR="00000000" w:rsidRPr="00000000">
              <w:rPr>
                <w:rtl w:val="0"/>
              </w:rPr>
            </w:r>
          </w:p>
        </w:tc>
        <w:tc>
          <w:tcPr/>
          <w:p w:rsidR="00000000" w:rsidDel="00000000" w:rsidP="00000000" w:rsidRDefault="00000000" w:rsidRPr="00000000" w14:paraId="000000E1">
            <w:pPr>
              <w:jc w:val="left"/>
              <w:rPr/>
            </w:pPr>
            <w:r w:rsidDel="00000000" w:rsidR="00000000" w:rsidRPr="00000000">
              <w:rPr>
                <w:b w:val="0"/>
                <w:bCs w:val="0"/>
                <w:rtl w:val="0"/>
              </w:rPr>
              <w:t xml:space="preserve">Primary focus</w:t>
            </w:r>
            <w:r w:rsidDel="00000000" w:rsidR="00000000" w:rsidRPr="00000000">
              <w:rPr>
                <w:rtl w:val="0"/>
              </w:rPr>
            </w:r>
          </w:p>
        </w:tc>
        <w:tc>
          <w:tcPr/>
          <w:p w:rsidR="00000000" w:rsidDel="00000000" w:rsidP="00000000" w:rsidRDefault="00000000" w:rsidRPr="00000000" w14:paraId="000000E2">
            <w:pPr>
              <w:jc w:val="left"/>
              <w:rPr/>
            </w:pPr>
            <w:r w:rsidDel="00000000" w:rsidR="00000000" w:rsidRPr="00000000">
              <w:rPr>
                <w:b w:val="0"/>
                <w:bCs w:val="0"/>
                <w:rtl w:val="0"/>
              </w:rPr>
              <w:t xml:space="preserve">Priority</w:t>
            </w:r>
            <w:r w:rsidDel="00000000" w:rsidR="00000000" w:rsidRPr="00000000">
              <w:rPr>
                <w:rtl w:val="0"/>
              </w:rPr>
            </w:r>
          </w:p>
        </w:tc>
      </w:tr>
      <w:tr>
        <w:trPr>
          <w:cantSplit w:val="0"/>
          <w:tblHeader w:val="0"/>
        </w:trPr>
        <w:tc>
          <w:tcPr/>
          <w:p w:rsidR="00000000" w:rsidDel="00000000" w:rsidP="00000000" w:rsidRDefault="00000000" w:rsidRPr="00000000" w14:paraId="000000E3">
            <w:pPr>
              <w:jc w:val="left"/>
              <w:rPr/>
            </w:pPr>
            <w:r w:rsidDel="00000000" w:rsidR="00000000" w:rsidRPr="00000000">
              <w:rPr>
                <w:rtl w:val="0"/>
              </w:rPr>
              <w:t xml:space="preserve">BYOD &amp; MDM</w:t>
            </w:r>
          </w:p>
        </w:tc>
        <w:tc>
          <w:tcPr/>
          <w:p w:rsidR="00000000" w:rsidDel="00000000" w:rsidP="00000000" w:rsidRDefault="00000000" w:rsidRPr="00000000" w14:paraId="000000E4">
            <w:pPr>
              <w:jc w:val="left"/>
              <w:rPr/>
            </w:pPr>
            <w:r w:rsidDel="00000000" w:rsidR="00000000" w:rsidRPr="00000000">
              <w:rPr>
                <w:rtl w:val="0"/>
              </w:rPr>
              <w:t xml:space="preserve">Secure personal devices, access control.</w:t>
            </w:r>
          </w:p>
        </w:tc>
        <w:tc>
          <w:tcPr/>
          <w:p w:rsidR="00000000" w:rsidDel="00000000" w:rsidP="00000000" w:rsidRDefault="00000000" w:rsidRPr="00000000" w14:paraId="000000E5">
            <w:pPr>
              <w:jc w:val="left"/>
              <w:rPr/>
            </w:pPr>
            <w:r w:rsidDel="00000000" w:rsidR="00000000" w:rsidRPr="00000000">
              <w:rPr>
                <w:rtl w:val="0"/>
              </w:rPr>
              <w:t xml:space="preserve">High</w:t>
            </w:r>
          </w:p>
        </w:tc>
      </w:tr>
      <w:tr>
        <w:trPr>
          <w:cantSplit w:val="0"/>
          <w:tblHeader w:val="0"/>
        </w:trPr>
        <w:tc>
          <w:tcPr/>
          <w:p w:rsidR="00000000" w:rsidDel="00000000" w:rsidP="00000000" w:rsidRDefault="00000000" w:rsidRPr="00000000" w14:paraId="000000E6">
            <w:pPr>
              <w:jc w:val="left"/>
              <w:rPr/>
            </w:pPr>
            <w:r w:rsidDel="00000000" w:rsidR="00000000" w:rsidRPr="00000000">
              <w:rPr>
                <w:rtl w:val="0"/>
              </w:rPr>
              <w:t xml:space="preserve">Cloud security</w:t>
            </w:r>
          </w:p>
        </w:tc>
        <w:tc>
          <w:tcPr/>
          <w:p w:rsidR="00000000" w:rsidDel="00000000" w:rsidP="00000000" w:rsidRDefault="00000000" w:rsidRPr="00000000" w14:paraId="000000E7">
            <w:pPr>
              <w:jc w:val="left"/>
              <w:rPr/>
            </w:pPr>
            <w:r w:rsidDel="00000000" w:rsidR="00000000" w:rsidRPr="00000000">
              <w:rPr>
                <w:rtl w:val="0"/>
              </w:rPr>
              <w:t xml:space="preserve">Provider responsibilities, configuration, access.</w:t>
            </w:r>
          </w:p>
        </w:tc>
        <w:tc>
          <w:tcPr/>
          <w:p w:rsidR="00000000" w:rsidDel="00000000" w:rsidP="00000000" w:rsidRDefault="00000000" w:rsidRPr="00000000" w14:paraId="000000E8">
            <w:pPr>
              <w:jc w:val="left"/>
              <w:rPr/>
            </w:pPr>
            <w:r w:rsidDel="00000000" w:rsidR="00000000" w:rsidRPr="00000000">
              <w:rPr>
                <w:rtl w:val="0"/>
              </w:rPr>
              <w:t xml:space="preserve">High</w:t>
            </w:r>
          </w:p>
        </w:tc>
      </w:tr>
      <w:tr>
        <w:trPr>
          <w:cantSplit w:val="0"/>
          <w:tblHeader w:val="0"/>
        </w:trPr>
        <w:tc>
          <w:tcPr/>
          <w:p w:rsidR="00000000" w:rsidDel="00000000" w:rsidP="00000000" w:rsidRDefault="00000000" w:rsidRPr="00000000" w14:paraId="000000E9">
            <w:pPr>
              <w:jc w:val="left"/>
              <w:rPr/>
            </w:pPr>
            <w:r w:rsidDel="00000000" w:rsidR="00000000" w:rsidRPr="00000000">
              <w:rPr>
                <w:rtl w:val="0"/>
              </w:rPr>
              <w:t xml:space="preserve">Data classification &amp; handling</w:t>
            </w:r>
          </w:p>
        </w:tc>
        <w:tc>
          <w:tcPr/>
          <w:p w:rsidR="00000000" w:rsidDel="00000000" w:rsidP="00000000" w:rsidRDefault="00000000" w:rsidRPr="00000000" w14:paraId="000000EA">
            <w:pPr>
              <w:jc w:val="left"/>
              <w:rPr/>
            </w:pPr>
            <w:r w:rsidDel="00000000" w:rsidR="00000000" w:rsidRPr="00000000">
              <w:rPr>
                <w:rtl w:val="0"/>
              </w:rPr>
              <w:t xml:space="preserve">Sensitivity tiers, handling rules.</w:t>
            </w:r>
          </w:p>
        </w:tc>
        <w:tc>
          <w:tcPr/>
          <w:p w:rsidR="00000000" w:rsidDel="00000000" w:rsidP="00000000" w:rsidRDefault="00000000" w:rsidRPr="00000000" w14:paraId="000000EB">
            <w:pPr>
              <w:jc w:val="left"/>
              <w:rPr/>
            </w:pPr>
            <w:r w:rsidDel="00000000" w:rsidR="00000000" w:rsidRPr="00000000">
              <w:rPr>
                <w:rtl w:val="0"/>
              </w:rPr>
              <w:t xml:space="preserve">High</w:t>
            </w:r>
          </w:p>
        </w:tc>
      </w:tr>
      <w:tr>
        <w:trPr>
          <w:cantSplit w:val="0"/>
          <w:tblHeader w:val="0"/>
        </w:trPr>
        <w:tc>
          <w:tcPr/>
          <w:p w:rsidR="00000000" w:rsidDel="00000000" w:rsidP="00000000" w:rsidRDefault="00000000" w:rsidRPr="00000000" w14:paraId="000000EC">
            <w:pPr>
              <w:jc w:val="left"/>
              <w:rPr/>
            </w:pPr>
            <w:r w:rsidDel="00000000" w:rsidR="00000000" w:rsidRPr="00000000">
              <w:rPr>
                <w:rtl w:val="0"/>
              </w:rPr>
              <w:t xml:space="preserve">Acceptable use</w:t>
            </w:r>
          </w:p>
        </w:tc>
        <w:tc>
          <w:tcPr/>
          <w:p w:rsidR="00000000" w:rsidDel="00000000" w:rsidP="00000000" w:rsidRDefault="00000000" w:rsidRPr="00000000" w14:paraId="000000ED">
            <w:pPr>
              <w:jc w:val="left"/>
              <w:rPr/>
            </w:pPr>
            <w:r w:rsidDel="00000000" w:rsidR="00000000" w:rsidRPr="00000000">
              <w:rPr>
                <w:rtl w:val="0"/>
              </w:rPr>
              <w:t xml:space="preserve">User behaviour, prohibited activities.</w:t>
            </w:r>
          </w:p>
        </w:tc>
        <w:tc>
          <w:tcPr/>
          <w:p w:rsidR="00000000" w:rsidDel="00000000" w:rsidP="00000000" w:rsidRDefault="00000000" w:rsidRPr="00000000" w14:paraId="000000EE">
            <w:pPr>
              <w:jc w:val="left"/>
              <w:rPr/>
            </w:pPr>
            <w:r w:rsidDel="00000000" w:rsidR="00000000" w:rsidRPr="00000000">
              <w:rPr>
                <w:rtl w:val="0"/>
              </w:rPr>
              <w:t xml:space="preserve">Medium</w:t>
            </w:r>
          </w:p>
        </w:tc>
      </w:tr>
      <w:tr>
        <w:trPr>
          <w:cantSplit w:val="0"/>
          <w:tblHeader w:val="0"/>
        </w:trPr>
        <w:tc>
          <w:tcPr/>
          <w:p w:rsidR="00000000" w:rsidDel="00000000" w:rsidP="00000000" w:rsidRDefault="00000000" w:rsidRPr="00000000" w14:paraId="000000EF">
            <w:pPr>
              <w:jc w:val="left"/>
              <w:rPr/>
            </w:pPr>
            <w:r w:rsidDel="00000000" w:rsidR="00000000" w:rsidRPr="00000000">
              <w:rPr>
                <w:rtl w:val="0"/>
              </w:rPr>
              <w:t xml:space="preserve">Intellectual property protection</w:t>
            </w:r>
          </w:p>
        </w:tc>
        <w:tc>
          <w:tcPr/>
          <w:p w:rsidR="00000000" w:rsidDel="00000000" w:rsidP="00000000" w:rsidRDefault="00000000" w:rsidRPr="00000000" w14:paraId="000000F0">
            <w:pPr>
              <w:jc w:val="left"/>
              <w:rPr/>
            </w:pPr>
            <w:r w:rsidDel="00000000" w:rsidR="00000000" w:rsidRPr="00000000">
              <w:rPr>
                <w:rtl w:val="0"/>
              </w:rPr>
              <w:t xml:space="preserve">Safeguarding proprietary information.</w:t>
            </w:r>
          </w:p>
        </w:tc>
        <w:tc>
          <w:tcPr/>
          <w:p w:rsidR="00000000" w:rsidDel="00000000" w:rsidP="00000000" w:rsidRDefault="00000000" w:rsidRPr="00000000" w14:paraId="000000F1">
            <w:pPr>
              <w:jc w:val="left"/>
              <w:rPr/>
            </w:pPr>
            <w:r w:rsidDel="00000000" w:rsidR="00000000" w:rsidRPr="00000000">
              <w:rPr>
                <w:rtl w:val="0"/>
              </w:rPr>
              <w:t xml:space="preserve">High</w:t>
            </w:r>
          </w:p>
        </w:tc>
      </w:tr>
    </w:tbl>
    <w:p w:rsidR="00000000" w:rsidDel="00000000" w:rsidP="00000000" w:rsidRDefault="00000000" w:rsidRPr="00000000" w14:paraId="000000F2">
      <w:pPr>
        <w:tabs>
          <w:tab w:val="left" w:leader="none" w:pos="1095"/>
        </w:tabs>
        <w:rPr/>
      </w:pPr>
      <w:r w:rsidDel="00000000" w:rsidR="00000000" w:rsidRPr="00000000">
        <w:rPr>
          <w:rtl w:val="0"/>
        </w:rPr>
      </w:r>
    </w:p>
    <w:p w:rsidR="00000000" w:rsidDel="00000000" w:rsidP="00000000" w:rsidRDefault="00000000" w:rsidRPr="00000000" w14:paraId="000000F3">
      <w:pPr>
        <w:pStyle w:val="Heading2"/>
        <w:rPr/>
      </w:pPr>
      <w:bookmarkStart w:colFirst="0" w:colLast="0" w:name="_ieecjyc6mg3q" w:id="34"/>
      <w:bookmarkEnd w:id="34"/>
      <w:r w:rsidDel="00000000" w:rsidR="00000000" w:rsidRPr="00000000">
        <w:rPr>
          <w:rtl w:val="0"/>
        </w:rPr>
        <w:t xml:space="preserve">3.5 Risk Management Framework</w:t>
      </w:r>
    </w:p>
    <w:p w:rsidR="00000000" w:rsidDel="00000000" w:rsidP="00000000" w:rsidRDefault="00000000" w:rsidRPr="00000000" w14:paraId="000000F4">
      <w:pPr>
        <w:rPr/>
      </w:pPr>
      <w:r w:rsidDel="00000000" w:rsidR="00000000" w:rsidRPr="00000000">
        <w:rPr>
          <w:rtl w:val="0"/>
        </w:rPr>
        <w:t xml:space="preserve">The risk management scheme has a cyclic approach to risk identification, assessment and treatment that aligns with known information security risk-management practices. Risk to assets are identified, threats and vulnerabilities identified and risks to assets are analysed based on how probable they are and how severe the effects are and any risk that does not pass the acceptable criteria are treated by avoidance, mitigation, transfer or acceptance and with constant monitoring. Each risk, owner, inherent/residual rating and treatment plan is recorded in a central risk register and there is a heat-map helping to prioritize and report the risks to the governance bodies a heat-map displaying low/medium/high risk level. </w:t>
      </w:r>
    </w:p>
    <w:p w:rsidR="00000000" w:rsidDel="00000000" w:rsidP="00000000" w:rsidRDefault="00000000" w:rsidRPr="00000000" w14:paraId="000000F5">
      <w:pPr>
        <w:rPr/>
      </w:pPr>
      <w:r w:rsidDel="00000000" w:rsidR="00000000" w:rsidRPr="00000000">
        <w:rPr>
          <w:rtl w:val="0"/>
        </w:rPr>
        <w:t xml:space="preserve">In the case of NatureGreen, crucial categories of risks directly pointed out in the scenario scenario are wireless network exposure, and cloud service vulnerabilities and threats brought by bring-your-own-device access to the corporate resources. They are assessed against agreed risk appetite and tolerance levels accepted by the Board, so that only risks that fall within the agreed limits are accepted and that areas of high exposures lead to investment to control the selection and ongoing improvement processes.</w:t>
      </w:r>
    </w:p>
    <w:p w:rsidR="00000000" w:rsidDel="00000000" w:rsidP="00000000" w:rsidRDefault="00000000" w:rsidRPr="00000000" w14:paraId="000000F6">
      <w:pPr>
        <w:keepNext w:val="1"/>
        <w:rPr/>
      </w:pPr>
      <w:r w:rsidDel="00000000" w:rsidR="00000000" w:rsidRPr="00000000">
        <w:rPr/>
        <w:drawing>
          <wp:inline distB="0" distT="0" distL="0" distR="0">
            <wp:extent cx="5731510" cy="3126105"/>
            <wp:effectExtent b="0" l="0" r="0" t="0"/>
            <wp:docPr id="5"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5731510" cy="3126105"/>
                    </a:xfrm>
                    <a:prstGeom prst="rect"/>
                    <a:ln/>
                  </pic:spPr>
                </pic:pic>
              </a:graphicData>
            </a:graphic>
          </wp:inline>
        </w:drawing>
      </w: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eham6jdk645j" w:id="35"/>
      <w:bookmarkEnd w:id="35"/>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Figure 4: Comprehensive cyclical framework for risk management</w:t>
      </w:r>
    </w:p>
    <w:p w:rsidR="00000000" w:rsidDel="00000000" w:rsidP="00000000" w:rsidRDefault="00000000" w:rsidRPr="00000000" w14:paraId="000000F8">
      <w:pPr>
        <w:pStyle w:val="Heading2"/>
        <w:rPr/>
      </w:pPr>
      <w:bookmarkStart w:colFirst="0" w:colLast="0" w:name="_ex7ua0acxa03" w:id="36"/>
      <w:bookmarkEnd w:id="36"/>
      <w:r w:rsidDel="00000000" w:rsidR="00000000" w:rsidRPr="00000000">
        <w:rPr>
          <w:rtl w:val="0"/>
        </w:rPr>
        <w:t xml:space="preserve">3.6 Compliance and Legal Requirements</w:t>
      </w:r>
    </w:p>
    <w:p w:rsidR="00000000" w:rsidDel="00000000" w:rsidP="00000000" w:rsidRDefault="00000000" w:rsidRPr="00000000" w14:paraId="000000F9">
      <w:pPr>
        <w:rPr/>
      </w:pPr>
      <w:r w:rsidDel="00000000" w:rsidR="00000000" w:rsidRPr="00000000">
        <w:rPr>
          <w:rtl w:val="0"/>
        </w:rPr>
        <w:t xml:space="preserve">Security governance needs to be in alignment with data protection laws like the EU General Data Protection Regulation (GDPR) and other relevant national data protection laws that introduce conditions of lawful processing, data subject rights, accountability and demonstrable compliance. Sector-specific version Established in various regions depending on sector and geography, still further industry-specific regimes (such as healthcare or financial-services regulations) and intellectual-property regimes related to patents, copyright and trade secrets influence the customer, employee and proprietary information process. The policy is enforced by implementing documented policies, privacy statements, contracts and technical controls backed by continuous monitoring and internal audits, external evaluation and maintenance of records including processing registers and audit trails [19], [20].</w:t>
      </w:r>
    </w:p>
    <w:p w:rsidR="00000000" w:rsidDel="00000000" w:rsidP="00000000" w:rsidRDefault="00000000" w:rsidRPr="00000000" w14:paraId="000000FA">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faxufsleili3" w:id="37"/>
      <w:bookmarkEnd w:id="37"/>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9: Key Compliance Areas and Their Focus</w:t>
      </w:r>
    </w:p>
    <w:tbl>
      <w:tblPr>
        <w:tblStyle w:val="Table9"/>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972"/>
        <w:gridCol w:w="6044"/>
        <w:tblGridChange w:id="0">
          <w:tblGrid>
            <w:gridCol w:w="2972"/>
            <w:gridCol w:w="6044"/>
          </w:tblGrid>
        </w:tblGridChange>
      </w:tblGrid>
      <w:tr>
        <w:trPr>
          <w:cantSplit w:val="0"/>
          <w:tblHeader w:val="0"/>
        </w:trPr>
        <w:tc>
          <w:tcPr/>
          <w:p w:rsidR="00000000" w:rsidDel="00000000" w:rsidP="00000000" w:rsidRDefault="00000000" w:rsidRPr="00000000" w14:paraId="000000FB">
            <w:pPr>
              <w:jc w:val="left"/>
              <w:rPr/>
            </w:pPr>
            <w:r w:rsidDel="00000000" w:rsidR="00000000" w:rsidRPr="00000000">
              <w:rPr>
                <w:b w:val="0"/>
                <w:bCs w:val="0"/>
                <w:rtl w:val="0"/>
              </w:rPr>
              <w:t xml:space="preserve">Area</w:t>
            </w:r>
            <w:r w:rsidDel="00000000" w:rsidR="00000000" w:rsidRPr="00000000">
              <w:rPr>
                <w:rtl w:val="0"/>
              </w:rPr>
            </w:r>
          </w:p>
        </w:tc>
        <w:tc>
          <w:tcPr/>
          <w:p w:rsidR="00000000" w:rsidDel="00000000" w:rsidP="00000000" w:rsidRDefault="00000000" w:rsidRPr="00000000" w14:paraId="000000FC">
            <w:pPr>
              <w:jc w:val="left"/>
              <w:rPr/>
            </w:pPr>
            <w:r w:rsidDel="00000000" w:rsidR="00000000" w:rsidRPr="00000000">
              <w:rPr>
                <w:b w:val="0"/>
                <w:bCs w:val="0"/>
                <w:rtl w:val="0"/>
              </w:rPr>
              <w:t xml:space="preserve">Compliance focus</w:t>
            </w:r>
            <w:r w:rsidDel="00000000" w:rsidR="00000000" w:rsidRPr="00000000">
              <w:rPr>
                <w:rtl w:val="0"/>
              </w:rPr>
            </w:r>
          </w:p>
        </w:tc>
      </w:tr>
      <w:tr>
        <w:trPr>
          <w:cantSplit w:val="0"/>
          <w:tblHeader w:val="0"/>
        </w:trPr>
        <w:tc>
          <w:tcPr/>
          <w:p w:rsidR="00000000" w:rsidDel="00000000" w:rsidP="00000000" w:rsidRDefault="00000000" w:rsidRPr="00000000" w14:paraId="000000FD">
            <w:pPr>
              <w:jc w:val="left"/>
              <w:rPr/>
            </w:pPr>
            <w:r w:rsidDel="00000000" w:rsidR="00000000" w:rsidRPr="00000000">
              <w:rPr>
                <w:rtl w:val="0"/>
              </w:rPr>
              <w:t xml:space="preserve">Data protection</w:t>
            </w:r>
          </w:p>
        </w:tc>
        <w:tc>
          <w:tcPr/>
          <w:p w:rsidR="00000000" w:rsidDel="00000000" w:rsidP="00000000" w:rsidRDefault="00000000" w:rsidRPr="00000000" w14:paraId="000000FE">
            <w:pPr>
              <w:jc w:val="left"/>
              <w:rPr/>
            </w:pPr>
            <w:r w:rsidDel="00000000" w:rsidR="00000000" w:rsidRPr="00000000">
              <w:rPr>
                <w:rtl w:val="0"/>
              </w:rPr>
              <w:t xml:space="preserve">GDPR, local privacy laws, data subject rights.</w:t>
            </w:r>
          </w:p>
        </w:tc>
      </w:tr>
      <w:tr>
        <w:trPr>
          <w:cantSplit w:val="0"/>
          <w:tblHeader w:val="0"/>
        </w:trPr>
        <w:tc>
          <w:tcPr/>
          <w:p w:rsidR="00000000" w:rsidDel="00000000" w:rsidP="00000000" w:rsidRDefault="00000000" w:rsidRPr="00000000" w14:paraId="000000FF">
            <w:pPr>
              <w:jc w:val="left"/>
              <w:rPr/>
            </w:pPr>
            <w:r w:rsidDel="00000000" w:rsidR="00000000" w:rsidRPr="00000000">
              <w:rPr>
                <w:rtl w:val="0"/>
              </w:rPr>
              <w:t xml:space="preserve">Industry regulations</w:t>
            </w:r>
          </w:p>
        </w:tc>
        <w:tc>
          <w:tcPr/>
          <w:p w:rsidR="00000000" w:rsidDel="00000000" w:rsidP="00000000" w:rsidRDefault="00000000" w:rsidRPr="00000000" w14:paraId="00000100">
            <w:pPr>
              <w:jc w:val="left"/>
              <w:rPr/>
            </w:pPr>
            <w:r w:rsidDel="00000000" w:rsidR="00000000" w:rsidRPr="00000000">
              <w:rPr>
                <w:rtl w:val="0"/>
              </w:rPr>
              <w:t xml:space="preserve">Sector-specific security and privacy rules.</w:t>
            </w:r>
          </w:p>
        </w:tc>
      </w:tr>
      <w:tr>
        <w:trPr>
          <w:cantSplit w:val="0"/>
          <w:tblHeader w:val="0"/>
        </w:trPr>
        <w:tc>
          <w:tcPr/>
          <w:p w:rsidR="00000000" w:rsidDel="00000000" w:rsidP="00000000" w:rsidRDefault="00000000" w:rsidRPr="00000000" w14:paraId="00000101">
            <w:pPr>
              <w:jc w:val="left"/>
              <w:rPr/>
            </w:pPr>
            <w:r w:rsidDel="00000000" w:rsidR="00000000" w:rsidRPr="00000000">
              <w:rPr>
                <w:rtl w:val="0"/>
              </w:rPr>
              <w:t xml:space="preserve">Intellectual property</w:t>
            </w:r>
          </w:p>
        </w:tc>
        <w:tc>
          <w:tcPr/>
          <w:p w:rsidR="00000000" w:rsidDel="00000000" w:rsidP="00000000" w:rsidRDefault="00000000" w:rsidRPr="00000000" w14:paraId="00000102">
            <w:pPr>
              <w:jc w:val="left"/>
              <w:rPr/>
            </w:pPr>
            <w:r w:rsidDel="00000000" w:rsidR="00000000" w:rsidRPr="00000000">
              <w:rPr>
                <w:rtl w:val="0"/>
              </w:rPr>
              <w:t xml:space="preserve">Protection of IP assets and licensing.</w:t>
            </w:r>
          </w:p>
        </w:tc>
      </w:tr>
      <w:tr>
        <w:trPr>
          <w:cantSplit w:val="0"/>
          <w:tblHeader w:val="0"/>
        </w:trPr>
        <w:tc>
          <w:tcPr/>
          <w:p w:rsidR="00000000" w:rsidDel="00000000" w:rsidP="00000000" w:rsidRDefault="00000000" w:rsidRPr="00000000" w14:paraId="00000103">
            <w:pPr>
              <w:jc w:val="left"/>
              <w:rPr/>
            </w:pPr>
            <w:r w:rsidDel="00000000" w:rsidR="00000000" w:rsidRPr="00000000">
              <w:rPr>
                <w:rtl w:val="0"/>
              </w:rPr>
              <w:t xml:space="preserve">Monitoring &amp; audit</w:t>
            </w:r>
          </w:p>
        </w:tc>
        <w:tc>
          <w:tcPr/>
          <w:p w:rsidR="00000000" w:rsidDel="00000000" w:rsidP="00000000" w:rsidRDefault="00000000" w:rsidRPr="00000000" w14:paraId="00000104">
            <w:pPr>
              <w:jc w:val="left"/>
              <w:rPr/>
            </w:pPr>
            <w:r w:rsidDel="00000000" w:rsidR="00000000" w:rsidRPr="00000000">
              <w:rPr>
                <w:rtl w:val="0"/>
              </w:rPr>
              <w:t xml:space="preserve">Logs, registers, periodic audits, assessments.</w:t>
            </w:r>
          </w:p>
        </w:tc>
      </w:tr>
    </w:tbl>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pStyle w:val="Heading2"/>
        <w:rPr/>
      </w:pPr>
      <w:bookmarkStart w:colFirst="0" w:colLast="0" w:name="_dlrh849y9la8" w:id="38"/>
      <w:bookmarkEnd w:id="38"/>
      <w:r w:rsidDel="00000000" w:rsidR="00000000" w:rsidRPr="00000000">
        <w:rPr>
          <w:rtl w:val="0"/>
        </w:rPr>
        <w:t xml:space="preserve">3.7 Protection Mechanisms</w:t>
      </w:r>
    </w:p>
    <w:p w:rsidR="00000000" w:rsidDel="00000000" w:rsidP="00000000" w:rsidRDefault="00000000" w:rsidRPr="00000000" w14:paraId="00000107">
      <w:pPr>
        <w:rPr/>
      </w:pPr>
      <w:r w:rsidDel="00000000" w:rsidR="00000000" w:rsidRPr="00000000">
        <w:rPr>
          <w:rtl w:val="0"/>
        </w:rPr>
        <w:t xml:space="preserve">Protection measures are a combination of such layered technical controls, administrative controls, and physical controls that helps in ensuring the security of information assets in confidential, integrity as well as availability. At the network layer, lateral movement and unauthorised access over Wi-Fi is mitigated with the help of modern protocols like WPA3 and enterprise authentication protocols like 802.1X to segregate and provide network security against wireless attacks. They protect endpoints with anti-malware, host-based hardening and firewalls and support with mobile device management (MDM) to enforce configuration baselines, smartphone and tablet encryption and remote wipe. Within cloud settings, data in transit and rest, strong identity and access management (IAM), and Cloud Access Security Brokers (CASB) will offer policy implementation, visibility and control of cloud utilization. The principles of Zero Trust Architecture implanted through constant validation, least-privilege access and micro-segmentation further minimize implicitly created trust and enhance resilience to compromise of an account or device. A defence-in-depth posture is done through administrative controls like policies, training and procedures together with the physical controls like secure facilities and access badges [21].</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pStyle w:val="Heading2"/>
        <w:rPr/>
      </w:pPr>
      <w:bookmarkStart w:colFirst="0" w:colLast="0" w:name="_plb8bhgeq0uk" w:id="39"/>
      <w:bookmarkEnd w:id="39"/>
      <w:r w:rsidDel="00000000" w:rsidR="00000000" w:rsidRPr="00000000">
        <w:rPr>
          <w:rtl w:val="0"/>
        </w:rPr>
        <w:t xml:space="preserve">3.8 Contingency and Business Continuity Planning</w:t>
      </w:r>
    </w:p>
    <w:p w:rsidR="00000000" w:rsidDel="00000000" w:rsidP="00000000" w:rsidRDefault="00000000" w:rsidRPr="00000000" w14:paraId="0000010A">
      <w:pPr>
        <w:rPr/>
      </w:pPr>
      <w:r w:rsidDel="00000000" w:rsidR="00000000" w:rsidRPr="00000000">
        <w:rPr>
          <w:rtl w:val="0"/>
        </w:rPr>
        <w:t xml:space="preserve">Business continuity and contingency planning help in making sure that essential services are resilient and that they recover effectively as a result of disruptive events, such as cyberattacks and infrastructure outages. Recovery time and recovery point goals, established incident response plan, backup and restoration processes and staff, customer and partner crisis communication rules are defined by a combined strategy.</w:t>
      </w:r>
    </w:p>
    <w:p w:rsidR="00000000" w:rsidDel="00000000" w:rsidP="00000000" w:rsidRDefault="00000000" w:rsidRPr="00000000" w14:paraId="0000010B">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td9j16j11kt4" w:id="40"/>
      <w:bookmarkEnd w:id="40"/>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10: Core Components of Business Continuity Planning</w:t>
      </w:r>
    </w:p>
    <w:tbl>
      <w:tblPr>
        <w:tblStyle w:val="Table10"/>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3256"/>
        <w:gridCol w:w="5760"/>
        <w:tblGridChange w:id="0">
          <w:tblGrid>
            <w:gridCol w:w="3256"/>
            <w:gridCol w:w="5760"/>
          </w:tblGrid>
        </w:tblGridChange>
      </w:tblGrid>
      <w:tr>
        <w:trPr>
          <w:cantSplit w:val="0"/>
          <w:tblHeader w:val="0"/>
        </w:trPr>
        <w:tc>
          <w:tcPr/>
          <w:p w:rsidR="00000000" w:rsidDel="00000000" w:rsidP="00000000" w:rsidRDefault="00000000" w:rsidRPr="00000000" w14:paraId="0000010C">
            <w:pPr>
              <w:jc w:val="left"/>
              <w:rPr/>
            </w:pPr>
            <w:r w:rsidDel="00000000" w:rsidR="00000000" w:rsidRPr="00000000">
              <w:rPr>
                <w:b w:val="0"/>
                <w:bCs w:val="0"/>
                <w:rtl w:val="0"/>
              </w:rPr>
              <w:t xml:space="preserve">Element</w:t>
            </w:r>
            <w:r w:rsidDel="00000000" w:rsidR="00000000" w:rsidRPr="00000000">
              <w:rPr>
                <w:rtl w:val="0"/>
              </w:rPr>
            </w:r>
          </w:p>
        </w:tc>
        <w:tc>
          <w:tcPr/>
          <w:p w:rsidR="00000000" w:rsidDel="00000000" w:rsidP="00000000" w:rsidRDefault="00000000" w:rsidRPr="00000000" w14:paraId="0000010D">
            <w:pPr>
              <w:jc w:val="left"/>
              <w:rPr/>
            </w:pPr>
            <w:r w:rsidDel="00000000" w:rsidR="00000000" w:rsidRPr="00000000">
              <w:rPr>
                <w:b w:val="0"/>
                <w:bCs w:val="0"/>
                <w:rtl w:val="0"/>
              </w:rPr>
              <w:t xml:space="preserve">Key focus</w:t>
            </w:r>
            <w:r w:rsidDel="00000000" w:rsidR="00000000" w:rsidRPr="00000000">
              <w:rPr>
                <w:rtl w:val="0"/>
              </w:rPr>
            </w:r>
          </w:p>
        </w:tc>
      </w:tr>
      <w:tr>
        <w:trPr>
          <w:cantSplit w:val="0"/>
          <w:tblHeader w:val="0"/>
        </w:trPr>
        <w:tc>
          <w:tcPr/>
          <w:p w:rsidR="00000000" w:rsidDel="00000000" w:rsidP="00000000" w:rsidRDefault="00000000" w:rsidRPr="00000000" w14:paraId="0000010E">
            <w:pPr>
              <w:jc w:val="left"/>
              <w:rPr/>
            </w:pPr>
            <w:r w:rsidDel="00000000" w:rsidR="00000000" w:rsidRPr="00000000">
              <w:rPr>
                <w:rtl w:val="0"/>
              </w:rPr>
              <w:t xml:space="preserve">Disaster recovery strategy</w:t>
            </w:r>
          </w:p>
        </w:tc>
        <w:tc>
          <w:tcPr/>
          <w:p w:rsidR="00000000" w:rsidDel="00000000" w:rsidP="00000000" w:rsidRDefault="00000000" w:rsidRPr="00000000" w14:paraId="0000010F">
            <w:pPr>
              <w:jc w:val="left"/>
              <w:rPr/>
            </w:pPr>
            <w:r w:rsidDel="00000000" w:rsidR="00000000" w:rsidRPr="00000000">
              <w:rPr>
                <w:rtl w:val="0"/>
              </w:rPr>
              <w:t xml:space="preserve">Recovery time, recovery point, alternate sites.</w:t>
            </w:r>
          </w:p>
        </w:tc>
      </w:tr>
      <w:tr>
        <w:trPr>
          <w:cantSplit w:val="0"/>
          <w:tblHeader w:val="0"/>
        </w:trPr>
        <w:tc>
          <w:tcPr/>
          <w:p w:rsidR="00000000" w:rsidDel="00000000" w:rsidP="00000000" w:rsidRDefault="00000000" w:rsidRPr="00000000" w14:paraId="00000110">
            <w:pPr>
              <w:jc w:val="left"/>
              <w:rPr/>
            </w:pPr>
            <w:r w:rsidDel="00000000" w:rsidR="00000000" w:rsidRPr="00000000">
              <w:rPr>
                <w:rtl w:val="0"/>
              </w:rPr>
              <w:t xml:space="preserve">Incident response plan</w:t>
            </w:r>
          </w:p>
        </w:tc>
        <w:tc>
          <w:tcPr/>
          <w:p w:rsidR="00000000" w:rsidDel="00000000" w:rsidP="00000000" w:rsidRDefault="00000000" w:rsidRPr="00000000" w14:paraId="00000111">
            <w:pPr>
              <w:jc w:val="left"/>
              <w:rPr/>
            </w:pPr>
            <w:r w:rsidDel="00000000" w:rsidR="00000000" w:rsidRPr="00000000">
              <w:rPr>
                <w:rtl w:val="0"/>
              </w:rPr>
              <w:t xml:space="preserve">Roles, triage, containment, eradication, lessons.</w:t>
            </w:r>
          </w:p>
        </w:tc>
      </w:tr>
      <w:tr>
        <w:trPr>
          <w:cantSplit w:val="0"/>
          <w:tblHeader w:val="0"/>
        </w:trPr>
        <w:tc>
          <w:tcPr/>
          <w:p w:rsidR="00000000" w:rsidDel="00000000" w:rsidP="00000000" w:rsidRDefault="00000000" w:rsidRPr="00000000" w14:paraId="00000112">
            <w:pPr>
              <w:jc w:val="left"/>
              <w:rPr/>
            </w:pPr>
            <w:r w:rsidDel="00000000" w:rsidR="00000000" w:rsidRPr="00000000">
              <w:rPr>
                <w:rtl w:val="0"/>
              </w:rPr>
              <w:t xml:space="preserve">Backup and recovery</w:t>
            </w:r>
          </w:p>
        </w:tc>
        <w:tc>
          <w:tcPr/>
          <w:p w:rsidR="00000000" w:rsidDel="00000000" w:rsidP="00000000" w:rsidRDefault="00000000" w:rsidRPr="00000000" w14:paraId="00000113">
            <w:pPr>
              <w:jc w:val="left"/>
              <w:rPr/>
            </w:pPr>
            <w:r w:rsidDel="00000000" w:rsidR="00000000" w:rsidRPr="00000000">
              <w:rPr>
                <w:rtl w:val="0"/>
              </w:rPr>
              <w:t xml:space="preserve">Regular backups, secure storage, restoration tests.</w:t>
            </w:r>
          </w:p>
        </w:tc>
      </w:tr>
      <w:tr>
        <w:trPr>
          <w:cantSplit w:val="0"/>
          <w:tblHeader w:val="0"/>
        </w:trPr>
        <w:tc>
          <w:tcPr/>
          <w:p w:rsidR="00000000" w:rsidDel="00000000" w:rsidP="00000000" w:rsidRDefault="00000000" w:rsidRPr="00000000" w14:paraId="00000114">
            <w:pPr>
              <w:jc w:val="left"/>
              <w:rPr/>
            </w:pPr>
            <w:r w:rsidDel="00000000" w:rsidR="00000000" w:rsidRPr="00000000">
              <w:rPr>
                <w:rtl w:val="0"/>
              </w:rPr>
              <w:t xml:space="preserve">Crisis communication</w:t>
            </w:r>
          </w:p>
        </w:tc>
        <w:tc>
          <w:tcPr/>
          <w:p w:rsidR="00000000" w:rsidDel="00000000" w:rsidP="00000000" w:rsidRDefault="00000000" w:rsidRPr="00000000" w14:paraId="00000115">
            <w:pPr>
              <w:jc w:val="left"/>
              <w:rPr/>
            </w:pPr>
            <w:r w:rsidDel="00000000" w:rsidR="00000000" w:rsidRPr="00000000">
              <w:rPr>
                <w:rtl w:val="0"/>
              </w:rPr>
              <w:t xml:space="preserve">Notification trees, clear messages, media handling.</w:t>
            </w:r>
          </w:p>
        </w:tc>
      </w:tr>
    </w:tbl>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pStyle w:val="Heading2"/>
        <w:rPr/>
      </w:pPr>
      <w:bookmarkStart w:colFirst="0" w:colLast="0" w:name="_hc5qw7w7s45w" w:id="41"/>
      <w:bookmarkEnd w:id="41"/>
      <w:r w:rsidDel="00000000" w:rsidR="00000000" w:rsidRPr="00000000">
        <w:rPr>
          <w:rtl w:val="0"/>
        </w:rPr>
        <w:t xml:space="preserve">3.9 Service Level Agreements (SLAs)</w:t>
      </w:r>
    </w:p>
    <w:p w:rsidR="00000000" w:rsidDel="00000000" w:rsidP="00000000" w:rsidRDefault="00000000" w:rsidRPr="00000000" w14:paraId="00000118">
      <w:pPr>
        <w:rPr/>
      </w:pPr>
      <w:r w:rsidDel="00000000" w:rsidR="00000000" w:rsidRPr="00000000">
        <w:rPr>
          <w:rtl w:val="0"/>
        </w:rPr>
        <w:t xml:space="preserve">Service Level Agreements are an administrative expression of performance and restoration targets, such as uptime, RTO/RPO, incident reaction times, backup achievement and communication schedules, establishing quantifiable disciplines on suppliers and clients and aiding in tracking, reporting and implementing disaster recovery and continuity functions.</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pStyle w:val="Heading1"/>
        <w:rPr/>
      </w:pPr>
      <w:bookmarkStart w:colFirst="0" w:colLast="0" w:name="_p61mr86gtjwv" w:id="42"/>
      <w:bookmarkEnd w:id="42"/>
      <w:r w:rsidDel="00000000" w:rsidR="00000000" w:rsidRPr="00000000">
        <w:rPr>
          <w:rtl w:val="0"/>
        </w:rPr>
        <w:t xml:space="preserve">4. Critical Analysis</w:t>
      </w:r>
    </w:p>
    <w:p w:rsidR="00000000" w:rsidDel="00000000" w:rsidP="00000000" w:rsidRDefault="00000000" w:rsidRPr="00000000" w14:paraId="0000011B">
      <w:pPr>
        <w:pStyle w:val="Heading2"/>
        <w:rPr/>
      </w:pPr>
      <w:bookmarkStart w:colFirst="0" w:colLast="0" w:name="_135s0gw7j8va" w:id="43"/>
      <w:bookmarkEnd w:id="43"/>
      <w:r w:rsidDel="00000000" w:rsidR="00000000" w:rsidRPr="00000000">
        <w:rPr>
          <w:rtl w:val="0"/>
        </w:rPr>
        <w:t xml:space="preserve">4.1 The Dynamic Nature of Cybersecurity Threats</w:t>
      </w:r>
    </w:p>
    <w:p w:rsidR="00000000" w:rsidDel="00000000" w:rsidP="00000000" w:rsidRDefault="00000000" w:rsidRPr="00000000" w14:paraId="0000011C">
      <w:pPr>
        <w:rPr/>
      </w:pPr>
      <w:r w:rsidDel="00000000" w:rsidR="00000000" w:rsidRPr="00000000">
        <w:rPr>
          <w:rtl w:val="0"/>
        </w:rPr>
        <w:t xml:space="preserve">The cybersecurity threat environment is very dynamic whereby traditional malwares have advanced to advanced ransomware campaigns, protracted Advanced Persistent Threats and fast weaponised zero day exploits that exploit various platforms. Organisations can kill or create new attack vectors as they implement Internet of Things devices, cloud services and mobile ecosystems to which insecure configurations and poor device security expose consumers to large and distributed attack surfaces. IoT botnets Recent case studies and industrial APT scenarios, ransomware attacks in the clouds demonstrate that attackers join the subsequent lateral movement, privilege escalation, and data exfiltration, and it is necessary to enhance incessant reconnaissance and flexibilities [22], [23].</w:t>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pStyle w:val="Heading2"/>
        <w:rPr/>
      </w:pPr>
      <w:bookmarkStart w:colFirst="0" w:colLast="0" w:name="_kt7ziq6vgsx7" w:id="44"/>
      <w:bookmarkEnd w:id="44"/>
      <w:r w:rsidDel="00000000" w:rsidR="00000000" w:rsidRPr="00000000">
        <w:rPr>
          <w:rtl w:val="0"/>
        </w:rPr>
        <w:t xml:space="preserve">4.2 Technological Advancement and Regulatory Adaptation</w:t>
      </w:r>
    </w:p>
    <w:p w:rsidR="00000000" w:rsidDel="00000000" w:rsidP="00000000" w:rsidRDefault="00000000" w:rsidRPr="00000000" w14:paraId="0000011F">
      <w:pPr>
        <w:rPr/>
      </w:pPr>
      <w:r w:rsidDel="00000000" w:rsidR="00000000" w:rsidRPr="00000000">
        <w:rPr>
          <w:rtl w:val="0"/>
        </w:rPr>
        <w:t xml:space="preserve">Cloud computing is causing digital transformation that is transforming the business models and operating environment at lightning speed. Such innovation usually outpaces regulation especially in the case of AI and cross border cloud service, leaving uncertainty and compliance gaps that do not easily lend to traditional and fixed rules. This has triggered a demand towards more dynamic, risk based compliance models, such as continuous cloud compliance detection and AI enabled controls, in order that organisations are able to plot the changes in technical architecture and data purposes versus changing regulatory demands in close real time [24].</w:t>
      </w:r>
    </w:p>
    <w:p w:rsidR="00000000" w:rsidDel="00000000" w:rsidP="00000000" w:rsidRDefault="00000000" w:rsidRPr="00000000" w14:paraId="00000120">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oazppeglh47u" w:id="45"/>
      <w:bookmarkEnd w:id="45"/>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11: Regulatory needs driven by emerging technologies</w:t>
      </w:r>
    </w:p>
    <w:tbl>
      <w:tblPr>
        <w:tblStyle w:val="Table11"/>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405"/>
        <w:gridCol w:w="2977"/>
        <w:gridCol w:w="3634"/>
        <w:tblGridChange w:id="0">
          <w:tblGrid>
            <w:gridCol w:w="2405"/>
            <w:gridCol w:w="2977"/>
            <w:gridCol w:w="3634"/>
          </w:tblGrid>
        </w:tblGridChange>
      </w:tblGrid>
      <w:tr>
        <w:trPr>
          <w:cantSplit w:val="0"/>
          <w:tblHeader w:val="0"/>
        </w:trPr>
        <w:tc>
          <w:tcPr/>
          <w:p w:rsidR="00000000" w:rsidDel="00000000" w:rsidP="00000000" w:rsidRDefault="00000000" w:rsidRPr="00000000" w14:paraId="00000121">
            <w:pPr>
              <w:jc w:val="left"/>
              <w:rPr/>
            </w:pPr>
            <w:r w:rsidDel="00000000" w:rsidR="00000000" w:rsidRPr="00000000">
              <w:rPr>
                <w:b w:val="0"/>
                <w:bCs w:val="0"/>
                <w:rtl w:val="0"/>
              </w:rPr>
              <w:t xml:space="preserve">Dimension</w:t>
            </w:r>
            <w:r w:rsidDel="00000000" w:rsidR="00000000" w:rsidRPr="00000000">
              <w:rPr>
                <w:rtl w:val="0"/>
              </w:rPr>
            </w:r>
          </w:p>
        </w:tc>
        <w:tc>
          <w:tcPr/>
          <w:p w:rsidR="00000000" w:rsidDel="00000000" w:rsidP="00000000" w:rsidRDefault="00000000" w:rsidRPr="00000000" w14:paraId="00000122">
            <w:pPr>
              <w:jc w:val="left"/>
              <w:rPr/>
            </w:pPr>
            <w:r w:rsidDel="00000000" w:rsidR="00000000" w:rsidRPr="00000000">
              <w:rPr>
                <w:b w:val="0"/>
                <w:bCs w:val="0"/>
                <w:rtl w:val="0"/>
              </w:rPr>
              <w:t xml:space="preserve">Technological trend</w:t>
            </w:r>
            <w:r w:rsidDel="00000000" w:rsidR="00000000" w:rsidRPr="00000000">
              <w:rPr>
                <w:rtl w:val="0"/>
              </w:rPr>
            </w:r>
          </w:p>
        </w:tc>
        <w:tc>
          <w:tcPr/>
          <w:p w:rsidR="00000000" w:rsidDel="00000000" w:rsidP="00000000" w:rsidRDefault="00000000" w:rsidRPr="00000000" w14:paraId="00000123">
            <w:pPr>
              <w:jc w:val="left"/>
              <w:rPr/>
            </w:pPr>
            <w:r w:rsidDel="00000000" w:rsidR="00000000" w:rsidRPr="00000000">
              <w:rPr>
                <w:b w:val="0"/>
                <w:bCs w:val="0"/>
                <w:rtl w:val="0"/>
              </w:rPr>
              <w:t xml:space="preserve">Regulatory response need</w:t>
            </w:r>
            <w:r w:rsidDel="00000000" w:rsidR="00000000" w:rsidRPr="00000000">
              <w:rPr>
                <w:rtl w:val="0"/>
              </w:rPr>
            </w:r>
          </w:p>
        </w:tc>
      </w:tr>
      <w:tr>
        <w:trPr>
          <w:cantSplit w:val="0"/>
          <w:tblHeader w:val="0"/>
        </w:trPr>
        <w:tc>
          <w:tcPr/>
          <w:p w:rsidR="00000000" w:rsidDel="00000000" w:rsidP="00000000" w:rsidRDefault="00000000" w:rsidRPr="00000000" w14:paraId="00000124">
            <w:pPr>
              <w:jc w:val="left"/>
              <w:rPr/>
            </w:pPr>
            <w:r w:rsidDel="00000000" w:rsidR="00000000" w:rsidRPr="00000000">
              <w:rPr>
                <w:rtl w:val="0"/>
              </w:rPr>
              <w:t xml:space="preserve">Cloud services</w:t>
            </w:r>
          </w:p>
        </w:tc>
        <w:tc>
          <w:tcPr/>
          <w:p w:rsidR="00000000" w:rsidDel="00000000" w:rsidP="00000000" w:rsidRDefault="00000000" w:rsidRPr="00000000" w14:paraId="00000125">
            <w:pPr>
              <w:jc w:val="left"/>
              <w:rPr/>
            </w:pPr>
            <w:r w:rsidDel="00000000" w:rsidR="00000000" w:rsidRPr="00000000">
              <w:rPr>
                <w:rtl w:val="0"/>
              </w:rPr>
              <w:t xml:space="preserve">On demand, global data processing.</w:t>
            </w:r>
          </w:p>
        </w:tc>
        <w:tc>
          <w:tcPr/>
          <w:p w:rsidR="00000000" w:rsidDel="00000000" w:rsidP="00000000" w:rsidRDefault="00000000" w:rsidRPr="00000000" w14:paraId="00000126">
            <w:pPr>
              <w:jc w:val="left"/>
              <w:rPr/>
            </w:pPr>
            <w:r w:rsidDel="00000000" w:rsidR="00000000" w:rsidRPr="00000000">
              <w:rPr>
                <w:rtl w:val="0"/>
              </w:rPr>
              <w:t xml:space="preserve">Cross border data, security and privacy rules.</w:t>
            </w:r>
          </w:p>
        </w:tc>
      </w:tr>
      <w:tr>
        <w:trPr>
          <w:cantSplit w:val="0"/>
          <w:tblHeader w:val="0"/>
        </w:trPr>
        <w:tc>
          <w:tcPr/>
          <w:p w:rsidR="00000000" w:rsidDel="00000000" w:rsidP="00000000" w:rsidRDefault="00000000" w:rsidRPr="00000000" w14:paraId="00000127">
            <w:pPr>
              <w:jc w:val="left"/>
              <w:rPr/>
            </w:pPr>
            <w:r w:rsidDel="00000000" w:rsidR="00000000" w:rsidRPr="00000000">
              <w:rPr>
                <w:rtl w:val="0"/>
              </w:rPr>
              <w:t xml:space="preserve">AI and automation</w:t>
            </w:r>
          </w:p>
        </w:tc>
        <w:tc>
          <w:tcPr/>
          <w:p w:rsidR="00000000" w:rsidDel="00000000" w:rsidP="00000000" w:rsidRDefault="00000000" w:rsidRPr="00000000" w14:paraId="00000128">
            <w:pPr>
              <w:jc w:val="left"/>
              <w:rPr/>
            </w:pPr>
            <w:r w:rsidDel="00000000" w:rsidR="00000000" w:rsidRPr="00000000">
              <w:rPr>
                <w:rtl w:val="0"/>
              </w:rPr>
              <w:t xml:space="preserve">Adaptive, opaque decision systems.</w:t>
            </w:r>
          </w:p>
        </w:tc>
        <w:tc>
          <w:tcPr/>
          <w:p w:rsidR="00000000" w:rsidDel="00000000" w:rsidP="00000000" w:rsidRDefault="00000000" w:rsidRPr="00000000" w14:paraId="00000129">
            <w:pPr>
              <w:jc w:val="left"/>
              <w:rPr/>
            </w:pPr>
            <w:r w:rsidDel="00000000" w:rsidR="00000000" w:rsidRPr="00000000">
              <w:rPr>
                <w:rtl w:val="0"/>
              </w:rPr>
              <w:t xml:space="preserve">Auditability, transparency and oversight.</w:t>
            </w:r>
          </w:p>
        </w:tc>
      </w:tr>
      <w:tr>
        <w:trPr>
          <w:cantSplit w:val="0"/>
          <w:tblHeader w:val="0"/>
        </w:trPr>
        <w:tc>
          <w:tcPr/>
          <w:p w:rsidR="00000000" w:rsidDel="00000000" w:rsidP="00000000" w:rsidRDefault="00000000" w:rsidRPr="00000000" w14:paraId="0000012A">
            <w:pPr>
              <w:jc w:val="left"/>
              <w:rPr/>
            </w:pPr>
            <w:r w:rsidDel="00000000" w:rsidR="00000000" w:rsidRPr="00000000">
              <w:rPr>
                <w:rtl w:val="0"/>
              </w:rPr>
              <w:t xml:space="preserve">Continuous delivery</w:t>
            </w:r>
          </w:p>
        </w:tc>
        <w:tc>
          <w:tcPr/>
          <w:p w:rsidR="00000000" w:rsidDel="00000000" w:rsidP="00000000" w:rsidRDefault="00000000" w:rsidRPr="00000000" w14:paraId="0000012B">
            <w:pPr>
              <w:jc w:val="left"/>
              <w:rPr/>
            </w:pPr>
            <w:r w:rsidDel="00000000" w:rsidR="00000000" w:rsidRPr="00000000">
              <w:rPr>
                <w:rtl w:val="0"/>
              </w:rPr>
              <w:t xml:space="preserve">Rapid change of systems.</w:t>
            </w:r>
          </w:p>
        </w:tc>
        <w:tc>
          <w:tcPr/>
          <w:p w:rsidR="00000000" w:rsidDel="00000000" w:rsidP="00000000" w:rsidRDefault="00000000" w:rsidRPr="00000000" w14:paraId="0000012C">
            <w:pPr>
              <w:jc w:val="left"/>
              <w:rPr/>
            </w:pPr>
            <w:r w:rsidDel="00000000" w:rsidR="00000000" w:rsidRPr="00000000">
              <w:rPr>
                <w:rtl w:val="0"/>
              </w:rPr>
              <w:t xml:space="preserve">Ongoing, automated compliance checks.</w:t>
            </w:r>
          </w:p>
        </w:tc>
      </w:tr>
    </w:tbl>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pStyle w:val="Heading2"/>
        <w:rPr/>
      </w:pPr>
      <w:bookmarkStart w:colFirst="0" w:colLast="0" w:name="_tsdfco5mbsf5" w:id="46"/>
      <w:bookmarkEnd w:id="46"/>
      <w:r w:rsidDel="00000000" w:rsidR="00000000" w:rsidRPr="00000000">
        <w:rPr>
          <w:rtl w:val="0"/>
        </w:rPr>
        <w:t xml:space="preserve">4.3 Benefits of Regular Updates to Standards</w:t>
      </w:r>
    </w:p>
    <w:p w:rsidR="00000000" w:rsidDel="00000000" w:rsidP="00000000" w:rsidRDefault="00000000" w:rsidRPr="00000000" w14:paraId="0000012F">
      <w:pPr>
        <w:rPr/>
      </w:pPr>
      <w:r w:rsidDel="00000000" w:rsidR="00000000" w:rsidRPr="00000000">
        <w:rPr>
          <w:rtl w:val="0"/>
        </w:rPr>
        <w:t xml:space="preserve">Security standards are updated regularly to include the lessons learned through novel attack methods and technologies and enhance minimal protection against new threats in addition to mitigating systemic blind spots. They also facilitate harmonised global practices and language security, which facilitate interoperability, cross borders and assurance by third parties, and enhance the trust of the stakeholders with certified or provenly compliant organisations. Current alignment with accepted frameworks and regulation may reduce legal and regulatory risk, and in organisations where visible certifications or attestations are achieved, renewed standards provide the chance of competitive differentiation in markets where the security posture of customers, partners and regulators are becoming increasing as a selection criterion.</w:t>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pStyle w:val="Heading2"/>
        <w:rPr/>
      </w:pPr>
      <w:bookmarkStart w:colFirst="0" w:colLast="0" w:name="_rkhqrx9joela" w:id="47"/>
      <w:bookmarkEnd w:id="47"/>
      <w:r w:rsidDel="00000000" w:rsidR="00000000" w:rsidRPr="00000000">
        <w:rPr>
          <w:rtl w:val="0"/>
        </w:rPr>
        <w:t xml:space="preserve">4.4 Challenges and Considerations</w:t>
      </w:r>
    </w:p>
    <w:p w:rsidR="00000000" w:rsidDel="00000000" w:rsidP="00000000" w:rsidRDefault="00000000" w:rsidRPr="00000000" w14:paraId="00000132">
      <w:pPr>
        <w:rPr/>
      </w:pPr>
      <w:r w:rsidDel="00000000" w:rsidR="00000000" w:rsidRPr="00000000">
        <w:rPr>
          <w:rtl w:val="0"/>
        </w:rPr>
        <w:t xml:space="preserve">Compliance Fatigue and resource limitations Organisations struggle with overlap in location and scope of regulations and standards, required documentation and technical updates are forcing continuous audits, fulfilment of these standards push organisations and security experts to a state of stress. Rigorous prohibitions may likewise decelerate digital projects and, hence, top management needs to manage security and enterprise responsiveness and thoroughly, decide on the expense of continuous adjustment against the costs of intrusion and diminished productivity. Good programmes are therefore ones which emphasize proportional, risk based controls which direct efforts to the threats and uncertainties of most relevance.</w:t>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pStyle w:val="Heading1"/>
        <w:rPr/>
      </w:pPr>
      <w:bookmarkStart w:colFirst="0" w:colLast="0" w:name="_gybc0h2mq43g" w:id="48"/>
      <w:bookmarkEnd w:id="48"/>
      <w:r w:rsidDel="00000000" w:rsidR="00000000" w:rsidRPr="00000000">
        <w:rPr>
          <w:rtl w:val="0"/>
        </w:rPr>
        <w:t xml:space="preserve">5. Implementation Roadmap for NatureGreen</w:t>
      </w:r>
    </w:p>
    <w:p w:rsidR="00000000" w:rsidDel="00000000" w:rsidP="00000000" w:rsidRDefault="00000000" w:rsidRPr="00000000" w14:paraId="00000135">
      <w:pPr>
        <w:pStyle w:val="Heading2"/>
        <w:rPr/>
      </w:pPr>
      <w:bookmarkStart w:colFirst="0" w:colLast="0" w:name="_frxhc9d86kv7" w:id="49"/>
      <w:bookmarkEnd w:id="49"/>
      <w:r w:rsidDel="00000000" w:rsidR="00000000" w:rsidRPr="00000000">
        <w:rPr>
          <w:rtl w:val="0"/>
        </w:rPr>
        <w:t xml:space="preserve">5.1 Phased Implementation Approach</w:t>
      </w:r>
    </w:p>
    <w:p w:rsidR="00000000" w:rsidDel="00000000" w:rsidP="00000000" w:rsidRDefault="00000000" w:rsidRPr="00000000" w14:paraId="00000136">
      <w:pPr>
        <w:rPr/>
      </w:pPr>
      <w:r w:rsidDel="00000000" w:rsidR="00000000" w:rsidRPr="00000000">
        <w:rPr>
          <w:rtl w:val="0"/>
        </w:rPr>
        <w:t xml:space="preserve">An incremental implementation plan minimizes risks of change and in line with the advice which suggests that ISO 27001 and overall security programmes must be undertaken in stages.</w:t>
      </w:r>
    </w:p>
    <w:p w:rsidR="00000000" w:rsidDel="00000000" w:rsidP="00000000" w:rsidRDefault="00000000" w:rsidRPr="00000000" w14:paraId="00000137">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sd257uydgmbf" w:id="50"/>
      <w:bookmarkEnd w:id="50"/>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12: Phased roadmap for enhancing security maturity</w:t>
      </w:r>
    </w:p>
    <w:tbl>
      <w:tblPr>
        <w:tblStyle w:val="Table12"/>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980"/>
        <w:gridCol w:w="7036"/>
        <w:tblGridChange w:id="0">
          <w:tblGrid>
            <w:gridCol w:w="1980"/>
            <w:gridCol w:w="7036"/>
          </w:tblGrid>
        </w:tblGridChange>
      </w:tblGrid>
      <w:tr>
        <w:trPr>
          <w:cantSplit w:val="0"/>
          <w:tblHeader w:val="0"/>
        </w:trPr>
        <w:tc>
          <w:tcPr/>
          <w:p w:rsidR="00000000" w:rsidDel="00000000" w:rsidP="00000000" w:rsidRDefault="00000000" w:rsidRPr="00000000" w14:paraId="00000138">
            <w:pPr>
              <w:jc w:val="left"/>
              <w:rPr/>
            </w:pPr>
            <w:r w:rsidDel="00000000" w:rsidR="00000000" w:rsidRPr="00000000">
              <w:rPr>
                <w:b w:val="0"/>
                <w:bCs w:val="0"/>
                <w:rtl w:val="0"/>
              </w:rPr>
              <w:t xml:space="preserve">Phase &amp; timeline</w:t>
            </w:r>
            <w:r w:rsidDel="00000000" w:rsidR="00000000" w:rsidRPr="00000000">
              <w:rPr>
                <w:rtl w:val="0"/>
              </w:rPr>
            </w:r>
          </w:p>
        </w:tc>
        <w:tc>
          <w:tcPr/>
          <w:p w:rsidR="00000000" w:rsidDel="00000000" w:rsidP="00000000" w:rsidRDefault="00000000" w:rsidRPr="00000000" w14:paraId="00000139">
            <w:pPr>
              <w:jc w:val="left"/>
              <w:rPr/>
            </w:pPr>
            <w:r w:rsidDel="00000000" w:rsidR="00000000" w:rsidRPr="00000000">
              <w:rPr>
                <w:b w:val="0"/>
                <w:bCs w:val="0"/>
                <w:rtl w:val="0"/>
              </w:rPr>
              <w:t xml:space="preserve">Key focus areas</w:t>
            </w:r>
            <w:r w:rsidDel="00000000" w:rsidR="00000000" w:rsidRPr="00000000">
              <w:rPr>
                <w:rtl w:val="0"/>
              </w:rPr>
            </w:r>
          </w:p>
        </w:tc>
      </w:tr>
      <w:tr>
        <w:trPr>
          <w:cantSplit w:val="0"/>
          <w:tblHeader w:val="0"/>
        </w:trPr>
        <w:tc>
          <w:tcPr/>
          <w:p w:rsidR="00000000" w:rsidDel="00000000" w:rsidP="00000000" w:rsidRDefault="00000000" w:rsidRPr="00000000" w14:paraId="0000013A">
            <w:pPr>
              <w:jc w:val="left"/>
              <w:rPr>
                <w:b w:val="0"/>
                <w:bCs w:val="0"/>
              </w:rPr>
            </w:pPr>
            <w:r w:rsidDel="00000000" w:rsidR="00000000" w:rsidRPr="00000000">
              <w:rPr>
                <w:rtl w:val="0"/>
              </w:rPr>
              <w:t xml:space="preserve">Phase 1, </w:t>
            </w:r>
            <w:r w:rsidDel="00000000" w:rsidR="00000000" w:rsidRPr="00000000">
              <w:rPr>
                <w:rtl w:val="0"/>
              </w:rPr>
            </w:r>
          </w:p>
          <w:p w:rsidR="00000000" w:rsidDel="00000000" w:rsidP="00000000" w:rsidRDefault="00000000" w:rsidRPr="00000000" w14:paraId="0000013B">
            <w:pPr>
              <w:jc w:val="left"/>
              <w:rPr/>
            </w:pPr>
            <w:r w:rsidDel="00000000" w:rsidR="00000000" w:rsidRPr="00000000">
              <w:rPr>
                <w:rtl w:val="0"/>
              </w:rPr>
              <w:t xml:space="preserve">0-6 months</w:t>
            </w:r>
          </w:p>
        </w:tc>
        <w:tc>
          <w:tcPr/>
          <w:p w:rsidR="00000000" w:rsidDel="00000000" w:rsidP="00000000" w:rsidRDefault="00000000" w:rsidRPr="00000000" w14:paraId="0000013C">
            <w:pPr>
              <w:jc w:val="left"/>
              <w:rPr/>
            </w:pPr>
            <w:r w:rsidDel="00000000" w:rsidR="00000000" w:rsidRPr="00000000">
              <w:rPr>
                <w:rtl w:val="0"/>
              </w:rPr>
              <w:t xml:space="preserve">Formulate governing bodies, establish roles, negotiate placement, develop priority BYOD and cloud security policies, and conduct a minimum risk analysis.</w:t>
            </w:r>
          </w:p>
        </w:tc>
      </w:tr>
      <w:tr>
        <w:trPr>
          <w:cantSplit w:val="0"/>
          <w:tblHeader w:val="0"/>
        </w:trPr>
        <w:tc>
          <w:tcPr/>
          <w:p w:rsidR="00000000" w:rsidDel="00000000" w:rsidP="00000000" w:rsidRDefault="00000000" w:rsidRPr="00000000" w14:paraId="0000013D">
            <w:pPr>
              <w:jc w:val="left"/>
              <w:rPr>
                <w:b w:val="0"/>
                <w:bCs w:val="0"/>
              </w:rPr>
            </w:pPr>
            <w:r w:rsidDel="00000000" w:rsidR="00000000" w:rsidRPr="00000000">
              <w:rPr>
                <w:rtl w:val="0"/>
              </w:rPr>
              <w:t xml:space="preserve">Phase 2, </w:t>
            </w:r>
            <w:r w:rsidDel="00000000" w:rsidR="00000000" w:rsidRPr="00000000">
              <w:rPr>
                <w:rtl w:val="0"/>
              </w:rPr>
            </w:r>
          </w:p>
          <w:p w:rsidR="00000000" w:rsidDel="00000000" w:rsidP="00000000" w:rsidRDefault="00000000" w:rsidRPr="00000000" w14:paraId="0000013E">
            <w:pPr>
              <w:jc w:val="left"/>
              <w:rPr/>
            </w:pPr>
            <w:r w:rsidDel="00000000" w:rsidR="00000000" w:rsidRPr="00000000">
              <w:rPr>
                <w:rtl w:val="0"/>
              </w:rPr>
              <w:t xml:space="preserve">6-12 months</w:t>
            </w:r>
          </w:p>
        </w:tc>
        <w:tc>
          <w:tcPr/>
          <w:p w:rsidR="00000000" w:rsidDel="00000000" w:rsidP="00000000" w:rsidRDefault="00000000" w:rsidRPr="00000000" w14:paraId="0000013F">
            <w:pPr>
              <w:jc w:val="left"/>
              <w:rPr/>
            </w:pPr>
            <w:r w:rsidDel="00000000" w:rsidR="00000000" w:rsidRPr="00000000">
              <w:rPr>
                <w:rtl w:val="0"/>
              </w:rPr>
              <w:t xml:space="preserve">Perform basic controls like MDM, network segmentation, deploy a structured security awareness training and operationalise incident response process with play books.</w:t>
            </w:r>
          </w:p>
        </w:tc>
      </w:tr>
      <w:tr>
        <w:trPr>
          <w:cantSplit w:val="0"/>
          <w:tblHeader w:val="0"/>
        </w:trPr>
        <w:tc>
          <w:tcPr/>
          <w:p w:rsidR="00000000" w:rsidDel="00000000" w:rsidP="00000000" w:rsidRDefault="00000000" w:rsidRPr="00000000" w14:paraId="00000140">
            <w:pPr>
              <w:jc w:val="left"/>
              <w:rPr>
                <w:b w:val="0"/>
                <w:bCs w:val="0"/>
              </w:rPr>
            </w:pPr>
            <w:r w:rsidDel="00000000" w:rsidR="00000000" w:rsidRPr="00000000">
              <w:rPr>
                <w:rtl w:val="0"/>
              </w:rPr>
              <w:t xml:space="preserve">Phase 3, </w:t>
            </w:r>
            <w:r w:rsidDel="00000000" w:rsidR="00000000" w:rsidRPr="00000000">
              <w:rPr>
                <w:rtl w:val="0"/>
              </w:rPr>
            </w:r>
          </w:p>
          <w:p w:rsidR="00000000" w:rsidDel="00000000" w:rsidP="00000000" w:rsidRDefault="00000000" w:rsidRPr="00000000" w14:paraId="00000141">
            <w:pPr>
              <w:jc w:val="left"/>
              <w:rPr/>
            </w:pPr>
            <w:r w:rsidDel="00000000" w:rsidR="00000000" w:rsidRPr="00000000">
              <w:rPr>
                <w:rtl w:val="0"/>
              </w:rPr>
              <w:t xml:space="preserve">12-24 months</w:t>
            </w:r>
          </w:p>
        </w:tc>
        <w:tc>
          <w:tcPr/>
          <w:p w:rsidR="00000000" w:rsidDel="00000000" w:rsidP="00000000" w:rsidRDefault="00000000" w:rsidRPr="00000000" w14:paraId="00000142">
            <w:pPr>
              <w:jc w:val="left"/>
              <w:rPr/>
            </w:pPr>
            <w:r w:rsidDel="00000000" w:rsidR="00000000" w:rsidRPr="00000000">
              <w:rPr>
                <w:rtl w:val="0"/>
              </w:rPr>
              <w:t xml:space="preserve">Standardise and streamline the ISMS, ISO 27001 certification where feasible, entrench regular monitoring and quantify, and entrap sophisticated threat knowledge in detection and reaction features.</w:t>
            </w:r>
          </w:p>
        </w:tc>
      </w:tr>
    </w:tbl>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pStyle w:val="Heading2"/>
        <w:rPr/>
      </w:pPr>
      <w:bookmarkStart w:colFirst="0" w:colLast="0" w:name="_1kae6vmb40u3" w:id="51"/>
      <w:bookmarkEnd w:id="51"/>
      <w:r w:rsidDel="00000000" w:rsidR="00000000" w:rsidRPr="00000000">
        <w:rPr>
          <w:rtl w:val="0"/>
        </w:rPr>
        <w:t xml:space="preserve">5.2 Success Factors and Key Recommendations</w:t>
      </w:r>
    </w:p>
    <w:p w:rsidR="00000000" w:rsidDel="00000000" w:rsidP="00000000" w:rsidRDefault="00000000" w:rsidRPr="00000000" w14:paraId="00000145">
      <w:pPr>
        <w:rPr/>
      </w:pPr>
      <w:r w:rsidDel="00000000" w:rsidR="00000000" w:rsidRPr="00000000">
        <w:rPr>
          <w:rtl w:val="0"/>
        </w:rPr>
        <w:t xml:space="preserve">A security governance programme must have visible executive sponsorship, mandate and a long term budget to be successful which research has found to be visible core critical success factors. It is also essential to culture change and this structure is enhanced by education of security, training, awareness of staffs such that their behaviours are all consistent towards policy other than using technology alone. Intense liaison between the IT, business departments, legal, HR and external partners facilitates incorporation of security in projects and activities. Lastly, metrics based strategy using identified KPIs and periodic reviews also allows management to understand how strategy is proceeding, warrant investment, and to make strategy changes.</w:t>
      </w:r>
    </w:p>
    <w:p w:rsidR="00000000" w:rsidDel="00000000" w:rsidP="00000000" w:rsidRDefault="00000000" w:rsidRPr="00000000" w14:paraId="00000146">
      <w:pPr>
        <w:pStyle w:val="Heading1"/>
        <w:rPr/>
      </w:pPr>
      <w:bookmarkStart w:colFirst="0" w:colLast="0" w:name="_9640ffwxu4g0" w:id="52"/>
      <w:bookmarkEnd w:id="52"/>
      <w:r w:rsidDel="00000000" w:rsidR="00000000" w:rsidRPr="00000000">
        <w:rPr>
          <w:rtl w:val="0"/>
        </w:rPr>
        <w:t xml:space="preserve">6. Conclusion</w:t>
      </w:r>
    </w:p>
    <w:p w:rsidR="00000000" w:rsidDel="00000000" w:rsidP="00000000" w:rsidRDefault="00000000" w:rsidRPr="00000000" w14:paraId="00000147">
      <w:pPr>
        <w:rPr/>
      </w:pPr>
      <w:r w:rsidDel="00000000" w:rsidR="00000000" w:rsidRPr="00000000">
        <w:rPr>
          <w:rtl w:val="0"/>
        </w:rPr>
        <w:t xml:space="preserve">NatureGreen is experiencing two compound issues associated with cloud reliance, ubiquitous wireless connectivity and BYOD, and the necessity to secure high value data and intellectual property in an existing chaotic security landscape. This report offers an integrated framework to bring together the ISO 27001 based governance, ITIL service processes, and risk oriented controls on a framework to have congruent, adaptive security governance that is in tandem with the business objectives. A viable posture will rely on long-term executive support, gradual roll out, ongoing control and periodic adjustment to changing rules and regulations and any subsequent upgrades need to take advantage of AI propelled detection, automation and orchestration without compromising on oversight.</w:t>
      </w:r>
    </w:p>
    <w:p w:rsidR="00000000" w:rsidDel="00000000" w:rsidP="00000000" w:rsidRDefault="00000000" w:rsidRPr="00000000" w14:paraId="00000148">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149">
      <w:pPr>
        <w:pStyle w:val="Heading1"/>
        <w:rPr/>
      </w:pPr>
      <w:bookmarkStart w:colFirst="0" w:colLast="0" w:name="_h9n1w5fgwak9" w:id="53"/>
      <w:bookmarkEnd w:id="53"/>
      <w:r w:rsidDel="00000000" w:rsidR="00000000" w:rsidRPr="00000000">
        <w:rPr>
          <w:rtl w:val="0"/>
        </w:rPr>
        <w:t xml:space="preserve">References</w:t>
      </w:r>
    </w:p>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w:t>
        <w:tab/>
        <w:t xml:space="preserve">M.-C. Alejandro, G.-H. Andrés, and V.-F. Ricardo, “Constructing an architecture-based cybersecurity solution for a system,”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MethodsX</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10, p. 102010, 2023, doi: 10.1016/j.mex.2023.102010.</w:t>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w:t>
        <w:tab/>
        <w:t xml:space="preserve">G. Disterer, “ISO/IEC 27000, 27001 and 27002 for Information Security Management,”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Inf. Secur.</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04, no. 02, pp. 92–100, 2013, doi: 10.4236/jis.2013.42011.</w:t>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tab/>
        <w:t xml:space="preserve">R. Ahmad, S. Sahib, and M. P. Nor’Azuwa, “Effective Measurement Requirements for Network Security Management,” May 21, 2014,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arXiv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arXiv:1405.5287. doi: 10.48550/arXiv.1405.5287.</w:t>
      </w:r>
    </w:p>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w:t>
        <w:tab/>
        <w:t xml:space="preserve">G. Barreto, P. D. Battaglin, and S. Varga, “Ensuring Efficient IT Service Management to Increase Information Systems Availability,”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Inf. Syst. Eng. Manag.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4, no. 4, Dec. 2019, doi: 10.29333/jisem/6352.</w:t>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w:t>
        <w:tab/>
        <w:t xml:space="preserve">P. V. Nguyen, “ITIL frameworks to ITD Company for improving capabilities in service management,” Dec. 17, 2011,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arXiv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arXiv:1112.4017. doi: 10.48550/arXiv.1112.4017.</w:t>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w:t>
        <w:tab/>
        <w:t xml:space="preserve">J. Serrano, J. Faustino, D. Adriano, R. Pereira, and M. Da Silva, “An IT Service Management Literature Review: Challenges, Benefits, Opportunities and Implementation Practices,”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Information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12, no. 3, p. 111, Mar. 2021, doi: 10.3390/info12030111.</w:t>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w:t>
        <w:tab/>
        <w:t xml:space="preserve">J. J. Cusick, “Achieving and Managing Availability SLAs with ITIL Driven Processes, DevOps, and Workflow Tools,” May 14, 2017,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arXiv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arXiv:1705.04906. doi: 10.48550/arXiv.1705.04906.</w:t>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w:t>
        <w:tab/>
        <w:t xml:space="preserve">C. Peña, E. Agreda, J. L. Castillo-Sequera, and L. Wong, “Continuity Plan for a Gamified System which Enhance Customer Service Advisor Training in Peru using ITIL 4,”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2024 International Seminar on Application for Technology of Information and Communication (iSemantic)</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Semarang, Indonesia: IEEE, Sept. 2024, pp. 184–189. doi: 10.1109/iSemantic63362.2024.10762605.</w:t>
      </w:r>
    </w:p>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w:t>
        <w:tab/>
        <w:t xml:space="preserve">O. E. Tawo and R. Ajayi, “IT Service Management and Configuration Management Database for Enhancing Efficiency and Compliance,”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 J. Res. Publ. Rev.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6, no. 6, pp. 4365–4381, Jan. 2025, doi: 10.55248/gengpi.6.0125.0620.</w:t>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w:t>
        <w:tab/>
        <w:t xml:space="preserve">J. L. Salas-Riega, Y. Riega-Virú, M. Ninaquispe-Soto, and J. M. Salas-Riega, “Cybersecurity and the NIST Framework: A Systematic Review of its Implementation and Effectiveness Against Cyber Threats,”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 J. Adv. Comput. Sci. Appl.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16, no. 6, 2025, doi: 10.14569/IJACSA.2025.0160672.</w:t>
      </w:r>
    </w:p>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w:t>
        <w:tab/>
        <w:t xml:space="preserve">U. Saritac, X. Liu, and R. Wang, “Assessment of Cybersecurity Framework in Critical Infrastructures,”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2022 IEEE Delhi Section Conference (DELCON)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New Delhi, India: IEEE, Feb. 2022, pp. 1–4. doi: 10.1109/DELCON54057.2022.9753250.</w:t>
      </w:r>
    </w:p>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w:t>
        <w:tab/>
        <w:t xml:space="preserve">M. M. Rahman, N. Kshetri, S. A. Sayeed, and M. M. Rana, “AssessITS: Integrating procedural guidelines and practical evaluation metrics for organizational IT and Cybersecurity risk assessment,” Oct. 02,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arXiv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arXiv:2410.01750. doi: 10.48550/arXiv.2410.01750.</w:t>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w:t>
        <w:tab/>
        <w:t xml:space="preserve">I. A. Essien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“Optimizing Cyber Risk Governance Using Global Frameworks: ISO, NIST, and COBIT Alignment,”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Front. Multidiscip. Res.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3, no. 1, pp. 618–629, 2022, doi: 10.54660/.JFMR.2022.3.1.618-629.</w:t>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w:t>
        <w:tab/>
        <w:t xml:space="preserve">P. Kusumah, S. Sutikno, and Y. Rosmansyah, “Model design of information security governance assessment with collaborative integration of COBIT 5 and ITIL (case study: INTRAC),”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2014 International Conference on ICT For Smart Society (ICISS)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Bandung, Indonesia: IEEE, Sept. 2014, pp. 1–6. doi: 10.1109/ICTSS.2014.7013193.</w:t>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w:t>
        <w:tab/>
        <w:t xml:space="preserve">T. Mataracioglu and S. Ozkan, “Governing Information Security in Conjunction with COBIT and ISO 27001,” Aug. 10, 2011,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arXiv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arXiv:1108.2150. doi: 10.48550/arXiv.1108.2150.</w:t>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[16]</w:t>
        <w:tab/>
        <w:t xml:space="preserve">F. Kitsios, E. Chatzidimitriou, and M. Kamariotou, “The ISO/IEC 27001 Information Security Management Standard: How to Extract Value from Data in the IT Sector,”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15, no. 7, p. 5828, Mar. 2023, doi: 10.3390/su15075828.</w:t>
      </w:r>
    </w:p>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[17]</w:t>
        <w:tab/>
        <w:t xml:space="preserve">R. Fatkieva and A. Krupina, “Enterprise Information Security Assessment Using Balanced Scorecard,”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Advances in Automation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641, A. A. Radionov and A. S. Karandaev, Eds., in Lecture Notes in Electrical Engineering, vol. 641. , Cham: Springer International Publishing, 2020, pp. 1147–1157. doi: 10.1007/978-3-030-39225-3_120.</w:t>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[18]</w:t>
        <w:tab/>
        <w:t xml:space="preserve">C. A. Horne, A. Ahmad, and S. B. Maynard, “Information Security Strategy in Organisations: Review, Discussion and Future Research Directions,” June 11, 2016,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arXiv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arXiv:1606.03528. doi: 10.48550/arXiv.1606.03528.</w:t>
      </w:r>
    </w:p>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[19]</w:t>
        <w:tab/>
        <w:t xml:space="preserve">O. Babalola, “Data Protection Compliance Organizations (DPCO) Under the NDPR, and Monitoring Bodies Under the GDPR: Two Sides of the Same Compliance Coin?,”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Glob. Priv. Law Rev.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3, no. Issue 2, pp. 98–106, May 2022, doi: 10.54648/GPLR2022010.</w:t>
      </w:r>
    </w:p>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w:t>
        <w:tab/>
        <w:t xml:space="preserve">T. R. Chhetri, A. Kurteva, R. J. DeLong, R. Hilscher, K. Korte, and A. Fensel, “Data Protection by Design Tool for Automated GDPR Compliance Verification Based on Semantically Modeled Informed Consent,”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Sensors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22, no. 7, p. 2763, Apr. 2022, doi: 10.3390/s22072763.</w:t>
      </w:r>
    </w:p>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w:t>
        <w:tab/>
        <w:t xml:space="preserve">I. Kuzminykh, B. Ghita, V. Sokolov, and T. Bakhshi, “Information Security Risk Assessment,”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Encyclopedia</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 no. 3, pp. 602–617, July 2021, doi: 10.3390/encyclopedia1030050.</w:t>
      </w:r>
    </w:p>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w:t>
        <w:tab/>
        <w:t xml:space="preserve">M. Freunek and A. Rombos, “Classification of cyber attacks on IoT and ubiquitous computing devices,” Dec. 01,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arXiv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arXiv:2312.00686. doi: 10.48550/arXiv.2312.00686.</w:t>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w:t>
        <w:tab/>
        <w:t xml:space="preserve">C. Xenofontos, I. Zografopoulos, C. Konstantinou, A. Jolfaei, M. K. Khan, and K.-K. R. Choo, “Consumer, Commercial and Industrial IoT (In)Security: Attack Taxonomy and Case Studies,” May 14, 2021,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arXiv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arXiv:2105.06612. doi: 10.48550/arXiv.2105.06612.</w:t>
      </w:r>
    </w:p>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w:t>
        <w:tab/>
        <w:t xml:space="preserve">X. Shen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“Towards Regulatable AI Systems: Technical Gaps and Policy Opportunities,” Mar. 27,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arXiv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arXiv:2306.12609. doi: 10.48550/arXiv.2306.12609.</w:t>
      </w:r>
    </w:p>
    <w:p w:rsidR="00000000" w:rsidDel="00000000" w:rsidP="00000000" w:rsidRDefault="00000000" w:rsidRPr="00000000" w14:paraId="00000162">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sz w:val="28"/>
      <w:szCs w:val="28"/>
    </w:rPr>
  </w:style>
  <w:style w:type="paragraph" w:styleId="Heading2">
    <w:name w:val="heading 2"/>
    <w:basedOn w:val="Normal"/>
    <w:next w:val="Normal"/>
    <w:pPr>
      <w:keepNext w:val="1"/>
      <w:keepLines w:val="1"/>
      <w:spacing w:after="80" w:before="160" w:lineRule="auto"/>
    </w:pPr>
    <w:rPr>
      <w:b w:val="1"/>
      <w:bCs w:val="1"/>
    </w:rPr>
  </w:style>
  <w:style w:type="paragraph" w:styleId="Heading3">
    <w:name w:val="heading 3"/>
    <w:basedOn w:val="Normal"/>
    <w:next w:val="Normal"/>
    <w:pPr>
      <w:keepNext w:val="1"/>
      <w:keepLines w:val="1"/>
      <w:spacing w:after="80" w:before="160" w:lineRule="auto"/>
    </w:pPr>
    <w:rPr>
      <w:i w:val="1"/>
      <w:iCs w:val="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1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1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5.pn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jp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id="V6JqJtsp"/&gt;&lt;style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