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2DF355F" w:rsidR="00B21F2E" w:rsidRPr="0068238F" w:rsidRDefault="00B21F2E">
            <w:pPr>
              <w:rPr>
                <w:rFonts w:ascii="Tahoma" w:hAnsi="Tahoma" w:cs="Tahoma"/>
                <w:b/>
                <w:sz w:val="20"/>
                <w:szCs w:val="20"/>
              </w:rPr>
            </w:pPr>
            <w:r w:rsidRPr="0068238F">
              <w:rPr>
                <w:rFonts w:ascii="Tahoma" w:hAnsi="Tahoma" w:cs="Tahoma"/>
                <w:b/>
                <w:sz w:val="20"/>
                <w:szCs w:val="20"/>
              </w:rPr>
              <w:t>Student Name:</w:t>
            </w:r>
            <w:r w:rsidR="003478CE" w:rsidRPr="0068238F">
              <w:rPr>
                <w:rFonts w:ascii="Tahoma" w:hAnsi="Tahoma" w:cs="Tahoma"/>
                <w:b/>
                <w:sz w:val="20"/>
                <w:szCs w:val="20"/>
              </w:rPr>
              <w:t xml:space="preserve"> </w:t>
            </w:r>
            <w:r w:rsidR="0068238F" w:rsidRPr="0068238F">
              <w:rPr>
                <w:rFonts w:ascii="Tahoma" w:hAnsi="Tahoma" w:cs="Tahoma"/>
                <w:b/>
                <w:sz w:val="20"/>
                <w:szCs w:val="20"/>
              </w:rPr>
              <w:t>Maria-Francesca Scurtu</w:t>
            </w:r>
          </w:p>
          <w:p w14:paraId="498F0B10" w14:textId="77777777" w:rsidR="001B69C8" w:rsidRPr="0068238F" w:rsidRDefault="001B69C8">
            <w:pPr>
              <w:rPr>
                <w:rFonts w:ascii="Tahoma" w:hAnsi="Tahoma" w:cs="Tahoma"/>
                <w:b/>
                <w:sz w:val="20"/>
                <w:szCs w:val="20"/>
              </w:rPr>
            </w:pPr>
          </w:p>
          <w:p w14:paraId="69E1F0CF" w14:textId="7A2A91C2" w:rsidR="00B21F2E" w:rsidRPr="0068238F" w:rsidRDefault="001B69C8">
            <w:pPr>
              <w:rPr>
                <w:rFonts w:ascii="Tahoma" w:hAnsi="Tahoma" w:cs="Tahoma"/>
                <w:b/>
                <w:sz w:val="20"/>
                <w:szCs w:val="20"/>
              </w:rPr>
            </w:pPr>
            <w:r w:rsidRPr="0068238F">
              <w:rPr>
                <w:rFonts w:ascii="Tahoma" w:hAnsi="Tahoma" w:cs="Tahoma"/>
                <w:b/>
                <w:sz w:val="20"/>
                <w:szCs w:val="20"/>
              </w:rPr>
              <w:t>Student Number:</w:t>
            </w:r>
            <w:r w:rsidR="003478CE" w:rsidRPr="0068238F">
              <w:rPr>
                <w:rFonts w:ascii="Tahoma" w:hAnsi="Tahoma" w:cs="Tahoma"/>
                <w:b/>
                <w:sz w:val="20"/>
                <w:szCs w:val="20"/>
              </w:rPr>
              <w:t xml:space="preserve"> </w:t>
            </w:r>
            <w:r w:rsidR="0068238F" w:rsidRPr="0068238F">
              <w:rPr>
                <w:rFonts w:ascii="Tahoma" w:hAnsi="Tahoma" w:cs="Tahoma"/>
                <w:b/>
                <w:sz w:val="20"/>
                <w:szCs w:val="20"/>
              </w:rPr>
              <w:t>2</w:t>
            </w:r>
            <w:r w:rsidR="0068238F">
              <w:rPr>
                <w:rFonts w:ascii="Tahoma" w:hAnsi="Tahoma" w:cs="Tahoma"/>
                <w:b/>
                <w:sz w:val="20"/>
                <w:szCs w:val="20"/>
              </w:rPr>
              <w:t>117746</w:t>
            </w:r>
          </w:p>
          <w:p w14:paraId="1BE02E96" w14:textId="77777777" w:rsidR="00B21F2E" w:rsidRPr="0068238F" w:rsidRDefault="00B21F2E">
            <w:pPr>
              <w:rPr>
                <w:rFonts w:ascii="Tahoma" w:hAnsi="Tahoma" w:cs="Tahoma"/>
                <w:b/>
                <w:sz w:val="20"/>
                <w:szCs w:val="20"/>
              </w:rPr>
            </w:pPr>
          </w:p>
        </w:tc>
        <w:tc>
          <w:tcPr>
            <w:tcW w:w="7195" w:type="dxa"/>
            <w:shd w:val="clear" w:color="auto" w:fill="8DB3E2" w:themeFill="text2" w:themeFillTint="66"/>
          </w:tcPr>
          <w:p w14:paraId="2019D1B6" w14:textId="7C30D21F" w:rsidR="00B21F2E" w:rsidRDefault="001B69C8" w:rsidP="0068238F">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8238F">
              <w:rPr>
                <w:rFonts w:ascii="Tahoma" w:hAnsi="Tahoma" w:cs="Tahoma"/>
                <w:b/>
                <w:sz w:val="20"/>
                <w:szCs w:val="20"/>
              </w:rPr>
              <w:t>Food &amp; Beverage Operations</w:t>
            </w:r>
          </w:p>
          <w:p w14:paraId="450FE136" w14:textId="19A16613"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68238F">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34731A5" w:rsidR="00B21F2E" w:rsidRDefault="0068238F" w:rsidP="00B21F2E">
            <w:pPr>
              <w:jc w:val="center"/>
              <w:rPr>
                <w:rFonts w:ascii="Tahoma" w:hAnsi="Tahoma" w:cs="Tahoma"/>
                <w:b/>
                <w:sz w:val="20"/>
                <w:szCs w:val="20"/>
              </w:rPr>
            </w:pPr>
            <w:r>
              <w:rPr>
                <w:rFonts w:ascii="Calibri" w:hAnsi="Calibri" w:cs="Calibri"/>
              </w:rPr>
              <w:t>Allergies and Intolerances and the importance within the industry</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4238AB62" w14:textId="501562B0" w:rsidR="00661DB5" w:rsidRDefault="00D95996" w:rsidP="0068238F">
            <w:pPr>
              <w:spacing w:line="360" w:lineRule="auto"/>
              <w:jc w:val="both"/>
              <w:rPr>
                <w:rFonts w:asciiTheme="minorBidi" w:hAnsiTheme="minorBidi" w:cstheme="minorBidi"/>
              </w:rPr>
            </w:pPr>
            <w:r>
              <w:rPr>
                <w:rFonts w:asciiTheme="minorBidi" w:hAnsiTheme="minorBidi" w:cstheme="minorBidi"/>
              </w:rPr>
              <w:t>Allergies and intolerances is the new scarecrow of our lives but the life cannot be lived with fear of food . (</w:t>
            </w:r>
            <w:r w:rsidR="00661DB5">
              <w:rPr>
                <w:rFonts w:asciiTheme="minorBidi" w:hAnsiTheme="minorBidi" w:cstheme="minorBidi"/>
              </w:rPr>
              <w:t>Bilic M., 2019)</w:t>
            </w:r>
          </w:p>
          <w:p w14:paraId="652F51C5" w14:textId="5FFB2EA0"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Food allergies are caused by the body's defence system reacting to an ingested substance or food by sending chemicals to destroy it. According to the US Centres for Disease Control and Prevention, about 4% to 6% of children and adults have food allergies.</w:t>
            </w:r>
          </w:p>
          <w:p w14:paraId="6360E32F" w14:textId="76FA3102"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Anaphylactic shock is the most severe allergic reaction that can occur. It can cause severe breathing problems and can affect a person's heart rate and blood pressure. Anaphylactic shock can only be treated by an injection of epinephrine.</w:t>
            </w:r>
            <w:r w:rsidR="006615DB">
              <w:rPr>
                <w:rFonts w:asciiTheme="minorBidi" w:hAnsiTheme="minorBidi" w:cstheme="minorBidi"/>
              </w:rPr>
              <w:t>(Learning Zone</w:t>
            </w:r>
            <w:r w:rsidR="0070061A">
              <w:rPr>
                <w:rFonts w:asciiTheme="minorBidi" w:hAnsiTheme="minorBidi" w:cstheme="minorBidi"/>
              </w:rPr>
              <w:t xml:space="preserve"> </w:t>
            </w:r>
            <w:r w:rsidR="006615DB">
              <w:rPr>
                <w:rFonts w:asciiTheme="minorBidi" w:hAnsiTheme="minorBidi" w:cstheme="minorBidi"/>
              </w:rPr>
              <w:t>Xpress, 2012)</w:t>
            </w:r>
          </w:p>
          <w:p w14:paraId="16F8679B" w14:textId="77777777"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Although food intolerances can cause various symptoms, most of them are not related to food allergies. In fact, many people confuse these conditions with allergic ones. A food allergy is a type of immune system reaction that affects different organs. On the other hand, food intolerances cause a less severe reaction and can cause less digestive issues.</w:t>
            </w:r>
          </w:p>
          <w:p w14:paraId="52AB5D81" w14:textId="77777777"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Most food reactions are caused by a food intolerance, which is not a food allergy. A food allergy is a type of immune reaction that affects different organs. Although food intolerance can cause digestive issues, its symptoms are less severe than  those of food allergic reaction .</w:t>
            </w:r>
          </w:p>
          <w:p w14:paraId="132F008C" w14:textId="77777777"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In this course, I learned that food and beverage manufacturers are responsible for identify allergens in their products and for ensuring that they are isolated from non-allergic products in the same facility.</w:t>
            </w:r>
          </w:p>
          <w:p w14:paraId="0D34B6CE" w14:textId="2B44DBA8"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Also, the process of formatting production programs that isolate allergen-containing products is a common tactic in allergen management. In addition, allergen- containing products could be manufactured at the end of the day or separated from other non-allergic products on a specific production line to avoid contact with them.</w:t>
            </w:r>
            <w:r w:rsidR="0070061A">
              <w:rPr>
                <w:rFonts w:asciiTheme="minorBidi" w:hAnsiTheme="minorBidi" w:cstheme="minorBidi"/>
              </w:rPr>
              <w:t>( Winterova, R. 2021)</w:t>
            </w:r>
          </w:p>
          <w:p w14:paraId="3A55BC4D" w14:textId="77777777"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By scheduling ahead of time , the cross-contamination , employer working time , sanitation costs and production time will all be reduced.</w:t>
            </w:r>
          </w:p>
          <w:p w14:paraId="0625AA0C" w14:textId="77777777"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Effective cleaning and disinfection are needed to remove any traces of allergenic products once the production process is complete. Surfaces that do not come into contact with food should also be thoroughly cleaned and disinfected to remove allergens.</w:t>
            </w:r>
          </w:p>
          <w:p w14:paraId="6DF93A31" w14:textId="77777777"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lastRenderedPageBreak/>
              <w:t>During the course , I learned  that there are test kits that can identify food allergens such eggs, milk and peanuts. In most cases, testing for food allergens levels is performed by a quality assurance personnel or a trained specialist, Aside from testing, a comprehensive allergen prevention program should also be established to prevent contact contamination. This should include procedures and equipment that are designed to minimize the risk of food allergen exposure.</w:t>
            </w:r>
          </w:p>
          <w:p w14:paraId="0D3A4D9C" w14:textId="180B238C"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In the case of food allergies, the main way I will manage the symptoms is avoiding the foods to which I am allergic. Once I identify the products that hurt me, I will eliminate them from my diet. I will read the ingredients of the dishes carefully when I eat in the city or I eat semi-finished products.</w:t>
            </w:r>
            <w:r w:rsidR="00816D40">
              <w:rPr>
                <w:rFonts w:asciiTheme="minorBidi" w:hAnsiTheme="minorBidi" w:cstheme="minorBidi"/>
              </w:rPr>
              <w:t>(Rebecca Harrison , 20</w:t>
            </w:r>
            <w:r w:rsidR="003A1D5E">
              <w:rPr>
                <w:rFonts w:asciiTheme="minorBidi" w:hAnsiTheme="minorBidi" w:cstheme="minorBidi"/>
              </w:rPr>
              <w:t>14</w:t>
            </w:r>
            <w:r w:rsidR="00816D40">
              <w:rPr>
                <w:rFonts w:asciiTheme="minorBidi" w:hAnsiTheme="minorBidi" w:cstheme="minorBidi"/>
              </w:rPr>
              <w:t>)</w:t>
            </w:r>
            <w:r w:rsidR="003A1D5E">
              <w:rPr>
                <w:rFonts w:asciiTheme="minorBidi" w:hAnsiTheme="minorBidi" w:cstheme="minorBidi"/>
              </w:rPr>
              <w:t>.</w:t>
            </w:r>
          </w:p>
          <w:p w14:paraId="10C00B0E" w14:textId="77777777"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Going through all the information received from the FB course, the best way to prevent an allergic reaction, regardless of its type, is to avoid the allergen that led to the appearance of allergic symptoms. However, implementing this rule is far from easy, as many of the foods that trigger food allergies are used as ingredients in other preparations. The highest risk of exposure to food allergens may occur in restaurants. The risk of exposure can be reduced by choosing as few processed foods as possible.</w:t>
            </w:r>
          </w:p>
          <w:p w14:paraId="3274C019" w14:textId="67A9B9D3"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Preventing allergic reactions to food is very important, especially since ingesting a small number of allergens can trigger anaphylactic shock.</w:t>
            </w:r>
            <w:r w:rsidR="00816D40">
              <w:rPr>
                <w:rFonts w:asciiTheme="minorBidi" w:hAnsiTheme="minorBidi" w:cstheme="minorBidi"/>
              </w:rPr>
              <w:t>( Paskins , 2021)</w:t>
            </w:r>
            <w:r w:rsidRPr="0068238F">
              <w:rPr>
                <w:rFonts w:asciiTheme="minorBidi" w:hAnsiTheme="minorBidi" w:cstheme="minorBidi"/>
              </w:rPr>
              <w:t xml:space="preserve"> </w:t>
            </w:r>
          </w:p>
          <w:p w14:paraId="43FA58C5" w14:textId="77777777" w:rsidR="0068238F"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The hospitality industry must always know how to deal with people with food allergies and intolerances. Cross-contact can occur when one food meets another and the proteins mix. Consumer protection is a constantly changing field and aims to adapt control levers to always provide adequate protection for all consumers, regardless of the product consumed or the service used.</w:t>
            </w:r>
          </w:p>
          <w:p w14:paraId="3B344F1E" w14:textId="5EA9183C" w:rsidR="00375882" w:rsidRPr="0068238F" w:rsidRDefault="0068238F" w:rsidP="0068238F">
            <w:pPr>
              <w:spacing w:line="360" w:lineRule="auto"/>
              <w:jc w:val="both"/>
              <w:rPr>
                <w:rFonts w:asciiTheme="minorBidi" w:hAnsiTheme="minorBidi" w:cstheme="minorBidi"/>
              </w:rPr>
            </w:pPr>
            <w:r w:rsidRPr="0068238F">
              <w:rPr>
                <w:rFonts w:asciiTheme="minorBidi" w:hAnsiTheme="minorBidi" w:cstheme="minorBidi"/>
              </w:rPr>
              <w:t>The food is a show, a story, an experience. All the senses are involved, in addition, even reason is involved. Consumers are becoming more and more knowledgeable, they are interested in the origin of food, they are looking for solutions to consume nutritious food, but also to reduce the impact of intolerances or allergies. All this while the same consumers are looking for a dish that satisfies their taste, smell and sight.</w:t>
            </w: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34B84863" w14:textId="5A67DB0F" w:rsidR="00EE00CA" w:rsidRPr="00EE00CA" w:rsidRDefault="00EE00CA" w:rsidP="00D119EC">
            <w:pPr>
              <w:pStyle w:val="ListParagraph"/>
              <w:numPr>
                <w:ilvl w:val="0"/>
                <w:numId w:val="29"/>
              </w:numPr>
              <w:spacing w:line="360" w:lineRule="auto"/>
              <w:ind w:left="714" w:hanging="357"/>
              <w:jc w:val="both"/>
              <w:rPr>
                <w:rFonts w:ascii="Arial" w:hAnsi="Arial" w:cs="Arial"/>
              </w:rPr>
            </w:pPr>
            <w:r w:rsidRPr="00EE00CA">
              <w:rPr>
                <w:rFonts w:ascii="Arial" w:hAnsi="Arial" w:cs="Arial"/>
                <w:color w:val="3E3E3E"/>
              </w:rPr>
              <w:t xml:space="preserve">Alecu C., Bilic M. (2020) , </w:t>
            </w:r>
            <w:r w:rsidRPr="00EE00CA">
              <w:rPr>
                <w:rFonts w:ascii="Arial" w:hAnsi="Arial" w:cs="Arial"/>
                <w:i/>
                <w:iCs/>
                <w:color w:val="3E3E3E"/>
              </w:rPr>
              <w:t>Life cannot be lived because we are afraid of food</w:t>
            </w:r>
            <w:r w:rsidRPr="00EE00CA">
              <w:rPr>
                <w:rFonts w:ascii="Arial" w:hAnsi="Arial" w:cs="Arial"/>
                <w:color w:val="3E3E3E"/>
              </w:rPr>
              <w:t xml:space="preserve"> , retrieved from </w:t>
            </w:r>
            <w:hyperlink r:id="rId7" w:history="1">
              <w:r w:rsidRPr="00790AEA">
                <w:rPr>
                  <w:rStyle w:val="Hyperlink"/>
                  <w:rFonts w:ascii="Arial" w:hAnsi="Arial" w:cs="Arial"/>
                </w:rPr>
                <w:t>https://www.doctorulzilei.ro/mihaela-bilic-viata-nu-poate-fi-traita-fiindu-ne-frica-de-mancare/</w:t>
              </w:r>
            </w:hyperlink>
            <w:r>
              <w:rPr>
                <w:rFonts w:ascii="Arial" w:hAnsi="Arial" w:cs="Arial"/>
                <w:color w:val="3E3E3E"/>
              </w:rPr>
              <w:t>, accessed on 22 May 2022.</w:t>
            </w:r>
          </w:p>
          <w:p w14:paraId="1CBDD855" w14:textId="77777777" w:rsidR="00EE00CA" w:rsidRDefault="00EE00CA" w:rsidP="0070061A">
            <w:pPr>
              <w:pStyle w:val="ListParagraph"/>
              <w:numPr>
                <w:ilvl w:val="0"/>
                <w:numId w:val="29"/>
              </w:numPr>
              <w:spacing w:line="360" w:lineRule="auto"/>
              <w:ind w:left="714" w:hanging="357"/>
              <w:jc w:val="both"/>
              <w:rPr>
                <w:rFonts w:ascii="Arial" w:hAnsi="Arial" w:cs="Arial"/>
              </w:rPr>
            </w:pPr>
            <w:r>
              <w:rPr>
                <w:rFonts w:ascii="Arial" w:hAnsi="Arial" w:cs="Arial"/>
                <w:color w:val="3E3E3E"/>
              </w:rPr>
              <w:t xml:space="preserve">Food Allergies (2012), Learning Zone Xpress , Video/DVD, retrieved from </w:t>
            </w:r>
            <w:hyperlink r:id="rId8" w:history="1">
              <w:r w:rsidRPr="0070061A">
                <w:rPr>
                  <w:rStyle w:val="Hyperlink"/>
                  <w:rFonts w:ascii="Arial" w:hAnsi="Arial" w:cs="Arial"/>
                </w:rPr>
                <w:t>https://video.alexanderstreet.com/watch/food-allergies</w:t>
              </w:r>
            </w:hyperlink>
            <w:r>
              <w:rPr>
                <w:rFonts w:ascii="Arial" w:hAnsi="Arial" w:cs="Arial"/>
              </w:rPr>
              <w:t xml:space="preserve"> , accessed on 19 May 2022. </w:t>
            </w:r>
          </w:p>
          <w:p w14:paraId="3A20EA9A" w14:textId="77777777" w:rsidR="00EE00CA" w:rsidRPr="003A1D5E" w:rsidRDefault="00EE00CA" w:rsidP="0070061A">
            <w:pPr>
              <w:pStyle w:val="ListParagraph"/>
              <w:numPr>
                <w:ilvl w:val="0"/>
                <w:numId w:val="29"/>
              </w:numPr>
              <w:spacing w:line="360" w:lineRule="auto"/>
              <w:ind w:left="714" w:hanging="357"/>
              <w:jc w:val="both"/>
              <w:rPr>
                <w:rFonts w:ascii="Arial" w:hAnsi="Arial" w:cs="Arial"/>
                <w:i/>
                <w:iCs/>
              </w:rPr>
            </w:pPr>
            <w:r>
              <w:rPr>
                <w:rFonts w:ascii="Arial" w:hAnsi="Arial" w:cs="Arial"/>
              </w:rPr>
              <w:lastRenderedPageBreak/>
              <w:t xml:space="preserve">Frankly ,F., (2019) , </w:t>
            </w:r>
            <w:r w:rsidRPr="003A1D5E">
              <w:rPr>
                <w:rFonts w:ascii="Arial" w:hAnsi="Arial" w:cs="Arial"/>
                <w:i/>
                <w:iCs/>
              </w:rPr>
              <w:t xml:space="preserve">Food Sensitivity vs. Allergy </w:t>
            </w:r>
            <w:r>
              <w:rPr>
                <w:rFonts w:ascii="Arial" w:hAnsi="Arial" w:cs="Arial"/>
              </w:rPr>
              <w:t xml:space="preserve">, retrieved from </w:t>
            </w:r>
            <w:hyperlink r:id="rId9" w:history="1">
              <w:r w:rsidRPr="00790AEA">
                <w:rPr>
                  <w:rStyle w:val="Hyperlink"/>
                  <w:rFonts w:ascii="Arial" w:hAnsi="Arial" w:cs="Arial"/>
                </w:rPr>
                <w:t>https://www.wicz.com/story/41418090/food-sensitivity-vs-allergy-the-difference-explained?cv=1</w:t>
              </w:r>
            </w:hyperlink>
            <w:r>
              <w:rPr>
                <w:rFonts w:ascii="Arial" w:hAnsi="Arial" w:cs="Arial"/>
              </w:rPr>
              <w:t xml:space="preserve"> , accessed on 22 May 2022. </w:t>
            </w:r>
          </w:p>
          <w:p w14:paraId="1BD4F8DA" w14:textId="77777777" w:rsidR="00EE00CA" w:rsidRPr="0070061A" w:rsidRDefault="00EE00CA" w:rsidP="0070061A">
            <w:pPr>
              <w:pStyle w:val="ListParagraph"/>
              <w:numPr>
                <w:ilvl w:val="0"/>
                <w:numId w:val="29"/>
              </w:numPr>
              <w:spacing w:line="360" w:lineRule="auto"/>
              <w:ind w:left="714" w:hanging="357"/>
              <w:jc w:val="both"/>
              <w:rPr>
                <w:rFonts w:ascii="Arial" w:hAnsi="Arial" w:cs="Arial"/>
              </w:rPr>
            </w:pPr>
            <w:r w:rsidRPr="0070061A">
              <w:rPr>
                <w:rFonts w:ascii="Arial" w:hAnsi="Arial" w:cs="Arial"/>
              </w:rPr>
              <w:t xml:space="preserve">Paskins, Pennington, A,. &amp; Macaninch, D.D=F. (2021). </w:t>
            </w:r>
            <w:r w:rsidRPr="0070061A">
              <w:rPr>
                <w:rFonts w:ascii="Arial" w:hAnsi="Arial" w:cs="Arial"/>
                <w:i/>
                <w:iCs/>
              </w:rPr>
              <w:t>The Theory of Hospitality and Catering</w:t>
            </w:r>
            <w:r w:rsidRPr="0070061A">
              <w:rPr>
                <w:rFonts w:ascii="Arial" w:hAnsi="Arial" w:cs="Arial"/>
              </w:rPr>
              <w:t xml:space="preserve"> , 14</w:t>
            </w:r>
            <w:r w:rsidRPr="0070061A">
              <w:rPr>
                <w:rFonts w:ascii="Arial" w:hAnsi="Arial" w:cs="Arial"/>
                <w:vertAlign w:val="superscript"/>
              </w:rPr>
              <w:t>th</w:t>
            </w:r>
            <w:r w:rsidRPr="0070061A">
              <w:rPr>
                <w:rFonts w:ascii="Arial" w:hAnsi="Arial" w:cs="Arial"/>
              </w:rPr>
              <w:t xml:space="preserve"> Edition , ed. Hodder Education Group , pp. 23-36.</w:t>
            </w:r>
          </w:p>
          <w:p w14:paraId="545B940B" w14:textId="77777777" w:rsidR="00EE00CA" w:rsidRDefault="00EE00CA" w:rsidP="0070061A">
            <w:pPr>
              <w:pStyle w:val="ListParagraph"/>
              <w:numPr>
                <w:ilvl w:val="0"/>
                <w:numId w:val="29"/>
              </w:numPr>
              <w:spacing w:line="360" w:lineRule="auto"/>
              <w:ind w:left="714" w:hanging="357"/>
              <w:jc w:val="both"/>
              <w:rPr>
                <w:rFonts w:ascii="Arial" w:hAnsi="Arial" w:cs="Arial"/>
              </w:rPr>
            </w:pPr>
            <w:r w:rsidRPr="00816D40">
              <w:rPr>
                <w:rFonts w:ascii="Arial" w:hAnsi="Arial" w:cs="Arial"/>
              </w:rPr>
              <w:t xml:space="preserve">Rebecca Harrison (Producer), &amp; Harrison, R. (Director). (2014). </w:t>
            </w:r>
            <w:r w:rsidRPr="00816D40">
              <w:rPr>
                <w:rFonts w:ascii="Arial" w:hAnsi="Arial" w:cs="Arial"/>
                <w:i/>
                <w:iCs/>
              </w:rPr>
              <w:t>Allergies - Modern Life and Me</w:t>
            </w:r>
            <w:r w:rsidRPr="00816D40">
              <w:rPr>
                <w:rFonts w:ascii="Arial" w:hAnsi="Arial" w:cs="Arial"/>
              </w:rPr>
              <w:t xml:space="preserve">. [Video/DVD] BBC Worldwide. Retrieved from </w:t>
            </w:r>
            <w:hyperlink r:id="rId10" w:history="1">
              <w:r w:rsidRPr="00790AEA">
                <w:rPr>
                  <w:rStyle w:val="Hyperlink"/>
                  <w:rFonts w:ascii="Arial" w:hAnsi="Arial" w:cs="Arial"/>
                </w:rPr>
                <w:t>https://video.alexanderstreet.com/watch/allergies-modern-life-and-me</w:t>
              </w:r>
            </w:hyperlink>
            <w:r>
              <w:rPr>
                <w:rFonts w:ascii="Arial" w:hAnsi="Arial" w:cs="Arial"/>
              </w:rPr>
              <w:t xml:space="preserve"> , accessed on 19 May 2022. </w:t>
            </w:r>
          </w:p>
          <w:p w14:paraId="584B4376" w14:textId="77777777" w:rsidR="00EE00CA" w:rsidRPr="00661DB5" w:rsidRDefault="00EE00CA" w:rsidP="0070061A">
            <w:pPr>
              <w:pStyle w:val="ListParagraph"/>
              <w:numPr>
                <w:ilvl w:val="0"/>
                <w:numId w:val="29"/>
              </w:numPr>
              <w:spacing w:line="360" w:lineRule="auto"/>
              <w:ind w:left="714" w:hanging="357"/>
              <w:jc w:val="both"/>
              <w:rPr>
                <w:rFonts w:ascii="Arial" w:hAnsi="Arial" w:cs="Arial"/>
              </w:rPr>
            </w:pPr>
            <w:r w:rsidRPr="0070061A">
              <w:rPr>
                <w:rFonts w:ascii="Arial" w:hAnsi="Arial" w:cs="Arial"/>
                <w:color w:val="3E3E3E"/>
              </w:rPr>
              <w:t xml:space="preserve">Winterová R., Pokorná Bartošková M., Kejík Z., Rysová J., Laknerová I., Urban M., Šmídová Z. (2021): </w:t>
            </w:r>
            <w:r w:rsidRPr="0070061A">
              <w:rPr>
                <w:rFonts w:ascii="Arial" w:hAnsi="Arial" w:cs="Arial"/>
                <w:i/>
                <w:iCs/>
                <w:color w:val="3E3E3E"/>
              </w:rPr>
              <w:t>Food allergies and intolerances</w:t>
            </w:r>
            <w:r w:rsidRPr="0070061A">
              <w:rPr>
                <w:rFonts w:ascii="Arial" w:hAnsi="Arial" w:cs="Arial"/>
                <w:color w:val="3E3E3E"/>
              </w:rPr>
              <w:t xml:space="preserve"> – A review. Czech J. Food Sci., pp. 329–339.</w:t>
            </w: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11"/>
      <w:footerReference w:type="default" r:id="rId12"/>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15CEFC" w14:textId="77777777" w:rsidR="00E4192C" w:rsidRDefault="00E4192C">
      <w:r>
        <w:separator/>
      </w:r>
    </w:p>
  </w:endnote>
  <w:endnote w:type="continuationSeparator" w:id="0">
    <w:p w14:paraId="5250E608" w14:textId="77777777" w:rsidR="00E4192C" w:rsidRDefault="00E41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75FDED" w14:textId="77777777" w:rsidR="00E4192C" w:rsidRDefault="00E4192C">
      <w:r>
        <w:separator/>
      </w:r>
    </w:p>
  </w:footnote>
  <w:footnote w:type="continuationSeparator" w:id="0">
    <w:p w14:paraId="5B754363" w14:textId="77777777" w:rsidR="00E4192C" w:rsidRDefault="00E4192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7FD5170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DF744C"/>
    <w:multiLevelType w:val="hybridMultilevel"/>
    <w:tmpl w:val="3A82FC18"/>
    <w:lvl w:ilvl="0" w:tplc="54FCBB7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587107679">
    <w:abstractNumId w:val="13"/>
  </w:num>
  <w:num w:numId="2" w16cid:durableId="58601998">
    <w:abstractNumId w:val="4"/>
  </w:num>
  <w:num w:numId="3" w16cid:durableId="1570386304">
    <w:abstractNumId w:val="28"/>
  </w:num>
  <w:num w:numId="4" w16cid:durableId="1293516055">
    <w:abstractNumId w:val="5"/>
  </w:num>
  <w:num w:numId="5" w16cid:durableId="631639569">
    <w:abstractNumId w:val="24"/>
  </w:num>
  <w:num w:numId="6" w16cid:durableId="67728296">
    <w:abstractNumId w:val="6"/>
  </w:num>
  <w:num w:numId="7" w16cid:durableId="1030032789">
    <w:abstractNumId w:val="0"/>
  </w:num>
  <w:num w:numId="8" w16cid:durableId="762258801">
    <w:abstractNumId w:val="27"/>
  </w:num>
  <w:num w:numId="9" w16cid:durableId="1049185155">
    <w:abstractNumId w:val="16"/>
  </w:num>
  <w:num w:numId="10" w16cid:durableId="130902606">
    <w:abstractNumId w:val="19"/>
  </w:num>
  <w:num w:numId="11" w16cid:durableId="985209159">
    <w:abstractNumId w:val="3"/>
  </w:num>
  <w:num w:numId="12" w16cid:durableId="1223062156">
    <w:abstractNumId w:val="14"/>
  </w:num>
  <w:num w:numId="13" w16cid:durableId="1129854517">
    <w:abstractNumId w:val="2"/>
  </w:num>
  <w:num w:numId="14" w16cid:durableId="338823398">
    <w:abstractNumId w:val="9"/>
  </w:num>
  <w:num w:numId="15" w16cid:durableId="2077584201">
    <w:abstractNumId w:val="18"/>
  </w:num>
  <w:num w:numId="16" w16cid:durableId="1966155029">
    <w:abstractNumId w:val="20"/>
  </w:num>
  <w:num w:numId="17" w16cid:durableId="937055363">
    <w:abstractNumId w:val="1"/>
  </w:num>
  <w:num w:numId="18" w16cid:durableId="568420498">
    <w:abstractNumId w:val="26"/>
  </w:num>
  <w:num w:numId="19" w16cid:durableId="1855805993">
    <w:abstractNumId w:val="8"/>
  </w:num>
  <w:num w:numId="20" w16cid:durableId="1291059631">
    <w:abstractNumId w:val="21"/>
  </w:num>
  <w:num w:numId="21" w16cid:durableId="991832238">
    <w:abstractNumId w:val="11"/>
  </w:num>
  <w:num w:numId="22" w16cid:durableId="1208639495">
    <w:abstractNumId w:val="17"/>
  </w:num>
  <w:num w:numId="23" w16cid:durableId="1114716220">
    <w:abstractNumId w:val="25"/>
  </w:num>
  <w:num w:numId="24" w16cid:durableId="143008644">
    <w:abstractNumId w:val="10"/>
  </w:num>
  <w:num w:numId="25" w16cid:durableId="20208153">
    <w:abstractNumId w:val="23"/>
  </w:num>
  <w:num w:numId="26" w16cid:durableId="622468561">
    <w:abstractNumId w:val="7"/>
  </w:num>
  <w:num w:numId="27" w16cid:durableId="210919622">
    <w:abstractNumId w:val="22"/>
  </w:num>
  <w:num w:numId="28" w16cid:durableId="1030449001">
    <w:abstractNumId w:val="15"/>
  </w:num>
  <w:num w:numId="29" w16cid:durableId="512036672">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A1D5E"/>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36321"/>
    <w:rsid w:val="00542C5B"/>
    <w:rsid w:val="00552EED"/>
    <w:rsid w:val="00566333"/>
    <w:rsid w:val="005C6352"/>
    <w:rsid w:val="005D0DDE"/>
    <w:rsid w:val="005D5D0B"/>
    <w:rsid w:val="0062012D"/>
    <w:rsid w:val="00643CB9"/>
    <w:rsid w:val="006615DB"/>
    <w:rsid w:val="00661DB5"/>
    <w:rsid w:val="0066732A"/>
    <w:rsid w:val="00677D1F"/>
    <w:rsid w:val="0068238F"/>
    <w:rsid w:val="00697481"/>
    <w:rsid w:val="006A4F97"/>
    <w:rsid w:val="006C4640"/>
    <w:rsid w:val="006F4FB6"/>
    <w:rsid w:val="006F501B"/>
    <w:rsid w:val="0070061A"/>
    <w:rsid w:val="00702077"/>
    <w:rsid w:val="00725F0E"/>
    <w:rsid w:val="00734189"/>
    <w:rsid w:val="00735BB1"/>
    <w:rsid w:val="00744482"/>
    <w:rsid w:val="007451E8"/>
    <w:rsid w:val="0075716F"/>
    <w:rsid w:val="0078654A"/>
    <w:rsid w:val="0079230B"/>
    <w:rsid w:val="00797115"/>
    <w:rsid w:val="007A5E44"/>
    <w:rsid w:val="007D18CA"/>
    <w:rsid w:val="007E500C"/>
    <w:rsid w:val="007E7BB4"/>
    <w:rsid w:val="007F055A"/>
    <w:rsid w:val="007F418B"/>
    <w:rsid w:val="00814801"/>
    <w:rsid w:val="00816D40"/>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95996"/>
    <w:rsid w:val="00DA09FA"/>
    <w:rsid w:val="00DD00CB"/>
    <w:rsid w:val="00DE6434"/>
    <w:rsid w:val="00E00580"/>
    <w:rsid w:val="00E26639"/>
    <w:rsid w:val="00E30C3C"/>
    <w:rsid w:val="00E4192C"/>
    <w:rsid w:val="00E42568"/>
    <w:rsid w:val="00E42956"/>
    <w:rsid w:val="00E672A4"/>
    <w:rsid w:val="00EB1AD3"/>
    <w:rsid w:val="00EB4BAF"/>
    <w:rsid w:val="00EC294D"/>
    <w:rsid w:val="00ED52B6"/>
    <w:rsid w:val="00EE00CA"/>
    <w:rsid w:val="00EF41E3"/>
    <w:rsid w:val="00F007E2"/>
    <w:rsid w:val="00F118EC"/>
    <w:rsid w:val="00F34E01"/>
    <w:rsid w:val="00F37A71"/>
    <w:rsid w:val="00F43CED"/>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iPriority w:val="99"/>
    <w:unhideWhenUsed/>
    <w:rsid w:val="006615DB"/>
    <w:rPr>
      <w:color w:val="0000FF"/>
      <w:u w:val="single"/>
    </w:rPr>
  </w:style>
  <w:style w:type="character" w:styleId="UnresolvedMention">
    <w:name w:val="Unresolved Mention"/>
    <w:basedOn w:val="DefaultParagraphFont"/>
    <w:uiPriority w:val="99"/>
    <w:semiHidden/>
    <w:unhideWhenUsed/>
    <w:rsid w:val="006615DB"/>
    <w:rPr>
      <w:color w:val="605E5C"/>
      <w:shd w:val="clear" w:color="auto" w:fill="E1DFDD"/>
    </w:rPr>
  </w:style>
  <w:style w:type="paragraph" w:styleId="HTMLPreformatted">
    <w:name w:val="HTML Preformatted"/>
    <w:basedOn w:val="Normal"/>
    <w:link w:val="HTMLPreformattedChar"/>
    <w:rsid w:val="00D95996"/>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uppressAutoHyphens/>
      <w:autoSpaceDN w:val="0"/>
    </w:pPr>
    <w:rPr>
      <w:rFonts w:ascii="Courier New" w:hAnsi="Courier New" w:cs="Courier New"/>
      <w:sz w:val="20"/>
      <w:szCs w:val="20"/>
    </w:rPr>
  </w:style>
  <w:style w:type="character" w:customStyle="1" w:styleId="HTMLPreformattedChar">
    <w:name w:val="HTML Preformatted Char"/>
    <w:basedOn w:val="DefaultParagraphFont"/>
    <w:link w:val="HTMLPreformatted"/>
    <w:rsid w:val="00D95996"/>
    <w:rPr>
      <w:rFonts w:ascii="Courier New" w:hAnsi="Courier New" w:cs="Courier New"/>
    </w:rPr>
  </w:style>
  <w:style w:type="character" w:customStyle="1" w:styleId="y2iqfc">
    <w:name w:val="y2iqfc"/>
    <w:basedOn w:val="DefaultParagraphFont"/>
    <w:rsid w:val="00D959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deo.alexanderstreet.com/watch/food-allergi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octorulzilei.ro/mihaela-bilic-viata-nu-poate-fi-traita-fiindu-ne-frica-de-mancare/"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video.alexanderstreet.com/watch/allergies-modern-life-and-me" TargetMode="External"/><Relationship Id="rId4" Type="http://schemas.openxmlformats.org/officeDocument/2006/relationships/webSettings" Target="webSettings.xml"/><Relationship Id="rId9" Type="http://schemas.openxmlformats.org/officeDocument/2006/relationships/hyperlink" Target="https://www.wicz.com/story/41418090/food-sensitivity-vs-allergy-the-difference-explained?cv=1" TargetMode="Externa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940</Words>
  <Characters>5362</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6290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Maria-Francesca Scurtu</cp:lastModifiedBy>
  <cp:revision>4</cp:revision>
  <cp:lastPrinted>2020-09-28T20:53:00Z</cp:lastPrinted>
  <dcterms:created xsi:type="dcterms:W3CDTF">2022-01-12T15:50:00Z</dcterms:created>
  <dcterms:modified xsi:type="dcterms:W3CDTF">2022-05-22T12:51:00Z</dcterms:modified>
</cp:coreProperties>
</file>