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0DC0" w:rsidRDefault="00460DC0" w:rsidP="007F4C42">
      <w:pPr>
        <w:pStyle w:val="Title"/>
      </w:pPr>
    </w:p>
    <w:p w:rsidR="00460DC0" w:rsidRDefault="00460DC0" w:rsidP="007F4C42">
      <w:pPr>
        <w:pStyle w:val="Title"/>
      </w:pPr>
    </w:p>
    <w:p w:rsidR="00460DC0" w:rsidRDefault="00460DC0" w:rsidP="007F4C42">
      <w:pPr>
        <w:pStyle w:val="Title"/>
      </w:pPr>
    </w:p>
    <w:p w:rsidR="00E2251E" w:rsidRPr="00E2251E" w:rsidRDefault="00E71B3A" w:rsidP="00E2251E">
      <w:pPr>
        <w:pStyle w:val="Title"/>
        <w:rPr>
          <w:sz w:val="36"/>
          <w:szCs w:val="36"/>
        </w:rPr>
      </w:pPr>
      <w:r>
        <w:t xml:space="preserve">LIGIA NEACSU </w:t>
      </w:r>
      <w:r w:rsidRPr="00E71B3A">
        <w:rPr>
          <w:sz w:val="36"/>
          <w:szCs w:val="36"/>
        </w:rPr>
        <w:t>1905215</w:t>
      </w:r>
    </w:p>
    <w:p w:rsidR="00460DC0" w:rsidRDefault="00460DC0" w:rsidP="007F4C42">
      <w:pPr>
        <w:pStyle w:val="Title"/>
      </w:pPr>
    </w:p>
    <w:p w:rsidR="00460DC0" w:rsidRDefault="00460DC0" w:rsidP="007F4C42">
      <w:pPr>
        <w:pStyle w:val="Title"/>
      </w:pPr>
    </w:p>
    <w:p w:rsidR="00E71B3A" w:rsidRPr="00E71B3A" w:rsidRDefault="00E71B3A" w:rsidP="00E71B3A"/>
    <w:p w:rsidR="00E71B3A" w:rsidRPr="00E71B3A" w:rsidRDefault="00E71B3A" w:rsidP="00E71B3A"/>
    <w:p w:rsidR="00E2251E" w:rsidRDefault="00E2251E" w:rsidP="00E71B3A">
      <w:pPr>
        <w:pStyle w:val="Title"/>
        <w:jc w:val="center"/>
        <w:rPr>
          <w:sz w:val="72"/>
          <w:szCs w:val="72"/>
        </w:rPr>
      </w:pPr>
    </w:p>
    <w:p w:rsidR="00E71B3A" w:rsidRDefault="00E71B3A" w:rsidP="00E71B3A">
      <w:pPr>
        <w:pStyle w:val="Title"/>
        <w:jc w:val="center"/>
        <w:rPr>
          <w:sz w:val="72"/>
          <w:szCs w:val="72"/>
        </w:rPr>
      </w:pPr>
      <w:r>
        <w:rPr>
          <w:sz w:val="72"/>
          <w:szCs w:val="72"/>
        </w:rPr>
        <w:t xml:space="preserve">COMMUNITY </w:t>
      </w:r>
    </w:p>
    <w:p w:rsidR="00E71B3A" w:rsidRPr="00E71B3A" w:rsidRDefault="00E71B3A" w:rsidP="00E71B3A">
      <w:pPr>
        <w:pStyle w:val="Title"/>
        <w:jc w:val="center"/>
        <w:rPr>
          <w:sz w:val="36"/>
          <w:szCs w:val="36"/>
        </w:rPr>
      </w:pPr>
      <w:r>
        <w:rPr>
          <w:sz w:val="72"/>
          <w:szCs w:val="72"/>
        </w:rPr>
        <w:t>ENGAGEMENT</w:t>
      </w:r>
      <w:r>
        <w:rPr>
          <w:sz w:val="36"/>
          <w:szCs w:val="36"/>
        </w:rPr>
        <w:t>LCBB4002</w:t>
      </w:r>
    </w:p>
    <w:p w:rsidR="00E71B3A" w:rsidRDefault="00E71B3A" w:rsidP="00E71B3A">
      <w:pPr>
        <w:pStyle w:val="Title"/>
        <w:jc w:val="right"/>
        <w:rPr>
          <w:sz w:val="40"/>
          <w:szCs w:val="40"/>
        </w:rPr>
      </w:pPr>
    </w:p>
    <w:p w:rsidR="00E71B3A" w:rsidRPr="00E71B3A" w:rsidRDefault="00E2251E" w:rsidP="00E2251E">
      <w:pPr>
        <w:jc w:val="center"/>
      </w:pPr>
      <w:r>
        <w:t>REFLECTION</w:t>
      </w:r>
      <w:bookmarkStart w:id="0" w:name="_GoBack"/>
      <w:bookmarkEnd w:id="0"/>
    </w:p>
    <w:p w:rsidR="00E71B3A" w:rsidRPr="00E71B3A" w:rsidRDefault="00E71B3A" w:rsidP="00E71B3A">
      <w:pPr>
        <w:jc w:val="right"/>
        <w:rPr>
          <w:caps/>
          <w:color w:val="632423" w:themeColor="accent2" w:themeShade="80"/>
          <w:spacing w:val="20"/>
          <w:lang w:val="en-GB"/>
        </w:rPr>
      </w:pPr>
      <w:r w:rsidRPr="00E71B3A">
        <w:t xml:space="preserve">                                                                           </w:t>
      </w:r>
      <w:r w:rsidRPr="00E71B3A">
        <w:rPr>
          <w:caps/>
          <w:color w:val="632423" w:themeColor="accent2" w:themeShade="80"/>
          <w:spacing w:val="20"/>
          <w:lang w:val="en-GB"/>
        </w:rPr>
        <w:t xml:space="preserve"> TANJA NATHAN</w:t>
      </w:r>
    </w:p>
    <w:p w:rsidR="00C64BF6" w:rsidRPr="00E71B3A" w:rsidRDefault="00C64BF6" w:rsidP="00E71B3A">
      <w:pPr>
        <w:pStyle w:val="Title"/>
        <w:jc w:val="right"/>
        <w:rPr>
          <w:sz w:val="56"/>
          <w:szCs w:val="56"/>
        </w:rPr>
      </w:pPr>
      <w:r>
        <w:br w:type="page"/>
      </w:r>
    </w:p>
    <w:sdt>
      <w:sdtPr>
        <w:rPr>
          <w:rFonts w:asciiTheme="minorHAnsi" w:eastAsiaTheme="minorHAnsi" w:hAnsiTheme="minorHAnsi" w:cstheme="minorBidi"/>
          <w:b w:val="0"/>
          <w:bCs w:val="0"/>
          <w:color w:val="auto"/>
          <w:sz w:val="22"/>
          <w:szCs w:val="22"/>
        </w:rPr>
        <w:id w:val="799448282"/>
        <w:docPartObj>
          <w:docPartGallery w:val="Table of Contents"/>
          <w:docPartUnique/>
        </w:docPartObj>
      </w:sdtPr>
      <w:sdtEndPr/>
      <w:sdtContent>
        <w:p w:rsidR="00E71B3A" w:rsidRDefault="00E71B3A">
          <w:pPr>
            <w:pStyle w:val="TOCHeading"/>
            <w:rPr>
              <w:rFonts w:asciiTheme="minorHAnsi" w:eastAsiaTheme="minorHAnsi" w:hAnsiTheme="minorHAnsi" w:cstheme="minorBidi"/>
              <w:b w:val="0"/>
              <w:bCs w:val="0"/>
              <w:color w:val="auto"/>
              <w:sz w:val="22"/>
              <w:szCs w:val="22"/>
            </w:rPr>
          </w:pPr>
        </w:p>
        <w:p w:rsidR="00B03423" w:rsidRDefault="00B03423">
          <w:pPr>
            <w:pStyle w:val="TOCHeading"/>
          </w:pPr>
          <w:r>
            <w:t>Table of Contents</w:t>
          </w:r>
        </w:p>
        <w:p w:rsidR="00B03423" w:rsidRDefault="00B03423">
          <w:pPr>
            <w:pStyle w:val="TOC1"/>
            <w:tabs>
              <w:tab w:val="right" w:leader="dot" w:pos="9350"/>
            </w:tabs>
            <w:rPr>
              <w:noProof/>
            </w:rPr>
          </w:pPr>
          <w:r>
            <w:fldChar w:fldCharType="begin"/>
          </w:r>
          <w:r>
            <w:instrText xml:space="preserve"> TOC \o "1-3" \h \z \u </w:instrText>
          </w:r>
          <w:r>
            <w:fldChar w:fldCharType="separate"/>
          </w:r>
          <w:hyperlink w:anchor="_Toc25870858" w:history="1">
            <w:r w:rsidRPr="00BD1BDB">
              <w:rPr>
                <w:rStyle w:val="Hyperlink"/>
                <w:noProof/>
              </w:rPr>
              <w:t>PART B</w:t>
            </w:r>
            <w:r>
              <w:rPr>
                <w:noProof/>
                <w:webHidden/>
              </w:rPr>
              <w:tab/>
            </w:r>
            <w:r>
              <w:rPr>
                <w:noProof/>
                <w:webHidden/>
              </w:rPr>
              <w:fldChar w:fldCharType="begin"/>
            </w:r>
            <w:r>
              <w:rPr>
                <w:noProof/>
                <w:webHidden/>
              </w:rPr>
              <w:instrText xml:space="preserve"> PAGEREF _Toc25870858 \h </w:instrText>
            </w:r>
            <w:r>
              <w:rPr>
                <w:noProof/>
                <w:webHidden/>
              </w:rPr>
            </w:r>
            <w:r>
              <w:rPr>
                <w:noProof/>
                <w:webHidden/>
              </w:rPr>
              <w:fldChar w:fldCharType="separate"/>
            </w:r>
            <w:r>
              <w:rPr>
                <w:noProof/>
                <w:webHidden/>
              </w:rPr>
              <w:t>3</w:t>
            </w:r>
            <w:r>
              <w:rPr>
                <w:noProof/>
                <w:webHidden/>
              </w:rPr>
              <w:fldChar w:fldCharType="end"/>
            </w:r>
          </w:hyperlink>
        </w:p>
        <w:p w:rsidR="00B03423" w:rsidRDefault="00E2251E">
          <w:pPr>
            <w:pStyle w:val="TOC1"/>
            <w:tabs>
              <w:tab w:val="right" w:leader="dot" w:pos="9350"/>
            </w:tabs>
            <w:rPr>
              <w:noProof/>
            </w:rPr>
          </w:pPr>
          <w:hyperlink w:anchor="_Toc25870859" w:history="1">
            <w:r w:rsidR="00B03423" w:rsidRPr="00BD1BDB">
              <w:rPr>
                <w:rStyle w:val="Hyperlink"/>
                <w:noProof/>
              </w:rPr>
              <w:t>REFERENCES</w:t>
            </w:r>
            <w:r w:rsidR="00B03423">
              <w:rPr>
                <w:noProof/>
                <w:webHidden/>
              </w:rPr>
              <w:tab/>
            </w:r>
            <w:r w:rsidR="00B03423">
              <w:rPr>
                <w:noProof/>
                <w:webHidden/>
              </w:rPr>
              <w:fldChar w:fldCharType="begin"/>
            </w:r>
            <w:r w:rsidR="00B03423">
              <w:rPr>
                <w:noProof/>
                <w:webHidden/>
              </w:rPr>
              <w:instrText xml:space="preserve"> PAGEREF _Toc25870859 \h </w:instrText>
            </w:r>
            <w:r w:rsidR="00B03423">
              <w:rPr>
                <w:noProof/>
                <w:webHidden/>
              </w:rPr>
            </w:r>
            <w:r w:rsidR="00B03423">
              <w:rPr>
                <w:noProof/>
                <w:webHidden/>
              </w:rPr>
              <w:fldChar w:fldCharType="separate"/>
            </w:r>
            <w:r w:rsidR="00B03423">
              <w:rPr>
                <w:noProof/>
                <w:webHidden/>
              </w:rPr>
              <w:t>7</w:t>
            </w:r>
            <w:r w:rsidR="00B03423">
              <w:rPr>
                <w:noProof/>
                <w:webHidden/>
              </w:rPr>
              <w:fldChar w:fldCharType="end"/>
            </w:r>
          </w:hyperlink>
        </w:p>
        <w:p w:rsidR="00B03423" w:rsidRDefault="00B03423">
          <w:r>
            <w:fldChar w:fldCharType="end"/>
          </w:r>
        </w:p>
      </w:sdtContent>
    </w:sdt>
    <w:p w:rsidR="00B03423" w:rsidRDefault="00B03423">
      <w:pPr>
        <w:rPr>
          <w:rFonts w:asciiTheme="majorHAnsi" w:eastAsiaTheme="majorEastAsia" w:hAnsiTheme="majorHAnsi" w:cstheme="majorBidi"/>
          <w:b/>
          <w:bCs/>
          <w:color w:val="365F91" w:themeColor="accent1" w:themeShade="BF"/>
          <w:sz w:val="28"/>
          <w:szCs w:val="28"/>
        </w:rPr>
      </w:pPr>
      <w:r>
        <w:br w:type="page"/>
      </w:r>
    </w:p>
    <w:p w:rsidR="007A2E7F" w:rsidRDefault="00C64BF6" w:rsidP="007F4C42">
      <w:pPr>
        <w:pStyle w:val="Heading1"/>
      </w:pPr>
      <w:bookmarkStart w:id="1" w:name="_Toc25870858"/>
      <w:r>
        <w:lastRenderedPageBreak/>
        <w:t>PART B</w:t>
      </w:r>
      <w:bookmarkEnd w:id="1"/>
      <w:r>
        <w:t xml:space="preserve"> </w:t>
      </w:r>
    </w:p>
    <w:p w:rsidR="00E06CEC" w:rsidRDefault="00C64BF6">
      <w:r>
        <w:t xml:space="preserve">The </w:t>
      </w:r>
      <w:r w:rsidR="004F306A">
        <w:t>process of</w:t>
      </w:r>
      <w:r w:rsidR="00E71B3A">
        <w:t xml:space="preserve"> </w:t>
      </w:r>
      <w:r w:rsidR="004F306A">
        <w:t xml:space="preserve">working together over the aim of achieving defined objective in team is called as community engagement. </w:t>
      </w:r>
      <w:r w:rsidR="004F0EF4">
        <w:t xml:space="preserve">The process of community engagement is considered to a dynamic process. This process helps in determining the communication, transfer and interaction among the firms including the range of community to achieve the most suitable and accurate results. </w:t>
      </w:r>
      <w:r w:rsidR="007C07F6">
        <w:t>In the various sections of society</w:t>
      </w:r>
      <w:proofErr w:type="gramStart"/>
      <w:r w:rsidR="00882D56">
        <w:t xml:space="preserve">, </w:t>
      </w:r>
      <w:r w:rsidR="007C07F6">
        <w:t xml:space="preserve"> community</w:t>
      </w:r>
      <w:proofErr w:type="gramEnd"/>
      <w:r w:rsidR="007C07F6">
        <w:t xml:space="preserve"> engagement</w:t>
      </w:r>
      <w:r w:rsidR="00882D56">
        <w:t xml:space="preserve"> has been considered as the major source over which the entire processing and working of an organization depends</w:t>
      </w:r>
      <w:r w:rsidR="007F4C42">
        <w:t xml:space="preserve"> (</w:t>
      </w:r>
      <w:proofErr w:type="spellStart"/>
      <w:r w:rsidR="007F4C42">
        <w:t>Schooley</w:t>
      </w:r>
      <w:proofErr w:type="spellEnd"/>
      <w:r w:rsidR="007F4C42">
        <w:t>, 2016)</w:t>
      </w:r>
      <w:r w:rsidR="00882D56">
        <w:t xml:space="preserve">. On emphasizing over the sector of health and fitness, the expectations and hopes of the community are considered to form the basis of community engagement. </w:t>
      </w:r>
      <w:r w:rsidR="008E3750">
        <w:t xml:space="preserve">In other sections of organization the overall </w:t>
      </w:r>
      <w:proofErr w:type="gramStart"/>
      <w:r w:rsidR="008E3750">
        <w:t>analysis of problems and issues faced by an organization have</w:t>
      </w:r>
      <w:proofErr w:type="gramEnd"/>
      <w:r w:rsidR="008E3750">
        <w:t xml:space="preserve"> been analyzed to achieve the best possible solution over the given problem. This involves the components such as justice, involvement, </w:t>
      </w:r>
      <w:r w:rsidR="00E06CEC">
        <w:t xml:space="preserve">strengthening, partnership and other ways of making the easy functioning of an organization based </w:t>
      </w:r>
      <w:proofErr w:type="spellStart"/>
      <w:r w:rsidR="00E06CEC">
        <w:t>oer</w:t>
      </w:r>
      <w:proofErr w:type="spellEnd"/>
      <w:r w:rsidR="00E06CEC">
        <w:t xml:space="preserve"> the evaluation of procedures and techniques applied by an organization. </w:t>
      </w:r>
    </w:p>
    <w:p w:rsidR="00D16F03" w:rsidRDefault="00E06CEC">
      <w:r>
        <w:t>With the aim of having the better understanding over the community management procedures and ways, there finds the need to understand the concept of self-management over the working of an organization.  The process of self-management is defined as the ability of an individual to regulate the accurate understanding of emotions and to regulate the emotions as per the aim of achieving the provided aim and target of an organization</w:t>
      </w:r>
      <w:r w:rsidR="007F4C42">
        <w:t xml:space="preserve"> (</w:t>
      </w:r>
      <w:proofErr w:type="spellStart"/>
      <w:r w:rsidR="007F4C42">
        <w:t>Ojha</w:t>
      </w:r>
      <w:proofErr w:type="spellEnd"/>
      <w:r w:rsidR="007F4C42">
        <w:t xml:space="preserve"> et al., 2016)</w:t>
      </w:r>
      <w:r>
        <w:t>. This type of management does not focus over the way of el</w:t>
      </w:r>
      <w:r w:rsidR="00176C43">
        <w:t xml:space="preserve">iminating the negative emotions despite of this the process helps in self-evaluation of the procedures and tasks achieved by the person for making the effective control over the sharing of emotions. In terms  of having the accurate abilities of having the appropriate way of dealing with self-management, the three components needs to be focused over the working ability of an individual. These three components are classified as initiative, accountability and organization. The motive of determining initiative is build the ability or an approach of controlling over the self-emotions and habits </w:t>
      </w:r>
      <w:proofErr w:type="gramStart"/>
      <w:r w:rsidR="00176C43">
        <w:t>as  per</w:t>
      </w:r>
      <w:proofErr w:type="gramEnd"/>
      <w:r w:rsidR="00176C43">
        <w:t xml:space="preserve"> the way of evaluating background of an area within which the individual is working</w:t>
      </w:r>
      <w:r w:rsidR="007F4C42">
        <w:t xml:space="preserve"> (</w:t>
      </w:r>
      <w:proofErr w:type="spellStart"/>
      <w:r w:rsidR="007F4C42">
        <w:t>Ojha</w:t>
      </w:r>
      <w:proofErr w:type="spellEnd"/>
      <w:r w:rsidR="007F4C42">
        <w:t xml:space="preserve"> et al., 2016)</w:t>
      </w:r>
      <w:r w:rsidR="00176C43">
        <w:t xml:space="preserve">. </w:t>
      </w:r>
      <w:r w:rsidR="00D16F03">
        <w:t xml:space="preserve">This factor helps in improving the overall productivity of employees by improving the overall performance level. On regulating some large organizations, the special training sessions have been determined for building the self-management among the employees. This also leads to the growth and development of the inner skill needed for an employee to deal effectively with the rapid changing conditions. </w:t>
      </w:r>
    </w:p>
    <w:p w:rsidR="00F12A1D" w:rsidRDefault="0077301A">
      <w:r>
        <w:t xml:space="preserve">The skill of self-management acts as the major factor for the people who have the aim of going over the career development. Due to the advantage of self-management skill that the behavior of dealing with the staff members and other higher authorities of an organization </w:t>
      </w:r>
      <w:r w:rsidR="00F12A1D">
        <w:t>the efficiency of working among these members is found to be effective among the employees this leads to the overall development and growth of an organization based over the fact of evaluating the most effective and innovative set of methodologies.  The other benefit of using the self-management in day to day working in organization is that it increases the overall productivity and innovative skills in an individual. The stability and relaxation defined in the person decreases the mental stress in the person</w:t>
      </w:r>
      <w:r w:rsidR="007F4C42">
        <w:t xml:space="preserve"> (Ahmed et al., 2016)</w:t>
      </w:r>
      <w:r w:rsidR="00F12A1D">
        <w:t xml:space="preserve">. This provides the way of maintaining the healthy and innovative style of leaving as per the changing needs and background of an organization. </w:t>
      </w:r>
    </w:p>
    <w:p w:rsidR="00F12A1D" w:rsidRDefault="00A0723C">
      <w:r>
        <w:lastRenderedPageBreak/>
        <w:t xml:space="preserve">In terms of improving the overall skills related with productivity in an employee, the skills which needs to be focused by an employee includes resistance determined over the stress, communication done in an effective way, appropriate management of time and accurate skill of solving the problem. </w:t>
      </w:r>
    </w:p>
    <w:p w:rsidR="005A277C" w:rsidRDefault="00A0723C">
      <w:r>
        <w:t xml:space="preserve">Despite of it, another major element which needs to be focused </w:t>
      </w:r>
      <w:r w:rsidR="00182FB4">
        <w:t xml:space="preserve">over the way of dealing effectively with the stress management is termed as Stress Resistance factor. The stress resistance is determined as ability of a person to resist over the undertaking of any kind of stress. </w:t>
      </w:r>
      <w:r w:rsidR="007F4C42">
        <w:t>This could</w:t>
      </w:r>
      <w:r w:rsidR="000C29F3">
        <w:t xml:space="preserve"> affect the entire working ability and productivity of an organization. In order to eliminate the up-rising o</w:t>
      </w:r>
      <w:r w:rsidR="00634DB7">
        <w:t>f this issue</w:t>
      </w:r>
      <w:proofErr w:type="gramStart"/>
      <w:r w:rsidR="00634DB7">
        <w:t>,  there</w:t>
      </w:r>
      <w:proofErr w:type="gramEnd"/>
      <w:r w:rsidR="00634DB7">
        <w:t xml:space="preserve"> finds the need to regulate the appropriate ad effective set of the training sessions which helps in decreasing the stress level among the employees</w:t>
      </w:r>
      <w:r w:rsidR="007F4C42">
        <w:t xml:space="preserve"> (</w:t>
      </w:r>
      <w:r w:rsidR="007F4C42" w:rsidRPr="007D7B97">
        <w:t>Johnston</w:t>
      </w:r>
      <w:r w:rsidR="007F4C42">
        <w:t xml:space="preserve"> et al</w:t>
      </w:r>
      <w:r w:rsidR="007F4C42" w:rsidRPr="007D7B97">
        <w:t>,</w:t>
      </w:r>
      <w:r w:rsidR="007F4C42">
        <w:t xml:space="preserve"> 2018)</w:t>
      </w:r>
      <w:r w:rsidR="00634DB7">
        <w:t xml:space="preserve">. </w:t>
      </w:r>
      <w:r w:rsidR="00865778">
        <w:t xml:space="preserve">This training session majorly focuses over the </w:t>
      </w:r>
      <w:proofErr w:type="gramStart"/>
      <w:r w:rsidR="00865778">
        <w:t>ways  of</w:t>
      </w:r>
      <w:proofErr w:type="gramEnd"/>
      <w:r w:rsidR="00865778">
        <w:t xml:space="preserve"> dealing positively with the upcoming stress related factors. </w:t>
      </w:r>
      <w:r w:rsidR="005A277C">
        <w:t xml:space="preserve">There find the need to have the proper elimination of stress resistance factor for improving the working environment in an organization. The occurrence of stress related factors act as the barrier in between the profit generation ability of an organization. </w:t>
      </w:r>
      <w:r w:rsidR="00803AC2">
        <w:t>This limits the thinking and decision making ability of an employee</w:t>
      </w:r>
      <w:r w:rsidR="007F4C42">
        <w:t xml:space="preserve"> (</w:t>
      </w:r>
      <w:proofErr w:type="spellStart"/>
      <w:r w:rsidR="007F4C42">
        <w:t>Kolopack</w:t>
      </w:r>
      <w:proofErr w:type="spellEnd"/>
      <w:r w:rsidR="007F4C42">
        <w:t xml:space="preserve"> et al., 2015)</w:t>
      </w:r>
      <w:r w:rsidR="00803AC2">
        <w:t xml:space="preserve">. </w:t>
      </w:r>
    </w:p>
    <w:p w:rsidR="00803AC2" w:rsidRDefault="00803AC2">
      <w:r>
        <w:t xml:space="preserve">The progress and development of an organization is majorly determined by the means of having interactive and innovative means of communication. The process of communication acts as the easy transfer </w:t>
      </w:r>
      <w:r w:rsidR="00491EC5">
        <w:t>of information</w:t>
      </w:r>
      <w:r>
        <w:t xml:space="preserve"> from the one source to other source. This initiates the processing of the tasks and procedures which needs to be defined over the way of achieving desired products and services from the working ability of an organization. </w:t>
      </w:r>
      <w:r w:rsidR="00663442">
        <w:t>The effective way of having communication is categorized to the way of having the maximum transfer of relevant information from a source to a destination by having the minimum level of distortion</w:t>
      </w:r>
      <w:r w:rsidR="007F4C42">
        <w:t xml:space="preserve"> (</w:t>
      </w:r>
      <w:proofErr w:type="spellStart"/>
      <w:r w:rsidR="007F4C42">
        <w:t>Tak</w:t>
      </w:r>
      <w:proofErr w:type="spellEnd"/>
      <w:r w:rsidR="007F4C42">
        <w:t>, 2017)</w:t>
      </w:r>
      <w:r w:rsidR="00663442">
        <w:t xml:space="preserve">.  </w:t>
      </w:r>
      <w:r w:rsidR="00491EC5">
        <w:t>The employees of an organization which are categorized as productive as supposed to have the best and most accurate way of communicating over the different sections of an organization.  In terms of having the timely and clear delivery of the services demanded by the customer, communication acts as the bridge of transferring the relevant set of information from one sources  to other. In order to improve the overall working ability of an organization, the communication skills among the employees of an organization needs to be improved. In terms of achieving this task, the skills such as listening and communicating have been focused to be improved by the training sessions organized in an organization conducting the activities such as debate and other ways of increasing the communication level</w:t>
      </w:r>
      <w:r w:rsidR="007F4C42">
        <w:t xml:space="preserve"> (Mendes et al., 2017)</w:t>
      </w:r>
      <w:r w:rsidR="00491EC5">
        <w:t xml:space="preserve">. </w:t>
      </w:r>
    </w:p>
    <w:p w:rsidR="00491EC5" w:rsidRDefault="00420CE0">
      <w:r>
        <w:t xml:space="preserve">On having the detailed analysis over the communication improvement ways, the other activities such as active listening,   business writing, meeting and presentations have been also defined in an organization for improving the communication skills. </w:t>
      </w:r>
      <w:r w:rsidR="00087778">
        <w:t>The process of implementing the concept of active listening leads to the development of abilities among the employees for listening and interpreting the information in their best possible form</w:t>
      </w:r>
      <w:r w:rsidR="007F4C42">
        <w:t xml:space="preserve"> (</w:t>
      </w:r>
      <w:proofErr w:type="spellStart"/>
      <w:r w:rsidR="007F4C42" w:rsidRPr="00531D2E">
        <w:t>Ibe</w:t>
      </w:r>
      <w:proofErr w:type="spellEnd"/>
      <w:r w:rsidR="007F4C42">
        <w:t xml:space="preserve"> et al</w:t>
      </w:r>
      <w:r w:rsidR="007F4C42" w:rsidRPr="00531D2E">
        <w:t>,</w:t>
      </w:r>
      <w:r w:rsidR="007F4C42">
        <w:t xml:space="preserve"> 2018)</w:t>
      </w:r>
      <w:r w:rsidR="00087778">
        <w:t xml:space="preserve">. </w:t>
      </w:r>
      <w:r w:rsidR="00764498">
        <w:t xml:space="preserve">This also provides the way of determining the active and effective way of communication among the employees. Apart from this, the solution of the problem faced by an organization is made possible only by conducting the </w:t>
      </w:r>
      <w:proofErr w:type="gramStart"/>
      <w:r w:rsidR="00764498">
        <w:t>meeting  among</w:t>
      </w:r>
      <w:proofErr w:type="gramEnd"/>
      <w:r w:rsidR="00764498">
        <w:t xml:space="preserve"> the major authorities of an organization. </w:t>
      </w:r>
      <w:r w:rsidR="008701F4">
        <w:t xml:space="preserve">The process of conducting the meeting includes planning, abilities to withstand with the queries, having active participation among the </w:t>
      </w:r>
      <w:r w:rsidR="00627589">
        <w:t>employees categorized to be active listeners. This form of communication in an organization decreases the wastage of resource done over the unproductive forms of an organization</w:t>
      </w:r>
      <w:r w:rsidR="007F4C42">
        <w:t xml:space="preserve"> (Rivera, 2016)</w:t>
      </w:r>
      <w:r w:rsidR="00627589">
        <w:t xml:space="preserve">. </w:t>
      </w:r>
      <w:r w:rsidR="00C15CBF">
        <w:t xml:space="preserve">This leads to the proper management and </w:t>
      </w:r>
      <w:r w:rsidR="00C15CBF">
        <w:lastRenderedPageBreak/>
        <w:t xml:space="preserve">processing of the operations and procedures found effective for regulating the overall growth and development of business as per the varying marketing conditions and trends applied in an organization. </w:t>
      </w:r>
    </w:p>
    <w:p w:rsidR="00C15CBF" w:rsidRDefault="00C15CBF">
      <w:r>
        <w:t xml:space="preserve">In terms of increasing the overall performance and working ability of the employees working in an organization, the concept of improving the overall working of employees as the single source affects and improves the overall working ability of the organization. This process is termed as the </w:t>
      </w:r>
      <w:r w:rsidR="00297936">
        <w:t xml:space="preserve">teamwork process. The accurate implication of the team work procedure is based over the process of defining the collective working </w:t>
      </w:r>
      <w:r w:rsidR="007F4C42">
        <w:t>of an employee</w:t>
      </w:r>
      <w:r w:rsidR="00297936">
        <w:t xml:space="preserve"> as per the policies and laws defined by an organization. By implementing the concept of teamwork in an effective way, the </w:t>
      </w:r>
      <w:r w:rsidR="00FF11E5">
        <w:t xml:space="preserve">development of new ideas and procedures could be made as per </w:t>
      </w:r>
      <w:r w:rsidR="007F4C42">
        <w:t>the aim</w:t>
      </w:r>
      <w:r w:rsidR="00FF11E5">
        <w:t xml:space="preserve"> of increasing the overall working ability of an organization. </w:t>
      </w:r>
      <w:r w:rsidR="007B0F70">
        <w:t>In terms of discussing over the concepts community engagement, teamwork as then key factor of regulating the overall growth and development of an organization</w:t>
      </w:r>
      <w:r w:rsidR="008B6049">
        <w:t xml:space="preserve"> as per the frequent changes made over the working ability of individuals. The component of teamwork is based over </w:t>
      </w:r>
      <w:proofErr w:type="gramStart"/>
      <w:r w:rsidR="008B6049">
        <w:t>the ,motive</w:t>
      </w:r>
      <w:proofErr w:type="gramEnd"/>
      <w:r w:rsidR="008B6049">
        <w:t xml:space="preserve"> of regulating the equality and diversity in the working environment of an organization. </w:t>
      </w:r>
      <w:r w:rsidR="007B1BD6">
        <w:t xml:space="preserve">The concept of focusing over the diversity of workplace provides the equal allocation of sources by eliminating the factors of various issues such as gender and culture. The proper implementation of diversity and equality at the workplace generates the number of opportunities for dealing effectively with the frequent changes made over the </w:t>
      </w:r>
      <w:r w:rsidR="007F4C42">
        <w:t>condition and</w:t>
      </w:r>
      <w:r w:rsidR="007B1BD6">
        <w:t xml:space="preserve"> working environment of an organization</w:t>
      </w:r>
      <w:r w:rsidR="007F4C42">
        <w:t xml:space="preserve"> (Milliken et al., 2015)</w:t>
      </w:r>
      <w:r w:rsidR="007B1BD6">
        <w:t xml:space="preserve">. </w:t>
      </w:r>
    </w:p>
    <w:p w:rsidR="00C304FC" w:rsidRDefault="00C304FC">
      <w:r>
        <w:t xml:space="preserve">The benefit of including the teamwork activity in an organization is to broader the path of success for an organization. This leads to the development of procedures defining the new set of opportunities and possibilities as per the focus of improving the entire working structure of an organization in the </w:t>
      </w:r>
      <w:proofErr w:type="spellStart"/>
      <w:r>
        <w:t>wayo</w:t>
      </w:r>
      <w:proofErr w:type="spellEnd"/>
      <w:r>
        <w:t xml:space="preserve"> f achieving the desired results. This also acts </w:t>
      </w:r>
      <w:proofErr w:type="gramStart"/>
      <w:r>
        <w:t>as  process</w:t>
      </w:r>
      <w:proofErr w:type="gramEnd"/>
      <w:r>
        <w:t xml:space="preserve"> of dealing with the problem solving ability of an organization. </w:t>
      </w:r>
      <w:r w:rsidR="00C90BD1">
        <w:t>The aim of working as a team also increases the chances of making the best possible solution over the given problem</w:t>
      </w:r>
      <w:r w:rsidR="007F4C42">
        <w:t xml:space="preserve"> (Milliken et al., 2015)</w:t>
      </w:r>
      <w:r w:rsidR="00C90BD1">
        <w:t>.</w:t>
      </w:r>
    </w:p>
    <w:p w:rsidR="00C90BD1" w:rsidRDefault="00BB6371">
      <w:r>
        <w:t xml:space="preserve">Apart from this the skill which majorly focuses over the effective community engagement is classified as the leadership strategy. </w:t>
      </w:r>
      <w:r w:rsidR="00725092">
        <w:t xml:space="preserve">It is defined as the ability of an individual to rule over other employees of an organization by maintaining proper dignity and respect over the way of </w:t>
      </w:r>
      <w:proofErr w:type="gramStart"/>
      <w:r w:rsidR="00725092">
        <w:t>allocating  and</w:t>
      </w:r>
      <w:proofErr w:type="gramEnd"/>
      <w:r w:rsidR="00725092">
        <w:t xml:space="preserve"> discussing the major processes of an organization. </w:t>
      </w:r>
      <w:r w:rsidR="005E0AE2">
        <w:t>The leaders in an organization</w:t>
      </w:r>
      <w:r w:rsidR="001A3718">
        <w:t xml:space="preserve"> are defined</w:t>
      </w:r>
      <w:r w:rsidR="005E0AE2">
        <w:t xml:space="preserve"> as the pillars of generating the growth and progress in an organization. </w:t>
      </w:r>
      <w:r w:rsidR="001A3718">
        <w:t>They have the ability to communicate over the better sources and to achieve then most accurate and developed form of communication</w:t>
      </w:r>
      <w:r w:rsidR="007F4C42">
        <w:t xml:space="preserve"> (Case et al., 2018)</w:t>
      </w:r>
      <w:r w:rsidR="001A3718">
        <w:t xml:space="preserve">. </w:t>
      </w:r>
    </w:p>
    <w:p w:rsidR="001A3718" w:rsidRDefault="001A3718">
      <w:proofErr w:type="gramStart"/>
      <w:r>
        <w:t>The appropriate evaluation of interpersonal abilities as considered as the effective tool of self-management which has been utilized by an individual.</w:t>
      </w:r>
      <w:proofErr w:type="gramEnd"/>
      <w:r>
        <w:t xml:space="preserve"> The benefit of implementing the most </w:t>
      </w:r>
      <w:proofErr w:type="gramStart"/>
      <w:r>
        <w:t>accurate  way</w:t>
      </w:r>
      <w:proofErr w:type="gramEnd"/>
      <w:r>
        <w:t xml:space="preserve"> of community engagement is  included  and determined on the basis of regulating the interpersonal skills. The division of interpersonal skills is analyzed as verbal form of communication, non-verbal form of communication, listening skills, management skills and ability to manage the interpersonal skills formed as the basis of problem solving skill in an organization. The regulation of this type of skills leads to maintain the balance between the professional and personal life of employees working in an </w:t>
      </w:r>
      <w:r>
        <w:lastRenderedPageBreak/>
        <w:t xml:space="preserve">organization. </w:t>
      </w:r>
      <w:proofErr w:type="gramStart"/>
      <w:r>
        <w:t xml:space="preserve">The accurate implementation of such type of skill </w:t>
      </w:r>
      <w:r w:rsidR="0004006D">
        <w:t>social awareness and the level of job satisfaction provided in an organization</w:t>
      </w:r>
      <w:r w:rsidR="007F4C42">
        <w:t xml:space="preserve"> (Case et al., 2018)</w:t>
      </w:r>
      <w:r w:rsidR="0004006D">
        <w:t>.</w:t>
      </w:r>
      <w:proofErr w:type="gramEnd"/>
    </w:p>
    <w:p w:rsidR="0004006D" w:rsidRDefault="0004006D">
      <w:r>
        <w:t xml:space="preserve">The motive of conducting the practice based over the reflective form is to determine the understanding of </w:t>
      </w:r>
      <w:r w:rsidR="00E91A82">
        <w:t>proper policies</w:t>
      </w:r>
      <w:r>
        <w:t xml:space="preserve"> and procedures related</w:t>
      </w:r>
      <w:r w:rsidR="007F4C42">
        <w:t>. There find the need to have the proper elimination of stress resistance factor for improving the working environment in an organization. The occurrence of stress related factors act as the barrier in between the profit generation ability of an organization. This limits the thinking and decision making ability of an employee (</w:t>
      </w:r>
      <w:proofErr w:type="spellStart"/>
      <w:r w:rsidR="007F4C42">
        <w:t>Wallerstein</w:t>
      </w:r>
      <w:proofErr w:type="spellEnd"/>
      <w:r w:rsidR="007F4C42">
        <w:t xml:space="preserve"> et al., 2015).</w:t>
      </w:r>
    </w:p>
    <w:p w:rsidR="007F4C42" w:rsidRDefault="007F4C42" w:rsidP="007F4C42">
      <w:r>
        <w:t xml:space="preserve">The rise in the overall level of working environment is being affected by the community engagement factors determined over the working ability of an organization. It has been observed that the </w:t>
      </w:r>
      <w:proofErr w:type="spellStart"/>
      <w:r>
        <w:t>proeper</w:t>
      </w:r>
      <w:proofErr w:type="spellEnd"/>
      <w:r>
        <w:t xml:space="preserve"> allocation of the services and procedures as per the aim of achieving new profit aims and development of an organization results in the effective working of an organization. The process of conducting the meeting includes planning, abilities to withstand with the queries, having active participation among the employees categorized to be active listeners. This form of communication in an organization decreases the wastage of resource done over the unproductive forms of an organization. This leads to the proper management and processing of the operations and procedures found effective for regulating the overall growth and development of business as per the varying marketing conditions and trends applied in an organization (</w:t>
      </w:r>
      <w:proofErr w:type="spellStart"/>
      <w:r>
        <w:t>Wallerstein</w:t>
      </w:r>
      <w:proofErr w:type="spellEnd"/>
      <w:r>
        <w:t xml:space="preserve"> et al., 2015). </w:t>
      </w:r>
    </w:p>
    <w:p w:rsidR="007F4C42" w:rsidRDefault="007F4C42"/>
    <w:p w:rsidR="007F4C42" w:rsidRDefault="007F4C42"/>
    <w:p w:rsidR="007F4C42" w:rsidRDefault="007F4C42">
      <w:r>
        <w:br w:type="page"/>
      </w:r>
    </w:p>
    <w:p w:rsidR="007F4C42" w:rsidRDefault="007F4C42" w:rsidP="007F4C42">
      <w:pPr>
        <w:pStyle w:val="Heading1"/>
      </w:pPr>
      <w:bookmarkStart w:id="2" w:name="_Toc534644521"/>
      <w:bookmarkStart w:id="3" w:name="_Toc25870859"/>
      <w:r>
        <w:lastRenderedPageBreak/>
        <w:t>REFERENCES</w:t>
      </w:r>
      <w:bookmarkEnd w:id="2"/>
      <w:bookmarkEnd w:id="3"/>
    </w:p>
    <w:p w:rsidR="007F4C42" w:rsidRDefault="007F4C42" w:rsidP="007F4C42">
      <w:pPr>
        <w:pStyle w:val="ListParagraph"/>
        <w:numPr>
          <w:ilvl w:val="0"/>
          <w:numId w:val="1"/>
        </w:numPr>
      </w:pPr>
      <w:r>
        <w:t xml:space="preserve">Ahmed, S.M., </w:t>
      </w:r>
      <w:proofErr w:type="spellStart"/>
      <w:r>
        <w:t>Maurana</w:t>
      </w:r>
      <w:proofErr w:type="spellEnd"/>
      <w:r>
        <w:t xml:space="preserve">, C., Nelson, D., Meister, T., Young, S.N. and </w:t>
      </w:r>
      <w:proofErr w:type="spellStart"/>
      <w:r>
        <w:t>Lucey</w:t>
      </w:r>
      <w:proofErr w:type="spellEnd"/>
      <w:r>
        <w:t>, P., 2016. Opening the black box: Conceptualizing community engagement from 109 community-academic partnership programs. Progress in community health partnerships: research, education, and action, 10(1), pp.51-61.</w:t>
      </w:r>
    </w:p>
    <w:p w:rsidR="007F4C42" w:rsidRDefault="007F4C42" w:rsidP="007F4C42">
      <w:pPr>
        <w:pStyle w:val="ListParagraph"/>
        <w:numPr>
          <w:ilvl w:val="0"/>
          <w:numId w:val="1"/>
        </w:numPr>
      </w:pPr>
      <w:r>
        <w:t xml:space="preserve">Case, R.A. and </w:t>
      </w:r>
      <w:proofErr w:type="spellStart"/>
      <w:r>
        <w:t>Zeglen</w:t>
      </w:r>
      <w:proofErr w:type="spellEnd"/>
      <w:r>
        <w:t>, L., 2018. Exploring the ebbs and flows of community engagement: The pyramid of engagement and water activism in two Canadian communities. Journal of Community Practice, 26(2), pp.184-203.</w:t>
      </w:r>
    </w:p>
    <w:p w:rsidR="007F4C42" w:rsidRDefault="007F4C42" w:rsidP="007F4C42">
      <w:pPr>
        <w:pStyle w:val="ListParagraph"/>
        <w:numPr>
          <w:ilvl w:val="0"/>
          <w:numId w:val="1"/>
        </w:numPr>
      </w:pPr>
      <w:proofErr w:type="spellStart"/>
      <w:r>
        <w:t>Ibe</w:t>
      </w:r>
      <w:proofErr w:type="spellEnd"/>
      <w:r>
        <w:t xml:space="preserve">, C.A., </w:t>
      </w:r>
      <w:proofErr w:type="spellStart"/>
      <w:r>
        <w:t>Basu</w:t>
      </w:r>
      <w:proofErr w:type="spellEnd"/>
      <w:r>
        <w:t xml:space="preserve">, L., Gooden, R., Syed, S.B., </w:t>
      </w:r>
      <w:proofErr w:type="spellStart"/>
      <w:r>
        <w:t>Dadwal</w:t>
      </w:r>
      <w:proofErr w:type="spellEnd"/>
      <w:r>
        <w:t xml:space="preserve">, V., Bone, L.R., Ephraim, P.L., Weston, C.M., Wu, A.W., Barron, J. and </w:t>
      </w:r>
      <w:proofErr w:type="spellStart"/>
      <w:r>
        <w:t>Boonyasai</w:t>
      </w:r>
      <w:proofErr w:type="spellEnd"/>
      <w:r>
        <w:t xml:space="preserve">, R.T., 2018. From </w:t>
      </w:r>
      <w:proofErr w:type="spellStart"/>
      <w:r>
        <w:t>Kisiizi</w:t>
      </w:r>
      <w:proofErr w:type="spellEnd"/>
      <w:r>
        <w:t xml:space="preserve"> to Baltimore: cultivating knowledge brokers to support global innovation for community engagement in healthcare. Globalization and health, 14(1), p.19.</w:t>
      </w:r>
    </w:p>
    <w:p w:rsidR="007F4C42" w:rsidRDefault="007F4C42" w:rsidP="007F4C42">
      <w:pPr>
        <w:pStyle w:val="ListParagraph"/>
        <w:numPr>
          <w:ilvl w:val="0"/>
          <w:numId w:val="1"/>
        </w:numPr>
      </w:pPr>
      <w:r>
        <w:t xml:space="preserve">Johnston, K.A., Lane, A.B., Hurst, B. and </w:t>
      </w:r>
      <w:proofErr w:type="spellStart"/>
      <w:r>
        <w:t>Beatson</w:t>
      </w:r>
      <w:proofErr w:type="spellEnd"/>
      <w:r>
        <w:t>, A., 2018. Episodic and Relational Community Engagement. The Handbook of Communication Engagement, p.169.</w:t>
      </w:r>
    </w:p>
    <w:p w:rsidR="007F4C42" w:rsidRDefault="007F4C42" w:rsidP="007F4C42">
      <w:pPr>
        <w:pStyle w:val="ListParagraph"/>
        <w:numPr>
          <w:ilvl w:val="0"/>
          <w:numId w:val="1"/>
        </w:numPr>
      </w:pPr>
      <w:proofErr w:type="spellStart"/>
      <w:r>
        <w:t>Kolopack</w:t>
      </w:r>
      <w:proofErr w:type="spellEnd"/>
      <w:r>
        <w:t xml:space="preserve">, P.A., Parsons, J.A. and </w:t>
      </w:r>
      <w:proofErr w:type="spellStart"/>
      <w:r>
        <w:t>Lavery</w:t>
      </w:r>
      <w:proofErr w:type="spellEnd"/>
      <w:r>
        <w:t>, J.V., 2015. What makes community engagement effective</w:t>
      </w:r>
      <w:proofErr w:type="gramStart"/>
      <w:r>
        <w:t>?:</w:t>
      </w:r>
      <w:proofErr w:type="gramEnd"/>
      <w:r>
        <w:t xml:space="preserve"> lessons from the eliminate dengue program in Queensland Australia. </w:t>
      </w:r>
      <w:proofErr w:type="spellStart"/>
      <w:r>
        <w:t>PLoS</w:t>
      </w:r>
      <w:proofErr w:type="spellEnd"/>
      <w:r>
        <w:t xml:space="preserve"> neglected tropical diseases, 9(4), p.e0003713.</w:t>
      </w:r>
    </w:p>
    <w:p w:rsidR="007F4C42" w:rsidRDefault="007F4C42" w:rsidP="007F4C42">
      <w:pPr>
        <w:pStyle w:val="ListParagraph"/>
        <w:numPr>
          <w:ilvl w:val="0"/>
          <w:numId w:val="1"/>
        </w:numPr>
      </w:pPr>
      <w:r>
        <w:t xml:space="preserve">Mendes, G., Pinto, A.J., Marsh, J., Rodrigues, L. and </w:t>
      </w:r>
      <w:proofErr w:type="spellStart"/>
      <w:r>
        <w:t>Kiamba</w:t>
      </w:r>
      <w:proofErr w:type="spellEnd"/>
      <w:r>
        <w:t xml:space="preserve">, L., 2017. SENSIBLE project community engagement both in </w:t>
      </w:r>
      <w:proofErr w:type="spellStart"/>
      <w:r>
        <w:t>Évora</w:t>
      </w:r>
      <w:proofErr w:type="spellEnd"/>
      <w:r>
        <w:t xml:space="preserve"> and Nottingham demonstrator sites. CIRED-Open Access Proceedings Journal, 2017(1), pp.2897-2900.</w:t>
      </w:r>
    </w:p>
    <w:p w:rsidR="007F4C42" w:rsidRDefault="007F4C42" w:rsidP="007F4C42">
      <w:pPr>
        <w:pStyle w:val="ListParagraph"/>
        <w:numPr>
          <w:ilvl w:val="0"/>
          <w:numId w:val="1"/>
        </w:numPr>
      </w:pPr>
      <w:r>
        <w:t xml:space="preserve">Milliken, F.J., </w:t>
      </w:r>
      <w:proofErr w:type="spellStart"/>
      <w:r>
        <w:t>Schipani</w:t>
      </w:r>
      <w:proofErr w:type="spellEnd"/>
      <w:r>
        <w:t xml:space="preserve">, C.A., </w:t>
      </w:r>
      <w:proofErr w:type="spellStart"/>
      <w:r>
        <w:t>Bishara</w:t>
      </w:r>
      <w:proofErr w:type="spellEnd"/>
      <w:r>
        <w:t>, N.D. and Prado, A.M., 2015. Linking workplace practices to community engagement: The case for encouraging employee voice. Academy of Management Perspectives, 29(4), pp.405-421.</w:t>
      </w:r>
    </w:p>
    <w:p w:rsidR="007F4C42" w:rsidRDefault="007F4C42" w:rsidP="007F4C42">
      <w:pPr>
        <w:pStyle w:val="ListParagraph"/>
        <w:numPr>
          <w:ilvl w:val="0"/>
          <w:numId w:val="1"/>
        </w:numPr>
      </w:pPr>
      <w:proofErr w:type="spellStart"/>
      <w:r>
        <w:t>Ojha</w:t>
      </w:r>
      <w:proofErr w:type="spellEnd"/>
      <w:r>
        <w:t xml:space="preserve">, H.R., Ford, R., Keenan, R.J., Race, D., Vega, D.C., </w:t>
      </w:r>
      <w:proofErr w:type="spellStart"/>
      <w:r>
        <w:t>Baral</w:t>
      </w:r>
      <w:proofErr w:type="spellEnd"/>
      <w:r>
        <w:t xml:space="preserve">, H. and </w:t>
      </w:r>
      <w:proofErr w:type="spellStart"/>
      <w:r>
        <w:t>Sapkota</w:t>
      </w:r>
      <w:proofErr w:type="spellEnd"/>
      <w:r>
        <w:t>, P., 2016. Delocalizing communities: changing forms of community engagement in natural resources governance. World Development, 87, pp.274-290.</w:t>
      </w:r>
    </w:p>
    <w:p w:rsidR="007F4C42" w:rsidRDefault="007F4C42" w:rsidP="007F4C42">
      <w:pPr>
        <w:pStyle w:val="ListParagraph"/>
        <w:numPr>
          <w:ilvl w:val="0"/>
          <w:numId w:val="1"/>
        </w:numPr>
      </w:pPr>
      <w:r>
        <w:t>Rivera, R., 2016. The Perceived Community Engagement Survey: Structure, Reliability, and Validity of a Community-based Organization Measure of Engagement with the Broader Community.</w:t>
      </w:r>
    </w:p>
    <w:p w:rsidR="007F4C42" w:rsidRDefault="007F4C42" w:rsidP="007F4C42">
      <w:pPr>
        <w:pStyle w:val="ListParagraph"/>
        <w:numPr>
          <w:ilvl w:val="0"/>
          <w:numId w:val="1"/>
        </w:numPr>
      </w:pPr>
      <w:proofErr w:type="spellStart"/>
      <w:r>
        <w:lastRenderedPageBreak/>
        <w:t>Schooley</w:t>
      </w:r>
      <w:proofErr w:type="spellEnd"/>
      <w:r>
        <w:t>, R., 2016. Does Organization Matter</w:t>
      </w:r>
      <w:proofErr w:type="gramStart"/>
      <w:r>
        <w:t>?:</w:t>
      </w:r>
      <w:proofErr w:type="gramEnd"/>
      <w:r>
        <w:t xml:space="preserve"> Assessing Engagement Within and Beyond Community Organizing Coalitions (Doctoral dissertation, Peabody College of Vanderbilt University).</w:t>
      </w:r>
    </w:p>
    <w:p w:rsidR="007F4C42" w:rsidRDefault="007F4C42" w:rsidP="007F4C42">
      <w:pPr>
        <w:pStyle w:val="ListParagraph"/>
        <w:numPr>
          <w:ilvl w:val="0"/>
          <w:numId w:val="1"/>
        </w:numPr>
      </w:pPr>
      <w:r>
        <w:t>Smith, E.B., 2015. Understanding Culture, Social Organization, and Leadership to Enhance Community Engagement. Leadership &amp; Organizational Management Journal, 2015(3).</w:t>
      </w:r>
    </w:p>
    <w:p w:rsidR="007F4C42" w:rsidRDefault="007F4C42" w:rsidP="007F4C42">
      <w:pPr>
        <w:pStyle w:val="ListParagraph"/>
        <w:numPr>
          <w:ilvl w:val="0"/>
          <w:numId w:val="1"/>
        </w:numPr>
      </w:pPr>
      <w:proofErr w:type="spellStart"/>
      <w:r>
        <w:t>Tak</w:t>
      </w:r>
      <w:proofErr w:type="spellEnd"/>
      <w:r>
        <w:t xml:space="preserve">, S., 2017, September. Cooperative Membership and Community Engagement: Findings </w:t>
      </w:r>
      <w:proofErr w:type="gramStart"/>
      <w:r>
        <w:t>From</w:t>
      </w:r>
      <w:proofErr w:type="gramEnd"/>
      <w:r>
        <w:t xml:space="preserve"> a Latin American Survey. In Sociological Forum (Vol. 32, No. 3, pp. 566-586).</w:t>
      </w:r>
    </w:p>
    <w:p w:rsidR="007F4C42" w:rsidRDefault="007F4C42" w:rsidP="007F4C42">
      <w:pPr>
        <w:pStyle w:val="ListParagraph"/>
        <w:numPr>
          <w:ilvl w:val="0"/>
          <w:numId w:val="1"/>
        </w:numPr>
      </w:pPr>
      <w:proofErr w:type="spellStart"/>
      <w:r>
        <w:t>Wallerstein</w:t>
      </w:r>
      <w:proofErr w:type="spellEnd"/>
      <w:r>
        <w:t xml:space="preserve">, N., </w:t>
      </w:r>
      <w:proofErr w:type="spellStart"/>
      <w:r>
        <w:t>Minkler</w:t>
      </w:r>
      <w:proofErr w:type="spellEnd"/>
      <w:r>
        <w:t>, M., Carter-Edwards, L., Avila, M. and Sanchez, V., 2015. Improving health through community engagement, community organization, and community building. Health behaviour: Theory, research, and practice, pp.277-300.</w:t>
      </w:r>
    </w:p>
    <w:p w:rsidR="007F4C42" w:rsidRDefault="007F4C42" w:rsidP="007F4C42"/>
    <w:p w:rsidR="00C304FC" w:rsidRDefault="00C304FC"/>
    <w:p w:rsidR="00E2251E" w:rsidRDefault="00E2251E"/>
    <w:p w:rsidR="00E2251E" w:rsidRDefault="00E2251E"/>
    <w:p w:rsidR="00E2251E" w:rsidRDefault="00E2251E"/>
    <w:p w:rsidR="00E2251E" w:rsidRDefault="00E2251E"/>
    <w:p w:rsidR="00E2251E" w:rsidRDefault="00E2251E"/>
    <w:p w:rsidR="00E2251E" w:rsidRDefault="00E2251E"/>
    <w:p w:rsidR="00E2251E" w:rsidRDefault="00E2251E"/>
    <w:p w:rsidR="00E2251E" w:rsidRDefault="00E2251E"/>
    <w:p w:rsidR="00E2251E" w:rsidRDefault="00E2251E"/>
    <w:p w:rsidR="00E2251E" w:rsidRDefault="00E2251E"/>
    <w:p w:rsidR="00E2251E" w:rsidRDefault="00E2251E"/>
    <w:p w:rsidR="00E2251E" w:rsidRDefault="00E2251E"/>
    <w:p w:rsidR="00E2251E" w:rsidRDefault="00E2251E">
      <w:r>
        <w:rPr>
          <w:noProof/>
          <w:lang w:val="en-GB" w:eastAsia="en-GB"/>
        </w:rPr>
        <w:lastRenderedPageBreak/>
        <w:drawing>
          <wp:inline distT="0" distB="0" distL="0" distR="0">
            <wp:extent cx="5943600" cy="4457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1211_16241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rsidR="00E2251E" w:rsidRDefault="00E2251E"/>
    <w:p w:rsidR="00E2251E" w:rsidRDefault="00E2251E">
      <w:r>
        <w:rPr>
          <w:noProof/>
          <w:lang w:val="en-GB" w:eastAsia="en-GB"/>
        </w:rPr>
        <w:lastRenderedPageBreak/>
        <w:drawing>
          <wp:inline distT="0" distB="0" distL="0" distR="0">
            <wp:extent cx="5943600" cy="4457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00101_150357.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sectPr w:rsidR="00E2251E" w:rsidSect="005216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834723"/>
    <w:multiLevelType w:val="hybridMultilevel"/>
    <w:tmpl w:val="9F26E5D6"/>
    <w:lvl w:ilvl="0" w:tplc="E036F352">
      <w:start w:val="1"/>
      <w:numFmt w:val="bullet"/>
      <w:lvlText w:val=""/>
      <w:lvlJc w:val="left"/>
      <w:pPr>
        <w:ind w:left="720" w:hanging="360"/>
      </w:pPr>
      <w:rPr>
        <w:rFonts w:ascii="Symbol" w:hAnsi="Symbol" w:hint="default"/>
      </w:rPr>
    </w:lvl>
    <w:lvl w:ilvl="1" w:tplc="565EB9B2" w:tentative="1">
      <w:start w:val="1"/>
      <w:numFmt w:val="bullet"/>
      <w:lvlText w:val="o"/>
      <w:lvlJc w:val="left"/>
      <w:pPr>
        <w:ind w:left="1440" w:hanging="360"/>
      </w:pPr>
      <w:rPr>
        <w:rFonts w:ascii="Courier New" w:hAnsi="Courier New" w:cs="Courier New" w:hint="default"/>
      </w:rPr>
    </w:lvl>
    <w:lvl w:ilvl="2" w:tplc="95B601B8" w:tentative="1">
      <w:start w:val="1"/>
      <w:numFmt w:val="bullet"/>
      <w:lvlText w:val=""/>
      <w:lvlJc w:val="left"/>
      <w:pPr>
        <w:ind w:left="2160" w:hanging="360"/>
      </w:pPr>
      <w:rPr>
        <w:rFonts w:ascii="Wingdings" w:hAnsi="Wingdings" w:hint="default"/>
      </w:rPr>
    </w:lvl>
    <w:lvl w:ilvl="3" w:tplc="5C2675A4" w:tentative="1">
      <w:start w:val="1"/>
      <w:numFmt w:val="bullet"/>
      <w:lvlText w:val=""/>
      <w:lvlJc w:val="left"/>
      <w:pPr>
        <w:ind w:left="2880" w:hanging="360"/>
      </w:pPr>
      <w:rPr>
        <w:rFonts w:ascii="Symbol" w:hAnsi="Symbol" w:hint="default"/>
      </w:rPr>
    </w:lvl>
    <w:lvl w:ilvl="4" w:tplc="8602A202" w:tentative="1">
      <w:start w:val="1"/>
      <w:numFmt w:val="bullet"/>
      <w:lvlText w:val="o"/>
      <w:lvlJc w:val="left"/>
      <w:pPr>
        <w:ind w:left="3600" w:hanging="360"/>
      </w:pPr>
      <w:rPr>
        <w:rFonts w:ascii="Courier New" w:hAnsi="Courier New" w:cs="Courier New" w:hint="default"/>
      </w:rPr>
    </w:lvl>
    <w:lvl w:ilvl="5" w:tplc="99DE65B6" w:tentative="1">
      <w:start w:val="1"/>
      <w:numFmt w:val="bullet"/>
      <w:lvlText w:val=""/>
      <w:lvlJc w:val="left"/>
      <w:pPr>
        <w:ind w:left="4320" w:hanging="360"/>
      </w:pPr>
      <w:rPr>
        <w:rFonts w:ascii="Wingdings" w:hAnsi="Wingdings" w:hint="default"/>
      </w:rPr>
    </w:lvl>
    <w:lvl w:ilvl="6" w:tplc="78387958" w:tentative="1">
      <w:start w:val="1"/>
      <w:numFmt w:val="bullet"/>
      <w:lvlText w:val=""/>
      <w:lvlJc w:val="left"/>
      <w:pPr>
        <w:ind w:left="5040" w:hanging="360"/>
      </w:pPr>
      <w:rPr>
        <w:rFonts w:ascii="Symbol" w:hAnsi="Symbol" w:hint="default"/>
      </w:rPr>
    </w:lvl>
    <w:lvl w:ilvl="7" w:tplc="91C236CA" w:tentative="1">
      <w:start w:val="1"/>
      <w:numFmt w:val="bullet"/>
      <w:lvlText w:val="o"/>
      <w:lvlJc w:val="left"/>
      <w:pPr>
        <w:ind w:left="5760" w:hanging="360"/>
      </w:pPr>
      <w:rPr>
        <w:rFonts w:ascii="Courier New" w:hAnsi="Courier New" w:cs="Courier New" w:hint="default"/>
      </w:rPr>
    </w:lvl>
    <w:lvl w:ilvl="8" w:tplc="73E6D9FE"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4BF6"/>
    <w:rsid w:val="0004006D"/>
    <w:rsid w:val="00087778"/>
    <w:rsid w:val="000C29F3"/>
    <w:rsid w:val="00154624"/>
    <w:rsid w:val="00176C43"/>
    <w:rsid w:val="00182FB4"/>
    <w:rsid w:val="001A3718"/>
    <w:rsid w:val="00297936"/>
    <w:rsid w:val="00420CE0"/>
    <w:rsid w:val="00460DC0"/>
    <w:rsid w:val="00491EC5"/>
    <w:rsid w:val="004F0EF4"/>
    <w:rsid w:val="004F306A"/>
    <w:rsid w:val="00521678"/>
    <w:rsid w:val="005A277C"/>
    <w:rsid w:val="005E0AE2"/>
    <w:rsid w:val="005E10AA"/>
    <w:rsid w:val="00627589"/>
    <w:rsid w:val="00634DB7"/>
    <w:rsid w:val="00663442"/>
    <w:rsid w:val="00725092"/>
    <w:rsid w:val="00764498"/>
    <w:rsid w:val="0077301A"/>
    <w:rsid w:val="007B0F70"/>
    <w:rsid w:val="007B1BD6"/>
    <w:rsid w:val="007C07F6"/>
    <w:rsid w:val="007F4C42"/>
    <w:rsid w:val="00803AC2"/>
    <w:rsid w:val="00865778"/>
    <w:rsid w:val="008701F4"/>
    <w:rsid w:val="00882D56"/>
    <w:rsid w:val="008B6049"/>
    <w:rsid w:val="008E3750"/>
    <w:rsid w:val="0098355C"/>
    <w:rsid w:val="009C03C3"/>
    <w:rsid w:val="00A0723C"/>
    <w:rsid w:val="00B03423"/>
    <w:rsid w:val="00BB6371"/>
    <w:rsid w:val="00C15CBF"/>
    <w:rsid w:val="00C304FC"/>
    <w:rsid w:val="00C64BF6"/>
    <w:rsid w:val="00C90BD1"/>
    <w:rsid w:val="00D16F03"/>
    <w:rsid w:val="00E06CEC"/>
    <w:rsid w:val="00E2251E"/>
    <w:rsid w:val="00E71B3A"/>
    <w:rsid w:val="00E91A82"/>
    <w:rsid w:val="00F12A1D"/>
    <w:rsid w:val="00FF11E5"/>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F4C4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71B3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71B3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71B3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F4C4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F4C42"/>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7F4C42"/>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7F4C42"/>
    <w:pPr>
      <w:spacing w:before="120" w:after="320" w:line="360" w:lineRule="auto"/>
      <w:ind w:left="720"/>
      <w:contextualSpacing/>
      <w:jc w:val="both"/>
    </w:pPr>
    <w:rPr>
      <w:sz w:val="24"/>
      <w:lang w:val="en-GB"/>
    </w:rPr>
  </w:style>
  <w:style w:type="paragraph" w:styleId="TOCHeading">
    <w:name w:val="TOC Heading"/>
    <w:basedOn w:val="Heading1"/>
    <w:next w:val="Normal"/>
    <w:uiPriority w:val="39"/>
    <w:semiHidden/>
    <w:unhideWhenUsed/>
    <w:qFormat/>
    <w:rsid w:val="00B03423"/>
    <w:pPr>
      <w:outlineLvl w:val="9"/>
    </w:pPr>
  </w:style>
  <w:style w:type="paragraph" w:styleId="TOC1">
    <w:name w:val="toc 1"/>
    <w:basedOn w:val="Normal"/>
    <w:next w:val="Normal"/>
    <w:autoRedefine/>
    <w:uiPriority w:val="39"/>
    <w:unhideWhenUsed/>
    <w:rsid w:val="00B03423"/>
    <w:pPr>
      <w:spacing w:after="100"/>
    </w:pPr>
  </w:style>
  <w:style w:type="character" w:styleId="Hyperlink">
    <w:name w:val="Hyperlink"/>
    <w:basedOn w:val="DefaultParagraphFont"/>
    <w:uiPriority w:val="99"/>
    <w:unhideWhenUsed/>
    <w:rsid w:val="00B03423"/>
    <w:rPr>
      <w:color w:val="0000FF" w:themeColor="hyperlink"/>
      <w:u w:val="single"/>
    </w:rPr>
  </w:style>
  <w:style w:type="paragraph" w:styleId="BalloonText">
    <w:name w:val="Balloon Text"/>
    <w:basedOn w:val="Normal"/>
    <w:link w:val="BalloonTextChar"/>
    <w:uiPriority w:val="99"/>
    <w:semiHidden/>
    <w:unhideWhenUsed/>
    <w:rsid w:val="00B034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3423"/>
    <w:rPr>
      <w:rFonts w:ascii="Tahoma" w:hAnsi="Tahoma" w:cs="Tahoma"/>
      <w:sz w:val="16"/>
      <w:szCs w:val="16"/>
    </w:rPr>
  </w:style>
  <w:style w:type="character" w:customStyle="1" w:styleId="Heading2Char">
    <w:name w:val="Heading 2 Char"/>
    <w:basedOn w:val="DefaultParagraphFont"/>
    <w:link w:val="Heading2"/>
    <w:uiPriority w:val="9"/>
    <w:rsid w:val="00E71B3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71B3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E71B3A"/>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F4C4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71B3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71B3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71B3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F4C4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F4C42"/>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7F4C42"/>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7F4C42"/>
    <w:pPr>
      <w:spacing w:before="120" w:after="320" w:line="360" w:lineRule="auto"/>
      <w:ind w:left="720"/>
      <w:contextualSpacing/>
      <w:jc w:val="both"/>
    </w:pPr>
    <w:rPr>
      <w:sz w:val="24"/>
      <w:lang w:val="en-GB"/>
    </w:rPr>
  </w:style>
  <w:style w:type="paragraph" w:styleId="TOCHeading">
    <w:name w:val="TOC Heading"/>
    <w:basedOn w:val="Heading1"/>
    <w:next w:val="Normal"/>
    <w:uiPriority w:val="39"/>
    <w:semiHidden/>
    <w:unhideWhenUsed/>
    <w:qFormat/>
    <w:rsid w:val="00B03423"/>
    <w:pPr>
      <w:outlineLvl w:val="9"/>
    </w:pPr>
  </w:style>
  <w:style w:type="paragraph" w:styleId="TOC1">
    <w:name w:val="toc 1"/>
    <w:basedOn w:val="Normal"/>
    <w:next w:val="Normal"/>
    <w:autoRedefine/>
    <w:uiPriority w:val="39"/>
    <w:unhideWhenUsed/>
    <w:rsid w:val="00B03423"/>
    <w:pPr>
      <w:spacing w:after="100"/>
    </w:pPr>
  </w:style>
  <w:style w:type="character" w:styleId="Hyperlink">
    <w:name w:val="Hyperlink"/>
    <w:basedOn w:val="DefaultParagraphFont"/>
    <w:uiPriority w:val="99"/>
    <w:unhideWhenUsed/>
    <w:rsid w:val="00B03423"/>
    <w:rPr>
      <w:color w:val="0000FF" w:themeColor="hyperlink"/>
      <w:u w:val="single"/>
    </w:rPr>
  </w:style>
  <w:style w:type="paragraph" w:styleId="BalloonText">
    <w:name w:val="Balloon Text"/>
    <w:basedOn w:val="Normal"/>
    <w:link w:val="BalloonTextChar"/>
    <w:uiPriority w:val="99"/>
    <w:semiHidden/>
    <w:unhideWhenUsed/>
    <w:rsid w:val="00B034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3423"/>
    <w:rPr>
      <w:rFonts w:ascii="Tahoma" w:hAnsi="Tahoma" w:cs="Tahoma"/>
      <w:sz w:val="16"/>
      <w:szCs w:val="16"/>
    </w:rPr>
  </w:style>
  <w:style w:type="character" w:customStyle="1" w:styleId="Heading2Char">
    <w:name w:val="Heading 2 Char"/>
    <w:basedOn w:val="DefaultParagraphFont"/>
    <w:link w:val="Heading2"/>
    <w:uiPriority w:val="9"/>
    <w:rsid w:val="00E71B3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71B3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E71B3A"/>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A72670-6D08-42CF-B0E6-2E8B54678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10</Pages>
  <Words>2392</Words>
  <Characters>13641</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Carla</cp:lastModifiedBy>
  <cp:revision>4</cp:revision>
  <dcterms:created xsi:type="dcterms:W3CDTF">2019-12-30T18:31:00Z</dcterms:created>
  <dcterms:modified xsi:type="dcterms:W3CDTF">2020-01-01T15:33:00Z</dcterms:modified>
</cp:coreProperties>
</file>