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CAFA5"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533B4C3E"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24E8D7BE"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13A9591C"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62CC4CC7"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52AA64AE"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6DE540BF"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0EF1E1EA"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707491AA"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430527C9"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37D41BC4" w14:textId="77777777" w:rsidR="00C34FAC" w:rsidRPr="00AF119B" w:rsidRDefault="00C34FAC" w:rsidP="00252D61">
      <w:pPr>
        <w:spacing w:line="360" w:lineRule="auto"/>
        <w:jc w:val="center"/>
        <w:rPr>
          <w:rFonts w:ascii="Times New Roman" w:hAnsi="Times New Roman" w:cs="Times New Roman"/>
          <w:b/>
          <w:bCs/>
          <w:color w:val="000000" w:themeColor="text1"/>
          <w:sz w:val="32"/>
          <w:szCs w:val="32"/>
          <w:shd w:val="clear" w:color="auto" w:fill="FFFFFF"/>
        </w:rPr>
      </w:pPr>
    </w:p>
    <w:p w14:paraId="5F3A0E8F" w14:textId="77777777" w:rsidR="00DD2C55" w:rsidRPr="00AF119B" w:rsidRDefault="00DD2C55" w:rsidP="00252D61">
      <w:pPr>
        <w:spacing w:line="360" w:lineRule="auto"/>
        <w:jc w:val="center"/>
        <w:rPr>
          <w:rFonts w:ascii="Times New Roman" w:eastAsia="Times New Roman" w:hAnsi="Times New Roman" w:cs="Times New Roman"/>
          <w:b/>
          <w:bCs/>
          <w:color w:val="000000" w:themeColor="text1"/>
          <w:sz w:val="32"/>
          <w:szCs w:val="32"/>
        </w:rPr>
      </w:pPr>
      <w:r w:rsidRPr="00AF119B">
        <w:rPr>
          <w:rFonts w:ascii="Times New Roman" w:hAnsi="Times New Roman" w:cs="Times New Roman"/>
          <w:b/>
          <w:bCs/>
          <w:color w:val="000000" w:themeColor="text1"/>
          <w:sz w:val="32"/>
          <w:szCs w:val="32"/>
          <w:shd w:val="clear" w:color="auto" w:fill="FFFFFF"/>
        </w:rPr>
        <w:t>ACCOUNTING FUNDAMENTALS</w:t>
      </w:r>
      <w:r w:rsidRPr="00AF119B">
        <w:rPr>
          <w:rFonts w:ascii="Times New Roman" w:eastAsia="Times New Roman" w:hAnsi="Times New Roman" w:cs="Times New Roman"/>
          <w:b/>
          <w:bCs/>
          <w:color w:val="000000" w:themeColor="text1"/>
          <w:sz w:val="32"/>
          <w:szCs w:val="32"/>
        </w:rPr>
        <w:br w:type="page"/>
      </w:r>
    </w:p>
    <w:p w14:paraId="514D746A" w14:textId="77777777" w:rsidR="00B15B06" w:rsidRPr="00AF119B" w:rsidRDefault="0089563E"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lastRenderedPageBreak/>
        <w:t>Table of Contents</w:t>
      </w:r>
    </w:p>
    <w:sdt>
      <w:sdtPr>
        <w:rPr>
          <w:rFonts w:ascii="Arial" w:eastAsia="Arial" w:hAnsi="Arial" w:cs="Arial"/>
          <w:color w:val="000000" w:themeColor="text1"/>
          <w:sz w:val="22"/>
          <w:szCs w:val="22"/>
        </w:rPr>
        <w:id w:val="-421268137"/>
        <w:docPartObj>
          <w:docPartGallery w:val="Table of Contents"/>
          <w:docPartUnique/>
        </w:docPartObj>
      </w:sdtPr>
      <w:sdtEndPr>
        <w:rPr>
          <w:rFonts w:ascii="Times New Roman" w:hAnsi="Times New Roman" w:cs="Times New Roman"/>
          <w:b/>
          <w:bCs/>
          <w:noProof/>
          <w:sz w:val="24"/>
          <w:szCs w:val="24"/>
        </w:rPr>
      </w:sdtEndPr>
      <w:sdtContent>
        <w:p w14:paraId="2377F900" w14:textId="77777777" w:rsidR="00274B73" w:rsidRPr="00AF119B" w:rsidRDefault="00274B73" w:rsidP="00252D61">
          <w:pPr>
            <w:pStyle w:val="TOCHeading"/>
            <w:spacing w:line="360" w:lineRule="auto"/>
            <w:rPr>
              <w:rFonts w:ascii="Times New Roman" w:hAnsi="Times New Roman" w:cs="Times New Roman"/>
              <w:color w:val="000000" w:themeColor="text1"/>
              <w:sz w:val="24"/>
              <w:szCs w:val="24"/>
            </w:rPr>
          </w:pPr>
        </w:p>
        <w:p w14:paraId="4C983D75" w14:textId="77777777" w:rsidR="00F81545" w:rsidRPr="00F81545" w:rsidRDefault="009847E8" w:rsidP="00252D61">
          <w:pPr>
            <w:pStyle w:val="TOC1"/>
            <w:tabs>
              <w:tab w:val="right" w:leader="dot" w:pos="9350"/>
            </w:tabs>
            <w:spacing w:line="360" w:lineRule="auto"/>
            <w:jc w:val="both"/>
            <w:rPr>
              <w:rFonts w:ascii="Times New Roman" w:eastAsiaTheme="minorEastAsia" w:hAnsi="Times New Roman" w:cs="Times New Roman"/>
              <w:noProof/>
              <w:sz w:val="24"/>
              <w:szCs w:val="24"/>
            </w:rPr>
          </w:pPr>
          <w:r w:rsidRPr="00AF119B">
            <w:rPr>
              <w:rFonts w:ascii="Times New Roman" w:hAnsi="Times New Roman" w:cs="Times New Roman"/>
              <w:color w:val="000000" w:themeColor="text1"/>
              <w:sz w:val="24"/>
              <w:szCs w:val="24"/>
            </w:rPr>
            <w:fldChar w:fldCharType="begin"/>
          </w:r>
          <w:r w:rsidR="00274B73" w:rsidRPr="00AF119B">
            <w:rPr>
              <w:rFonts w:ascii="Times New Roman" w:hAnsi="Times New Roman" w:cs="Times New Roman"/>
              <w:color w:val="000000" w:themeColor="text1"/>
              <w:sz w:val="24"/>
              <w:szCs w:val="24"/>
            </w:rPr>
            <w:instrText xml:space="preserve"> TOC \o "1-3" \h \z \u </w:instrText>
          </w:r>
          <w:r w:rsidRPr="00AF119B">
            <w:rPr>
              <w:rFonts w:ascii="Times New Roman" w:hAnsi="Times New Roman" w:cs="Times New Roman"/>
              <w:color w:val="000000" w:themeColor="text1"/>
              <w:sz w:val="24"/>
              <w:szCs w:val="24"/>
            </w:rPr>
            <w:fldChar w:fldCharType="separate"/>
          </w:r>
          <w:hyperlink w:anchor="_Toc79233994" w:history="1">
            <w:r w:rsidR="00F81545" w:rsidRPr="00F81545">
              <w:rPr>
                <w:rStyle w:val="Hyperlink"/>
                <w:rFonts w:ascii="Times New Roman" w:hAnsi="Times New Roman" w:cs="Times New Roman"/>
                <w:noProof/>
                <w:sz w:val="24"/>
                <w:szCs w:val="24"/>
              </w:rPr>
              <w:t>Introduction</w:t>
            </w:r>
            <w:r w:rsidR="00F81545" w:rsidRPr="00F81545">
              <w:rPr>
                <w:rFonts w:ascii="Times New Roman" w:hAnsi="Times New Roman" w:cs="Times New Roman"/>
                <w:noProof/>
                <w:webHidden/>
                <w:sz w:val="24"/>
                <w:szCs w:val="24"/>
              </w:rPr>
              <w:tab/>
            </w:r>
            <w:r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_Toc79233994 \h </w:instrText>
            </w:r>
            <w:r w:rsidRPr="00F81545">
              <w:rPr>
                <w:rFonts w:ascii="Times New Roman" w:hAnsi="Times New Roman" w:cs="Times New Roman"/>
                <w:noProof/>
                <w:webHidden/>
                <w:sz w:val="24"/>
                <w:szCs w:val="24"/>
              </w:rPr>
            </w:r>
            <w:r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3</w:t>
            </w:r>
            <w:r w:rsidRPr="00F81545">
              <w:rPr>
                <w:rFonts w:ascii="Times New Roman" w:hAnsi="Times New Roman" w:cs="Times New Roman"/>
                <w:noProof/>
                <w:webHidden/>
                <w:sz w:val="24"/>
                <w:szCs w:val="24"/>
              </w:rPr>
              <w:fldChar w:fldCharType="end"/>
            </w:r>
          </w:hyperlink>
        </w:p>
        <w:p w14:paraId="077A7DC9" w14:textId="77777777" w:rsidR="00F81545" w:rsidRPr="00F81545" w:rsidRDefault="00B80401" w:rsidP="00252D6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9233995" w:history="1">
            <w:r w:rsidR="00F81545" w:rsidRPr="00F81545">
              <w:rPr>
                <w:rStyle w:val="Hyperlink"/>
                <w:rFonts w:ascii="Times New Roman" w:hAnsi="Times New Roman" w:cs="Times New Roman"/>
                <w:noProof/>
                <w:sz w:val="24"/>
                <w:szCs w:val="24"/>
              </w:rPr>
              <w:t>Question 1. Analyzing the preparation of the financial statement</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_Toc79233995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3</w:t>
            </w:r>
            <w:r w:rsidR="009847E8" w:rsidRPr="00F81545">
              <w:rPr>
                <w:rFonts w:ascii="Times New Roman" w:hAnsi="Times New Roman" w:cs="Times New Roman"/>
                <w:noProof/>
                <w:webHidden/>
                <w:sz w:val="24"/>
                <w:szCs w:val="24"/>
              </w:rPr>
              <w:fldChar w:fldCharType="end"/>
            </w:r>
          </w:hyperlink>
        </w:p>
        <w:p w14:paraId="0138380D" w14:textId="77777777" w:rsidR="00F81545" w:rsidRPr="00F81545" w:rsidRDefault="00B80401" w:rsidP="00252D6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9233996" w:history="1">
            <w:r w:rsidR="00F81545" w:rsidRPr="00F81545">
              <w:rPr>
                <w:rStyle w:val="Hyperlink"/>
                <w:rFonts w:ascii="Times New Roman" w:hAnsi="Times New Roman" w:cs="Times New Roman"/>
                <w:noProof/>
                <w:sz w:val="24"/>
                <w:szCs w:val="24"/>
              </w:rPr>
              <w:t>a) Preparation of profit and loss statement and statement of financial position:</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_Toc79233996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3</w:t>
            </w:r>
            <w:r w:rsidR="009847E8" w:rsidRPr="00F81545">
              <w:rPr>
                <w:rFonts w:ascii="Times New Roman" w:hAnsi="Times New Roman" w:cs="Times New Roman"/>
                <w:noProof/>
                <w:webHidden/>
                <w:sz w:val="24"/>
                <w:szCs w:val="24"/>
              </w:rPr>
              <w:fldChar w:fldCharType="end"/>
            </w:r>
          </w:hyperlink>
        </w:p>
        <w:p w14:paraId="64CB0EC1" w14:textId="77777777" w:rsidR="00F81545" w:rsidRPr="00F81545" w:rsidRDefault="00B80401" w:rsidP="00252D6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9233997" w:history="1">
            <w:r w:rsidR="00F81545" w:rsidRPr="00F81545">
              <w:rPr>
                <w:rStyle w:val="Hyperlink"/>
                <w:rFonts w:ascii="Times New Roman" w:hAnsi="Times New Roman" w:cs="Times New Roman"/>
                <w:noProof/>
                <w:sz w:val="24"/>
                <w:szCs w:val="24"/>
              </w:rPr>
              <w:t>b) The reason for balancing statement of financial position:</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_Toc79233997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6</w:t>
            </w:r>
            <w:r w:rsidR="009847E8" w:rsidRPr="00F81545">
              <w:rPr>
                <w:rFonts w:ascii="Times New Roman" w:hAnsi="Times New Roman" w:cs="Times New Roman"/>
                <w:noProof/>
                <w:webHidden/>
                <w:sz w:val="24"/>
                <w:szCs w:val="24"/>
              </w:rPr>
              <w:fldChar w:fldCharType="end"/>
            </w:r>
          </w:hyperlink>
        </w:p>
        <w:p w14:paraId="5D01FF9E" w14:textId="77777777" w:rsidR="00F81545" w:rsidRPr="00F81545" w:rsidRDefault="00B80401" w:rsidP="00252D6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9233998" w:history="1">
            <w:r w:rsidR="00F81545" w:rsidRPr="00F81545">
              <w:rPr>
                <w:rStyle w:val="Hyperlink"/>
                <w:rFonts w:ascii="Times New Roman" w:hAnsi="Times New Roman" w:cs="Times New Roman"/>
                <w:noProof/>
                <w:sz w:val="24"/>
                <w:szCs w:val="24"/>
              </w:rPr>
              <w:t>Question 2: Ratio analysis</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_Toc79233998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6</w:t>
            </w:r>
            <w:r w:rsidR="009847E8" w:rsidRPr="00F81545">
              <w:rPr>
                <w:rFonts w:ascii="Times New Roman" w:hAnsi="Times New Roman" w:cs="Times New Roman"/>
                <w:noProof/>
                <w:webHidden/>
                <w:sz w:val="24"/>
                <w:szCs w:val="24"/>
              </w:rPr>
              <w:fldChar w:fldCharType="end"/>
            </w:r>
          </w:hyperlink>
        </w:p>
        <w:p w14:paraId="30B83F38" w14:textId="77777777" w:rsidR="00F81545" w:rsidRPr="00F81545" w:rsidRDefault="00B80401" w:rsidP="00252D6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9233999" w:history="1">
            <w:r w:rsidR="00F81545" w:rsidRPr="00F81545">
              <w:rPr>
                <w:rStyle w:val="Hyperlink"/>
                <w:rFonts w:ascii="Times New Roman" w:hAnsi="Times New Roman" w:cs="Times New Roman"/>
                <w:noProof/>
                <w:sz w:val="24"/>
                <w:szCs w:val="24"/>
              </w:rPr>
              <w:t>a. Computation of ratio for 2019 and 2020</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_Toc79233999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6</w:t>
            </w:r>
            <w:r w:rsidR="009847E8" w:rsidRPr="00F81545">
              <w:rPr>
                <w:rFonts w:ascii="Times New Roman" w:hAnsi="Times New Roman" w:cs="Times New Roman"/>
                <w:noProof/>
                <w:webHidden/>
                <w:sz w:val="24"/>
                <w:szCs w:val="24"/>
              </w:rPr>
              <w:fldChar w:fldCharType="end"/>
            </w:r>
          </w:hyperlink>
        </w:p>
        <w:p w14:paraId="275E139F" w14:textId="77777777" w:rsidR="00F81545" w:rsidRPr="00F81545" w:rsidRDefault="00B80401" w:rsidP="00252D6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9234000" w:history="1">
            <w:r w:rsidR="00F81545" w:rsidRPr="00F81545">
              <w:rPr>
                <w:rStyle w:val="Hyperlink"/>
                <w:rFonts w:ascii="Times New Roman" w:hAnsi="Times New Roman" w:cs="Times New Roman"/>
                <w:noProof/>
                <w:sz w:val="24"/>
                <w:szCs w:val="24"/>
              </w:rPr>
              <w:t>B. Estimation of performance using the ratio</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_Toc79234000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11</w:t>
            </w:r>
            <w:r w:rsidR="009847E8" w:rsidRPr="00F81545">
              <w:rPr>
                <w:rFonts w:ascii="Times New Roman" w:hAnsi="Times New Roman" w:cs="Times New Roman"/>
                <w:noProof/>
                <w:webHidden/>
                <w:sz w:val="24"/>
                <w:szCs w:val="24"/>
              </w:rPr>
              <w:fldChar w:fldCharType="end"/>
            </w:r>
          </w:hyperlink>
        </w:p>
        <w:p w14:paraId="5F239127" w14:textId="77777777" w:rsidR="00F81545" w:rsidRPr="00F81545" w:rsidRDefault="00B80401" w:rsidP="00252D6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9234001" w:history="1">
            <w:r w:rsidR="00F81545" w:rsidRPr="00F81545">
              <w:rPr>
                <w:rStyle w:val="Hyperlink"/>
                <w:rFonts w:ascii="Times New Roman" w:hAnsi="Times New Roman" w:cs="Times New Roman"/>
                <w:noProof/>
                <w:sz w:val="24"/>
                <w:szCs w:val="24"/>
              </w:rPr>
              <w:t>Conclusion</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_Toc79234001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12</w:t>
            </w:r>
            <w:r w:rsidR="009847E8" w:rsidRPr="00F81545">
              <w:rPr>
                <w:rFonts w:ascii="Times New Roman" w:hAnsi="Times New Roman" w:cs="Times New Roman"/>
                <w:noProof/>
                <w:webHidden/>
                <w:sz w:val="24"/>
                <w:szCs w:val="24"/>
              </w:rPr>
              <w:fldChar w:fldCharType="end"/>
            </w:r>
          </w:hyperlink>
        </w:p>
        <w:p w14:paraId="72846F90" w14:textId="77777777" w:rsidR="00F81545" w:rsidRPr="00F81545" w:rsidRDefault="00B80401" w:rsidP="00252D6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9234002" w:history="1">
            <w:r w:rsidR="00F81545" w:rsidRPr="00F81545">
              <w:rPr>
                <w:rStyle w:val="Hyperlink"/>
                <w:rFonts w:ascii="Times New Roman" w:hAnsi="Times New Roman" w:cs="Times New Roman"/>
                <w:noProof/>
                <w:sz w:val="24"/>
                <w:szCs w:val="24"/>
              </w:rPr>
              <w:t>References</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_Toc79234002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13</w:t>
            </w:r>
            <w:r w:rsidR="009847E8" w:rsidRPr="00F81545">
              <w:rPr>
                <w:rFonts w:ascii="Times New Roman" w:hAnsi="Times New Roman" w:cs="Times New Roman"/>
                <w:noProof/>
                <w:webHidden/>
                <w:sz w:val="24"/>
                <w:szCs w:val="24"/>
              </w:rPr>
              <w:fldChar w:fldCharType="end"/>
            </w:r>
          </w:hyperlink>
        </w:p>
        <w:p w14:paraId="5DB8E4D1" w14:textId="77777777" w:rsidR="00F81545" w:rsidRDefault="00B80401" w:rsidP="00252D61">
          <w:pPr>
            <w:pStyle w:val="TOC1"/>
            <w:tabs>
              <w:tab w:val="right" w:leader="dot" w:pos="9350"/>
            </w:tabs>
            <w:spacing w:line="360" w:lineRule="auto"/>
            <w:jc w:val="both"/>
            <w:rPr>
              <w:rFonts w:asciiTheme="minorHAnsi" w:eastAsiaTheme="minorEastAsia" w:hAnsiTheme="minorHAnsi" w:cstheme="minorBidi"/>
              <w:noProof/>
            </w:rPr>
          </w:pPr>
          <w:hyperlink w:anchor="_Toc79234003" w:history="1">
            <w:r w:rsidR="00F81545" w:rsidRPr="00F81545">
              <w:rPr>
                <w:rStyle w:val="Hyperlink"/>
                <w:rFonts w:ascii="Times New Roman" w:hAnsi="Times New Roman" w:cs="Times New Roman"/>
                <w:noProof/>
                <w:sz w:val="24"/>
                <w:szCs w:val="24"/>
              </w:rPr>
              <w:t>Bibliography</w:t>
            </w:r>
            <w:r w:rsidR="00F81545" w:rsidRPr="00F81545">
              <w:rPr>
                <w:rFonts w:ascii="Times New Roman" w:hAnsi="Times New Roman" w:cs="Times New Roman"/>
                <w:noProof/>
                <w:webHidden/>
                <w:sz w:val="24"/>
                <w:szCs w:val="24"/>
              </w:rPr>
              <w:tab/>
            </w:r>
            <w:r w:rsidR="009847E8" w:rsidRPr="00F81545">
              <w:rPr>
                <w:rFonts w:ascii="Times New Roman" w:hAnsi="Times New Roman" w:cs="Times New Roman"/>
                <w:noProof/>
                <w:webHidden/>
                <w:sz w:val="24"/>
                <w:szCs w:val="24"/>
              </w:rPr>
              <w:fldChar w:fldCharType="begin"/>
            </w:r>
            <w:r w:rsidR="00F81545" w:rsidRPr="00F81545">
              <w:rPr>
                <w:rFonts w:ascii="Times New Roman" w:hAnsi="Times New Roman" w:cs="Times New Roman"/>
                <w:noProof/>
                <w:webHidden/>
                <w:sz w:val="24"/>
                <w:szCs w:val="24"/>
              </w:rPr>
              <w:instrText xml:space="preserve"> PAGEREF _Toc79234003 \h </w:instrText>
            </w:r>
            <w:r w:rsidR="009847E8" w:rsidRPr="00F81545">
              <w:rPr>
                <w:rFonts w:ascii="Times New Roman" w:hAnsi="Times New Roman" w:cs="Times New Roman"/>
                <w:noProof/>
                <w:webHidden/>
                <w:sz w:val="24"/>
                <w:szCs w:val="24"/>
              </w:rPr>
            </w:r>
            <w:r w:rsidR="009847E8" w:rsidRPr="00F81545">
              <w:rPr>
                <w:rFonts w:ascii="Times New Roman" w:hAnsi="Times New Roman" w:cs="Times New Roman"/>
                <w:noProof/>
                <w:webHidden/>
                <w:sz w:val="24"/>
                <w:szCs w:val="24"/>
              </w:rPr>
              <w:fldChar w:fldCharType="separate"/>
            </w:r>
            <w:r w:rsidR="00F81545" w:rsidRPr="00F81545">
              <w:rPr>
                <w:rFonts w:ascii="Times New Roman" w:hAnsi="Times New Roman" w:cs="Times New Roman"/>
                <w:noProof/>
                <w:webHidden/>
                <w:sz w:val="24"/>
                <w:szCs w:val="24"/>
              </w:rPr>
              <w:t>15</w:t>
            </w:r>
            <w:r w:rsidR="009847E8" w:rsidRPr="00F81545">
              <w:rPr>
                <w:rFonts w:ascii="Times New Roman" w:hAnsi="Times New Roman" w:cs="Times New Roman"/>
                <w:noProof/>
                <w:webHidden/>
                <w:sz w:val="24"/>
                <w:szCs w:val="24"/>
              </w:rPr>
              <w:fldChar w:fldCharType="end"/>
            </w:r>
          </w:hyperlink>
        </w:p>
        <w:p w14:paraId="192F095C" w14:textId="77777777" w:rsidR="00274B73" w:rsidRPr="00AF119B" w:rsidRDefault="009847E8" w:rsidP="00252D61">
          <w:pPr>
            <w:spacing w:line="360" w:lineRule="auto"/>
            <w:jc w:val="both"/>
            <w:rPr>
              <w:rFonts w:ascii="Times New Roman" w:hAnsi="Times New Roman" w:cs="Times New Roman"/>
              <w:color w:val="000000" w:themeColor="text1"/>
              <w:sz w:val="24"/>
              <w:szCs w:val="24"/>
            </w:rPr>
          </w:pPr>
          <w:r w:rsidRPr="00AF119B">
            <w:rPr>
              <w:rFonts w:ascii="Times New Roman" w:hAnsi="Times New Roman" w:cs="Times New Roman"/>
              <w:b/>
              <w:bCs/>
              <w:noProof/>
              <w:color w:val="000000" w:themeColor="text1"/>
              <w:sz w:val="24"/>
              <w:szCs w:val="24"/>
            </w:rPr>
            <w:fldChar w:fldCharType="end"/>
          </w:r>
        </w:p>
      </w:sdtContent>
    </w:sdt>
    <w:p w14:paraId="3C86C352" w14:textId="77777777" w:rsidR="00DD2C55" w:rsidRPr="00AF119B" w:rsidRDefault="00DD2C55" w:rsidP="00252D61">
      <w:pPr>
        <w:spacing w:line="360" w:lineRule="auto"/>
        <w:jc w:val="both"/>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br w:type="page"/>
      </w:r>
    </w:p>
    <w:p w14:paraId="190003C6" w14:textId="77777777" w:rsidR="001A7F8D" w:rsidRPr="00AF119B" w:rsidRDefault="00697751" w:rsidP="00252D61">
      <w:pPr>
        <w:pStyle w:val="Heading1"/>
      </w:pPr>
      <w:bookmarkStart w:id="0" w:name="_Toc79233994"/>
      <w:r w:rsidRPr="00AF119B">
        <w:lastRenderedPageBreak/>
        <w:t>Introduction</w:t>
      </w:r>
      <w:bookmarkEnd w:id="0"/>
    </w:p>
    <w:p w14:paraId="309D7462"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Financing and accounting are considered to play a significant role in any organizational management process. In order to track the overall income as well as expenditure, accounting is very important. The fundamentals of accounting include an important systematic way with the help of which keep the record of daily transactions in the business can be analyzed. In this assignment profit and loss statement and statement of financial position also are to be discussed. From the year 2019 to 2020, the ratio analysis has been computed also. </w:t>
      </w:r>
    </w:p>
    <w:p w14:paraId="2386A8F2" w14:textId="77777777" w:rsidR="001A7F8D" w:rsidRPr="00AF119B" w:rsidRDefault="00636806" w:rsidP="00252D61">
      <w:pPr>
        <w:pStyle w:val="Heading1"/>
      </w:pPr>
      <w:bookmarkStart w:id="1" w:name="_Toc79233995"/>
      <w:r>
        <w:t xml:space="preserve">Question </w:t>
      </w:r>
      <w:proofErr w:type="gramStart"/>
      <w:r>
        <w:t xml:space="preserve">1 </w:t>
      </w:r>
      <w:r w:rsidR="00697751" w:rsidRPr="00AF119B">
        <w:t xml:space="preserve"> Analyzing</w:t>
      </w:r>
      <w:proofErr w:type="gramEnd"/>
      <w:r w:rsidR="00697751" w:rsidRPr="00AF119B">
        <w:t xml:space="preserve"> the preparation of the financial statement</w:t>
      </w:r>
      <w:bookmarkEnd w:id="1"/>
    </w:p>
    <w:p w14:paraId="000C217D" w14:textId="77777777" w:rsidR="001A7F8D" w:rsidRPr="00AF119B" w:rsidRDefault="00697751" w:rsidP="00252D61">
      <w:pPr>
        <w:pStyle w:val="Heading2"/>
      </w:pPr>
      <w:bookmarkStart w:id="2" w:name="_Toc79233996"/>
      <w:r w:rsidRPr="00AF119B">
        <w:t>a) Preparation of profit and loss statement and statement of financial position:</w:t>
      </w:r>
      <w:bookmarkEnd w:id="2"/>
    </w:p>
    <w:p w14:paraId="6C6D5628" w14:textId="77777777" w:rsidR="001A7F8D" w:rsidRPr="00AF119B" w:rsidRDefault="00697751" w:rsidP="00252D61">
      <w:pPr>
        <w:spacing w:line="360" w:lineRule="auto"/>
        <w:jc w:val="both"/>
        <w:rPr>
          <w:rFonts w:ascii="Times New Roman" w:eastAsia="Times New Roman" w:hAnsi="Times New Roman" w:cs="Times New Roman"/>
          <w:b/>
          <w:i/>
          <w:color w:val="000000" w:themeColor="text1"/>
          <w:sz w:val="24"/>
          <w:szCs w:val="24"/>
        </w:rPr>
      </w:pPr>
      <w:r w:rsidRPr="00AF119B">
        <w:rPr>
          <w:rFonts w:ascii="Times New Roman" w:eastAsia="Times New Roman" w:hAnsi="Times New Roman" w:cs="Times New Roman"/>
          <w:b/>
          <w:i/>
          <w:color w:val="000000" w:themeColor="text1"/>
          <w:sz w:val="24"/>
          <w:szCs w:val="24"/>
        </w:rPr>
        <w:t>Profit loss statement</w:t>
      </w:r>
    </w:p>
    <w:p w14:paraId="398F1AA5"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profit and loss </w:t>
      </w:r>
      <w:r w:rsidR="00803FE4" w:rsidRPr="00AF119B">
        <w:rPr>
          <w:rFonts w:ascii="Times New Roman" w:eastAsia="Times New Roman" w:hAnsi="Times New Roman" w:cs="Times New Roman"/>
          <w:color w:val="000000" w:themeColor="text1"/>
          <w:sz w:val="24"/>
          <w:szCs w:val="24"/>
        </w:rPr>
        <w:t xml:space="preserve">statement </w:t>
      </w:r>
      <w:proofErr w:type="gramStart"/>
      <w:r w:rsidR="00803FE4" w:rsidRPr="00AF119B">
        <w:rPr>
          <w:rFonts w:ascii="Times New Roman" w:eastAsia="Times New Roman" w:hAnsi="Times New Roman" w:cs="Times New Roman"/>
          <w:color w:val="000000" w:themeColor="text1"/>
          <w:sz w:val="24"/>
          <w:szCs w:val="24"/>
        </w:rPr>
        <w:t>is</w:t>
      </w:r>
      <w:proofErr w:type="gramEnd"/>
      <w:r w:rsidRPr="00AF119B">
        <w:rPr>
          <w:rFonts w:ascii="Times New Roman" w:eastAsia="Times New Roman" w:hAnsi="Times New Roman" w:cs="Times New Roman"/>
          <w:color w:val="000000" w:themeColor="text1"/>
          <w:sz w:val="24"/>
          <w:szCs w:val="24"/>
        </w:rPr>
        <w:t xml:space="preserve"> considered to be an integral part of a financial statement. In order to analyze and summarize the revenues, costs, and most importantly expenses this statement is regarded as significant. Another term that can be used to explain profit and loss statements is income statements. In terms of generating profit with the help of reducing costs or increasing revenue, the ability of an organization can be evaluated. The financial performance of an organization can be explained and analyzed with a deep look into the profit and loss statement. </w:t>
      </w:r>
    </w:p>
    <w:p w14:paraId="41FDF299" w14:textId="77777777" w:rsidR="001A7F8D" w:rsidRPr="00AF119B" w:rsidRDefault="00697751"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76C2A075" wp14:editId="2392AC88">
            <wp:extent cx="5943600" cy="3200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200400"/>
                    </a:xfrm>
                    <a:prstGeom prst="rect">
                      <a:avLst/>
                    </a:prstGeom>
                  </pic:spPr>
                </pic:pic>
              </a:graphicData>
            </a:graphic>
          </wp:inline>
        </w:drawing>
      </w:r>
    </w:p>
    <w:p w14:paraId="4650BC6F" w14:textId="77777777" w:rsidR="001A7F8D" w:rsidRPr="00AF119B" w:rsidRDefault="00697751"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lastRenderedPageBreak/>
        <w:t>Figure 1: Profit loss statement</w:t>
      </w:r>
    </w:p>
    <w:p w14:paraId="2259DAE6" w14:textId="77777777" w:rsidR="001A7F8D" w:rsidRPr="00AF119B" w:rsidRDefault="00697751"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6C2F6499"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As per the above graph, the income statement of </w:t>
      </w:r>
      <w:proofErr w:type="spellStart"/>
      <w:r w:rsidRPr="00AF119B">
        <w:rPr>
          <w:rFonts w:ascii="Times New Roman" w:eastAsia="Times New Roman" w:hAnsi="Times New Roman" w:cs="Times New Roman"/>
          <w:color w:val="000000" w:themeColor="text1"/>
          <w:sz w:val="24"/>
          <w:szCs w:val="24"/>
        </w:rPr>
        <w:t>Kadison</w:t>
      </w:r>
      <w:proofErr w:type="spellEnd"/>
      <w:r w:rsidRPr="00AF119B">
        <w:rPr>
          <w:rFonts w:ascii="Times New Roman" w:eastAsia="Times New Roman" w:hAnsi="Times New Roman" w:cs="Times New Roman"/>
          <w:color w:val="000000" w:themeColor="text1"/>
          <w:sz w:val="24"/>
          <w:szCs w:val="24"/>
        </w:rPr>
        <w:t xml:space="preserve"> Plc can be analyzed. The income statement or it can be said as a profit and loss statement has been prepared for 31st December 2020. In order to identify the profit of this business in this year this calculation is done. Before proceeding with the income statement three different types of expenses can be mentioned. Rather than this, different expenses can also be mentioned in this relation. Expenses like distribution cost, taxation, administrative expenses, and finance costs also have been evaluated for this calculation of income statement </w:t>
      </w:r>
      <w:r w:rsidRPr="00AF119B">
        <w:rPr>
          <w:rFonts w:ascii="Times New Roman" w:eastAsia="Times New Roman" w:hAnsi="Times New Roman" w:cs="Times New Roman"/>
          <w:color w:val="000000" w:themeColor="text1"/>
          <w:sz w:val="24"/>
          <w:szCs w:val="24"/>
          <w:highlight w:val="white"/>
        </w:rPr>
        <w:t>(</w:t>
      </w:r>
      <w:proofErr w:type="spellStart"/>
      <w:r w:rsidRPr="00AF119B">
        <w:rPr>
          <w:rFonts w:ascii="Times New Roman" w:eastAsia="Times New Roman" w:hAnsi="Times New Roman" w:cs="Times New Roman"/>
          <w:color w:val="000000" w:themeColor="text1"/>
          <w:sz w:val="24"/>
          <w:szCs w:val="24"/>
          <w:highlight w:val="white"/>
        </w:rPr>
        <w:t>Būmane</w:t>
      </w:r>
      <w:proofErr w:type="spellEnd"/>
      <w:r w:rsidRPr="00AF119B">
        <w:rPr>
          <w:rFonts w:ascii="Times New Roman" w:eastAsia="Times New Roman" w:hAnsi="Times New Roman" w:cs="Times New Roman"/>
          <w:color w:val="000000" w:themeColor="text1"/>
          <w:sz w:val="24"/>
          <w:szCs w:val="24"/>
          <w:highlight w:val="white"/>
        </w:rPr>
        <w:t>, 2018, p. 78)</w:t>
      </w:r>
      <w:r w:rsidRPr="00AF119B">
        <w:rPr>
          <w:rFonts w:ascii="Times New Roman" w:eastAsia="Times New Roman" w:hAnsi="Times New Roman" w:cs="Times New Roman"/>
          <w:color w:val="000000" w:themeColor="text1"/>
          <w:sz w:val="24"/>
          <w:szCs w:val="24"/>
        </w:rPr>
        <w:t xml:space="preserve">. The organizational business of </w:t>
      </w:r>
      <w:proofErr w:type="spellStart"/>
      <w:r w:rsidRPr="00AF119B">
        <w:rPr>
          <w:rFonts w:ascii="Times New Roman" w:eastAsia="Times New Roman" w:hAnsi="Times New Roman" w:cs="Times New Roman"/>
          <w:color w:val="000000" w:themeColor="text1"/>
          <w:sz w:val="24"/>
          <w:szCs w:val="24"/>
        </w:rPr>
        <w:t>Kadison</w:t>
      </w:r>
      <w:proofErr w:type="spellEnd"/>
      <w:r w:rsidRPr="00AF119B">
        <w:rPr>
          <w:rFonts w:ascii="Times New Roman" w:eastAsia="Times New Roman" w:hAnsi="Times New Roman" w:cs="Times New Roman"/>
          <w:color w:val="000000" w:themeColor="text1"/>
          <w:sz w:val="24"/>
          <w:szCs w:val="24"/>
        </w:rPr>
        <w:t xml:space="preserve"> Plc is seen to have a relevant revenue balance of worth £826650. This revenue was earned in this respective year. Certain cost of sales has also been made which is evaluated as £578650.</w:t>
      </w:r>
    </w:p>
    <w:p w14:paraId="71332083"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In order to calculate gross profit, deduction of the value of sales costs from the revenue has been done. As the result of gross profit, £248000 can be noticed. Different other costs can be noticed in this calculation. These costs have been deducted from the gross profit at the very end of this year. Distribution costs have been calculated as £28000. In terms of administrative expenses, £30000 has been seen to deduct in this financial statement. In the year 2020, no other incomes have been identified. The calculation of operating income is deducted from gross profit results in £19000.</w:t>
      </w:r>
    </w:p>
    <w:p w14:paraId="51734730"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This organization is seen to have no such income from investment this year. In addition, the interest cost, which is also known as finance cost, has been deducted from operational profit this year </w:t>
      </w:r>
      <w:r w:rsidRPr="00AF119B">
        <w:rPr>
          <w:rFonts w:ascii="Times New Roman" w:eastAsia="Times New Roman" w:hAnsi="Times New Roman" w:cs="Times New Roman"/>
          <w:color w:val="000000" w:themeColor="text1"/>
          <w:sz w:val="24"/>
          <w:szCs w:val="24"/>
          <w:highlight w:val="white"/>
        </w:rPr>
        <w:t>(</w:t>
      </w:r>
      <w:proofErr w:type="spellStart"/>
      <w:r w:rsidRPr="00AF119B">
        <w:rPr>
          <w:rFonts w:ascii="Times New Roman" w:eastAsia="Times New Roman" w:hAnsi="Times New Roman" w:cs="Times New Roman"/>
          <w:color w:val="000000" w:themeColor="text1"/>
          <w:sz w:val="24"/>
          <w:szCs w:val="24"/>
          <w:highlight w:val="white"/>
        </w:rPr>
        <w:t>Pantazia</w:t>
      </w:r>
      <w:proofErr w:type="spellEnd"/>
      <w:r w:rsidRPr="00AF119B">
        <w:rPr>
          <w:rFonts w:ascii="Times New Roman" w:eastAsia="Times New Roman" w:hAnsi="Times New Roman" w:cs="Times New Roman"/>
          <w:color w:val="000000" w:themeColor="text1"/>
          <w:sz w:val="24"/>
          <w:szCs w:val="24"/>
          <w:highlight w:val="white"/>
        </w:rPr>
        <w:t>, 2021, p. 208)</w:t>
      </w:r>
      <w:r w:rsidRPr="00AF119B">
        <w:rPr>
          <w:rFonts w:ascii="Times New Roman" w:eastAsia="Times New Roman" w:hAnsi="Times New Roman" w:cs="Times New Roman"/>
          <w:color w:val="000000" w:themeColor="text1"/>
          <w:sz w:val="24"/>
          <w:szCs w:val="24"/>
        </w:rPr>
        <w:t xml:space="preserve">. £2000 is seen to be recorded as a finance cost. The finance costs are helpful in evaluating profit value. Before business taxation, the profit of this has been calculated as £188000 for this year. The value of taxation, which is paid by the business for </w:t>
      </w:r>
      <w:proofErr w:type="gramStart"/>
      <w:r w:rsidRPr="00AF119B">
        <w:rPr>
          <w:rFonts w:ascii="Times New Roman" w:eastAsia="Times New Roman" w:hAnsi="Times New Roman" w:cs="Times New Roman"/>
          <w:color w:val="000000" w:themeColor="text1"/>
          <w:sz w:val="24"/>
          <w:szCs w:val="24"/>
        </w:rPr>
        <w:t>all of</w:t>
      </w:r>
      <w:proofErr w:type="gramEnd"/>
      <w:r w:rsidRPr="00AF119B">
        <w:rPr>
          <w:rFonts w:ascii="Times New Roman" w:eastAsia="Times New Roman" w:hAnsi="Times New Roman" w:cs="Times New Roman"/>
          <w:color w:val="000000" w:themeColor="text1"/>
          <w:sz w:val="24"/>
          <w:szCs w:val="24"/>
        </w:rPr>
        <w:t xml:space="preserve"> their business-related </w:t>
      </w:r>
      <w:r w:rsidR="00803FE4" w:rsidRPr="00AF119B">
        <w:rPr>
          <w:rFonts w:ascii="Times New Roman" w:eastAsia="Times New Roman" w:hAnsi="Times New Roman" w:cs="Times New Roman"/>
          <w:color w:val="000000" w:themeColor="text1"/>
          <w:sz w:val="24"/>
          <w:szCs w:val="24"/>
        </w:rPr>
        <w:t>operations,</w:t>
      </w:r>
      <w:r w:rsidRPr="00AF119B">
        <w:rPr>
          <w:rFonts w:ascii="Times New Roman" w:eastAsia="Times New Roman" w:hAnsi="Times New Roman" w:cs="Times New Roman"/>
          <w:color w:val="000000" w:themeColor="text1"/>
          <w:sz w:val="24"/>
          <w:szCs w:val="24"/>
        </w:rPr>
        <w:t xml:space="preserve"> is calculated as £68000. Another name of this tax is corporation tax. During the computation of the relevant income statement, this was estimated. Net profit value at the end of December of this year has been calculated by deducting tax value from profit </w:t>
      </w:r>
      <w:r w:rsidRPr="00AF119B">
        <w:rPr>
          <w:rFonts w:ascii="Times New Roman" w:eastAsia="Times New Roman" w:hAnsi="Times New Roman" w:cs="Times New Roman"/>
          <w:color w:val="000000" w:themeColor="text1"/>
          <w:sz w:val="24"/>
          <w:szCs w:val="24"/>
          <w:highlight w:val="white"/>
        </w:rPr>
        <w:t>(</w:t>
      </w:r>
      <w:proofErr w:type="spellStart"/>
      <w:r w:rsidRPr="00AF119B">
        <w:rPr>
          <w:rFonts w:ascii="Times New Roman" w:eastAsia="Times New Roman" w:hAnsi="Times New Roman" w:cs="Times New Roman"/>
          <w:color w:val="000000" w:themeColor="text1"/>
          <w:sz w:val="24"/>
          <w:szCs w:val="24"/>
          <w:highlight w:val="white"/>
        </w:rPr>
        <w:t>Pakšiová</w:t>
      </w:r>
      <w:proofErr w:type="spellEnd"/>
      <w:r w:rsidRPr="00AF119B">
        <w:rPr>
          <w:rFonts w:ascii="Times New Roman" w:eastAsia="Times New Roman" w:hAnsi="Times New Roman" w:cs="Times New Roman"/>
          <w:color w:val="000000" w:themeColor="text1"/>
          <w:sz w:val="24"/>
          <w:szCs w:val="24"/>
          <w:highlight w:val="white"/>
        </w:rPr>
        <w:t>, 2017, p. 42)</w:t>
      </w:r>
      <w:r w:rsidRPr="00AF119B">
        <w:rPr>
          <w:rFonts w:ascii="Times New Roman" w:eastAsia="Times New Roman" w:hAnsi="Times New Roman" w:cs="Times New Roman"/>
          <w:color w:val="000000" w:themeColor="text1"/>
          <w:sz w:val="24"/>
          <w:szCs w:val="24"/>
        </w:rPr>
        <w:t xml:space="preserve">. In terms of the net profit which is earned by this organization at the end of this year is calculated as £120000. </w:t>
      </w:r>
    </w:p>
    <w:p w14:paraId="4E7ED12E" w14:textId="77777777" w:rsidR="001A7F8D" w:rsidRPr="00AF119B" w:rsidRDefault="00697751" w:rsidP="00252D61">
      <w:pPr>
        <w:spacing w:line="360" w:lineRule="auto"/>
        <w:jc w:val="both"/>
        <w:rPr>
          <w:rFonts w:ascii="Times New Roman" w:eastAsia="Times New Roman" w:hAnsi="Times New Roman" w:cs="Times New Roman"/>
          <w:b/>
          <w:i/>
          <w:color w:val="000000" w:themeColor="text1"/>
          <w:sz w:val="24"/>
          <w:szCs w:val="24"/>
        </w:rPr>
      </w:pPr>
      <w:r w:rsidRPr="00AF119B">
        <w:rPr>
          <w:rFonts w:ascii="Times New Roman" w:eastAsia="Times New Roman" w:hAnsi="Times New Roman" w:cs="Times New Roman"/>
          <w:b/>
          <w:i/>
          <w:color w:val="000000" w:themeColor="text1"/>
          <w:sz w:val="24"/>
          <w:szCs w:val="24"/>
        </w:rPr>
        <w:t>Statement of financial position</w:t>
      </w:r>
    </w:p>
    <w:p w14:paraId="722BBC42"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A statement of financial position is also known as a balance sheet. With the help of a balance sheet, assets, liabilities, as well as equity, can be represented. In terms of different financial analyses, </w:t>
      </w:r>
      <w:r w:rsidRPr="00AF119B">
        <w:rPr>
          <w:rFonts w:ascii="Times New Roman" w:eastAsia="Times New Roman" w:hAnsi="Times New Roman" w:cs="Times New Roman"/>
          <w:color w:val="000000" w:themeColor="text1"/>
          <w:sz w:val="24"/>
          <w:szCs w:val="24"/>
        </w:rPr>
        <w:lastRenderedPageBreak/>
        <w:t xml:space="preserve">relevant information of financial position statements can be regarded as an important one. Besides cash flow statements, income statements, this statement is also very relevant to finance. </w:t>
      </w:r>
    </w:p>
    <w:p w14:paraId="12E2150F" w14:textId="77777777" w:rsidR="001A7F8D" w:rsidRPr="00AF119B" w:rsidRDefault="00697751"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4CF192FB" wp14:editId="6AA07C26">
            <wp:extent cx="5943600" cy="5270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5270500"/>
                    </a:xfrm>
                    <a:prstGeom prst="rect">
                      <a:avLst/>
                    </a:prstGeom>
                  </pic:spPr>
                </pic:pic>
              </a:graphicData>
            </a:graphic>
          </wp:inline>
        </w:drawing>
      </w:r>
    </w:p>
    <w:p w14:paraId="064E9547" w14:textId="77777777" w:rsidR="001A7F8D" w:rsidRPr="00AF119B" w:rsidRDefault="00697751"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 2: Statement of financial position</w:t>
      </w:r>
    </w:p>
    <w:p w14:paraId="0FC17A72" w14:textId="77777777" w:rsidR="001A7F8D" w:rsidRPr="00AF119B" w:rsidRDefault="00697751"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0C831CFE"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According to the above figure, the financial position of this organization can be evaluated. The business of </w:t>
      </w:r>
      <w:proofErr w:type="spellStart"/>
      <w:r w:rsidRPr="00AF119B">
        <w:rPr>
          <w:rFonts w:ascii="Times New Roman" w:eastAsia="Times New Roman" w:hAnsi="Times New Roman" w:cs="Times New Roman"/>
          <w:color w:val="000000" w:themeColor="text1"/>
          <w:sz w:val="24"/>
          <w:szCs w:val="24"/>
        </w:rPr>
        <w:t>Kadison</w:t>
      </w:r>
      <w:proofErr w:type="spellEnd"/>
      <w:r w:rsidRPr="00AF119B">
        <w:rPr>
          <w:rFonts w:ascii="Times New Roman" w:eastAsia="Times New Roman" w:hAnsi="Times New Roman" w:cs="Times New Roman"/>
          <w:color w:val="000000" w:themeColor="text1"/>
          <w:sz w:val="24"/>
          <w:szCs w:val="24"/>
        </w:rPr>
        <w:t xml:space="preserve"> Plc and its financial position are essential requirements in this calculation. With important values of assets, debentures, cash, liabilities, capital the final value can be adjusted </w:t>
      </w:r>
      <w:r w:rsidRPr="00AF119B">
        <w:rPr>
          <w:rFonts w:ascii="Times New Roman" w:eastAsia="Times New Roman" w:hAnsi="Times New Roman" w:cs="Times New Roman"/>
          <w:color w:val="000000" w:themeColor="text1"/>
          <w:sz w:val="24"/>
          <w:szCs w:val="24"/>
          <w:highlight w:val="white"/>
        </w:rPr>
        <w:t>(</w:t>
      </w:r>
      <w:proofErr w:type="spellStart"/>
      <w:r w:rsidRPr="00AF119B">
        <w:rPr>
          <w:rFonts w:ascii="Times New Roman" w:eastAsia="Times New Roman" w:hAnsi="Times New Roman" w:cs="Times New Roman"/>
          <w:color w:val="000000" w:themeColor="text1"/>
          <w:sz w:val="24"/>
          <w:szCs w:val="24"/>
          <w:highlight w:val="white"/>
        </w:rPr>
        <w:t>Seifzadeh</w:t>
      </w:r>
      <w:proofErr w:type="spellEnd"/>
      <w:r w:rsidRPr="00AF119B">
        <w:rPr>
          <w:rFonts w:ascii="Times New Roman" w:eastAsia="Times New Roman" w:hAnsi="Times New Roman" w:cs="Times New Roman"/>
          <w:color w:val="000000" w:themeColor="text1"/>
          <w:sz w:val="24"/>
          <w:szCs w:val="24"/>
          <w:highlight w:val="white"/>
        </w:rPr>
        <w:t>, 2020, p. 50)</w:t>
      </w:r>
      <w:r w:rsidRPr="00AF119B">
        <w:rPr>
          <w:rFonts w:ascii="Times New Roman" w:eastAsia="Times New Roman" w:hAnsi="Times New Roman" w:cs="Times New Roman"/>
          <w:color w:val="000000" w:themeColor="text1"/>
          <w:sz w:val="24"/>
          <w:szCs w:val="24"/>
        </w:rPr>
        <w:t>. The business has equity value, as well as current liabilities, which are regarded in this business.</w:t>
      </w:r>
    </w:p>
    <w:p w14:paraId="1CFBEAE2"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In terms of non-current assets, the value has been calculated as £632730. The inventory value as per the financial position has been observed as £330600. As the value of cash, £12900 has been </w:t>
      </w:r>
      <w:r w:rsidRPr="00AF119B">
        <w:rPr>
          <w:rFonts w:ascii="Times New Roman" w:eastAsia="Times New Roman" w:hAnsi="Times New Roman" w:cs="Times New Roman"/>
          <w:color w:val="000000" w:themeColor="text1"/>
          <w:sz w:val="24"/>
          <w:szCs w:val="24"/>
        </w:rPr>
        <w:lastRenderedPageBreak/>
        <w:t>recorded. In terms of trade receivables, the balance is calculated as £170125. As a result of a combination of current as well as non-current assets, £1146355 can be seen. In the statement of financial position, trade creditor has been recorded as £171355. In the books of accounts, the business has been observed not to leave any non-current liabilities. In terms of share capital, the business is seen to be recorded as £710000. The share premium value is calculated as £13000. The value of net profit and the beginning profit is seen to be £252000. In terms of the total value of liabilities, £1146355 has been calculated on 31st December in 2020.</w:t>
      </w:r>
    </w:p>
    <w:p w14:paraId="076E92D5" w14:textId="77777777" w:rsidR="001A7F8D" w:rsidRPr="00AF119B" w:rsidRDefault="00697751" w:rsidP="00252D61">
      <w:pPr>
        <w:pStyle w:val="Heading2"/>
      </w:pPr>
      <w:bookmarkStart w:id="3" w:name="_Toc79233997"/>
      <w:r w:rsidRPr="00AF119B">
        <w:t>b) The reason for balancing statement of financial position:</w:t>
      </w:r>
      <w:bookmarkEnd w:id="3"/>
    </w:p>
    <w:p w14:paraId="3803A7BB" w14:textId="77777777" w:rsidR="001A7F8D" w:rsidRPr="00AF119B" w:rsidRDefault="00697751"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At the very end of a financial year, the balance sheet is prepared. The combination of the liabilities with the final value of assets is important in the financial position. The principle of double accounting </w:t>
      </w:r>
      <w:proofErr w:type="gramStart"/>
      <w:r w:rsidRPr="00AF119B">
        <w:rPr>
          <w:rFonts w:ascii="Times New Roman" w:eastAsia="Times New Roman" w:hAnsi="Times New Roman" w:cs="Times New Roman"/>
          <w:color w:val="000000" w:themeColor="text1"/>
          <w:sz w:val="24"/>
          <w:szCs w:val="24"/>
        </w:rPr>
        <w:t>is considered to be</w:t>
      </w:r>
      <w:proofErr w:type="gramEnd"/>
      <w:r w:rsidRPr="00AF119B">
        <w:rPr>
          <w:rFonts w:ascii="Times New Roman" w:eastAsia="Times New Roman" w:hAnsi="Times New Roman" w:cs="Times New Roman"/>
          <w:color w:val="000000" w:themeColor="text1"/>
          <w:sz w:val="24"/>
          <w:szCs w:val="24"/>
        </w:rPr>
        <w:t xml:space="preserve"> an entry system to match assets positions. As per the standard of accounting placement of cost is to be related in this matter. The balance sheet must be valued by using tally by the management </w:t>
      </w:r>
      <w:r w:rsidRPr="00AF119B">
        <w:rPr>
          <w:rFonts w:ascii="Times New Roman" w:eastAsia="Times New Roman" w:hAnsi="Times New Roman" w:cs="Times New Roman"/>
          <w:color w:val="000000" w:themeColor="text1"/>
          <w:sz w:val="24"/>
          <w:szCs w:val="24"/>
          <w:highlight w:val="white"/>
        </w:rPr>
        <w:t xml:space="preserve">(Rodrigue and </w:t>
      </w:r>
      <w:proofErr w:type="spellStart"/>
      <w:r w:rsidRPr="00AF119B">
        <w:rPr>
          <w:rFonts w:ascii="Times New Roman" w:eastAsia="Times New Roman" w:hAnsi="Times New Roman" w:cs="Times New Roman"/>
          <w:color w:val="000000" w:themeColor="text1"/>
          <w:sz w:val="24"/>
          <w:szCs w:val="24"/>
          <w:highlight w:val="white"/>
        </w:rPr>
        <w:t>Dâmaso</w:t>
      </w:r>
      <w:proofErr w:type="spellEnd"/>
      <w:r w:rsidRPr="00AF119B">
        <w:rPr>
          <w:rFonts w:ascii="Times New Roman" w:eastAsia="Times New Roman" w:hAnsi="Times New Roman" w:cs="Times New Roman"/>
          <w:color w:val="000000" w:themeColor="text1"/>
          <w:sz w:val="24"/>
          <w:szCs w:val="24"/>
          <w:highlight w:val="white"/>
        </w:rPr>
        <w:t>, 2020, p. 79)</w:t>
      </w:r>
      <w:r w:rsidRPr="00AF119B">
        <w:rPr>
          <w:rFonts w:ascii="Times New Roman" w:eastAsia="Times New Roman" w:hAnsi="Times New Roman" w:cs="Times New Roman"/>
          <w:color w:val="000000" w:themeColor="text1"/>
          <w:sz w:val="24"/>
          <w:szCs w:val="24"/>
        </w:rPr>
        <w:t xml:space="preserve">. The balancing position is very much needed in this regard. With the help of a balance sheet, </w:t>
      </w:r>
      <w:proofErr w:type="gramStart"/>
      <w:r w:rsidRPr="00AF119B">
        <w:rPr>
          <w:rFonts w:ascii="Times New Roman" w:eastAsia="Times New Roman" w:hAnsi="Times New Roman" w:cs="Times New Roman"/>
          <w:color w:val="000000" w:themeColor="text1"/>
          <w:sz w:val="24"/>
          <w:szCs w:val="24"/>
        </w:rPr>
        <w:t>each and every</w:t>
      </w:r>
      <w:proofErr w:type="gramEnd"/>
      <w:r w:rsidRPr="00AF119B">
        <w:rPr>
          <w:rFonts w:ascii="Times New Roman" w:eastAsia="Times New Roman" w:hAnsi="Times New Roman" w:cs="Times New Roman"/>
          <w:color w:val="000000" w:themeColor="text1"/>
          <w:sz w:val="24"/>
          <w:szCs w:val="24"/>
        </w:rPr>
        <w:t xml:space="preserve"> transaction can be measured and analyzed. In terms of any purchase meant, machinery </w:t>
      </w:r>
      <w:proofErr w:type="gramStart"/>
      <w:r w:rsidRPr="00AF119B">
        <w:rPr>
          <w:rFonts w:ascii="Times New Roman" w:eastAsia="Times New Roman" w:hAnsi="Times New Roman" w:cs="Times New Roman"/>
          <w:color w:val="000000" w:themeColor="text1"/>
          <w:sz w:val="24"/>
          <w:szCs w:val="24"/>
        </w:rPr>
        <w:t>has to</w:t>
      </w:r>
      <w:proofErr w:type="gramEnd"/>
      <w:r w:rsidRPr="00AF119B">
        <w:rPr>
          <w:rFonts w:ascii="Times New Roman" w:eastAsia="Times New Roman" w:hAnsi="Times New Roman" w:cs="Times New Roman"/>
          <w:color w:val="000000" w:themeColor="text1"/>
          <w:sz w:val="24"/>
          <w:szCs w:val="24"/>
        </w:rPr>
        <w:t xml:space="preserve"> be recorded in perfect order. The entry of </w:t>
      </w:r>
      <w:r w:rsidR="00E62F09" w:rsidRPr="00AF119B">
        <w:rPr>
          <w:rFonts w:ascii="Times New Roman" w:eastAsia="Times New Roman" w:hAnsi="Times New Roman" w:cs="Times New Roman"/>
          <w:color w:val="000000" w:themeColor="text1"/>
          <w:sz w:val="24"/>
          <w:szCs w:val="24"/>
        </w:rPr>
        <w:t>this</w:t>
      </w:r>
      <w:r w:rsidRPr="00AF119B">
        <w:rPr>
          <w:rFonts w:ascii="Times New Roman" w:eastAsia="Times New Roman" w:hAnsi="Times New Roman" w:cs="Times New Roman"/>
          <w:color w:val="000000" w:themeColor="text1"/>
          <w:sz w:val="24"/>
          <w:szCs w:val="24"/>
        </w:rPr>
        <w:t xml:space="preserve"> purchasing machinery, a reflection of the transaction can be recorded. This </w:t>
      </w:r>
      <w:proofErr w:type="gramStart"/>
      <w:r w:rsidRPr="00AF119B">
        <w:rPr>
          <w:rFonts w:ascii="Times New Roman" w:eastAsia="Times New Roman" w:hAnsi="Times New Roman" w:cs="Times New Roman"/>
          <w:color w:val="000000" w:themeColor="text1"/>
          <w:sz w:val="24"/>
          <w:szCs w:val="24"/>
        </w:rPr>
        <w:t>is considered to be</w:t>
      </w:r>
      <w:proofErr w:type="gramEnd"/>
      <w:r w:rsidRPr="00AF119B">
        <w:rPr>
          <w:rFonts w:ascii="Times New Roman" w:eastAsia="Times New Roman" w:hAnsi="Times New Roman" w:cs="Times New Roman"/>
          <w:color w:val="000000" w:themeColor="text1"/>
          <w:sz w:val="24"/>
          <w:szCs w:val="24"/>
        </w:rPr>
        <w:t xml:space="preserve"> the main reason behind balancing sheets at the very end of an accounting year. </w:t>
      </w:r>
    </w:p>
    <w:p w14:paraId="7F468D2B" w14:textId="77777777" w:rsidR="0039136D" w:rsidRPr="00AF119B" w:rsidRDefault="0039136D" w:rsidP="00252D61">
      <w:pPr>
        <w:pStyle w:val="Heading1"/>
      </w:pPr>
      <w:bookmarkStart w:id="4" w:name="_Toc79233998"/>
      <w:r w:rsidRPr="00AF119B">
        <w:t>Question 2: Ratio analysis</w:t>
      </w:r>
      <w:bookmarkEnd w:id="4"/>
    </w:p>
    <w:p w14:paraId="50A29B76" w14:textId="77777777" w:rsidR="0068372F" w:rsidRPr="00AF119B" w:rsidRDefault="0068372F" w:rsidP="00252D61">
      <w:pPr>
        <w:pStyle w:val="Heading2"/>
      </w:pPr>
      <w:bookmarkStart w:id="5" w:name="_Toc79233999"/>
      <w:r w:rsidRPr="00AF119B">
        <w:t>a. Computation of ratio for 2019 and 2020</w:t>
      </w:r>
      <w:bookmarkEnd w:id="5"/>
    </w:p>
    <w:p w14:paraId="0932ECFD" w14:textId="77777777" w:rsidR="0068372F" w:rsidRPr="00AF119B"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1. ROCE</w:t>
      </w:r>
    </w:p>
    <w:p w14:paraId="01BA67B4"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29C7BD42" wp14:editId="6EB465B0">
            <wp:extent cx="5943600" cy="685800"/>
            <wp:effectExtent l="0" t="0" r="0" b="0"/>
            <wp:docPr id="26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685800"/>
                    </a:xfrm>
                    <a:prstGeom prst="rect">
                      <a:avLst/>
                    </a:prstGeom>
                    <a:ln/>
                  </pic:spPr>
                </pic:pic>
              </a:graphicData>
            </a:graphic>
          </wp:inline>
        </w:drawing>
      </w:r>
    </w:p>
    <w:p w14:paraId="672903EF"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3</w:t>
      </w:r>
      <w:r w:rsidRPr="00AF119B">
        <w:rPr>
          <w:rFonts w:ascii="Times New Roman" w:eastAsia="Times New Roman" w:hAnsi="Times New Roman" w:cs="Times New Roman"/>
          <w:b/>
          <w:color w:val="000000" w:themeColor="text1"/>
          <w:sz w:val="24"/>
          <w:szCs w:val="24"/>
        </w:rPr>
        <w:t>: calculation</w:t>
      </w:r>
    </w:p>
    <w:p w14:paraId="2B88D3BA"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3B2F4044"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estimation of ROCE has found the return value over the capital employed margin. The data has developed a return over the invested capital value. It has computed the ratio by dividing the PBIT from the capital employed margin. 10% return has been computed in 2019 that has increased </w:t>
      </w:r>
      <w:r w:rsidRPr="00AF119B">
        <w:rPr>
          <w:rFonts w:ascii="Times New Roman" w:eastAsia="Times New Roman" w:hAnsi="Times New Roman" w:cs="Times New Roman"/>
          <w:color w:val="000000" w:themeColor="text1"/>
          <w:sz w:val="24"/>
          <w:szCs w:val="24"/>
        </w:rPr>
        <w:lastRenderedPageBreak/>
        <w:t>to 12% in 2020. The value has increased by 2% throughout the year. Changes of value have indicated an increase in position. It can improve the business operational profit for the year.  Improvement in return value can increase profitability including the liquidity factor (</w:t>
      </w:r>
      <w:proofErr w:type="spellStart"/>
      <w:r w:rsidRPr="00AF119B">
        <w:rPr>
          <w:rFonts w:ascii="Times New Roman" w:eastAsia="Times New Roman" w:hAnsi="Times New Roman" w:cs="Times New Roman"/>
          <w:color w:val="000000" w:themeColor="text1"/>
          <w:sz w:val="24"/>
          <w:szCs w:val="24"/>
        </w:rPr>
        <w:t>Hirindu</w:t>
      </w:r>
      <w:proofErr w:type="spellEnd"/>
      <w:r w:rsidRPr="00AF119B">
        <w:rPr>
          <w:rFonts w:ascii="Times New Roman" w:eastAsia="Times New Roman" w:hAnsi="Times New Roman" w:cs="Times New Roman"/>
          <w:color w:val="000000" w:themeColor="text1"/>
          <w:sz w:val="24"/>
          <w:szCs w:val="24"/>
        </w:rPr>
        <w:t xml:space="preserve"> </w:t>
      </w:r>
      <w:proofErr w:type="spellStart"/>
      <w:r w:rsidRPr="00AF119B">
        <w:rPr>
          <w:rFonts w:ascii="Times New Roman" w:eastAsia="Times New Roman" w:hAnsi="Times New Roman" w:cs="Times New Roman"/>
          <w:color w:val="000000" w:themeColor="text1"/>
          <w:sz w:val="24"/>
          <w:szCs w:val="24"/>
        </w:rPr>
        <w:t>Kawshala</w:t>
      </w:r>
      <w:proofErr w:type="spellEnd"/>
      <w:r w:rsidRPr="00AF119B">
        <w:rPr>
          <w:rFonts w:ascii="Times New Roman" w:eastAsia="Times New Roman" w:hAnsi="Times New Roman" w:cs="Times New Roman"/>
          <w:color w:val="000000" w:themeColor="text1"/>
          <w:sz w:val="24"/>
          <w:szCs w:val="24"/>
        </w:rPr>
        <w:t xml:space="preserve">, 2017, p.42). It has required developing the current values that are to increase return margin.       </w:t>
      </w:r>
    </w:p>
    <w:p w14:paraId="1EC1454D" w14:textId="77777777" w:rsidR="0068372F" w:rsidRPr="00AF119B"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2. ROE</w:t>
      </w:r>
    </w:p>
    <w:p w14:paraId="778C5138"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19AE138A" wp14:editId="46305FB0">
            <wp:extent cx="5943600" cy="698500"/>
            <wp:effectExtent l="0" t="0" r="0" b="0"/>
            <wp:docPr id="26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698500"/>
                    </a:xfrm>
                    <a:prstGeom prst="rect">
                      <a:avLst/>
                    </a:prstGeom>
                    <a:ln/>
                  </pic:spPr>
                </pic:pic>
              </a:graphicData>
            </a:graphic>
          </wp:inline>
        </w:drawing>
      </w:r>
    </w:p>
    <w:p w14:paraId="5D14BEAA"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4</w:t>
      </w:r>
      <w:r w:rsidRPr="00AF119B">
        <w:rPr>
          <w:rFonts w:ascii="Times New Roman" w:eastAsia="Times New Roman" w:hAnsi="Times New Roman" w:cs="Times New Roman"/>
          <w:b/>
          <w:color w:val="000000" w:themeColor="text1"/>
          <w:sz w:val="24"/>
          <w:szCs w:val="24"/>
        </w:rPr>
        <w:t>: calculation</w:t>
      </w:r>
    </w:p>
    <w:p w14:paraId="7FE35A31"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50081338"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Return margin over the equity value has been developed earnings of an </w:t>
      </w:r>
      <w:r w:rsidR="00DC3EBD" w:rsidRPr="00AF119B">
        <w:rPr>
          <w:rFonts w:ascii="Times New Roman" w:eastAsia="Times New Roman" w:hAnsi="Times New Roman" w:cs="Times New Roman"/>
          <w:color w:val="000000" w:themeColor="text1"/>
          <w:sz w:val="24"/>
          <w:szCs w:val="24"/>
        </w:rPr>
        <w:t>organization</w:t>
      </w:r>
      <w:r w:rsidRPr="00AF119B">
        <w:rPr>
          <w:rFonts w:ascii="Times New Roman" w:eastAsia="Times New Roman" w:hAnsi="Times New Roman" w:cs="Times New Roman"/>
          <w:color w:val="000000" w:themeColor="text1"/>
          <w:sz w:val="24"/>
          <w:szCs w:val="24"/>
        </w:rPr>
        <w:t xml:space="preserve"> over equity factor. It has indicated recovery value of profit margin as per equity portion. It is found at a 1.22 return margin in 2019 that has been developed to 1.44 in 2020. Value has been estimated dividing net income with total equity. Estimated value has found a result in improved 2020. </w:t>
      </w:r>
      <w:proofErr w:type="spellStart"/>
      <w:r w:rsidRPr="00AF119B">
        <w:rPr>
          <w:rFonts w:ascii="Times New Roman" w:eastAsia="Times New Roman" w:hAnsi="Times New Roman" w:cs="Times New Roman"/>
          <w:color w:val="000000" w:themeColor="text1"/>
          <w:sz w:val="24"/>
          <w:szCs w:val="24"/>
        </w:rPr>
        <w:t>Chocco</w:t>
      </w:r>
      <w:proofErr w:type="spellEnd"/>
      <w:r w:rsidRPr="00AF119B">
        <w:rPr>
          <w:rFonts w:ascii="Times New Roman" w:eastAsia="Times New Roman" w:hAnsi="Times New Roman" w:cs="Times New Roman"/>
          <w:color w:val="000000" w:themeColor="text1"/>
          <w:sz w:val="24"/>
          <w:szCs w:val="24"/>
        </w:rPr>
        <w:t xml:space="preserve"> plc has developed the earnings for throughout the year. Increased net profit has improved return in the estimation (</w:t>
      </w:r>
      <w:proofErr w:type="spellStart"/>
      <w:r w:rsidRPr="00AF119B">
        <w:rPr>
          <w:rFonts w:ascii="Times New Roman" w:eastAsia="Times New Roman" w:hAnsi="Times New Roman" w:cs="Times New Roman"/>
          <w:color w:val="000000" w:themeColor="text1"/>
          <w:sz w:val="24"/>
          <w:szCs w:val="24"/>
          <w:highlight w:val="white"/>
        </w:rPr>
        <w:t>Berhe</w:t>
      </w:r>
      <w:proofErr w:type="spellEnd"/>
      <w:r w:rsidRPr="00AF119B">
        <w:rPr>
          <w:rFonts w:ascii="Times New Roman" w:eastAsia="Times New Roman" w:hAnsi="Times New Roman" w:cs="Times New Roman"/>
          <w:color w:val="000000" w:themeColor="text1"/>
          <w:sz w:val="24"/>
          <w:szCs w:val="24"/>
          <w:highlight w:val="white"/>
        </w:rPr>
        <w:t xml:space="preserve"> and Kaur, 2017, p.125</w:t>
      </w:r>
      <w:r w:rsidRPr="00AF119B">
        <w:rPr>
          <w:rFonts w:ascii="Times New Roman" w:eastAsia="Times New Roman" w:hAnsi="Times New Roman" w:cs="Times New Roman"/>
          <w:color w:val="000000" w:themeColor="text1"/>
          <w:sz w:val="24"/>
          <w:szCs w:val="24"/>
        </w:rPr>
        <w:t xml:space="preserve">). This has mainly indicated a better position in 2020 rather than in 2019. Changes in net profit can increase the value in 2020.      </w:t>
      </w:r>
    </w:p>
    <w:p w14:paraId="60D62A47" w14:textId="77777777" w:rsidR="0068372F" w:rsidRPr="00AF119B" w:rsidRDefault="0068372F" w:rsidP="00252D61">
      <w:pPr>
        <w:pStyle w:val="Normal1"/>
        <w:spacing w:line="360" w:lineRule="auto"/>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3. Earnings per share</w:t>
      </w:r>
    </w:p>
    <w:p w14:paraId="1320C4F4"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48D3B283" wp14:editId="7C7421AE">
            <wp:extent cx="5943600" cy="838200"/>
            <wp:effectExtent l="0" t="0" r="0" b="0"/>
            <wp:docPr id="27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838200"/>
                    </a:xfrm>
                    <a:prstGeom prst="rect">
                      <a:avLst/>
                    </a:prstGeom>
                    <a:ln/>
                  </pic:spPr>
                </pic:pic>
              </a:graphicData>
            </a:graphic>
          </wp:inline>
        </w:drawing>
      </w:r>
    </w:p>
    <w:p w14:paraId="6B309257"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5</w:t>
      </w:r>
      <w:r w:rsidRPr="00AF119B">
        <w:rPr>
          <w:rFonts w:ascii="Times New Roman" w:eastAsia="Times New Roman" w:hAnsi="Times New Roman" w:cs="Times New Roman"/>
          <w:b/>
          <w:color w:val="000000" w:themeColor="text1"/>
          <w:sz w:val="24"/>
          <w:szCs w:val="24"/>
        </w:rPr>
        <w:t>: calculation</w:t>
      </w:r>
    </w:p>
    <w:p w14:paraId="416AFB4E"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4037C829"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In this estimation, it has mainly computed earnings of a firm as per share value. The value has been estimated earnings for the share value in an enterprise. The ratio value has been computed income by outstanding share value. It has calculated an earning value of 0.34 in 2019 that has been developed to 0.40. Comparison has changed the value that can be helpful in determination of profit. Improved value shows that </w:t>
      </w:r>
      <w:proofErr w:type="spellStart"/>
      <w:r w:rsidRPr="00AF119B">
        <w:rPr>
          <w:rFonts w:ascii="Times New Roman" w:eastAsia="Times New Roman" w:hAnsi="Times New Roman" w:cs="Times New Roman"/>
          <w:color w:val="000000" w:themeColor="text1"/>
          <w:sz w:val="24"/>
          <w:szCs w:val="24"/>
        </w:rPr>
        <w:t>Chocco</w:t>
      </w:r>
      <w:proofErr w:type="spellEnd"/>
      <w:r w:rsidRPr="00AF119B">
        <w:rPr>
          <w:rFonts w:ascii="Times New Roman" w:eastAsia="Times New Roman" w:hAnsi="Times New Roman" w:cs="Times New Roman"/>
          <w:color w:val="000000" w:themeColor="text1"/>
          <w:sz w:val="24"/>
          <w:szCs w:val="24"/>
        </w:rPr>
        <w:t xml:space="preserve"> plc is in a better position than previously. Profit value can be improved as per earning in the </w:t>
      </w:r>
      <w:r w:rsidR="00DC3EBD" w:rsidRPr="00AF119B">
        <w:rPr>
          <w:rFonts w:ascii="Times New Roman" w:eastAsia="Times New Roman" w:hAnsi="Times New Roman" w:cs="Times New Roman"/>
          <w:color w:val="000000" w:themeColor="text1"/>
          <w:sz w:val="24"/>
          <w:szCs w:val="24"/>
        </w:rPr>
        <w:t>organization</w:t>
      </w:r>
      <w:r w:rsidRPr="00AF119B">
        <w:rPr>
          <w:rFonts w:ascii="Times New Roman" w:eastAsia="Times New Roman" w:hAnsi="Times New Roman" w:cs="Times New Roman"/>
          <w:color w:val="000000" w:themeColor="text1"/>
          <w:sz w:val="24"/>
          <w:szCs w:val="24"/>
        </w:rPr>
        <w:t xml:space="preserve">.      </w:t>
      </w:r>
    </w:p>
    <w:p w14:paraId="3706AB28" w14:textId="77777777" w:rsidR="0068372F" w:rsidRPr="00AF119B" w:rsidRDefault="0068372F" w:rsidP="00252D61">
      <w:pPr>
        <w:pStyle w:val="Normal1"/>
        <w:spacing w:line="360" w:lineRule="auto"/>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4. Net profit margin</w:t>
      </w:r>
    </w:p>
    <w:p w14:paraId="15E0E457" w14:textId="77777777" w:rsidR="0068372F" w:rsidRPr="00AF119B" w:rsidRDefault="0068372F" w:rsidP="00252D61">
      <w:pPr>
        <w:pStyle w:val="Normal1"/>
        <w:spacing w:line="360" w:lineRule="auto"/>
        <w:rPr>
          <w:rFonts w:ascii="Times New Roman" w:eastAsia="Times New Roman" w:hAnsi="Times New Roman" w:cs="Times New Roman"/>
          <w:color w:val="000000" w:themeColor="text1"/>
          <w:sz w:val="24"/>
          <w:szCs w:val="24"/>
        </w:rPr>
      </w:pPr>
    </w:p>
    <w:p w14:paraId="6FA4AA08"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0E3D051A" wp14:editId="55F977B5">
            <wp:extent cx="5943600" cy="685800"/>
            <wp:effectExtent l="0" t="0" r="0" b="0"/>
            <wp:docPr id="27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685800"/>
                    </a:xfrm>
                    <a:prstGeom prst="rect">
                      <a:avLst/>
                    </a:prstGeom>
                    <a:ln/>
                  </pic:spPr>
                </pic:pic>
              </a:graphicData>
            </a:graphic>
          </wp:inline>
        </w:drawing>
      </w:r>
    </w:p>
    <w:p w14:paraId="1B1BD93D"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6</w:t>
      </w:r>
      <w:r w:rsidRPr="00AF119B">
        <w:rPr>
          <w:rFonts w:ascii="Times New Roman" w:eastAsia="Times New Roman" w:hAnsi="Times New Roman" w:cs="Times New Roman"/>
          <w:b/>
          <w:color w:val="000000" w:themeColor="text1"/>
          <w:sz w:val="24"/>
          <w:szCs w:val="24"/>
        </w:rPr>
        <w:t>: calculation</w:t>
      </w:r>
    </w:p>
    <w:p w14:paraId="1669B508"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7052AC66"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estimation of profitability in a concern has been developed over ratio computation of net profit value. It has been valued for dividing profit over sales margin. The value has increased from 5.68 in 2019. Profit value has improved in 2020 at 6.40%. The improvement in net profit has been estimated for an increase in revenue margin. Value has developed a better position of concern. Improving in sales including the earnings can develop performance of this </w:t>
      </w:r>
      <w:r w:rsidR="00227970" w:rsidRPr="00AF119B">
        <w:rPr>
          <w:rFonts w:ascii="Times New Roman" w:eastAsia="Times New Roman" w:hAnsi="Times New Roman" w:cs="Times New Roman"/>
          <w:color w:val="000000" w:themeColor="text1"/>
          <w:sz w:val="24"/>
          <w:szCs w:val="24"/>
        </w:rPr>
        <w:t>organization</w:t>
      </w:r>
      <w:r w:rsidRPr="00AF119B">
        <w:rPr>
          <w:rFonts w:ascii="Times New Roman" w:eastAsia="Times New Roman" w:hAnsi="Times New Roman" w:cs="Times New Roman"/>
          <w:color w:val="000000" w:themeColor="text1"/>
          <w:sz w:val="24"/>
          <w:szCs w:val="24"/>
        </w:rPr>
        <w:t xml:space="preserve">. </w:t>
      </w:r>
    </w:p>
    <w:p w14:paraId="2EACC39C" w14:textId="77777777" w:rsidR="0068372F" w:rsidRPr="00AF119B" w:rsidRDefault="0068372F" w:rsidP="00252D61">
      <w:pPr>
        <w:pStyle w:val="Normal1"/>
        <w:spacing w:line="360" w:lineRule="auto"/>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5. Asset turnover</w:t>
      </w:r>
    </w:p>
    <w:p w14:paraId="34D90992"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5E723C9C" wp14:editId="5F8C0F0D">
            <wp:extent cx="5943600" cy="812800"/>
            <wp:effectExtent l="0" t="0" r="0" b="0"/>
            <wp:docPr id="27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812800"/>
                    </a:xfrm>
                    <a:prstGeom prst="rect">
                      <a:avLst/>
                    </a:prstGeom>
                    <a:ln/>
                  </pic:spPr>
                </pic:pic>
              </a:graphicData>
            </a:graphic>
          </wp:inline>
        </w:drawing>
      </w:r>
    </w:p>
    <w:p w14:paraId="0550EDF9"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7</w:t>
      </w:r>
      <w:r w:rsidRPr="00AF119B">
        <w:rPr>
          <w:rFonts w:ascii="Times New Roman" w:eastAsia="Times New Roman" w:hAnsi="Times New Roman" w:cs="Times New Roman"/>
          <w:b/>
          <w:color w:val="000000" w:themeColor="text1"/>
          <w:sz w:val="24"/>
          <w:szCs w:val="24"/>
        </w:rPr>
        <w:t>: calculation</w:t>
      </w:r>
    </w:p>
    <w:p w14:paraId="0CC62B53"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2978B5AB"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It is a computed ratio of sales value as per asset margin in an enterprise. This is considered as an indicator of the effectiveness of asset margin in making the earnings value. The calculated value has been found to be 0.63 profits in 2019 which has increased to 0.69. Computed value has derided a better effectiveness of assets in making the earnings for the organization. Comparison has found a data margin that has indicated a higher usage of assets in developing the profit (</w:t>
      </w:r>
      <w:r w:rsidRPr="00AF119B">
        <w:rPr>
          <w:rFonts w:ascii="Times New Roman" w:eastAsia="Times New Roman" w:hAnsi="Times New Roman" w:cs="Times New Roman"/>
          <w:color w:val="000000" w:themeColor="text1"/>
          <w:sz w:val="24"/>
          <w:szCs w:val="24"/>
          <w:highlight w:val="white"/>
        </w:rPr>
        <w:t>Tabash and Hassan, 2017, p.10</w:t>
      </w:r>
      <w:r w:rsidRPr="00AF119B">
        <w:rPr>
          <w:rFonts w:ascii="Times New Roman" w:eastAsia="Times New Roman" w:hAnsi="Times New Roman" w:cs="Times New Roman"/>
          <w:color w:val="000000" w:themeColor="text1"/>
          <w:sz w:val="24"/>
          <w:szCs w:val="24"/>
        </w:rPr>
        <w:t xml:space="preserve">). This value can be increased by using the higher asset margin in computing the profit.      </w:t>
      </w:r>
    </w:p>
    <w:p w14:paraId="16DE2289" w14:textId="77777777" w:rsidR="0068372F" w:rsidRPr="00AF119B"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b/>
          <w:color w:val="000000" w:themeColor="text1"/>
          <w:sz w:val="24"/>
          <w:szCs w:val="24"/>
        </w:rPr>
        <w:t>6. Stock holding</w:t>
      </w:r>
      <w:r w:rsidRPr="00AF119B">
        <w:rPr>
          <w:rFonts w:ascii="Times New Roman" w:eastAsia="Times New Roman" w:hAnsi="Times New Roman" w:cs="Times New Roman"/>
          <w:color w:val="000000" w:themeColor="text1"/>
          <w:sz w:val="24"/>
          <w:szCs w:val="24"/>
        </w:rPr>
        <w:t xml:space="preserve"> </w:t>
      </w:r>
    </w:p>
    <w:p w14:paraId="62DFAB33" w14:textId="77777777" w:rsidR="0068372F" w:rsidRDefault="0068372F" w:rsidP="00252D61">
      <w:pPr>
        <w:pStyle w:val="Normal1"/>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1B2A5285" wp14:editId="41AC8844">
            <wp:extent cx="3228975" cy="666750"/>
            <wp:effectExtent l="0" t="0" r="0" b="0"/>
            <wp:docPr id="27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228975" cy="666750"/>
                    </a:xfrm>
                    <a:prstGeom prst="rect">
                      <a:avLst/>
                    </a:prstGeom>
                    <a:ln/>
                  </pic:spPr>
                </pic:pic>
              </a:graphicData>
            </a:graphic>
          </wp:inline>
        </w:drawing>
      </w:r>
    </w:p>
    <w:p w14:paraId="39B79DAB"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8</w:t>
      </w:r>
      <w:r w:rsidRPr="00AF119B">
        <w:rPr>
          <w:rFonts w:ascii="Times New Roman" w:eastAsia="Times New Roman" w:hAnsi="Times New Roman" w:cs="Times New Roman"/>
          <w:b/>
          <w:color w:val="000000" w:themeColor="text1"/>
          <w:sz w:val="24"/>
          <w:szCs w:val="24"/>
        </w:rPr>
        <w:t>: calculation</w:t>
      </w:r>
    </w:p>
    <w:p w14:paraId="5428704D"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2E69293E"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lastRenderedPageBreak/>
        <w:t xml:space="preserve">In this computation of stock value, it has described a position of time period for purchasing inventory. Stock value has been found by dividing the inventory with COGS. It has found the inventory margin at £659 that has developed to £708. The turn value has been computed for 77 days in 2019 that has been raised to 79 days. It has indicated a lower position in 2019 that has been developed in inventory margin. It enhances the performance for making the purchase of stock value. Reduction in the purchase value can be able to drop the turnover period and can increase performance.    </w:t>
      </w:r>
    </w:p>
    <w:p w14:paraId="135FFF40" w14:textId="77777777" w:rsidR="0068372F" w:rsidRPr="00AF119B"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7. </w:t>
      </w:r>
      <w:proofErr w:type="gramStart"/>
      <w:r w:rsidRPr="00AF119B">
        <w:rPr>
          <w:rFonts w:ascii="Times New Roman" w:eastAsia="Times New Roman" w:hAnsi="Times New Roman" w:cs="Times New Roman"/>
          <w:color w:val="000000" w:themeColor="text1"/>
          <w:sz w:val="24"/>
          <w:szCs w:val="24"/>
        </w:rPr>
        <w:t>Debtors</w:t>
      </w:r>
      <w:proofErr w:type="gramEnd"/>
      <w:r w:rsidRPr="00AF119B">
        <w:rPr>
          <w:rFonts w:ascii="Times New Roman" w:eastAsia="Times New Roman" w:hAnsi="Times New Roman" w:cs="Times New Roman"/>
          <w:color w:val="000000" w:themeColor="text1"/>
          <w:sz w:val="24"/>
          <w:szCs w:val="24"/>
        </w:rPr>
        <w:t xml:space="preserve"> collection</w:t>
      </w:r>
    </w:p>
    <w:p w14:paraId="64CFF7EA" w14:textId="77777777" w:rsidR="0068372F" w:rsidRDefault="0068372F" w:rsidP="00252D61">
      <w:pPr>
        <w:pStyle w:val="Normal1"/>
        <w:spacing w:line="360" w:lineRule="auto"/>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12F46B47" wp14:editId="45C43CB6">
            <wp:extent cx="5943600" cy="698500"/>
            <wp:effectExtent l="0" t="0" r="0" b="0"/>
            <wp:docPr id="27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698500"/>
                    </a:xfrm>
                    <a:prstGeom prst="rect">
                      <a:avLst/>
                    </a:prstGeom>
                    <a:ln/>
                  </pic:spPr>
                </pic:pic>
              </a:graphicData>
            </a:graphic>
          </wp:inline>
        </w:drawing>
      </w:r>
    </w:p>
    <w:p w14:paraId="1966B8A8" w14:textId="77777777" w:rsidR="00E62F09" w:rsidRPr="00AF119B" w:rsidRDefault="00E62F09"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9</w:t>
      </w:r>
      <w:r w:rsidRPr="00AF119B">
        <w:rPr>
          <w:rFonts w:ascii="Times New Roman" w:eastAsia="Times New Roman" w:hAnsi="Times New Roman" w:cs="Times New Roman"/>
          <w:b/>
          <w:color w:val="000000" w:themeColor="text1"/>
          <w:sz w:val="24"/>
          <w:szCs w:val="24"/>
        </w:rPr>
        <w:t>: calculation</w:t>
      </w:r>
    </w:p>
    <w:p w14:paraId="14C6C70C" w14:textId="77777777" w:rsidR="00E62F09" w:rsidRPr="00AF119B" w:rsidRDefault="00E62F09"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28CECBD0"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Collection of debtors has found the period of days </w:t>
      </w:r>
      <w:proofErr w:type="gramStart"/>
      <w:r w:rsidRPr="00AF119B">
        <w:rPr>
          <w:rFonts w:ascii="Times New Roman" w:eastAsia="Times New Roman" w:hAnsi="Times New Roman" w:cs="Times New Roman"/>
          <w:color w:val="000000" w:themeColor="text1"/>
          <w:sz w:val="24"/>
          <w:szCs w:val="24"/>
        </w:rPr>
        <w:t>that debtors</w:t>
      </w:r>
      <w:proofErr w:type="gramEnd"/>
      <w:r w:rsidRPr="00AF119B">
        <w:rPr>
          <w:rFonts w:ascii="Times New Roman" w:eastAsia="Times New Roman" w:hAnsi="Times New Roman" w:cs="Times New Roman"/>
          <w:color w:val="000000" w:themeColor="text1"/>
          <w:sz w:val="24"/>
          <w:szCs w:val="24"/>
        </w:rPr>
        <w:t xml:space="preserve"> usually take to make the payment of the dues. The value has further reflected a position about the efficiency in dealing with the debtors’ margin. Value has derived as per receivable dividing with sales margin (</w:t>
      </w:r>
      <w:proofErr w:type="spellStart"/>
      <w:r w:rsidRPr="00AF119B">
        <w:rPr>
          <w:rFonts w:ascii="Times New Roman" w:eastAsia="Times New Roman" w:hAnsi="Times New Roman" w:cs="Times New Roman"/>
          <w:color w:val="000000" w:themeColor="text1"/>
          <w:sz w:val="24"/>
          <w:szCs w:val="24"/>
          <w:highlight w:val="white"/>
        </w:rPr>
        <w:t>Bintara</w:t>
      </w:r>
      <w:proofErr w:type="spellEnd"/>
      <w:r w:rsidRPr="00AF119B">
        <w:rPr>
          <w:rFonts w:ascii="Times New Roman" w:eastAsia="Times New Roman" w:hAnsi="Times New Roman" w:cs="Times New Roman"/>
          <w:color w:val="000000" w:themeColor="text1"/>
          <w:sz w:val="24"/>
          <w:szCs w:val="24"/>
          <w:highlight w:val="white"/>
        </w:rPr>
        <w:t>, 2020, p.30</w:t>
      </w:r>
      <w:r w:rsidRPr="00AF119B">
        <w:rPr>
          <w:rFonts w:ascii="Times New Roman" w:eastAsia="Times New Roman" w:hAnsi="Times New Roman" w:cs="Times New Roman"/>
          <w:color w:val="000000" w:themeColor="text1"/>
          <w:sz w:val="24"/>
          <w:szCs w:val="24"/>
        </w:rPr>
        <w:t xml:space="preserve">). The value has been calculated to 72 days in turnover value. It has mainly derived a better position as per turnover. The value has been modified for 67 days. Reduction in days has been estimated to be a better position of the concern. Valuation has found a better position by developing revenue. </w:t>
      </w:r>
    </w:p>
    <w:p w14:paraId="206DA3BC"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b/>
          <w:color w:val="000000" w:themeColor="text1"/>
          <w:sz w:val="24"/>
          <w:szCs w:val="24"/>
        </w:rPr>
        <w:t xml:space="preserve">Current analysis </w:t>
      </w:r>
    </w:p>
    <w:p w14:paraId="292F2D7A"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1459FB9F" wp14:editId="5B16ACA5">
            <wp:extent cx="5943600" cy="787400"/>
            <wp:effectExtent l="0" t="0" r="0" b="0"/>
            <wp:docPr id="275"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stretch>
                      <a:fillRect/>
                    </a:stretch>
                  </pic:blipFill>
                  <pic:spPr>
                    <a:xfrm>
                      <a:off x="0" y="0"/>
                      <a:ext cx="5943600" cy="787400"/>
                    </a:xfrm>
                    <a:prstGeom prst="rect">
                      <a:avLst/>
                    </a:prstGeom>
                  </pic:spPr>
                </pic:pic>
              </a:graphicData>
            </a:graphic>
          </wp:inline>
        </w:drawing>
      </w:r>
    </w:p>
    <w:p w14:paraId="11F0746B" w14:textId="77777777" w:rsidR="00DC3EBD" w:rsidRPr="00AF119B" w:rsidRDefault="00DC3EBD"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sidR="00E62F09">
        <w:rPr>
          <w:rFonts w:ascii="Times New Roman" w:eastAsia="Times New Roman" w:hAnsi="Times New Roman" w:cs="Times New Roman"/>
          <w:b/>
          <w:color w:val="000000" w:themeColor="text1"/>
          <w:sz w:val="24"/>
          <w:szCs w:val="24"/>
        </w:rPr>
        <w:t xml:space="preserve"> 10</w:t>
      </w:r>
      <w:r w:rsidRPr="00AF119B">
        <w:rPr>
          <w:rFonts w:ascii="Times New Roman" w:eastAsia="Times New Roman" w:hAnsi="Times New Roman" w:cs="Times New Roman"/>
          <w:b/>
          <w:color w:val="000000" w:themeColor="text1"/>
          <w:sz w:val="24"/>
          <w:szCs w:val="24"/>
        </w:rPr>
        <w:t>: calculation</w:t>
      </w:r>
    </w:p>
    <w:p w14:paraId="50AEF134" w14:textId="77777777" w:rsidR="00DC3EBD" w:rsidRPr="00AF119B" w:rsidRDefault="00DC3EBD"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62684AE7"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The motive of computing this ratio is to identify the capability of the respective business to overcome its short liabilities with the help of its assets (</w:t>
      </w:r>
      <w:proofErr w:type="spellStart"/>
      <w:r w:rsidRPr="00AF119B">
        <w:rPr>
          <w:rFonts w:ascii="Times New Roman" w:eastAsia="Times New Roman" w:hAnsi="Times New Roman" w:cs="Times New Roman"/>
          <w:color w:val="000000" w:themeColor="text1"/>
          <w:sz w:val="24"/>
          <w:szCs w:val="24"/>
        </w:rPr>
        <w:t>Nuryani</w:t>
      </w:r>
      <w:proofErr w:type="spellEnd"/>
      <w:r w:rsidRPr="00AF119B">
        <w:rPr>
          <w:rFonts w:ascii="Times New Roman" w:eastAsia="Times New Roman" w:hAnsi="Times New Roman" w:cs="Times New Roman"/>
          <w:color w:val="000000" w:themeColor="text1"/>
          <w:sz w:val="24"/>
          <w:szCs w:val="24"/>
        </w:rPr>
        <w:t xml:space="preserve"> and </w:t>
      </w:r>
      <w:proofErr w:type="spellStart"/>
      <w:r w:rsidRPr="00AF119B">
        <w:rPr>
          <w:rFonts w:ascii="Times New Roman" w:eastAsia="Times New Roman" w:hAnsi="Times New Roman" w:cs="Times New Roman"/>
          <w:color w:val="000000" w:themeColor="text1"/>
          <w:sz w:val="24"/>
          <w:szCs w:val="24"/>
        </w:rPr>
        <w:t>Sunarsi</w:t>
      </w:r>
      <w:proofErr w:type="spellEnd"/>
      <w:r w:rsidRPr="00AF119B">
        <w:rPr>
          <w:rFonts w:ascii="Times New Roman" w:eastAsia="Times New Roman" w:hAnsi="Times New Roman" w:cs="Times New Roman"/>
          <w:color w:val="000000" w:themeColor="text1"/>
          <w:sz w:val="24"/>
          <w:szCs w:val="24"/>
        </w:rPr>
        <w:t xml:space="preserve">, 2020, p.304). The value of 2:1 </w:t>
      </w:r>
      <w:proofErr w:type="gramStart"/>
      <w:r w:rsidRPr="00AF119B">
        <w:rPr>
          <w:rFonts w:ascii="Times New Roman" w:eastAsia="Times New Roman" w:hAnsi="Times New Roman" w:cs="Times New Roman"/>
          <w:color w:val="000000" w:themeColor="text1"/>
          <w:sz w:val="24"/>
          <w:szCs w:val="24"/>
        </w:rPr>
        <w:t>is considered to be</w:t>
      </w:r>
      <w:proofErr w:type="gramEnd"/>
      <w:r w:rsidRPr="00AF119B">
        <w:rPr>
          <w:rFonts w:ascii="Times New Roman" w:eastAsia="Times New Roman" w:hAnsi="Times New Roman" w:cs="Times New Roman"/>
          <w:color w:val="000000" w:themeColor="text1"/>
          <w:sz w:val="24"/>
          <w:szCs w:val="24"/>
        </w:rPr>
        <w:t xml:space="preserve"> the ideal percentage for the liquidity situation of a business during a year. </w:t>
      </w:r>
    </w:p>
    <w:p w14:paraId="560E7927"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lastRenderedPageBreak/>
        <w:t>The value of assets of the respective business is observed to be recorded at £2355 in the last year. However, the value decreases in the current year as it can be identified at £2303. On the other hand, the value of business liabilities in 2019 has been recorded at £3046 and in 2020 it can be identified at £2511.</w:t>
      </w:r>
    </w:p>
    <w:p w14:paraId="044AA2F7"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In the last year, the business received its performance recorded at 0.77: 1 that has been raised to 0.91:1 in the current year. The respective business has successfully maintained to decrease the value of its liabilities in order to balance its performance. </w:t>
      </w:r>
    </w:p>
    <w:p w14:paraId="3E5A9062"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company can improve its ratio by focusing on decreasing its current liabilities and collecting payments from its debtor faster. </w:t>
      </w:r>
    </w:p>
    <w:p w14:paraId="3361D159"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b/>
          <w:color w:val="000000" w:themeColor="text1"/>
          <w:sz w:val="24"/>
          <w:szCs w:val="24"/>
        </w:rPr>
        <w:t xml:space="preserve">Gearing analysis </w:t>
      </w:r>
    </w:p>
    <w:p w14:paraId="4AA923B1"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0FEA2464" wp14:editId="2482B9C4">
            <wp:extent cx="5943600" cy="812800"/>
            <wp:effectExtent l="0" t="0" r="0" b="0"/>
            <wp:docPr id="276"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7"/>
                    <a:stretch>
                      <a:fillRect/>
                    </a:stretch>
                  </pic:blipFill>
                  <pic:spPr>
                    <a:xfrm>
                      <a:off x="0" y="0"/>
                      <a:ext cx="5943600" cy="812800"/>
                    </a:xfrm>
                    <a:prstGeom prst="rect">
                      <a:avLst/>
                    </a:prstGeom>
                  </pic:spPr>
                </pic:pic>
              </a:graphicData>
            </a:graphic>
          </wp:inline>
        </w:drawing>
      </w:r>
    </w:p>
    <w:p w14:paraId="55CB0767" w14:textId="77777777" w:rsidR="00DC3EBD" w:rsidRPr="00AF119B" w:rsidRDefault="00DC3EBD"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t>Figure</w:t>
      </w:r>
      <w:r w:rsidR="00E62F09">
        <w:rPr>
          <w:rFonts w:ascii="Times New Roman" w:eastAsia="Times New Roman" w:hAnsi="Times New Roman" w:cs="Times New Roman"/>
          <w:b/>
          <w:color w:val="000000" w:themeColor="text1"/>
          <w:sz w:val="24"/>
          <w:szCs w:val="24"/>
        </w:rPr>
        <w:t xml:space="preserve"> 11</w:t>
      </w:r>
      <w:r w:rsidRPr="00AF119B">
        <w:rPr>
          <w:rFonts w:ascii="Times New Roman" w:eastAsia="Times New Roman" w:hAnsi="Times New Roman" w:cs="Times New Roman"/>
          <w:b/>
          <w:color w:val="000000" w:themeColor="text1"/>
          <w:sz w:val="24"/>
          <w:szCs w:val="24"/>
        </w:rPr>
        <w:t>: calculation</w:t>
      </w:r>
    </w:p>
    <w:p w14:paraId="68E7ECE8" w14:textId="77777777" w:rsidR="00DC3EBD" w:rsidRPr="00AF119B" w:rsidRDefault="00DC3EBD"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24786F1A"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The above calculation indicates the financial leverage of a respective business that uses its equity balance for overcoming the impact of debt (</w:t>
      </w:r>
      <w:proofErr w:type="spellStart"/>
      <w:r w:rsidRPr="00AF119B">
        <w:rPr>
          <w:rFonts w:ascii="Times New Roman" w:eastAsia="Times New Roman" w:hAnsi="Times New Roman" w:cs="Times New Roman"/>
          <w:color w:val="000000" w:themeColor="text1"/>
          <w:sz w:val="24"/>
          <w:szCs w:val="24"/>
        </w:rPr>
        <w:t>Herawati</w:t>
      </w:r>
      <w:proofErr w:type="spellEnd"/>
      <w:r w:rsidRPr="00AF119B">
        <w:rPr>
          <w:rFonts w:ascii="Times New Roman" w:eastAsia="Times New Roman" w:hAnsi="Times New Roman" w:cs="Times New Roman"/>
          <w:color w:val="000000" w:themeColor="text1"/>
          <w:sz w:val="24"/>
          <w:szCs w:val="24"/>
        </w:rPr>
        <w:t xml:space="preserve"> and Fauzia, 2018, p.25). A ratio of 2:1 </w:t>
      </w:r>
      <w:proofErr w:type="gramStart"/>
      <w:r w:rsidRPr="00AF119B">
        <w:rPr>
          <w:rFonts w:ascii="Times New Roman" w:eastAsia="Times New Roman" w:hAnsi="Times New Roman" w:cs="Times New Roman"/>
          <w:color w:val="000000" w:themeColor="text1"/>
          <w:sz w:val="24"/>
          <w:szCs w:val="24"/>
        </w:rPr>
        <w:t>is considered to be</w:t>
      </w:r>
      <w:proofErr w:type="gramEnd"/>
      <w:r w:rsidRPr="00AF119B">
        <w:rPr>
          <w:rFonts w:ascii="Times New Roman" w:eastAsia="Times New Roman" w:hAnsi="Times New Roman" w:cs="Times New Roman"/>
          <w:color w:val="000000" w:themeColor="text1"/>
          <w:sz w:val="24"/>
          <w:szCs w:val="24"/>
        </w:rPr>
        <w:t xml:space="preserve"> its ideal position during a year. </w:t>
      </w:r>
    </w:p>
    <w:p w14:paraId="3B4B04B9"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In the last year, the respective business is observed to be having a debt balance of £242 that gets increased to £255 in the current year. Additionally, the management is having an equity balance of £300 recorded in 2019 that remains the same in 2020 as well. </w:t>
      </w:r>
    </w:p>
    <w:p w14:paraId="48010399"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performance in the last year is observed to be much better in comparison to its current year as the financial leverage has decreased during the year. The respective business was having a ratio of 0.81:1 in 2019 that gets increased to 0.85:1 in 2020. </w:t>
      </w:r>
    </w:p>
    <w:p w14:paraId="69F3EEFA"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management can improve its ratio by focusing on increasing the issue of market shares that will help them to maximize the value of equity in order to overcome the impact of debt. </w:t>
      </w:r>
    </w:p>
    <w:p w14:paraId="4E23EA53"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b/>
          <w:color w:val="000000" w:themeColor="text1"/>
          <w:sz w:val="24"/>
          <w:szCs w:val="24"/>
        </w:rPr>
        <w:t xml:space="preserve">Interest analysis </w:t>
      </w:r>
    </w:p>
    <w:p w14:paraId="52E15582"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noProof/>
          <w:color w:val="000000" w:themeColor="text1"/>
          <w:sz w:val="24"/>
          <w:szCs w:val="24"/>
        </w:rPr>
        <w:drawing>
          <wp:inline distT="114300" distB="114300" distL="114300" distR="114300" wp14:anchorId="461D58D6" wp14:editId="6EE5F244">
            <wp:extent cx="5943600" cy="825500"/>
            <wp:effectExtent l="0" t="0" r="0" b="0"/>
            <wp:docPr id="277"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8"/>
                    <a:stretch>
                      <a:fillRect/>
                    </a:stretch>
                  </pic:blipFill>
                  <pic:spPr>
                    <a:xfrm>
                      <a:off x="0" y="0"/>
                      <a:ext cx="5943600" cy="825500"/>
                    </a:xfrm>
                    <a:prstGeom prst="rect">
                      <a:avLst/>
                    </a:prstGeom>
                  </pic:spPr>
                </pic:pic>
              </a:graphicData>
            </a:graphic>
          </wp:inline>
        </w:drawing>
      </w:r>
    </w:p>
    <w:p w14:paraId="299A3086" w14:textId="77777777" w:rsidR="00DC3EBD" w:rsidRPr="00AF119B" w:rsidRDefault="00DC3EBD" w:rsidP="00252D61">
      <w:pPr>
        <w:spacing w:line="360" w:lineRule="auto"/>
        <w:jc w:val="center"/>
        <w:rPr>
          <w:rFonts w:ascii="Times New Roman" w:eastAsia="Times New Roman" w:hAnsi="Times New Roman" w:cs="Times New Roman"/>
          <w:b/>
          <w:color w:val="000000" w:themeColor="text1"/>
          <w:sz w:val="24"/>
          <w:szCs w:val="24"/>
        </w:rPr>
      </w:pPr>
      <w:r w:rsidRPr="00AF119B">
        <w:rPr>
          <w:rFonts w:ascii="Times New Roman" w:eastAsia="Times New Roman" w:hAnsi="Times New Roman" w:cs="Times New Roman"/>
          <w:b/>
          <w:color w:val="000000" w:themeColor="text1"/>
          <w:sz w:val="24"/>
          <w:szCs w:val="24"/>
        </w:rPr>
        <w:lastRenderedPageBreak/>
        <w:t>Figure</w:t>
      </w:r>
      <w:r w:rsidR="00E62F09">
        <w:rPr>
          <w:rFonts w:ascii="Times New Roman" w:eastAsia="Times New Roman" w:hAnsi="Times New Roman" w:cs="Times New Roman"/>
          <w:b/>
          <w:color w:val="000000" w:themeColor="text1"/>
          <w:sz w:val="24"/>
          <w:szCs w:val="24"/>
        </w:rPr>
        <w:t xml:space="preserve"> 12</w:t>
      </w:r>
      <w:r w:rsidRPr="00AF119B">
        <w:rPr>
          <w:rFonts w:ascii="Times New Roman" w:eastAsia="Times New Roman" w:hAnsi="Times New Roman" w:cs="Times New Roman"/>
          <w:b/>
          <w:color w:val="000000" w:themeColor="text1"/>
          <w:sz w:val="24"/>
          <w:szCs w:val="24"/>
        </w:rPr>
        <w:t>: calculation</w:t>
      </w:r>
    </w:p>
    <w:p w14:paraId="1B44456C" w14:textId="77777777" w:rsidR="00DC3EBD" w:rsidRPr="00AF119B" w:rsidRDefault="00DC3EBD" w:rsidP="00252D61">
      <w:pPr>
        <w:spacing w:line="360" w:lineRule="auto"/>
        <w:jc w:val="center"/>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(Source: self-developed)</w:t>
      </w:r>
    </w:p>
    <w:p w14:paraId="2527F150"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motive of computing the above ratio is to identify the ability of a business is paying its interest amount with the help of its revenue earned during a year. The higher the value of ratio indicates the business is financially fit and healthy to pay the interest amount easily. </w:t>
      </w:r>
    </w:p>
    <w:p w14:paraId="086162EE"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business is observed to be having revenue earned during the year 2019 is £539 and in 2020 it increases to £620. On the other hand, the company is observed to be having a good revenue that has helped them to increase its interest expenses as well as the value getting increased from £181 to £226. </w:t>
      </w:r>
    </w:p>
    <w:p w14:paraId="1B1D0846"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result is observed to decrease during the year as the interest expenses get increased. The computed result is observed to be 2.98% in the last year that has been decreased to 2.74% in this year. </w:t>
      </w:r>
    </w:p>
    <w:p w14:paraId="43D327AB" w14:textId="77777777" w:rsidR="00DC3EBD" w:rsidRPr="00AF119B" w:rsidRDefault="00DC3EBD" w:rsidP="00252D61">
      <w:pPr>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There are certain methods that can be used by the management to improve the performance of its coverage. The respective business needs to focus on increasing its net income and lowering its cost. </w:t>
      </w:r>
    </w:p>
    <w:p w14:paraId="16A5947B" w14:textId="77777777" w:rsidR="0068372F" w:rsidRPr="00AF119B" w:rsidRDefault="0068372F" w:rsidP="00252D61">
      <w:pPr>
        <w:pStyle w:val="Heading2"/>
      </w:pPr>
      <w:bookmarkStart w:id="6" w:name="_Toc79234000"/>
      <w:r w:rsidRPr="00AF119B">
        <w:t>B. Estimation of performance using the ratio</w:t>
      </w:r>
      <w:bookmarkEnd w:id="6"/>
      <w:r w:rsidRPr="00AF119B">
        <w:t xml:space="preserve"> </w:t>
      </w:r>
    </w:p>
    <w:p w14:paraId="693DDF7D"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estimation of ratio has described the profitability factor and liquidity factor. Value has been also described as the </w:t>
      </w:r>
      <w:proofErr w:type="spellStart"/>
      <w:r w:rsidRPr="00AF119B">
        <w:rPr>
          <w:rFonts w:ascii="Times New Roman" w:eastAsia="Times New Roman" w:hAnsi="Times New Roman" w:cs="Times New Roman"/>
          <w:color w:val="000000" w:themeColor="text1"/>
          <w:sz w:val="24"/>
          <w:szCs w:val="24"/>
        </w:rPr>
        <w:t>perfor</w:t>
      </w:r>
      <w:proofErr w:type="spellEnd"/>
      <w:r w:rsidRPr="00AF119B">
        <w:rPr>
          <w:rFonts w:ascii="Times New Roman" w:eastAsia="Times New Roman" w:hAnsi="Times New Roman" w:cs="Times New Roman"/>
          <w:color w:val="000000" w:themeColor="text1"/>
          <w:sz w:val="24"/>
          <w:szCs w:val="24"/>
        </w:rPr>
        <w:t xml:space="preserve"> over the efficiency of </w:t>
      </w:r>
      <w:proofErr w:type="spellStart"/>
      <w:r w:rsidRPr="00AF119B">
        <w:rPr>
          <w:rFonts w:ascii="Times New Roman" w:eastAsia="Times New Roman" w:hAnsi="Times New Roman" w:cs="Times New Roman"/>
          <w:color w:val="000000" w:themeColor="text1"/>
          <w:sz w:val="24"/>
          <w:szCs w:val="24"/>
        </w:rPr>
        <w:t>Chocco</w:t>
      </w:r>
      <w:proofErr w:type="spellEnd"/>
      <w:r w:rsidRPr="00AF119B">
        <w:rPr>
          <w:rFonts w:ascii="Times New Roman" w:eastAsia="Times New Roman" w:hAnsi="Times New Roman" w:cs="Times New Roman"/>
          <w:color w:val="000000" w:themeColor="text1"/>
          <w:sz w:val="24"/>
          <w:szCs w:val="24"/>
        </w:rPr>
        <w:t xml:space="preserve"> plc. Computing value has found a data margin for the year 2019 to 2020. Valuation has found a higher profitability as per net profit. Return value on the equity margin has also increased from 1.22 to 1.44. It has found efficiency on stock value as well as debtor value. it has described a higher position as per liquidity margin for the years (</w:t>
      </w:r>
      <w:proofErr w:type="spellStart"/>
      <w:proofErr w:type="gramStart"/>
      <w:r w:rsidRPr="00AF119B">
        <w:rPr>
          <w:rFonts w:ascii="Times New Roman" w:eastAsia="Times New Roman" w:hAnsi="Times New Roman" w:cs="Times New Roman"/>
          <w:color w:val="000000" w:themeColor="text1"/>
          <w:sz w:val="24"/>
          <w:szCs w:val="24"/>
          <w:highlight w:val="white"/>
        </w:rPr>
        <w:t>Pražák</w:t>
      </w:r>
      <w:proofErr w:type="spellEnd"/>
      <w:r w:rsidRPr="00AF119B">
        <w:rPr>
          <w:rFonts w:ascii="Times New Roman" w:eastAsia="Times New Roman" w:hAnsi="Times New Roman" w:cs="Times New Roman"/>
          <w:color w:val="000000" w:themeColor="text1"/>
          <w:sz w:val="24"/>
          <w:szCs w:val="24"/>
          <w:highlight w:val="white"/>
        </w:rPr>
        <w:t xml:space="preserve">  and</w:t>
      </w:r>
      <w:proofErr w:type="gramEnd"/>
      <w:r w:rsidRPr="00AF119B">
        <w:rPr>
          <w:rFonts w:ascii="Times New Roman" w:eastAsia="Times New Roman" w:hAnsi="Times New Roman" w:cs="Times New Roman"/>
          <w:color w:val="000000" w:themeColor="text1"/>
          <w:sz w:val="24"/>
          <w:szCs w:val="24"/>
          <w:highlight w:val="white"/>
        </w:rPr>
        <w:t xml:space="preserve"> </w:t>
      </w:r>
      <w:proofErr w:type="spellStart"/>
      <w:r w:rsidRPr="00AF119B">
        <w:rPr>
          <w:rFonts w:ascii="Times New Roman" w:eastAsia="Times New Roman" w:hAnsi="Times New Roman" w:cs="Times New Roman"/>
          <w:color w:val="000000" w:themeColor="text1"/>
          <w:sz w:val="24"/>
          <w:szCs w:val="24"/>
          <w:highlight w:val="white"/>
        </w:rPr>
        <w:t>Stavárek</w:t>
      </w:r>
      <w:proofErr w:type="spellEnd"/>
      <w:r w:rsidRPr="00AF119B">
        <w:rPr>
          <w:rFonts w:ascii="Times New Roman" w:eastAsia="Times New Roman" w:hAnsi="Times New Roman" w:cs="Times New Roman"/>
          <w:color w:val="000000" w:themeColor="text1"/>
          <w:sz w:val="24"/>
          <w:szCs w:val="24"/>
          <w:highlight w:val="white"/>
        </w:rPr>
        <w:t>, 2017, p.32</w:t>
      </w:r>
      <w:r w:rsidRPr="00AF119B">
        <w:rPr>
          <w:rFonts w:ascii="Times New Roman" w:eastAsia="Times New Roman" w:hAnsi="Times New Roman" w:cs="Times New Roman"/>
          <w:color w:val="000000" w:themeColor="text1"/>
          <w:sz w:val="24"/>
          <w:szCs w:val="24"/>
        </w:rPr>
        <w:t xml:space="preserve">). The valuation of performance has increased a position capital employed as per </w:t>
      </w:r>
      <w:r w:rsidR="00DC3EBD" w:rsidRPr="00AF119B">
        <w:rPr>
          <w:rFonts w:ascii="Times New Roman" w:eastAsia="Times New Roman" w:hAnsi="Times New Roman" w:cs="Times New Roman"/>
          <w:color w:val="000000" w:themeColor="text1"/>
          <w:sz w:val="24"/>
          <w:szCs w:val="24"/>
        </w:rPr>
        <w:t>organization</w:t>
      </w:r>
      <w:r w:rsidRPr="00AF119B">
        <w:rPr>
          <w:rFonts w:ascii="Times New Roman" w:eastAsia="Times New Roman" w:hAnsi="Times New Roman" w:cs="Times New Roman"/>
          <w:color w:val="000000" w:themeColor="text1"/>
          <w:sz w:val="24"/>
          <w:szCs w:val="24"/>
        </w:rPr>
        <w:t xml:space="preserve">. Valuation has also highlighted a better position as per earnings as per asset. Performance has also developed as per improving inventory margin for making the valuation. </w:t>
      </w:r>
    </w:p>
    <w:p w14:paraId="05B3B015" w14:textId="77777777" w:rsidR="0068372F" w:rsidRPr="00AF119B" w:rsidRDefault="0068372F" w:rsidP="00252D61">
      <w:pPr>
        <w:pStyle w:val="Heading1"/>
      </w:pPr>
      <w:bookmarkStart w:id="7" w:name="_Toc79234001"/>
      <w:r w:rsidRPr="00AF119B">
        <w:t>Conclusion</w:t>
      </w:r>
      <w:bookmarkEnd w:id="7"/>
      <w:r w:rsidRPr="00AF119B">
        <w:t xml:space="preserve"> </w:t>
      </w:r>
    </w:p>
    <w:p w14:paraId="5976B7CC" w14:textId="77777777" w:rsidR="0068372F" w:rsidRPr="00AF119B" w:rsidRDefault="0068372F"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 xml:space="preserve">The calculation of income statements has been developed for the period. Computation has mainly highlighted the performance of the concern. The statement has mainly developed the earnings for a time period. In this computation, it has described financial positional value for </w:t>
      </w:r>
      <w:proofErr w:type="spellStart"/>
      <w:r w:rsidRPr="00AF119B">
        <w:rPr>
          <w:rFonts w:ascii="Times New Roman" w:eastAsia="Times New Roman" w:hAnsi="Times New Roman" w:cs="Times New Roman"/>
          <w:color w:val="000000" w:themeColor="text1"/>
          <w:sz w:val="24"/>
          <w:szCs w:val="24"/>
        </w:rPr>
        <w:t>Kedison</w:t>
      </w:r>
      <w:proofErr w:type="spellEnd"/>
      <w:r w:rsidRPr="00AF119B">
        <w:rPr>
          <w:rFonts w:ascii="Times New Roman" w:eastAsia="Times New Roman" w:hAnsi="Times New Roman" w:cs="Times New Roman"/>
          <w:color w:val="000000" w:themeColor="text1"/>
          <w:sz w:val="24"/>
          <w:szCs w:val="24"/>
        </w:rPr>
        <w:t xml:space="preserve"> plc. It </w:t>
      </w:r>
      <w:r w:rsidRPr="00AF119B">
        <w:rPr>
          <w:rFonts w:ascii="Times New Roman" w:eastAsia="Times New Roman" w:hAnsi="Times New Roman" w:cs="Times New Roman"/>
          <w:color w:val="000000" w:themeColor="text1"/>
          <w:sz w:val="24"/>
          <w:szCs w:val="24"/>
        </w:rPr>
        <w:lastRenderedPageBreak/>
        <w:t xml:space="preserve">has been used in computing total value over asset and liability margin. In this estimation, it has an estimated ratio margin for making an analysis for investors. It has described profitability </w:t>
      </w:r>
      <w:proofErr w:type="gramStart"/>
      <w:r w:rsidRPr="00AF119B">
        <w:rPr>
          <w:rFonts w:ascii="Times New Roman" w:eastAsia="Times New Roman" w:hAnsi="Times New Roman" w:cs="Times New Roman"/>
          <w:color w:val="000000" w:themeColor="text1"/>
          <w:sz w:val="24"/>
          <w:szCs w:val="24"/>
        </w:rPr>
        <w:t>and also</w:t>
      </w:r>
      <w:proofErr w:type="gramEnd"/>
      <w:r w:rsidRPr="00AF119B">
        <w:rPr>
          <w:rFonts w:ascii="Times New Roman" w:eastAsia="Times New Roman" w:hAnsi="Times New Roman" w:cs="Times New Roman"/>
          <w:color w:val="000000" w:themeColor="text1"/>
          <w:sz w:val="24"/>
          <w:szCs w:val="24"/>
        </w:rPr>
        <w:t xml:space="preserve"> liquidity throughout the year. The value has been described as the previous year's margin. Valuation has also been highlighted in estimating the earnings for the year. The computation has mainly developed price margin throughout the year. It has found a better position as per analysis of profitability factor. Company mainly improved efficiency and investor value as per describing the margin. </w:t>
      </w:r>
    </w:p>
    <w:p w14:paraId="3A75E05B" w14:textId="77777777" w:rsidR="0068372F" w:rsidRPr="00AF119B" w:rsidRDefault="0068372F" w:rsidP="00252D61">
      <w:pPr>
        <w:spacing w:line="360" w:lineRule="auto"/>
        <w:jc w:val="both"/>
        <w:rPr>
          <w:rFonts w:ascii="Times New Roman" w:eastAsia="Times New Roman" w:hAnsi="Times New Roman" w:cs="Times New Roman"/>
          <w:color w:val="000000" w:themeColor="text1"/>
          <w:sz w:val="24"/>
          <w:szCs w:val="24"/>
        </w:rPr>
      </w:pPr>
    </w:p>
    <w:p w14:paraId="572CD554" w14:textId="77777777" w:rsidR="0039136D" w:rsidRPr="00AF119B" w:rsidRDefault="0039136D" w:rsidP="00252D61">
      <w:pPr>
        <w:spacing w:line="360" w:lineRule="auto"/>
        <w:jc w:val="both"/>
        <w:rPr>
          <w:rFonts w:ascii="Times New Roman" w:eastAsia="Times New Roman" w:hAnsi="Times New Roman" w:cs="Times New Roman"/>
          <w:color w:val="000000" w:themeColor="text1"/>
          <w:sz w:val="24"/>
          <w:szCs w:val="24"/>
        </w:rPr>
      </w:pPr>
    </w:p>
    <w:p w14:paraId="6E00E249" w14:textId="77777777" w:rsidR="00142710" w:rsidRDefault="00142710" w:rsidP="00252D61">
      <w:pPr>
        <w:spacing w:line="360" w:lineRule="auto"/>
        <w:rPr>
          <w:rFonts w:ascii="Times New Roman" w:hAnsi="Times New Roman"/>
          <w:b/>
          <w:color w:val="000000" w:themeColor="text1"/>
          <w:sz w:val="24"/>
          <w:szCs w:val="40"/>
        </w:rPr>
      </w:pPr>
      <w:r>
        <w:br w:type="page"/>
      </w:r>
    </w:p>
    <w:p w14:paraId="32F60481" w14:textId="77777777" w:rsidR="001A7F8D" w:rsidRPr="00AF119B" w:rsidRDefault="00697751" w:rsidP="00252D61">
      <w:pPr>
        <w:pStyle w:val="Heading1"/>
      </w:pPr>
      <w:bookmarkStart w:id="8" w:name="_Toc79234002"/>
      <w:r w:rsidRPr="00AF119B">
        <w:lastRenderedPageBreak/>
        <w:t>References</w:t>
      </w:r>
      <w:bookmarkEnd w:id="8"/>
    </w:p>
    <w:p w14:paraId="2317979D" w14:textId="77777777" w:rsidR="009E2612" w:rsidRPr="00AF119B" w:rsidRDefault="009E2612" w:rsidP="00252D61">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rPr>
        <w:t>Berhe</w:t>
      </w:r>
      <w:proofErr w:type="spellEnd"/>
      <w:r w:rsidRPr="00AF119B">
        <w:rPr>
          <w:rFonts w:ascii="Times New Roman" w:eastAsia="Times New Roman" w:hAnsi="Times New Roman" w:cs="Times New Roman"/>
          <w:color w:val="000000" w:themeColor="text1"/>
          <w:sz w:val="24"/>
          <w:szCs w:val="24"/>
        </w:rPr>
        <w:t>, T.A. and Kaur, J., 2017. Determinants of insurance companies’ profitability Analysis of insurance sector in Ethiopia. International journal of research in finance and marketing (IJRFM), 7(4), pp.124-137.</w:t>
      </w:r>
    </w:p>
    <w:p w14:paraId="5B203834" w14:textId="77777777" w:rsidR="009E2612" w:rsidRPr="00AF119B" w:rsidRDefault="009E2612" w:rsidP="00252D61">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highlight w:val="white"/>
        </w:rPr>
        <w:t>Bintara</w:t>
      </w:r>
      <w:proofErr w:type="spellEnd"/>
      <w:r w:rsidRPr="00AF119B">
        <w:rPr>
          <w:rFonts w:ascii="Times New Roman" w:eastAsia="Times New Roman" w:hAnsi="Times New Roman" w:cs="Times New Roman"/>
          <w:color w:val="000000" w:themeColor="text1"/>
          <w:sz w:val="24"/>
          <w:szCs w:val="24"/>
          <w:highlight w:val="white"/>
        </w:rPr>
        <w:t xml:space="preserve">, R., 2020. The Effect of Working Capital, Liquidity and Leverage on Profitability. </w:t>
      </w:r>
      <w:r w:rsidRPr="00AF119B">
        <w:rPr>
          <w:rFonts w:ascii="Times New Roman" w:eastAsia="Times New Roman" w:hAnsi="Times New Roman" w:cs="Times New Roman"/>
          <w:i/>
          <w:color w:val="000000" w:themeColor="text1"/>
          <w:sz w:val="24"/>
          <w:szCs w:val="24"/>
        </w:rPr>
        <w:t>Saudi Journal of Economics and Finance Abbreviated</w:t>
      </w:r>
      <w:r w:rsidRPr="00AF119B">
        <w:rPr>
          <w:rFonts w:ascii="Times New Roman" w:eastAsia="Times New Roman" w:hAnsi="Times New Roman" w:cs="Times New Roman"/>
          <w:color w:val="000000" w:themeColor="text1"/>
          <w:sz w:val="24"/>
          <w:szCs w:val="24"/>
        </w:rPr>
        <w:t xml:space="preserve">, </w:t>
      </w:r>
      <w:r w:rsidRPr="00AF119B">
        <w:rPr>
          <w:rFonts w:ascii="Times New Roman" w:eastAsia="Times New Roman" w:hAnsi="Times New Roman" w:cs="Times New Roman"/>
          <w:i/>
          <w:color w:val="000000" w:themeColor="text1"/>
          <w:sz w:val="24"/>
          <w:szCs w:val="24"/>
        </w:rPr>
        <w:t>4</w:t>
      </w:r>
      <w:r w:rsidRPr="00AF119B">
        <w:rPr>
          <w:rFonts w:ascii="Times New Roman" w:eastAsia="Times New Roman" w:hAnsi="Times New Roman" w:cs="Times New Roman"/>
          <w:color w:val="000000" w:themeColor="text1"/>
          <w:sz w:val="24"/>
          <w:szCs w:val="24"/>
        </w:rPr>
        <w:t>(1), pp.28-35.</w:t>
      </w:r>
    </w:p>
    <w:p w14:paraId="7E18F861"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F119B">
        <w:rPr>
          <w:rFonts w:ascii="Times New Roman" w:eastAsia="Times New Roman" w:hAnsi="Times New Roman" w:cs="Times New Roman"/>
          <w:color w:val="000000" w:themeColor="text1"/>
          <w:sz w:val="24"/>
          <w:szCs w:val="24"/>
          <w:highlight w:val="white"/>
        </w:rPr>
        <w:t>Būmane</w:t>
      </w:r>
      <w:proofErr w:type="spellEnd"/>
      <w:r w:rsidRPr="00AF119B">
        <w:rPr>
          <w:rFonts w:ascii="Times New Roman" w:eastAsia="Times New Roman" w:hAnsi="Times New Roman" w:cs="Times New Roman"/>
          <w:color w:val="000000" w:themeColor="text1"/>
          <w:sz w:val="24"/>
          <w:szCs w:val="24"/>
          <w:highlight w:val="white"/>
        </w:rPr>
        <w:t xml:space="preserve">, I., 2018. The methodology of the statement of comprehensive income and its impact on profitability: the case of Latvia. </w:t>
      </w:r>
      <w:r w:rsidRPr="00AF119B">
        <w:rPr>
          <w:rFonts w:ascii="Times New Roman" w:eastAsia="Times New Roman" w:hAnsi="Times New Roman" w:cs="Times New Roman"/>
          <w:i/>
          <w:color w:val="000000" w:themeColor="text1"/>
          <w:sz w:val="24"/>
          <w:szCs w:val="24"/>
          <w:highlight w:val="white"/>
        </w:rPr>
        <w:t>Entrepreneurship and Sustainability Issues</w:t>
      </w:r>
      <w:r w:rsidRPr="00AF119B">
        <w:rPr>
          <w:rFonts w:ascii="Times New Roman" w:eastAsia="Times New Roman" w:hAnsi="Times New Roman" w:cs="Times New Roman"/>
          <w:color w:val="000000" w:themeColor="text1"/>
          <w:sz w:val="24"/>
          <w:szCs w:val="24"/>
          <w:highlight w:val="white"/>
        </w:rPr>
        <w:t xml:space="preserve">, </w:t>
      </w:r>
      <w:r w:rsidRPr="00AF119B">
        <w:rPr>
          <w:rFonts w:ascii="Times New Roman" w:eastAsia="Times New Roman" w:hAnsi="Times New Roman" w:cs="Times New Roman"/>
          <w:i/>
          <w:color w:val="000000" w:themeColor="text1"/>
          <w:sz w:val="24"/>
          <w:szCs w:val="24"/>
          <w:highlight w:val="white"/>
        </w:rPr>
        <w:t>6</w:t>
      </w:r>
      <w:r w:rsidRPr="00AF119B">
        <w:rPr>
          <w:rFonts w:ascii="Times New Roman" w:eastAsia="Times New Roman" w:hAnsi="Times New Roman" w:cs="Times New Roman"/>
          <w:color w:val="000000" w:themeColor="text1"/>
          <w:sz w:val="24"/>
          <w:szCs w:val="24"/>
          <w:highlight w:val="white"/>
        </w:rPr>
        <w:t>(1), pp.77-86.</w:t>
      </w:r>
    </w:p>
    <w:p w14:paraId="1EFDAB1C"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highlight w:val="white"/>
        </w:rPr>
      </w:pPr>
      <w:r w:rsidRPr="00AF119B">
        <w:rPr>
          <w:rFonts w:ascii="Times New Roman" w:eastAsia="Times New Roman" w:hAnsi="Times New Roman" w:cs="Times New Roman"/>
          <w:color w:val="000000" w:themeColor="text1"/>
          <w:sz w:val="24"/>
          <w:szCs w:val="24"/>
          <w:highlight w:val="white"/>
        </w:rPr>
        <w:t xml:space="preserve">Fantasia, M., 2021. Towards a Criticism of Profit and Loss Account. </w:t>
      </w:r>
      <w:r w:rsidRPr="00AF119B">
        <w:rPr>
          <w:rFonts w:ascii="Times New Roman" w:eastAsia="Times New Roman" w:hAnsi="Times New Roman" w:cs="Times New Roman"/>
          <w:i/>
          <w:color w:val="000000" w:themeColor="text1"/>
          <w:sz w:val="24"/>
          <w:szCs w:val="24"/>
          <w:highlight w:val="white"/>
        </w:rPr>
        <w:t>Accounting and Management Information Systems AMIS 2021</w:t>
      </w:r>
      <w:r w:rsidRPr="00AF119B">
        <w:rPr>
          <w:rFonts w:ascii="Times New Roman" w:eastAsia="Times New Roman" w:hAnsi="Times New Roman" w:cs="Times New Roman"/>
          <w:color w:val="000000" w:themeColor="text1"/>
          <w:sz w:val="24"/>
          <w:szCs w:val="24"/>
          <w:highlight w:val="white"/>
        </w:rPr>
        <w:t>, p.208.</w:t>
      </w:r>
    </w:p>
    <w:p w14:paraId="049A0D0B"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rPr>
        <w:t>Herawati</w:t>
      </w:r>
      <w:proofErr w:type="spellEnd"/>
      <w:r w:rsidRPr="00AF119B">
        <w:rPr>
          <w:rFonts w:ascii="Times New Roman" w:eastAsia="Times New Roman" w:hAnsi="Times New Roman" w:cs="Times New Roman"/>
          <w:color w:val="000000" w:themeColor="text1"/>
          <w:sz w:val="24"/>
          <w:szCs w:val="24"/>
        </w:rPr>
        <w:t xml:space="preserve">, A. and Fauzia, F.I., 2018. The Effect of Current Ratio, Debt to Equity Ratio, and Return on Asset on Dividend Payout Ratio in Sub-sector Automotive and Component Listed in Indonesia Stock Exchange in Period 2012–2016. </w:t>
      </w:r>
      <w:proofErr w:type="spellStart"/>
      <w:r w:rsidRPr="00AF119B">
        <w:rPr>
          <w:rFonts w:ascii="Times New Roman" w:eastAsia="Times New Roman" w:hAnsi="Times New Roman" w:cs="Times New Roman"/>
          <w:color w:val="000000" w:themeColor="text1"/>
          <w:sz w:val="24"/>
          <w:szCs w:val="24"/>
        </w:rPr>
        <w:t>KnE</w:t>
      </w:r>
      <w:proofErr w:type="spellEnd"/>
      <w:r w:rsidRPr="00AF119B">
        <w:rPr>
          <w:rFonts w:ascii="Times New Roman" w:eastAsia="Times New Roman" w:hAnsi="Times New Roman" w:cs="Times New Roman"/>
          <w:color w:val="000000" w:themeColor="text1"/>
          <w:sz w:val="24"/>
          <w:szCs w:val="24"/>
        </w:rPr>
        <w:t xml:space="preserve"> Social Sciences.</w:t>
      </w:r>
    </w:p>
    <w:p w14:paraId="24F3177E" w14:textId="77777777" w:rsidR="009E2612" w:rsidRPr="00AF119B" w:rsidRDefault="009E2612" w:rsidP="00252D61">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rPr>
        <w:t>Hirindu</w:t>
      </w:r>
      <w:proofErr w:type="spellEnd"/>
      <w:r w:rsidRPr="00AF119B">
        <w:rPr>
          <w:rFonts w:ascii="Times New Roman" w:eastAsia="Times New Roman" w:hAnsi="Times New Roman" w:cs="Times New Roman"/>
          <w:color w:val="000000" w:themeColor="text1"/>
          <w:sz w:val="24"/>
          <w:szCs w:val="24"/>
        </w:rPr>
        <w:t xml:space="preserve"> </w:t>
      </w:r>
      <w:proofErr w:type="spellStart"/>
      <w:r w:rsidRPr="00AF119B">
        <w:rPr>
          <w:rFonts w:ascii="Times New Roman" w:eastAsia="Times New Roman" w:hAnsi="Times New Roman" w:cs="Times New Roman"/>
          <w:color w:val="000000" w:themeColor="text1"/>
          <w:sz w:val="24"/>
          <w:szCs w:val="24"/>
        </w:rPr>
        <w:t>Kawshala</w:t>
      </w:r>
      <w:proofErr w:type="spellEnd"/>
      <w:r w:rsidRPr="00AF119B">
        <w:rPr>
          <w:rFonts w:ascii="Times New Roman" w:eastAsia="Times New Roman" w:hAnsi="Times New Roman" w:cs="Times New Roman"/>
          <w:color w:val="000000" w:themeColor="text1"/>
          <w:sz w:val="24"/>
          <w:szCs w:val="24"/>
        </w:rPr>
        <w:t>, K., 2017. The factors effecting on bank profitability. International Journal of Scientific and Research Publications, 7(2), pp.212-216.</w:t>
      </w:r>
    </w:p>
    <w:p w14:paraId="1CD914F7"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rPr>
        <w:t>Nuryani</w:t>
      </w:r>
      <w:proofErr w:type="spellEnd"/>
      <w:r w:rsidRPr="00AF119B">
        <w:rPr>
          <w:rFonts w:ascii="Times New Roman" w:eastAsia="Times New Roman" w:hAnsi="Times New Roman" w:cs="Times New Roman"/>
          <w:color w:val="000000" w:themeColor="text1"/>
          <w:sz w:val="24"/>
          <w:szCs w:val="24"/>
        </w:rPr>
        <w:t xml:space="preserve">, Y. and </w:t>
      </w:r>
      <w:proofErr w:type="spellStart"/>
      <w:r w:rsidRPr="00AF119B">
        <w:rPr>
          <w:rFonts w:ascii="Times New Roman" w:eastAsia="Times New Roman" w:hAnsi="Times New Roman" w:cs="Times New Roman"/>
          <w:color w:val="000000" w:themeColor="text1"/>
          <w:sz w:val="24"/>
          <w:szCs w:val="24"/>
        </w:rPr>
        <w:t>Sunarsi</w:t>
      </w:r>
      <w:proofErr w:type="spellEnd"/>
      <w:r w:rsidRPr="00AF119B">
        <w:rPr>
          <w:rFonts w:ascii="Times New Roman" w:eastAsia="Times New Roman" w:hAnsi="Times New Roman" w:cs="Times New Roman"/>
          <w:color w:val="000000" w:themeColor="text1"/>
          <w:sz w:val="24"/>
          <w:szCs w:val="24"/>
        </w:rPr>
        <w:t xml:space="preserve">, D., 2020. The Effect of Current Ratio and Debt to Equity Ratio on </w:t>
      </w:r>
      <w:proofErr w:type="spellStart"/>
      <w:r w:rsidRPr="00AF119B">
        <w:rPr>
          <w:rFonts w:ascii="Times New Roman" w:eastAsia="Times New Roman" w:hAnsi="Times New Roman" w:cs="Times New Roman"/>
          <w:color w:val="000000" w:themeColor="text1"/>
          <w:sz w:val="24"/>
          <w:szCs w:val="24"/>
        </w:rPr>
        <w:t>Deviding</w:t>
      </w:r>
      <w:proofErr w:type="spellEnd"/>
      <w:r w:rsidRPr="00AF119B">
        <w:rPr>
          <w:rFonts w:ascii="Times New Roman" w:eastAsia="Times New Roman" w:hAnsi="Times New Roman" w:cs="Times New Roman"/>
          <w:color w:val="000000" w:themeColor="text1"/>
          <w:sz w:val="24"/>
          <w:szCs w:val="24"/>
        </w:rPr>
        <w:t xml:space="preserve"> Growth. </w:t>
      </w:r>
      <w:proofErr w:type="spellStart"/>
      <w:r w:rsidRPr="00AF119B">
        <w:rPr>
          <w:rFonts w:ascii="Times New Roman" w:eastAsia="Times New Roman" w:hAnsi="Times New Roman" w:cs="Times New Roman"/>
          <w:color w:val="000000" w:themeColor="text1"/>
          <w:sz w:val="24"/>
          <w:szCs w:val="24"/>
        </w:rPr>
        <w:t>JASa</w:t>
      </w:r>
      <w:proofErr w:type="spellEnd"/>
      <w:r w:rsidRPr="00AF119B">
        <w:rPr>
          <w:rFonts w:ascii="Times New Roman" w:eastAsia="Times New Roman" w:hAnsi="Times New Roman" w:cs="Times New Roman"/>
          <w:color w:val="000000" w:themeColor="text1"/>
          <w:sz w:val="24"/>
          <w:szCs w:val="24"/>
        </w:rPr>
        <w:t xml:space="preserve"> (</w:t>
      </w:r>
      <w:proofErr w:type="spellStart"/>
      <w:r w:rsidRPr="00AF119B">
        <w:rPr>
          <w:rFonts w:ascii="Times New Roman" w:eastAsia="Times New Roman" w:hAnsi="Times New Roman" w:cs="Times New Roman"/>
          <w:color w:val="000000" w:themeColor="text1"/>
          <w:sz w:val="24"/>
          <w:szCs w:val="24"/>
        </w:rPr>
        <w:t>JurnalAkuntansi</w:t>
      </w:r>
      <w:proofErr w:type="spellEnd"/>
      <w:r w:rsidRPr="00AF119B">
        <w:rPr>
          <w:rFonts w:ascii="Times New Roman" w:eastAsia="Times New Roman" w:hAnsi="Times New Roman" w:cs="Times New Roman"/>
          <w:color w:val="000000" w:themeColor="text1"/>
          <w:sz w:val="24"/>
          <w:szCs w:val="24"/>
        </w:rPr>
        <w:t xml:space="preserve">, Audit dan </w:t>
      </w:r>
      <w:proofErr w:type="spellStart"/>
      <w:r w:rsidRPr="00AF119B">
        <w:rPr>
          <w:rFonts w:ascii="Times New Roman" w:eastAsia="Times New Roman" w:hAnsi="Times New Roman" w:cs="Times New Roman"/>
          <w:color w:val="000000" w:themeColor="text1"/>
          <w:sz w:val="24"/>
          <w:szCs w:val="24"/>
        </w:rPr>
        <w:t>SistemInformasiAkuntansi</w:t>
      </w:r>
      <w:proofErr w:type="spellEnd"/>
      <w:r w:rsidRPr="00AF119B">
        <w:rPr>
          <w:rFonts w:ascii="Times New Roman" w:eastAsia="Times New Roman" w:hAnsi="Times New Roman" w:cs="Times New Roman"/>
          <w:color w:val="000000" w:themeColor="text1"/>
          <w:sz w:val="24"/>
          <w:szCs w:val="24"/>
        </w:rPr>
        <w:t>), 4(2), pp.304-312.</w:t>
      </w:r>
    </w:p>
    <w:p w14:paraId="4F06198D"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F119B">
        <w:rPr>
          <w:rFonts w:ascii="Times New Roman" w:eastAsia="Times New Roman" w:hAnsi="Times New Roman" w:cs="Times New Roman"/>
          <w:color w:val="000000" w:themeColor="text1"/>
          <w:sz w:val="24"/>
          <w:szCs w:val="24"/>
          <w:highlight w:val="white"/>
        </w:rPr>
        <w:t>Pakšiová</w:t>
      </w:r>
      <w:proofErr w:type="spellEnd"/>
      <w:r w:rsidRPr="00AF119B">
        <w:rPr>
          <w:rFonts w:ascii="Times New Roman" w:eastAsia="Times New Roman" w:hAnsi="Times New Roman" w:cs="Times New Roman"/>
          <w:color w:val="000000" w:themeColor="text1"/>
          <w:sz w:val="24"/>
          <w:szCs w:val="24"/>
          <w:highlight w:val="white"/>
        </w:rPr>
        <w:t xml:space="preserve">, R., 2017. The Critical analysis of profit for its allocation decision-making. </w:t>
      </w:r>
      <w:r w:rsidRPr="00AF119B">
        <w:rPr>
          <w:rFonts w:ascii="Times New Roman" w:eastAsia="Times New Roman" w:hAnsi="Times New Roman" w:cs="Times New Roman"/>
          <w:i/>
          <w:color w:val="000000" w:themeColor="text1"/>
          <w:sz w:val="24"/>
          <w:szCs w:val="24"/>
          <w:highlight w:val="white"/>
        </w:rPr>
        <w:t>Scientific Annals of Economics and Business</w:t>
      </w:r>
      <w:r w:rsidRPr="00AF119B">
        <w:rPr>
          <w:rFonts w:ascii="Times New Roman" w:eastAsia="Times New Roman" w:hAnsi="Times New Roman" w:cs="Times New Roman"/>
          <w:color w:val="000000" w:themeColor="text1"/>
          <w:sz w:val="24"/>
          <w:szCs w:val="24"/>
          <w:highlight w:val="white"/>
        </w:rPr>
        <w:t xml:space="preserve">, </w:t>
      </w:r>
      <w:r w:rsidRPr="00AF119B">
        <w:rPr>
          <w:rFonts w:ascii="Times New Roman" w:eastAsia="Times New Roman" w:hAnsi="Times New Roman" w:cs="Times New Roman"/>
          <w:i/>
          <w:color w:val="000000" w:themeColor="text1"/>
          <w:sz w:val="24"/>
          <w:szCs w:val="24"/>
          <w:highlight w:val="white"/>
        </w:rPr>
        <w:t>64</w:t>
      </w:r>
      <w:r w:rsidRPr="00AF119B">
        <w:rPr>
          <w:rFonts w:ascii="Times New Roman" w:eastAsia="Times New Roman" w:hAnsi="Times New Roman" w:cs="Times New Roman"/>
          <w:color w:val="000000" w:themeColor="text1"/>
          <w:sz w:val="24"/>
          <w:szCs w:val="24"/>
          <w:highlight w:val="white"/>
        </w:rPr>
        <w:t>(Special), pp.41-56.</w:t>
      </w:r>
    </w:p>
    <w:p w14:paraId="380F1D8D" w14:textId="77777777" w:rsidR="009E2612" w:rsidRPr="00AF119B" w:rsidRDefault="009E2612" w:rsidP="00252D61">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F119B">
        <w:rPr>
          <w:rFonts w:ascii="Times New Roman" w:eastAsia="Times New Roman" w:hAnsi="Times New Roman" w:cs="Times New Roman"/>
          <w:color w:val="000000" w:themeColor="text1"/>
          <w:sz w:val="24"/>
          <w:szCs w:val="24"/>
        </w:rPr>
        <w:t>Pražák</w:t>
      </w:r>
      <w:proofErr w:type="spellEnd"/>
      <w:r w:rsidRPr="00AF119B">
        <w:rPr>
          <w:rFonts w:ascii="Times New Roman" w:eastAsia="Times New Roman" w:hAnsi="Times New Roman" w:cs="Times New Roman"/>
          <w:color w:val="000000" w:themeColor="text1"/>
          <w:sz w:val="24"/>
          <w:szCs w:val="24"/>
        </w:rPr>
        <w:t xml:space="preserve">, T. and </w:t>
      </w:r>
      <w:proofErr w:type="spellStart"/>
      <w:r w:rsidRPr="00AF119B">
        <w:rPr>
          <w:rFonts w:ascii="Times New Roman" w:eastAsia="Times New Roman" w:hAnsi="Times New Roman" w:cs="Times New Roman"/>
          <w:color w:val="000000" w:themeColor="text1"/>
          <w:sz w:val="24"/>
          <w:szCs w:val="24"/>
        </w:rPr>
        <w:t>Stavárek</w:t>
      </w:r>
      <w:proofErr w:type="spellEnd"/>
      <w:r w:rsidRPr="00AF119B">
        <w:rPr>
          <w:rFonts w:ascii="Times New Roman" w:eastAsia="Times New Roman" w:hAnsi="Times New Roman" w:cs="Times New Roman"/>
          <w:color w:val="000000" w:themeColor="text1"/>
          <w:sz w:val="24"/>
          <w:szCs w:val="24"/>
        </w:rPr>
        <w:t>, D., 2017. The effect of financial ratios on the stock price development.</w:t>
      </w:r>
    </w:p>
    <w:p w14:paraId="36ED7035"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highlight w:val="white"/>
        </w:rPr>
      </w:pPr>
      <w:r w:rsidRPr="00AF119B">
        <w:rPr>
          <w:rFonts w:ascii="Times New Roman" w:eastAsia="Times New Roman" w:hAnsi="Times New Roman" w:cs="Times New Roman"/>
          <w:color w:val="000000" w:themeColor="text1"/>
          <w:sz w:val="24"/>
          <w:szCs w:val="24"/>
          <w:highlight w:val="white"/>
        </w:rPr>
        <w:t xml:space="preserve">Rodrigues, D. and </w:t>
      </w:r>
      <w:proofErr w:type="spellStart"/>
      <w:r w:rsidRPr="00AF119B">
        <w:rPr>
          <w:rFonts w:ascii="Times New Roman" w:eastAsia="Times New Roman" w:hAnsi="Times New Roman" w:cs="Times New Roman"/>
          <w:color w:val="000000" w:themeColor="text1"/>
          <w:sz w:val="24"/>
          <w:szCs w:val="24"/>
          <w:highlight w:val="white"/>
        </w:rPr>
        <w:t>Dâmaso</w:t>
      </w:r>
      <w:proofErr w:type="spellEnd"/>
      <w:r w:rsidRPr="00AF119B">
        <w:rPr>
          <w:rFonts w:ascii="Times New Roman" w:eastAsia="Times New Roman" w:hAnsi="Times New Roman" w:cs="Times New Roman"/>
          <w:color w:val="000000" w:themeColor="text1"/>
          <w:sz w:val="24"/>
          <w:szCs w:val="24"/>
          <w:highlight w:val="white"/>
        </w:rPr>
        <w:t xml:space="preserve">, M., 2020. Comparison of the level of disclosure of elements of the statement of financial position of the PSI-20 entities. </w:t>
      </w:r>
      <w:r w:rsidRPr="00AF119B">
        <w:rPr>
          <w:rFonts w:ascii="Times New Roman" w:eastAsia="Times New Roman" w:hAnsi="Times New Roman" w:cs="Times New Roman"/>
          <w:i/>
          <w:color w:val="000000" w:themeColor="text1"/>
          <w:sz w:val="24"/>
          <w:szCs w:val="24"/>
          <w:highlight w:val="white"/>
        </w:rPr>
        <w:t>VOLTO JÁ–SENIOR EXCHANGE PROGRAM: FROM IDEA TO IMPLEMENTATION..............</w:t>
      </w:r>
      <w:r w:rsidRPr="00AF119B">
        <w:rPr>
          <w:rFonts w:ascii="Times New Roman" w:eastAsia="Times New Roman" w:hAnsi="Times New Roman" w:cs="Times New Roman"/>
          <w:color w:val="000000" w:themeColor="text1"/>
          <w:sz w:val="24"/>
          <w:szCs w:val="24"/>
          <w:highlight w:val="white"/>
        </w:rPr>
        <w:t>, p.79.</w:t>
      </w:r>
    </w:p>
    <w:p w14:paraId="4DF66DC1"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F119B">
        <w:rPr>
          <w:rFonts w:ascii="Times New Roman" w:eastAsia="Times New Roman" w:hAnsi="Times New Roman" w:cs="Times New Roman"/>
          <w:color w:val="000000" w:themeColor="text1"/>
          <w:sz w:val="24"/>
          <w:szCs w:val="24"/>
          <w:highlight w:val="white"/>
        </w:rPr>
        <w:t>Seifzadeh</w:t>
      </w:r>
      <w:proofErr w:type="spellEnd"/>
      <w:r w:rsidRPr="00AF119B">
        <w:rPr>
          <w:rFonts w:ascii="Times New Roman" w:eastAsia="Times New Roman" w:hAnsi="Times New Roman" w:cs="Times New Roman"/>
          <w:color w:val="000000" w:themeColor="text1"/>
          <w:sz w:val="24"/>
          <w:szCs w:val="24"/>
          <w:highlight w:val="white"/>
        </w:rPr>
        <w:t xml:space="preserve">, M., 2020. The Relationship between Corporate Governance and Volatility of Profit and Loss Components. </w:t>
      </w:r>
      <w:r w:rsidRPr="00AF119B">
        <w:rPr>
          <w:rFonts w:ascii="Times New Roman" w:eastAsia="Times New Roman" w:hAnsi="Times New Roman" w:cs="Times New Roman"/>
          <w:i/>
          <w:color w:val="000000" w:themeColor="text1"/>
          <w:sz w:val="24"/>
          <w:szCs w:val="24"/>
          <w:highlight w:val="white"/>
        </w:rPr>
        <w:t>Iranian Journal of Accounting, Auditing, and Finance</w:t>
      </w:r>
      <w:r w:rsidRPr="00AF119B">
        <w:rPr>
          <w:rFonts w:ascii="Times New Roman" w:eastAsia="Times New Roman" w:hAnsi="Times New Roman" w:cs="Times New Roman"/>
          <w:color w:val="000000" w:themeColor="text1"/>
          <w:sz w:val="24"/>
          <w:szCs w:val="24"/>
          <w:highlight w:val="white"/>
        </w:rPr>
        <w:t xml:space="preserve">, </w:t>
      </w:r>
      <w:r w:rsidRPr="00AF119B">
        <w:rPr>
          <w:rFonts w:ascii="Times New Roman" w:eastAsia="Times New Roman" w:hAnsi="Times New Roman" w:cs="Times New Roman"/>
          <w:i/>
          <w:color w:val="000000" w:themeColor="text1"/>
          <w:sz w:val="24"/>
          <w:szCs w:val="24"/>
          <w:highlight w:val="white"/>
        </w:rPr>
        <w:t>4</w:t>
      </w:r>
      <w:r w:rsidRPr="00AF119B">
        <w:rPr>
          <w:rFonts w:ascii="Times New Roman" w:eastAsia="Times New Roman" w:hAnsi="Times New Roman" w:cs="Times New Roman"/>
          <w:color w:val="000000" w:themeColor="text1"/>
          <w:sz w:val="24"/>
          <w:szCs w:val="24"/>
          <w:highlight w:val="white"/>
        </w:rPr>
        <w:t>(1), pp.49-63.</w:t>
      </w:r>
    </w:p>
    <w:p w14:paraId="01DD706A" w14:textId="77777777" w:rsidR="009E2612" w:rsidRPr="00AF119B" w:rsidRDefault="009E2612" w:rsidP="00252D61">
      <w:pPr>
        <w:pStyle w:val="Normal1"/>
        <w:spacing w:line="360" w:lineRule="auto"/>
        <w:jc w:val="both"/>
        <w:rPr>
          <w:rFonts w:ascii="Times New Roman" w:eastAsia="Times New Roman" w:hAnsi="Times New Roman" w:cs="Times New Roman"/>
          <w:color w:val="000000" w:themeColor="text1"/>
          <w:sz w:val="24"/>
          <w:szCs w:val="24"/>
        </w:rPr>
      </w:pPr>
      <w:r w:rsidRPr="00AF119B">
        <w:rPr>
          <w:rFonts w:ascii="Times New Roman" w:eastAsia="Times New Roman" w:hAnsi="Times New Roman" w:cs="Times New Roman"/>
          <w:color w:val="000000" w:themeColor="text1"/>
          <w:sz w:val="24"/>
          <w:szCs w:val="24"/>
        </w:rPr>
        <w:t>Tabash, M.I. and Hassan, H.I., 2017. Liquidity, profitability and solvency of UAE banks: a comparative study of commercial and Islamic banks. Academy of Accounting and Financial Studies Journal, 21(2), pp.1-15.</w:t>
      </w:r>
    </w:p>
    <w:p w14:paraId="272E4A2E" w14:textId="77777777" w:rsidR="009E2612" w:rsidRPr="00AF119B" w:rsidRDefault="009E2612" w:rsidP="00252D61">
      <w:pPr>
        <w:spacing w:line="360" w:lineRule="auto"/>
        <w:jc w:val="both"/>
        <w:rPr>
          <w:rFonts w:ascii="Times New Roman" w:eastAsia="Times New Roman" w:hAnsi="Times New Roman" w:cs="Times New Roman"/>
          <w:color w:val="000000" w:themeColor="text1"/>
          <w:sz w:val="24"/>
          <w:szCs w:val="24"/>
        </w:rPr>
      </w:pPr>
    </w:p>
    <w:p w14:paraId="35E09EFB" w14:textId="77777777" w:rsidR="001A7F8D" w:rsidRPr="00AF119B" w:rsidRDefault="00697751" w:rsidP="00252D61">
      <w:pPr>
        <w:pStyle w:val="Heading1"/>
        <w:rPr>
          <w:highlight w:val="white"/>
        </w:rPr>
      </w:pPr>
      <w:bookmarkStart w:id="9" w:name="_Toc79234003"/>
      <w:r w:rsidRPr="00AF119B">
        <w:rPr>
          <w:highlight w:val="white"/>
        </w:rPr>
        <w:lastRenderedPageBreak/>
        <w:t>Bibliography</w:t>
      </w:r>
      <w:bookmarkEnd w:id="9"/>
    </w:p>
    <w:p w14:paraId="053FCC9E" w14:textId="77777777" w:rsidR="004D58B5" w:rsidRPr="00AF119B" w:rsidRDefault="004D58B5" w:rsidP="00252D61">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F119B">
        <w:rPr>
          <w:rFonts w:ascii="Times New Roman" w:eastAsia="Times New Roman" w:hAnsi="Times New Roman" w:cs="Times New Roman"/>
          <w:color w:val="000000" w:themeColor="text1"/>
          <w:sz w:val="24"/>
          <w:szCs w:val="24"/>
          <w:highlight w:val="white"/>
        </w:rPr>
        <w:t>Karaömer</w:t>
      </w:r>
      <w:proofErr w:type="spellEnd"/>
      <w:r w:rsidRPr="00AF119B">
        <w:rPr>
          <w:rFonts w:ascii="Times New Roman" w:eastAsia="Times New Roman" w:hAnsi="Times New Roman" w:cs="Times New Roman"/>
          <w:color w:val="000000" w:themeColor="text1"/>
          <w:sz w:val="24"/>
          <w:szCs w:val="24"/>
          <w:highlight w:val="white"/>
        </w:rPr>
        <w:t xml:space="preserve">, Y. and </w:t>
      </w:r>
      <w:proofErr w:type="spellStart"/>
      <w:r w:rsidRPr="00AF119B">
        <w:rPr>
          <w:rFonts w:ascii="Times New Roman" w:eastAsia="Times New Roman" w:hAnsi="Times New Roman" w:cs="Times New Roman"/>
          <w:color w:val="000000" w:themeColor="text1"/>
          <w:sz w:val="24"/>
          <w:szCs w:val="24"/>
          <w:highlight w:val="white"/>
        </w:rPr>
        <w:t>Özbirecikli</w:t>
      </w:r>
      <w:proofErr w:type="spellEnd"/>
      <w:r w:rsidRPr="00AF119B">
        <w:rPr>
          <w:rFonts w:ascii="Times New Roman" w:eastAsia="Times New Roman" w:hAnsi="Times New Roman" w:cs="Times New Roman"/>
          <w:color w:val="000000" w:themeColor="text1"/>
          <w:sz w:val="24"/>
          <w:szCs w:val="24"/>
          <w:highlight w:val="white"/>
        </w:rPr>
        <w:t>, M., 2019. Effects Of financial reporting differences between BOBI FRS and MSUGT On financial statement analysis: An investigation on financial structure ratios.</w:t>
      </w:r>
    </w:p>
    <w:p w14:paraId="7B997D2C" w14:textId="77777777" w:rsidR="004D58B5" w:rsidRPr="00AF119B" w:rsidRDefault="004D58B5" w:rsidP="00252D61">
      <w:pPr>
        <w:spacing w:line="360" w:lineRule="auto"/>
        <w:jc w:val="both"/>
        <w:rPr>
          <w:rFonts w:ascii="Times New Roman" w:eastAsia="Times New Roman" w:hAnsi="Times New Roman" w:cs="Times New Roman"/>
          <w:color w:val="000000" w:themeColor="text1"/>
          <w:sz w:val="24"/>
          <w:szCs w:val="24"/>
          <w:highlight w:val="white"/>
        </w:rPr>
      </w:pPr>
      <w:r w:rsidRPr="00AF119B">
        <w:rPr>
          <w:rFonts w:ascii="Times New Roman" w:eastAsia="Times New Roman" w:hAnsi="Times New Roman" w:cs="Times New Roman"/>
          <w:color w:val="000000" w:themeColor="text1"/>
          <w:sz w:val="24"/>
          <w:szCs w:val="24"/>
          <w:highlight w:val="white"/>
        </w:rPr>
        <w:t>ODO, J.O., and UDEH, S.N., 2017. FINAL ACCOUNTS: STATEMENT OF FINANCIAL POSITION.</w:t>
      </w:r>
    </w:p>
    <w:p w14:paraId="4A63EE87" w14:textId="77777777" w:rsidR="001A7F8D" w:rsidRPr="00AF119B" w:rsidRDefault="001A7F8D" w:rsidP="00252D61">
      <w:pPr>
        <w:spacing w:line="360" w:lineRule="auto"/>
        <w:jc w:val="both"/>
        <w:rPr>
          <w:rFonts w:ascii="Times New Roman" w:eastAsia="Times New Roman" w:hAnsi="Times New Roman" w:cs="Times New Roman"/>
          <w:color w:val="000000" w:themeColor="text1"/>
          <w:sz w:val="24"/>
          <w:szCs w:val="24"/>
        </w:rPr>
      </w:pPr>
    </w:p>
    <w:sectPr w:rsidR="001A7F8D" w:rsidRPr="00AF119B" w:rsidSect="00A77F21">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AEC03" w14:textId="77777777" w:rsidR="007108DE" w:rsidRDefault="007108DE" w:rsidP="00A77F21">
      <w:pPr>
        <w:spacing w:line="240" w:lineRule="auto"/>
      </w:pPr>
      <w:r>
        <w:separator/>
      </w:r>
    </w:p>
  </w:endnote>
  <w:endnote w:type="continuationSeparator" w:id="0">
    <w:p w14:paraId="1453BE5F" w14:textId="77777777" w:rsidR="007108DE" w:rsidRDefault="007108DE" w:rsidP="00A77F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271959"/>
      <w:docPartObj>
        <w:docPartGallery w:val="Page Numbers (Bottom of Page)"/>
        <w:docPartUnique/>
      </w:docPartObj>
    </w:sdtPr>
    <w:sdtEndPr>
      <w:rPr>
        <w:noProof/>
      </w:rPr>
    </w:sdtEndPr>
    <w:sdtContent>
      <w:p w14:paraId="020DD376" w14:textId="77777777" w:rsidR="00A77F21" w:rsidRDefault="009847E8">
        <w:pPr>
          <w:pStyle w:val="Footer"/>
          <w:jc w:val="right"/>
        </w:pPr>
        <w:r>
          <w:fldChar w:fldCharType="begin"/>
        </w:r>
        <w:r w:rsidR="00A77F21">
          <w:instrText xml:space="preserve"> PAGE   \* MERGEFORMAT </w:instrText>
        </w:r>
        <w:r>
          <w:fldChar w:fldCharType="separate"/>
        </w:r>
        <w:r w:rsidR="00260666">
          <w:rPr>
            <w:noProof/>
          </w:rPr>
          <w:t>13</w:t>
        </w:r>
        <w:r>
          <w:rPr>
            <w:noProof/>
          </w:rPr>
          <w:fldChar w:fldCharType="end"/>
        </w:r>
      </w:p>
    </w:sdtContent>
  </w:sdt>
  <w:p w14:paraId="677602BF" w14:textId="77777777" w:rsidR="00A77F21" w:rsidRDefault="00A77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C0375" w14:textId="77777777" w:rsidR="007108DE" w:rsidRDefault="007108DE" w:rsidP="00A77F21">
      <w:pPr>
        <w:spacing w:line="240" w:lineRule="auto"/>
      </w:pPr>
      <w:r>
        <w:separator/>
      </w:r>
    </w:p>
  </w:footnote>
  <w:footnote w:type="continuationSeparator" w:id="0">
    <w:p w14:paraId="30B93CFF" w14:textId="77777777" w:rsidR="007108DE" w:rsidRDefault="007108DE" w:rsidP="00A77F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8D"/>
    <w:rsid w:val="0001649C"/>
    <w:rsid w:val="00070A33"/>
    <w:rsid w:val="000A05A5"/>
    <w:rsid w:val="00142710"/>
    <w:rsid w:val="001A7F8D"/>
    <w:rsid w:val="00227970"/>
    <w:rsid w:val="00252D61"/>
    <w:rsid w:val="00260666"/>
    <w:rsid w:val="00274B73"/>
    <w:rsid w:val="00281A96"/>
    <w:rsid w:val="00365C63"/>
    <w:rsid w:val="0039136D"/>
    <w:rsid w:val="003D6EEF"/>
    <w:rsid w:val="004B6122"/>
    <w:rsid w:val="004D58B5"/>
    <w:rsid w:val="005C7165"/>
    <w:rsid w:val="00636806"/>
    <w:rsid w:val="0068372F"/>
    <w:rsid w:val="00697751"/>
    <w:rsid w:val="007108DE"/>
    <w:rsid w:val="007447C7"/>
    <w:rsid w:val="00803FE4"/>
    <w:rsid w:val="0089563E"/>
    <w:rsid w:val="008D69ED"/>
    <w:rsid w:val="00924B43"/>
    <w:rsid w:val="009847E8"/>
    <w:rsid w:val="009E2612"/>
    <w:rsid w:val="00A77F21"/>
    <w:rsid w:val="00AA6F18"/>
    <w:rsid w:val="00AF119B"/>
    <w:rsid w:val="00B15B06"/>
    <w:rsid w:val="00B64D10"/>
    <w:rsid w:val="00C34FAC"/>
    <w:rsid w:val="00CC3CD2"/>
    <w:rsid w:val="00D36FA2"/>
    <w:rsid w:val="00D942EC"/>
    <w:rsid w:val="00DC3EBD"/>
    <w:rsid w:val="00DD2C55"/>
    <w:rsid w:val="00E62F09"/>
    <w:rsid w:val="00F81545"/>
    <w:rsid w:val="00FA46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B4B95"/>
  <w15:docId w15:val="{6B479B04-FA50-FE4D-AFBE-B14545494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A4624"/>
  </w:style>
  <w:style w:type="paragraph" w:styleId="Heading1">
    <w:name w:val="heading 1"/>
    <w:basedOn w:val="Normal"/>
    <w:next w:val="Normal"/>
    <w:rsid w:val="005C716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5C716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FA4624"/>
    <w:pPr>
      <w:keepNext/>
      <w:keepLines/>
      <w:spacing w:before="320" w:after="80"/>
      <w:outlineLvl w:val="2"/>
    </w:pPr>
    <w:rPr>
      <w:color w:val="434343"/>
      <w:sz w:val="28"/>
      <w:szCs w:val="28"/>
    </w:rPr>
  </w:style>
  <w:style w:type="paragraph" w:styleId="Heading4">
    <w:name w:val="heading 4"/>
    <w:basedOn w:val="Normal"/>
    <w:next w:val="Normal"/>
    <w:rsid w:val="00FA4624"/>
    <w:pPr>
      <w:keepNext/>
      <w:keepLines/>
      <w:spacing w:before="280" w:after="80"/>
      <w:outlineLvl w:val="3"/>
    </w:pPr>
    <w:rPr>
      <w:color w:val="666666"/>
      <w:sz w:val="24"/>
      <w:szCs w:val="24"/>
    </w:rPr>
  </w:style>
  <w:style w:type="paragraph" w:styleId="Heading5">
    <w:name w:val="heading 5"/>
    <w:basedOn w:val="Normal"/>
    <w:next w:val="Normal"/>
    <w:rsid w:val="00FA4624"/>
    <w:pPr>
      <w:keepNext/>
      <w:keepLines/>
      <w:spacing w:before="240" w:after="80"/>
      <w:outlineLvl w:val="4"/>
    </w:pPr>
    <w:rPr>
      <w:color w:val="666666"/>
    </w:rPr>
  </w:style>
  <w:style w:type="paragraph" w:styleId="Heading6">
    <w:name w:val="heading 6"/>
    <w:basedOn w:val="Normal"/>
    <w:next w:val="Normal"/>
    <w:rsid w:val="00FA46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A4624"/>
    <w:pPr>
      <w:keepNext/>
      <w:keepLines/>
      <w:spacing w:after="60"/>
    </w:pPr>
    <w:rPr>
      <w:sz w:val="52"/>
      <w:szCs w:val="52"/>
    </w:rPr>
  </w:style>
  <w:style w:type="paragraph" w:styleId="Subtitle">
    <w:name w:val="Subtitle"/>
    <w:basedOn w:val="Normal"/>
    <w:next w:val="Normal"/>
    <w:rsid w:val="00FA4624"/>
    <w:pPr>
      <w:keepNext/>
      <w:keepLines/>
      <w:spacing w:after="320"/>
    </w:pPr>
    <w:rPr>
      <w:color w:val="666666"/>
      <w:sz w:val="30"/>
      <w:szCs w:val="30"/>
    </w:rPr>
  </w:style>
  <w:style w:type="paragraph" w:styleId="Header">
    <w:name w:val="header"/>
    <w:basedOn w:val="Normal"/>
    <w:link w:val="HeaderChar"/>
    <w:uiPriority w:val="99"/>
    <w:unhideWhenUsed/>
    <w:rsid w:val="00A77F21"/>
    <w:pPr>
      <w:tabs>
        <w:tab w:val="center" w:pos="4513"/>
        <w:tab w:val="right" w:pos="9026"/>
      </w:tabs>
      <w:spacing w:line="240" w:lineRule="auto"/>
    </w:pPr>
  </w:style>
  <w:style w:type="character" w:customStyle="1" w:styleId="HeaderChar">
    <w:name w:val="Header Char"/>
    <w:basedOn w:val="DefaultParagraphFont"/>
    <w:link w:val="Header"/>
    <w:uiPriority w:val="99"/>
    <w:rsid w:val="00A77F21"/>
  </w:style>
  <w:style w:type="paragraph" w:styleId="Footer">
    <w:name w:val="footer"/>
    <w:basedOn w:val="Normal"/>
    <w:link w:val="FooterChar"/>
    <w:uiPriority w:val="99"/>
    <w:unhideWhenUsed/>
    <w:rsid w:val="00A77F21"/>
    <w:pPr>
      <w:tabs>
        <w:tab w:val="center" w:pos="4513"/>
        <w:tab w:val="right" w:pos="9026"/>
      </w:tabs>
      <w:spacing w:line="240" w:lineRule="auto"/>
    </w:pPr>
  </w:style>
  <w:style w:type="character" w:customStyle="1" w:styleId="FooterChar">
    <w:name w:val="Footer Char"/>
    <w:basedOn w:val="DefaultParagraphFont"/>
    <w:link w:val="Footer"/>
    <w:uiPriority w:val="99"/>
    <w:rsid w:val="00A77F21"/>
  </w:style>
  <w:style w:type="paragraph" w:styleId="TOCHeading">
    <w:name w:val="TOC Heading"/>
    <w:basedOn w:val="Heading1"/>
    <w:next w:val="Normal"/>
    <w:uiPriority w:val="39"/>
    <w:unhideWhenUsed/>
    <w:qFormat/>
    <w:rsid w:val="00274B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74B73"/>
    <w:pPr>
      <w:spacing w:after="100"/>
    </w:pPr>
  </w:style>
  <w:style w:type="paragraph" w:styleId="TOC2">
    <w:name w:val="toc 2"/>
    <w:basedOn w:val="Normal"/>
    <w:next w:val="Normal"/>
    <w:autoRedefine/>
    <w:uiPriority w:val="39"/>
    <w:unhideWhenUsed/>
    <w:rsid w:val="00274B73"/>
    <w:pPr>
      <w:spacing w:after="100"/>
      <w:ind w:left="220"/>
    </w:pPr>
  </w:style>
  <w:style w:type="character" w:styleId="Hyperlink">
    <w:name w:val="Hyperlink"/>
    <w:basedOn w:val="DefaultParagraphFont"/>
    <w:uiPriority w:val="99"/>
    <w:unhideWhenUsed/>
    <w:rsid w:val="00274B73"/>
    <w:rPr>
      <w:color w:val="0000FF" w:themeColor="hyperlink"/>
      <w:u w:val="single"/>
    </w:rPr>
  </w:style>
  <w:style w:type="paragraph" w:styleId="BalloonText">
    <w:name w:val="Balloon Text"/>
    <w:basedOn w:val="Normal"/>
    <w:link w:val="BalloonTextChar"/>
    <w:uiPriority w:val="99"/>
    <w:semiHidden/>
    <w:unhideWhenUsed/>
    <w:rsid w:val="006837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72F"/>
    <w:rPr>
      <w:rFonts w:ascii="Tahoma" w:hAnsi="Tahoma" w:cs="Tahoma"/>
      <w:sz w:val="16"/>
      <w:szCs w:val="16"/>
    </w:rPr>
  </w:style>
  <w:style w:type="paragraph" w:customStyle="1" w:styleId="Normal1">
    <w:name w:val="Normal1"/>
    <w:rsid w:val="00683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D6D05-DB58-4D30-94E4-608D0B929F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2915</Words>
  <Characters>16620</Characters>
  <Application>Microsoft Office Word</Application>
  <DocSecurity>0</DocSecurity>
  <Lines>138</Lines>
  <Paragraphs>38</Paragraphs>
  <ScaleCrop>false</ScaleCrop>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 Cicu</dc:creator>
  <cp:lastModifiedBy>Mariana Cicu</cp:lastModifiedBy>
  <cp:revision>2</cp:revision>
  <dcterms:created xsi:type="dcterms:W3CDTF">2021-08-14T14:00:00Z</dcterms:created>
  <dcterms:modified xsi:type="dcterms:W3CDTF">2021-08-14T14:00:00Z</dcterms:modified>
</cp:coreProperties>
</file>