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BB52C3" w14:textId="77777777" w:rsidR="00680448" w:rsidRDefault="00680448" w:rsidP="000D7771">
      <w:pPr>
        <w:pStyle w:val="Nornal"/>
        <w:jc w:val="left"/>
        <w:rPr>
          <w:rFonts w:eastAsia="Arial"/>
          <w:b/>
          <w:bCs/>
          <w:color w:val="00616A" w:themeColor="accent2" w:themeShade="BF"/>
          <w:sz w:val="20"/>
          <w:szCs w:val="20"/>
        </w:rPr>
      </w:pPr>
    </w:p>
    <w:p w14:paraId="20122925" w14:textId="5FD028D5" w:rsidR="0083154D"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 xml:space="preserve">Evaluate the advantages and disadvantages of </w:t>
      </w:r>
      <w:r w:rsidR="00667F30" w:rsidRPr="00680448">
        <w:rPr>
          <w:rFonts w:eastAsia="Arial"/>
          <w:b/>
          <w:bCs/>
          <w:color w:val="00616A" w:themeColor="accent2" w:themeShade="BF"/>
          <w:sz w:val="20"/>
          <w:szCs w:val="20"/>
        </w:rPr>
        <w:t xml:space="preserve">both </w:t>
      </w:r>
      <w:r w:rsidRPr="00680448">
        <w:rPr>
          <w:rFonts w:eastAsia="Arial"/>
          <w:b/>
          <w:bCs/>
          <w:color w:val="00616A" w:themeColor="accent2" w:themeShade="BF"/>
          <w:sz w:val="20"/>
          <w:szCs w:val="20"/>
        </w:rPr>
        <w:t>a divisional structure and a matrix structure. Within the evaluation, you should include the reasons underpinning each structure. (AC 1.1)</w:t>
      </w:r>
    </w:p>
    <w:p w14:paraId="63EDFD59" w14:textId="26AE7000"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 xml:space="preserve">Organisational structures play a crucial role in determining efficiency, decision-making, and collaboration. Two structures </w:t>
      </w:r>
      <w:r w:rsidR="00C02FAC">
        <w:rPr>
          <w:rFonts w:eastAsia="Arial"/>
          <w:color w:val="auto"/>
          <w:sz w:val="20"/>
          <w:szCs w:val="20"/>
        </w:rPr>
        <w:t xml:space="preserve">that are commonly adopted by organisations </w:t>
      </w:r>
      <w:r w:rsidRPr="005709CF">
        <w:rPr>
          <w:rFonts w:eastAsia="Arial"/>
          <w:color w:val="auto"/>
          <w:sz w:val="20"/>
          <w:szCs w:val="20"/>
        </w:rPr>
        <w:t>are the divisional structure and the matrix structure, each with advantages and disadvantages</w:t>
      </w:r>
      <w:r w:rsidR="00D631DD">
        <w:rPr>
          <w:rFonts w:eastAsia="Arial"/>
          <w:color w:val="auto"/>
          <w:sz w:val="20"/>
          <w:szCs w:val="20"/>
        </w:rPr>
        <w:t xml:space="preserve"> to consider</w:t>
      </w:r>
      <w:r w:rsidRPr="005709CF">
        <w:rPr>
          <w:rFonts w:eastAsia="Arial"/>
          <w:color w:val="auto"/>
          <w:sz w:val="20"/>
          <w:szCs w:val="20"/>
        </w:rPr>
        <w:t>.</w:t>
      </w:r>
    </w:p>
    <w:p w14:paraId="5D1E64E8" w14:textId="1E3578C7"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 xml:space="preserve">A divisional structure groups employees based on products, services, geography, or customers and is commonly found in large multinational corporations (Armstrong and Taylor, 2020). One of its key advantages is its flexibility and specialisation, as each division operates independently and can focus on specific markets, making it more responsive to external changes (Mintzberg, 1993). Additionally, clear accountability is a strength, as each division has a leader responsible for performance, improving efficiency and responsibility (Ulrich </w:t>
      </w:r>
      <w:r w:rsidRPr="005709CF">
        <w:rPr>
          <w:rFonts w:eastAsia="Arial"/>
          <w:i/>
          <w:iCs/>
          <w:color w:val="auto"/>
          <w:sz w:val="20"/>
          <w:szCs w:val="20"/>
        </w:rPr>
        <w:t>et al.,</w:t>
      </w:r>
      <w:r w:rsidRPr="005709CF">
        <w:rPr>
          <w:rFonts w:eastAsia="Arial"/>
          <w:color w:val="auto"/>
          <w:sz w:val="20"/>
          <w:szCs w:val="20"/>
        </w:rPr>
        <w:t xml:space="preserve"> 2017). Decision-making is also faster in this structure, as divisions function autonomously and can quickly implement strategies without waiting for centralised approval (Kotter, 2012).</w:t>
      </w:r>
    </w:p>
    <w:p w14:paraId="36DB516A" w14:textId="5A9E8508"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However, a divisional structure has drawbacks, including the duplication of resources, where separate divisions replicate roles such as HR, finance, or marketing, leading to inefficiencies (Galbraith, 2002). Another disadvantage is the potential for a silo mentality, where divisions prioritise their own goals over organisational unity, reducing cross-functional collaboration (Goold and Campbell, 2002). Maintaining multiple divisions can also be costly, particularly for smaller organisations (Armstrong and Taylor, 2020).</w:t>
      </w:r>
    </w:p>
    <w:p w14:paraId="0C61DCE3" w14:textId="00A58C23"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In contrast, a matrix structure blends divisional</w:t>
      </w:r>
      <w:r w:rsidR="00012B4D">
        <w:rPr>
          <w:rFonts w:eastAsia="Arial"/>
          <w:color w:val="auto"/>
          <w:sz w:val="20"/>
          <w:szCs w:val="20"/>
        </w:rPr>
        <w:t xml:space="preserve"> and functional</w:t>
      </w:r>
      <w:r w:rsidRPr="005709CF">
        <w:rPr>
          <w:rFonts w:eastAsia="Arial"/>
          <w:color w:val="auto"/>
          <w:sz w:val="20"/>
          <w:szCs w:val="20"/>
        </w:rPr>
        <w:t xml:space="preserve"> structures, meaning employees report to multiple managers. This structure is often found in project-based industries such as consulting and technology firms (Drucker, 20</w:t>
      </w:r>
      <w:r w:rsidR="00AD53AA" w:rsidRPr="005709CF">
        <w:rPr>
          <w:rFonts w:eastAsia="Arial"/>
          <w:color w:val="auto"/>
          <w:sz w:val="20"/>
          <w:szCs w:val="20"/>
        </w:rPr>
        <w:t>12</w:t>
      </w:r>
      <w:r w:rsidRPr="005709CF">
        <w:rPr>
          <w:rFonts w:eastAsia="Arial"/>
          <w:color w:val="auto"/>
          <w:sz w:val="20"/>
          <w:szCs w:val="20"/>
        </w:rPr>
        <w:t xml:space="preserve">). An advantage of the matrix structure is that it enhances collaboration, as employees work across functions and projects, fostering knowledge-sharing and innovation (Galbraith, 2002). It also improves resource utilisation by allowing different departments to share resources efficiently, reducing redundancy (Ulrich </w:t>
      </w:r>
      <w:r w:rsidRPr="005709CF">
        <w:rPr>
          <w:rFonts w:eastAsia="Arial"/>
          <w:i/>
          <w:iCs/>
          <w:color w:val="auto"/>
          <w:sz w:val="20"/>
          <w:szCs w:val="20"/>
        </w:rPr>
        <w:t>et al.,</w:t>
      </w:r>
      <w:r w:rsidRPr="005709CF">
        <w:rPr>
          <w:rFonts w:eastAsia="Arial"/>
          <w:color w:val="auto"/>
          <w:sz w:val="20"/>
          <w:szCs w:val="20"/>
        </w:rPr>
        <w:t xml:space="preserve"> 2017). Furthermore, problem-solving benefits from this structure, as cross-functional teams bring diverse perspectives that contribute to better decision-making (Kotter, 2012). </w:t>
      </w:r>
    </w:p>
    <w:p w14:paraId="05C62F8A" w14:textId="31B385CB"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However, the complexity of a matrix structure can cause confusion, as employees reporting to multiple managers may face conflicts and delays in decision-making (Mintzberg, 1993). Power struggles between functional and project managers can further lead to inefficiencies (Galbraith, 2002). Additionally, employees often experience an increased workload as they manage multiple responsibilities, which can lead to stress and burnout (Armstrong and Taylor, 2020).</w:t>
      </w:r>
    </w:p>
    <w:p w14:paraId="3E1EEE5E" w14:textId="6C1622C0" w:rsidR="00002B04" w:rsidRPr="005709CF" w:rsidRDefault="0083154D" w:rsidP="000D7771">
      <w:pPr>
        <w:pStyle w:val="Nornal"/>
        <w:jc w:val="left"/>
        <w:rPr>
          <w:rFonts w:eastAsia="Arial"/>
          <w:color w:val="auto"/>
          <w:sz w:val="20"/>
          <w:szCs w:val="20"/>
        </w:rPr>
      </w:pPr>
      <w:r w:rsidRPr="005709CF">
        <w:rPr>
          <w:rFonts w:eastAsia="Arial"/>
          <w:color w:val="auto"/>
          <w:sz w:val="20"/>
          <w:szCs w:val="20"/>
        </w:rPr>
        <w:t>In conclusion, a divisional structure is most suitable for organisations requiring autonomy and market responsiveness, whereas a matrix structure is beneficial for those prioritising collaboration and efficiency. The choice between these structures depends on an organisation’s goals, industry, and scale.</w:t>
      </w:r>
    </w:p>
    <w:p w14:paraId="3A95F953" w14:textId="77777777" w:rsidR="000D7771" w:rsidRPr="000D7771" w:rsidRDefault="000D7771" w:rsidP="000D7771">
      <w:pPr>
        <w:pStyle w:val="Nornal"/>
        <w:jc w:val="left"/>
        <w:rPr>
          <w:rFonts w:eastAsia="Arial"/>
          <w:color w:val="FF0000"/>
          <w:sz w:val="20"/>
          <w:szCs w:val="20"/>
        </w:rPr>
      </w:pPr>
    </w:p>
    <w:p w14:paraId="0C148928" w14:textId="640EFC29" w:rsidR="00233A57" w:rsidRPr="00680448" w:rsidRDefault="003646A0"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Analyse the extent to which the organisational strategy in your organisation (or an organisation with which you are familiar) helps to ensure products or services meet customers’ needs. (AC 1.2)</w:t>
      </w:r>
    </w:p>
    <w:p w14:paraId="35EAD792" w14:textId="68DFA592" w:rsidR="004D4DDC" w:rsidRPr="008E6304" w:rsidRDefault="00D35043" w:rsidP="008749F8">
      <w:pPr>
        <w:pStyle w:val="Nornal"/>
        <w:jc w:val="left"/>
        <w:rPr>
          <w:rFonts w:eastAsia="Arial"/>
          <w:color w:val="FF0000"/>
          <w:sz w:val="20"/>
          <w:szCs w:val="20"/>
        </w:rPr>
      </w:pPr>
      <w:r w:rsidRPr="004D4DDC">
        <w:rPr>
          <w:rFonts w:eastAsia="Arial"/>
          <w:color w:val="auto"/>
          <w:sz w:val="20"/>
          <w:szCs w:val="20"/>
        </w:rPr>
        <w:t xml:space="preserve">British Airways (BA) employs a divisional organisational structure, segmenting its operations based on specific products, services, or geographic markets. This structure allows </w:t>
      </w:r>
      <w:r w:rsidR="000960EA" w:rsidRPr="004D4DDC">
        <w:rPr>
          <w:rFonts w:eastAsia="Arial"/>
          <w:color w:val="auto"/>
          <w:sz w:val="20"/>
          <w:szCs w:val="20"/>
        </w:rPr>
        <w:t>the</w:t>
      </w:r>
      <w:r w:rsidRPr="004D4DDC">
        <w:rPr>
          <w:rFonts w:eastAsia="Arial"/>
          <w:color w:val="auto"/>
          <w:sz w:val="20"/>
          <w:szCs w:val="20"/>
        </w:rPr>
        <w:t xml:space="preserve"> division</w:t>
      </w:r>
      <w:r w:rsidR="000960EA" w:rsidRPr="004D4DDC">
        <w:rPr>
          <w:rFonts w:eastAsia="Arial"/>
          <w:color w:val="auto"/>
          <w:sz w:val="20"/>
          <w:szCs w:val="20"/>
        </w:rPr>
        <w:t>s</w:t>
      </w:r>
      <w:r w:rsidRPr="004D4DDC">
        <w:rPr>
          <w:rFonts w:eastAsia="Arial"/>
          <w:color w:val="auto"/>
          <w:sz w:val="20"/>
          <w:szCs w:val="20"/>
        </w:rPr>
        <w:t xml:space="preserve"> to operate semi-autonomously, focusing on distinct market segments and tailoring services to meet specific customer needs. Such an arrangement enhances the </w:t>
      </w:r>
      <w:r w:rsidR="00DF6EB7" w:rsidRPr="004D4DDC">
        <w:rPr>
          <w:rFonts w:eastAsia="Arial"/>
          <w:color w:val="auto"/>
          <w:sz w:val="20"/>
          <w:szCs w:val="20"/>
        </w:rPr>
        <w:t>organisation’s</w:t>
      </w:r>
      <w:r w:rsidRPr="004D4DDC">
        <w:rPr>
          <w:rFonts w:eastAsia="Arial"/>
          <w:color w:val="auto"/>
          <w:sz w:val="20"/>
          <w:szCs w:val="20"/>
        </w:rPr>
        <w:t xml:space="preserve"> ability to respon</w:t>
      </w:r>
      <w:r w:rsidR="00BC78C7" w:rsidRPr="004D4DDC">
        <w:rPr>
          <w:rFonts w:eastAsia="Arial"/>
          <w:color w:val="auto"/>
          <w:sz w:val="20"/>
          <w:szCs w:val="20"/>
        </w:rPr>
        <w:t>d</w:t>
      </w:r>
      <w:r w:rsidRPr="004D4DDC">
        <w:rPr>
          <w:rFonts w:eastAsia="Arial"/>
          <w:color w:val="auto"/>
          <w:sz w:val="20"/>
          <w:szCs w:val="20"/>
        </w:rPr>
        <w:t xml:space="preserve"> to</w:t>
      </w:r>
      <w:r w:rsidR="00BC78C7" w:rsidRPr="004D4DDC">
        <w:rPr>
          <w:rFonts w:eastAsia="Arial"/>
          <w:color w:val="auto"/>
          <w:sz w:val="20"/>
          <w:szCs w:val="20"/>
        </w:rPr>
        <w:t xml:space="preserve"> changes in</w:t>
      </w:r>
      <w:r w:rsidRPr="004D4DDC">
        <w:rPr>
          <w:rFonts w:eastAsia="Arial"/>
          <w:color w:val="auto"/>
          <w:sz w:val="20"/>
          <w:szCs w:val="20"/>
        </w:rPr>
        <w:t xml:space="preserve"> market and customer preferences</w:t>
      </w:r>
      <w:r w:rsidR="009D68A5" w:rsidRPr="004D4DDC">
        <w:rPr>
          <w:rFonts w:eastAsia="Arial"/>
          <w:color w:val="auto"/>
          <w:sz w:val="20"/>
          <w:szCs w:val="20"/>
        </w:rPr>
        <w:t xml:space="preserve"> </w:t>
      </w:r>
      <w:r w:rsidR="009D68A5" w:rsidRPr="00A3203B">
        <w:rPr>
          <w:rFonts w:eastAsia="Arial"/>
          <w:color w:val="FF0000"/>
          <w:sz w:val="20"/>
          <w:szCs w:val="20"/>
        </w:rPr>
        <w:t>(Indeed, 2025)</w:t>
      </w:r>
      <w:r w:rsidRPr="00A3203B">
        <w:rPr>
          <w:rFonts w:eastAsia="Arial"/>
          <w:color w:val="FF0000"/>
          <w:sz w:val="20"/>
          <w:szCs w:val="20"/>
        </w:rPr>
        <w:t xml:space="preserve">. </w:t>
      </w:r>
      <w:r w:rsidR="004D4DDC" w:rsidRPr="008E6304">
        <w:rPr>
          <w:rFonts w:eastAsia="Arial"/>
          <w:color w:val="FF0000"/>
          <w:sz w:val="20"/>
          <w:szCs w:val="20"/>
        </w:rPr>
        <w:t>When assessing how BA’s divisional structure ensures that products and services meet customer needs, it is helpful to consider different stages of strategy: analysis, development, and implementation.</w:t>
      </w:r>
    </w:p>
    <w:p w14:paraId="5358BE4E" w14:textId="61C5605C" w:rsidR="00D35043" w:rsidRPr="008E6304" w:rsidRDefault="00D35043" w:rsidP="003960D8">
      <w:pPr>
        <w:pStyle w:val="Nornal"/>
        <w:jc w:val="left"/>
        <w:rPr>
          <w:rFonts w:eastAsia="Arial"/>
          <w:strike/>
          <w:color w:val="auto"/>
          <w:sz w:val="20"/>
          <w:szCs w:val="20"/>
        </w:rPr>
      </w:pPr>
      <w:r w:rsidRPr="008E6304">
        <w:rPr>
          <w:rFonts w:eastAsia="Arial"/>
          <w:strike/>
          <w:color w:val="auto"/>
          <w:sz w:val="20"/>
          <w:szCs w:val="20"/>
        </w:rPr>
        <w:t>A key advantage of BA's divisional structure is the speciali</w:t>
      </w:r>
      <w:r w:rsidR="00D84E1C" w:rsidRPr="008E6304">
        <w:rPr>
          <w:rFonts w:eastAsia="Arial"/>
          <w:strike/>
          <w:color w:val="auto"/>
          <w:sz w:val="20"/>
          <w:szCs w:val="20"/>
        </w:rPr>
        <w:t>s</w:t>
      </w:r>
      <w:r w:rsidRPr="008E6304">
        <w:rPr>
          <w:rFonts w:eastAsia="Arial"/>
          <w:strike/>
          <w:color w:val="auto"/>
          <w:sz w:val="20"/>
          <w:szCs w:val="20"/>
        </w:rPr>
        <w:t xml:space="preserve">ation it fosters within each division. By concentrating on </w:t>
      </w:r>
      <w:proofErr w:type="gramStart"/>
      <w:r w:rsidRPr="008E6304">
        <w:rPr>
          <w:rFonts w:eastAsia="Arial"/>
          <w:strike/>
          <w:color w:val="auto"/>
          <w:sz w:val="20"/>
          <w:szCs w:val="20"/>
        </w:rPr>
        <w:t>particular routes</w:t>
      </w:r>
      <w:proofErr w:type="gramEnd"/>
      <w:r w:rsidRPr="008E6304">
        <w:rPr>
          <w:rFonts w:eastAsia="Arial"/>
          <w:strike/>
          <w:color w:val="auto"/>
          <w:sz w:val="20"/>
          <w:szCs w:val="20"/>
        </w:rPr>
        <w:t xml:space="preserve"> or services, divisions can develop a deep understanding of their target customers, enabling them to offer tailored services that enhance customer satisfaction. For instance, BA's investment in new first-class suites on its Airbus A380 aircraft demonstrates a commitment to meeting the expectations of premium passengers. These suites feature advanced amenities such as </w:t>
      </w:r>
      <w:proofErr w:type="gramStart"/>
      <w:r w:rsidRPr="008E6304">
        <w:rPr>
          <w:rFonts w:eastAsia="Arial"/>
          <w:strike/>
          <w:color w:val="auto"/>
          <w:sz w:val="20"/>
          <w:szCs w:val="20"/>
        </w:rPr>
        <w:t>36-inch wide</w:t>
      </w:r>
      <w:proofErr w:type="gramEnd"/>
      <w:r w:rsidRPr="008E6304">
        <w:rPr>
          <w:rFonts w:eastAsia="Arial"/>
          <w:strike/>
          <w:color w:val="auto"/>
          <w:sz w:val="20"/>
          <w:szCs w:val="20"/>
        </w:rPr>
        <w:t xml:space="preserve"> seats that convert into 6ft 5in beds, 32-inch 4K entertainment screens, and adjustable mood lighting, all designed to provide a luxurious and personali</w:t>
      </w:r>
      <w:r w:rsidR="0080084D" w:rsidRPr="008E6304">
        <w:rPr>
          <w:rFonts w:eastAsia="Arial"/>
          <w:strike/>
          <w:color w:val="auto"/>
          <w:sz w:val="20"/>
          <w:szCs w:val="20"/>
        </w:rPr>
        <w:t>s</w:t>
      </w:r>
      <w:r w:rsidRPr="008E6304">
        <w:rPr>
          <w:rFonts w:eastAsia="Arial"/>
          <w:strike/>
          <w:color w:val="auto"/>
          <w:sz w:val="20"/>
          <w:szCs w:val="20"/>
        </w:rPr>
        <w:t xml:space="preserve">ed travel experience. </w:t>
      </w:r>
    </w:p>
    <w:p w14:paraId="0E89A070" w14:textId="52EE3E7A" w:rsidR="00D35043" w:rsidRPr="008E6304" w:rsidRDefault="00D35043" w:rsidP="003960D8">
      <w:pPr>
        <w:pStyle w:val="Nornal"/>
        <w:jc w:val="left"/>
        <w:rPr>
          <w:rFonts w:eastAsia="Arial"/>
          <w:strike/>
          <w:color w:val="auto"/>
          <w:sz w:val="20"/>
          <w:szCs w:val="20"/>
        </w:rPr>
      </w:pPr>
      <w:r w:rsidRPr="008E6304">
        <w:rPr>
          <w:rFonts w:eastAsia="Arial"/>
          <w:strike/>
          <w:color w:val="auto"/>
          <w:sz w:val="20"/>
          <w:szCs w:val="20"/>
        </w:rPr>
        <w:lastRenderedPageBreak/>
        <w:t>However, the divisional structure also presents challenges. The autonomy of divisions can lead to inconsistencies in service quality across the organi</w:t>
      </w:r>
      <w:r w:rsidR="00985FCA" w:rsidRPr="008E6304">
        <w:rPr>
          <w:rFonts w:eastAsia="Arial"/>
          <w:strike/>
          <w:color w:val="auto"/>
          <w:sz w:val="20"/>
          <w:szCs w:val="20"/>
        </w:rPr>
        <w:t>s</w:t>
      </w:r>
      <w:r w:rsidRPr="008E6304">
        <w:rPr>
          <w:rFonts w:eastAsia="Arial"/>
          <w:strike/>
          <w:color w:val="auto"/>
          <w:sz w:val="20"/>
          <w:szCs w:val="20"/>
        </w:rPr>
        <w:t xml:space="preserve">ation. For example, variations in customer service standards between different routes or classes may result in uneven customer experiences. Additionally, the independence of divisions can create silos, hindering the sharing of best practices and leading to duplicated efforts in areas such as marketing or customer service initiatives. </w:t>
      </w:r>
    </w:p>
    <w:p w14:paraId="3B8ABB7B" w14:textId="616571DB" w:rsidR="00D35043" w:rsidRPr="008E6304" w:rsidRDefault="00D35043" w:rsidP="003960D8">
      <w:pPr>
        <w:pStyle w:val="Nornal"/>
        <w:jc w:val="left"/>
        <w:rPr>
          <w:rFonts w:eastAsia="Arial"/>
          <w:strike/>
          <w:color w:val="auto"/>
          <w:sz w:val="20"/>
          <w:szCs w:val="20"/>
        </w:rPr>
      </w:pPr>
      <w:r w:rsidRPr="008E6304">
        <w:rPr>
          <w:rFonts w:eastAsia="Arial"/>
          <w:strike/>
          <w:color w:val="auto"/>
          <w:sz w:val="20"/>
          <w:szCs w:val="20"/>
        </w:rPr>
        <w:t xml:space="preserve">Despite these challenges, BA's divisional structure has facilitated significant investments aimed at enhancing customer satisfaction. The company's £7 billion investment plan includes the acquisition of new aircraft, upgrading existing ones, and improving passenger services. This initiative reflects BA's strategy to align its divisional operations with overarching corporate goals, ensuring that each division contributes to a cohesive brand experience. </w:t>
      </w:r>
    </w:p>
    <w:p w14:paraId="4A1BAD82" w14:textId="52D4D30C" w:rsidR="00D35043" w:rsidRPr="008E6304" w:rsidRDefault="00D35043" w:rsidP="003960D8">
      <w:pPr>
        <w:pStyle w:val="Nornal"/>
        <w:jc w:val="left"/>
        <w:rPr>
          <w:rFonts w:eastAsia="Arial"/>
          <w:strike/>
          <w:color w:val="auto"/>
          <w:sz w:val="20"/>
          <w:szCs w:val="20"/>
        </w:rPr>
      </w:pPr>
      <w:r w:rsidRPr="008E6304">
        <w:rPr>
          <w:rFonts w:eastAsia="Arial"/>
          <w:strike/>
          <w:color w:val="auto"/>
          <w:sz w:val="20"/>
          <w:szCs w:val="20"/>
        </w:rPr>
        <w:t>In conclusion, British Airways' divisional structure enables the company to focus on specific market segments, allowing for tailored services that meet diverse customer needs. While this structure offers advantages in speciali</w:t>
      </w:r>
      <w:r w:rsidR="001C1523" w:rsidRPr="008E6304">
        <w:rPr>
          <w:rFonts w:eastAsia="Arial"/>
          <w:strike/>
          <w:color w:val="auto"/>
          <w:sz w:val="20"/>
          <w:szCs w:val="20"/>
        </w:rPr>
        <w:t>s</w:t>
      </w:r>
      <w:r w:rsidRPr="008E6304">
        <w:rPr>
          <w:rFonts w:eastAsia="Arial"/>
          <w:strike/>
          <w:color w:val="auto"/>
          <w:sz w:val="20"/>
          <w:szCs w:val="20"/>
        </w:rPr>
        <w:t>ation and responsiveness, it also requires effective coordination and communication across divisions to maintain consistent service quality and operational efficiency. By leveraging the strengths of its divisional structure and addressing its challenges, BA can continue to enhance its products and services to meet and exceed customer expectations.</w:t>
      </w:r>
    </w:p>
    <w:p w14:paraId="0006B108" w14:textId="1BC8F764" w:rsidR="008E6304" w:rsidRPr="008E6304" w:rsidRDefault="008E6304" w:rsidP="00622367">
      <w:pPr>
        <w:pStyle w:val="Nornal"/>
        <w:jc w:val="left"/>
        <w:rPr>
          <w:rFonts w:eastAsia="Arial"/>
          <w:color w:val="FF0000"/>
          <w:sz w:val="20"/>
          <w:szCs w:val="20"/>
        </w:rPr>
      </w:pPr>
      <w:r w:rsidRPr="008E6304">
        <w:rPr>
          <w:rFonts w:eastAsia="Arial"/>
          <w:color w:val="FF0000"/>
          <w:sz w:val="20"/>
          <w:szCs w:val="20"/>
        </w:rPr>
        <w:t xml:space="preserve">In the </w:t>
      </w:r>
      <w:r w:rsidRPr="008E6304">
        <w:rPr>
          <w:rFonts w:eastAsia="Arial"/>
          <w:b/>
          <w:bCs/>
          <w:color w:val="FF0000"/>
          <w:sz w:val="20"/>
          <w:szCs w:val="20"/>
        </w:rPr>
        <w:t>analysis stage</w:t>
      </w:r>
      <w:r w:rsidRPr="008E6304">
        <w:rPr>
          <w:rFonts w:eastAsia="Arial"/>
          <w:color w:val="FF0000"/>
          <w:sz w:val="20"/>
          <w:szCs w:val="20"/>
        </w:rPr>
        <w:t>, BA leverages its divisional structure to assess market trends and customer preferences in different regions and service categories. Each division collects customer feedback and operational performance data to identify areas of improvement. For instance, BA’s premium segment has identified increasing customer demand for enhanced first-class amenities, leading to targeted investments (The Times, 2024). This decentrali</w:t>
      </w:r>
      <w:r w:rsidR="00622367">
        <w:rPr>
          <w:rFonts w:eastAsia="Arial"/>
          <w:color w:val="FF0000"/>
          <w:sz w:val="20"/>
          <w:szCs w:val="20"/>
        </w:rPr>
        <w:t>s</w:t>
      </w:r>
      <w:r w:rsidRPr="008E6304">
        <w:rPr>
          <w:rFonts w:eastAsia="Arial"/>
          <w:color w:val="FF0000"/>
          <w:sz w:val="20"/>
          <w:szCs w:val="20"/>
        </w:rPr>
        <w:t>ed analysis enables BA to respond effectively to evolving customer expectations.</w:t>
      </w:r>
    </w:p>
    <w:p w14:paraId="1BC22E84" w14:textId="2C62EA2A" w:rsidR="008E6304" w:rsidRPr="008E6304" w:rsidRDefault="008E6304" w:rsidP="00CE3F28">
      <w:pPr>
        <w:pStyle w:val="Nornal"/>
        <w:jc w:val="left"/>
        <w:rPr>
          <w:rFonts w:eastAsia="Arial"/>
          <w:color w:val="FF0000"/>
          <w:sz w:val="20"/>
          <w:szCs w:val="20"/>
        </w:rPr>
      </w:pPr>
      <w:r w:rsidRPr="008E6304">
        <w:rPr>
          <w:rFonts w:eastAsia="Arial"/>
          <w:color w:val="FF0000"/>
          <w:sz w:val="20"/>
          <w:szCs w:val="20"/>
        </w:rPr>
        <w:t xml:space="preserve">During the </w:t>
      </w:r>
      <w:r w:rsidRPr="008E6304">
        <w:rPr>
          <w:rFonts w:eastAsia="Arial"/>
          <w:b/>
          <w:bCs/>
          <w:color w:val="FF0000"/>
          <w:sz w:val="20"/>
          <w:szCs w:val="20"/>
        </w:rPr>
        <w:t>development stage</w:t>
      </w:r>
      <w:r w:rsidRPr="008E6304">
        <w:rPr>
          <w:rFonts w:eastAsia="Arial"/>
          <w:color w:val="FF0000"/>
          <w:sz w:val="20"/>
          <w:szCs w:val="20"/>
        </w:rPr>
        <w:t xml:space="preserve">, BA’s divisional approach enables tailored service enhancements based on specific customer needs. For example, in response to premium passenger expectations, BA has introduced first-class suites with state-of-the-art features such as </w:t>
      </w:r>
      <w:proofErr w:type="gramStart"/>
      <w:r w:rsidRPr="008E6304">
        <w:rPr>
          <w:rFonts w:eastAsia="Arial"/>
          <w:color w:val="FF0000"/>
          <w:sz w:val="20"/>
          <w:szCs w:val="20"/>
        </w:rPr>
        <w:t>36-inch wide</w:t>
      </w:r>
      <w:proofErr w:type="gramEnd"/>
      <w:r w:rsidRPr="008E6304">
        <w:rPr>
          <w:rFonts w:eastAsia="Arial"/>
          <w:color w:val="FF0000"/>
          <w:sz w:val="20"/>
          <w:szCs w:val="20"/>
        </w:rPr>
        <w:t xml:space="preserve"> seats that convert into 6ft 5in beds, 32-inch 4K entertainment screens, and adjustable mood lighting (The Times, 2024). Meanwhile, divisions focusing on short-haul flights prioriti</w:t>
      </w:r>
      <w:r w:rsidR="00CE3F28">
        <w:rPr>
          <w:rFonts w:eastAsia="Arial"/>
          <w:color w:val="FF0000"/>
          <w:sz w:val="20"/>
          <w:szCs w:val="20"/>
        </w:rPr>
        <w:t>s</w:t>
      </w:r>
      <w:r w:rsidRPr="008E6304">
        <w:rPr>
          <w:rFonts w:eastAsia="Arial"/>
          <w:color w:val="FF0000"/>
          <w:sz w:val="20"/>
          <w:szCs w:val="20"/>
        </w:rPr>
        <w:t>e cost efficiency and punctuality. This ability to customi</w:t>
      </w:r>
      <w:r w:rsidR="00CE3F28">
        <w:rPr>
          <w:rFonts w:eastAsia="Arial"/>
          <w:color w:val="FF0000"/>
          <w:sz w:val="20"/>
          <w:szCs w:val="20"/>
        </w:rPr>
        <w:t>s</w:t>
      </w:r>
      <w:r w:rsidRPr="008E6304">
        <w:rPr>
          <w:rFonts w:eastAsia="Arial"/>
          <w:color w:val="FF0000"/>
          <w:sz w:val="20"/>
          <w:szCs w:val="20"/>
        </w:rPr>
        <w:t>e service development across different divisions strengthens BA’s ability to meet the diverse needs of its customer base.</w:t>
      </w:r>
    </w:p>
    <w:p w14:paraId="037F30AF" w14:textId="3B99022A" w:rsidR="008E6304" w:rsidRPr="008E6304" w:rsidRDefault="008E6304" w:rsidP="00CE3F28">
      <w:pPr>
        <w:pStyle w:val="Nornal"/>
        <w:jc w:val="left"/>
        <w:rPr>
          <w:rFonts w:eastAsia="Arial"/>
          <w:color w:val="FF0000"/>
          <w:sz w:val="20"/>
          <w:szCs w:val="20"/>
        </w:rPr>
      </w:pPr>
      <w:r w:rsidRPr="008E6304">
        <w:rPr>
          <w:rFonts w:eastAsia="Arial"/>
          <w:color w:val="FF0000"/>
          <w:sz w:val="20"/>
          <w:szCs w:val="20"/>
        </w:rPr>
        <w:t xml:space="preserve">The </w:t>
      </w:r>
      <w:r w:rsidRPr="008E6304">
        <w:rPr>
          <w:rFonts w:eastAsia="Arial"/>
          <w:b/>
          <w:bCs/>
          <w:color w:val="FF0000"/>
          <w:sz w:val="20"/>
          <w:szCs w:val="20"/>
        </w:rPr>
        <w:t>implementation stage</w:t>
      </w:r>
      <w:r w:rsidRPr="008E6304">
        <w:rPr>
          <w:rFonts w:eastAsia="Arial"/>
          <w:color w:val="FF0000"/>
          <w:sz w:val="20"/>
          <w:szCs w:val="20"/>
        </w:rPr>
        <w:t xml:space="preserve"> of BA’s strategy relies on the divisional structure to execute and sustain improvements. Each division is responsible for rolling out new initiatives, ensuring operational alignment with broader corporate goals. However, challenges such as inconsistencies in service quality across divisions can arise due to varying levels of autonomy. Siloed operations may lead to difficulties in maintaining a uniform brand experience across different customer touchpoints (Indeed, 2025). To mitigate this, BA has committed to a £7 billion investment plan, focusing on fleet upgrades and service standardi</w:t>
      </w:r>
      <w:r w:rsidR="00CE3F28">
        <w:rPr>
          <w:rFonts w:eastAsia="Arial"/>
          <w:color w:val="FF0000"/>
          <w:sz w:val="20"/>
          <w:szCs w:val="20"/>
        </w:rPr>
        <w:t>s</w:t>
      </w:r>
      <w:r w:rsidRPr="008E6304">
        <w:rPr>
          <w:rFonts w:eastAsia="Arial"/>
          <w:color w:val="FF0000"/>
          <w:sz w:val="20"/>
          <w:szCs w:val="20"/>
        </w:rPr>
        <w:t>ation to enhance the overall passenger experience (The Guardian, 2024).</w:t>
      </w:r>
    </w:p>
    <w:p w14:paraId="417B6990" w14:textId="5479C3CE" w:rsidR="008E6304" w:rsidRPr="008E6304" w:rsidRDefault="008E6304" w:rsidP="00CE3F28">
      <w:pPr>
        <w:pStyle w:val="Nornal"/>
        <w:jc w:val="left"/>
        <w:rPr>
          <w:rFonts w:eastAsia="Arial"/>
          <w:color w:val="FF0000"/>
          <w:sz w:val="20"/>
          <w:szCs w:val="20"/>
        </w:rPr>
      </w:pPr>
      <w:r w:rsidRPr="008E6304">
        <w:rPr>
          <w:rFonts w:eastAsia="Arial"/>
          <w:color w:val="FF0000"/>
          <w:sz w:val="20"/>
          <w:szCs w:val="20"/>
        </w:rPr>
        <w:t>In conclusion, BA’s divisional structure plays a crucial role in the analysis, development, and implementation of strategies to meet customer needs. While this model enables market responsiveness and service speciali</w:t>
      </w:r>
      <w:r w:rsidR="00CE3F28">
        <w:rPr>
          <w:rFonts w:eastAsia="Arial"/>
          <w:color w:val="FF0000"/>
          <w:sz w:val="20"/>
          <w:szCs w:val="20"/>
        </w:rPr>
        <w:t>s</w:t>
      </w:r>
      <w:r w:rsidRPr="008E6304">
        <w:rPr>
          <w:rFonts w:eastAsia="Arial"/>
          <w:color w:val="FF0000"/>
          <w:sz w:val="20"/>
          <w:szCs w:val="20"/>
        </w:rPr>
        <w:t>ation, it also necessitates strong coordination mechanisms to maintain consistency and efficiency across divisions. By addressing these challenges, BA can optimi</w:t>
      </w:r>
      <w:r w:rsidR="00CE3F28">
        <w:rPr>
          <w:rFonts w:eastAsia="Arial"/>
          <w:color w:val="FF0000"/>
          <w:sz w:val="20"/>
          <w:szCs w:val="20"/>
        </w:rPr>
        <w:t>s</w:t>
      </w:r>
      <w:r w:rsidRPr="008E6304">
        <w:rPr>
          <w:rFonts w:eastAsia="Arial"/>
          <w:color w:val="FF0000"/>
          <w:sz w:val="20"/>
          <w:szCs w:val="20"/>
        </w:rPr>
        <w:t>e its divisional structure to enhance customer satisfaction and sustain competitive advantage.</w:t>
      </w:r>
    </w:p>
    <w:p w14:paraId="0ADE75D0" w14:textId="77777777" w:rsidR="00233A57" w:rsidRPr="00680448" w:rsidRDefault="00233A57" w:rsidP="000D7771">
      <w:pPr>
        <w:pStyle w:val="Nornal"/>
        <w:jc w:val="left"/>
        <w:rPr>
          <w:rFonts w:eastAsia="Arial"/>
          <w:color w:val="00616A" w:themeColor="accent2" w:themeShade="BF"/>
          <w:sz w:val="20"/>
          <w:szCs w:val="20"/>
        </w:rPr>
      </w:pPr>
    </w:p>
    <w:p w14:paraId="7AB78850" w14:textId="4FA057E3" w:rsidR="006A391D"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Analyse the current impact of interest rates, inflation and one other external factor on your organisation (or one with which you are familiar). Identify organisational priorities arising from your analysis. (AC 1.3</w:t>
      </w:r>
      <w:r w:rsidR="00680448" w:rsidRPr="00680448">
        <w:rPr>
          <w:rFonts w:eastAsia="Arial"/>
          <w:b/>
          <w:bCs/>
          <w:color w:val="00616A" w:themeColor="accent2" w:themeShade="BF"/>
          <w:sz w:val="20"/>
          <w:szCs w:val="20"/>
        </w:rPr>
        <w:t>)</w:t>
      </w:r>
    </w:p>
    <w:p w14:paraId="609D3061" w14:textId="5A4FAE99" w:rsidR="006A391D" w:rsidRPr="00B02ACA" w:rsidRDefault="006A391D" w:rsidP="000D7771">
      <w:pPr>
        <w:pStyle w:val="Nornal"/>
        <w:jc w:val="left"/>
        <w:rPr>
          <w:rFonts w:eastAsia="Arial"/>
          <w:color w:val="auto"/>
          <w:sz w:val="20"/>
          <w:szCs w:val="20"/>
        </w:rPr>
      </w:pPr>
      <w:r w:rsidRPr="005709CF">
        <w:rPr>
          <w:rFonts w:eastAsia="Arial"/>
          <w:color w:val="auto"/>
          <w:sz w:val="20"/>
          <w:szCs w:val="20"/>
        </w:rPr>
        <w:t xml:space="preserve">British Airways (BA) operates in a dynamic environment where external factors such as </w:t>
      </w:r>
      <w:r w:rsidRPr="00B02ACA">
        <w:rPr>
          <w:rFonts w:eastAsia="Arial"/>
          <w:color w:val="auto"/>
          <w:sz w:val="20"/>
          <w:szCs w:val="20"/>
        </w:rPr>
        <w:t>inflation,</w:t>
      </w:r>
      <w:r w:rsidR="007F1619">
        <w:rPr>
          <w:rFonts w:eastAsia="Arial"/>
          <w:color w:val="auto"/>
          <w:sz w:val="20"/>
          <w:szCs w:val="20"/>
        </w:rPr>
        <w:t xml:space="preserve"> interest rates</w:t>
      </w:r>
      <w:r w:rsidRPr="00B02ACA">
        <w:rPr>
          <w:rFonts w:eastAsia="Arial"/>
          <w:color w:val="auto"/>
          <w:sz w:val="20"/>
          <w:szCs w:val="20"/>
        </w:rPr>
        <w:t xml:space="preserve"> and geopolitical events significantly i</w:t>
      </w:r>
      <w:r w:rsidR="005C68CF">
        <w:rPr>
          <w:rFonts w:eastAsia="Arial"/>
          <w:color w:val="auto"/>
          <w:sz w:val="20"/>
          <w:szCs w:val="20"/>
        </w:rPr>
        <w:t>mpact</w:t>
      </w:r>
      <w:r w:rsidRPr="00B02ACA">
        <w:rPr>
          <w:rFonts w:eastAsia="Arial"/>
          <w:color w:val="auto"/>
          <w:sz w:val="20"/>
          <w:szCs w:val="20"/>
        </w:rPr>
        <w:t xml:space="preserve"> its operations and strategic decisions.</w:t>
      </w:r>
    </w:p>
    <w:p w14:paraId="4132A287" w14:textId="55739306" w:rsidR="006A391D" w:rsidRPr="00B02ACA" w:rsidRDefault="006A391D" w:rsidP="000D7771">
      <w:pPr>
        <w:pStyle w:val="Nornal"/>
        <w:jc w:val="left"/>
        <w:rPr>
          <w:rFonts w:eastAsia="Arial"/>
          <w:color w:val="FF0000"/>
          <w:sz w:val="20"/>
          <w:szCs w:val="20"/>
        </w:rPr>
      </w:pPr>
      <w:r w:rsidRPr="00B02ACA">
        <w:rPr>
          <w:rFonts w:eastAsia="Arial"/>
          <w:color w:val="auto"/>
          <w:sz w:val="20"/>
          <w:szCs w:val="20"/>
        </w:rPr>
        <w:t xml:space="preserve">Fluctuations in interest rates directly affect BA's financing costs. Elevated interest rates increase the cost of borrowing, impacting the airline's capital expenditure plans and debt servicing obligations. This scenario necessitates prudent financial management to mitigate the adverse effects on profitability. Conversely, lower interest rates can reduce financing costs, potentially enabling BA to invest in fleet expansion and service </w:t>
      </w:r>
      <w:r w:rsidRPr="00B02ACA">
        <w:rPr>
          <w:rFonts w:eastAsia="Arial"/>
          <w:color w:val="auto"/>
          <w:sz w:val="20"/>
          <w:szCs w:val="20"/>
        </w:rPr>
        <w:lastRenderedPageBreak/>
        <w:t xml:space="preserve">enhancements. According to </w:t>
      </w:r>
      <w:proofErr w:type="spellStart"/>
      <w:r w:rsidRPr="00B02ACA">
        <w:rPr>
          <w:rFonts w:eastAsia="Arial"/>
          <w:color w:val="auto"/>
          <w:sz w:val="20"/>
          <w:szCs w:val="20"/>
        </w:rPr>
        <w:t>Cirium's</w:t>
      </w:r>
      <w:proofErr w:type="spellEnd"/>
      <w:r w:rsidRPr="00B02ACA">
        <w:rPr>
          <w:rFonts w:eastAsia="Arial"/>
          <w:color w:val="auto"/>
          <w:sz w:val="20"/>
          <w:szCs w:val="20"/>
        </w:rPr>
        <w:t xml:space="preserve"> Ascend Consultancy, rising interest rates have contributed to increased aircraft lease rents, further affecting operational costs (</w:t>
      </w:r>
      <w:proofErr w:type="spellStart"/>
      <w:r w:rsidRPr="00B02ACA">
        <w:rPr>
          <w:rFonts w:eastAsia="Arial"/>
          <w:color w:val="auto"/>
          <w:sz w:val="20"/>
          <w:szCs w:val="20"/>
        </w:rPr>
        <w:t>Cirium</w:t>
      </w:r>
      <w:proofErr w:type="spellEnd"/>
      <w:r w:rsidRPr="00B02ACA">
        <w:rPr>
          <w:rFonts w:eastAsia="Arial"/>
          <w:color w:val="auto"/>
          <w:sz w:val="20"/>
          <w:szCs w:val="20"/>
        </w:rPr>
        <w:t>, 2024).</w:t>
      </w:r>
    </w:p>
    <w:p w14:paraId="4D5B5EBC" w14:textId="05063030"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Rising inflation presents challenges by escalating operational expenses, including fuel, labo</w:t>
      </w:r>
      <w:r w:rsidR="00B02ACA" w:rsidRPr="00B02ACA">
        <w:rPr>
          <w:rFonts w:eastAsia="Arial"/>
          <w:color w:val="auto"/>
          <w:sz w:val="20"/>
          <w:szCs w:val="20"/>
        </w:rPr>
        <w:t>u</w:t>
      </w:r>
      <w:r w:rsidRPr="00B02ACA">
        <w:rPr>
          <w:rFonts w:eastAsia="Arial"/>
          <w:color w:val="auto"/>
          <w:sz w:val="20"/>
          <w:szCs w:val="20"/>
        </w:rPr>
        <w:t xml:space="preserve">r, and maintenance costs. To maintain profitability, BA may need to adjust ticket prices accordingly. However, higher fares could suppress customer demand, particularly among price-sensitive </w:t>
      </w:r>
      <w:r w:rsidR="00B02ACA" w:rsidRPr="00B02ACA">
        <w:rPr>
          <w:rFonts w:eastAsia="Arial"/>
          <w:color w:val="auto"/>
          <w:sz w:val="20"/>
          <w:szCs w:val="20"/>
        </w:rPr>
        <w:t>travellers</w:t>
      </w:r>
      <w:r w:rsidRPr="00B02ACA">
        <w:rPr>
          <w:rFonts w:eastAsia="Arial"/>
          <w:color w:val="auto"/>
          <w:sz w:val="20"/>
          <w:szCs w:val="20"/>
        </w:rPr>
        <w:t>. Therefore, BA must balance cost management with competitive pricing strategies to sustain market share. Investec notes that inflation has driven costs through the supply chain, including spares, insurance, salaries,</w:t>
      </w:r>
      <w:r w:rsidR="00AA46EF">
        <w:rPr>
          <w:rFonts w:eastAsia="Arial"/>
          <w:color w:val="auto"/>
          <w:sz w:val="20"/>
          <w:szCs w:val="20"/>
        </w:rPr>
        <w:t xml:space="preserve"> and maintenance,</w:t>
      </w:r>
      <w:r w:rsidRPr="00B02ACA">
        <w:rPr>
          <w:rFonts w:eastAsia="Arial"/>
          <w:color w:val="auto"/>
          <w:sz w:val="20"/>
          <w:szCs w:val="20"/>
        </w:rPr>
        <w:t xml:space="preserve"> thereby increasing the financial burden on airlines (Investec, 2024).</w:t>
      </w:r>
    </w:p>
    <w:p w14:paraId="6164FEE1" w14:textId="2EABD0E7"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Geopolitical factors, such as international conflicts and political instability, can disrupt BA's operations. For instance, the closure of Russian airspace following the Ukraine conflict forced BA to reroute flights to destinations like Beijing, resulting in longer flight times and increased fuel consumption. This not only raised operational costs but also affected scheduling and customer satisfaction. Additionally, geopolitical tensions can lead to fluctuating fuel prices and currency exchange rates, further complicating financial planning. The Financial Times reported that BA suspended flights between London Heathrow and Beijing due to increased costs from avoiding Russian airspace and reduced demand (Financial Times, 2024).</w:t>
      </w:r>
    </w:p>
    <w:p w14:paraId="7067A349" w14:textId="288866B4"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In response to these external factors, BA should prioriti</w:t>
      </w:r>
      <w:r w:rsidR="00B02ACA" w:rsidRPr="00B02ACA">
        <w:rPr>
          <w:rFonts w:eastAsia="Arial"/>
          <w:color w:val="auto"/>
          <w:sz w:val="20"/>
          <w:szCs w:val="20"/>
        </w:rPr>
        <w:t>s</w:t>
      </w:r>
      <w:r w:rsidRPr="00B02ACA">
        <w:rPr>
          <w:rFonts w:eastAsia="Arial"/>
          <w:color w:val="auto"/>
          <w:sz w:val="20"/>
          <w:szCs w:val="20"/>
        </w:rPr>
        <w:t xml:space="preserve">e the </w:t>
      </w:r>
      <w:proofErr w:type="gramStart"/>
      <w:r w:rsidRPr="00B02ACA">
        <w:rPr>
          <w:rFonts w:eastAsia="Arial"/>
          <w:color w:val="auto"/>
          <w:sz w:val="20"/>
          <w:szCs w:val="20"/>
        </w:rPr>
        <w:t>following</w:t>
      </w:r>
      <w:r w:rsidR="00B02ACA" w:rsidRPr="00B02ACA">
        <w:rPr>
          <w:rFonts w:eastAsia="Arial"/>
          <w:color w:val="auto"/>
          <w:sz w:val="20"/>
          <w:szCs w:val="20"/>
        </w:rPr>
        <w:t>;</w:t>
      </w:r>
      <w:proofErr w:type="gramEnd"/>
    </w:p>
    <w:p w14:paraId="60D205BB" w14:textId="1FC37EE6"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Implementing robust financial strategies to manage debt and leverage favo</w:t>
      </w:r>
      <w:r w:rsidR="00B02ACA" w:rsidRPr="00B02ACA">
        <w:rPr>
          <w:rFonts w:eastAsia="Arial"/>
          <w:color w:val="auto"/>
          <w:sz w:val="20"/>
          <w:szCs w:val="20"/>
        </w:rPr>
        <w:t>u</w:t>
      </w:r>
      <w:r w:rsidRPr="00B02ACA">
        <w:rPr>
          <w:rFonts w:eastAsia="Arial"/>
          <w:color w:val="auto"/>
          <w:sz w:val="20"/>
          <w:szCs w:val="20"/>
        </w:rPr>
        <w:t>rable interest rate environments is crucial. This includes exploring hedging options to mitigate the impact of interest rate volatility.</w:t>
      </w:r>
    </w:p>
    <w:p w14:paraId="5949BB5E" w14:textId="42B4AA77"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Enhancing operational efficiency through fuel-efficient technologies and optimi</w:t>
      </w:r>
      <w:r w:rsidR="00B02ACA" w:rsidRPr="00B02ACA">
        <w:rPr>
          <w:rFonts w:eastAsia="Arial"/>
          <w:color w:val="auto"/>
          <w:sz w:val="20"/>
          <w:szCs w:val="20"/>
        </w:rPr>
        <w:t>s</w:t>
      </w:r>
      <w:r w:rsidRPr="00B02ACA">
        <w:rPr>
          <w:rFonts w:eastAsia="Arial"/>
          <w:color w:val="auto"/>
          <w:sz w:val="20"/>
          <w:szCs w:val="20"/>
        </w:rPr>
        <w:t>ing route planning can help control costs amid inflationary pressures. Investing in more fuel-efficient aircraft and exploring sustainable aviation fuels may also provide long-term benefits.</w:t>
      </w:r>
    </w:p>
    <w:p w14:paraId="01826BEF" w14:textId="31CC995C"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Developing comprehensive risk management frameworks to anticipate and respond to geopolitical disruptions is essential. This involves diversifying routes, establishing contingency plans, and maintaining flexibility in operations to adapt to changing geopolitical landscapes.</w:t>
      </w:r>
    </w:p>
    <w:p w14:paraId="76EAB986" w14:textId="6E143A1C" w:rsidR="006A391D" w:rsidRPr="00B02ACA" w:rsidRDefault="00681923" w:rsidP="000D7771">
      <w:pPr>
        <w:pStyle w:val="Nornal"/>
        <w:jc w:val="left"/>
        <w:rPr>
          <w:rFonts w:eastAsia="Arial"/>
          <w:color w:val="auto"/>
          <w:sz w:val="20"/>
          <w:szCs w:val="20"/>
        </w:rPr>
      </w:pPr>
      <w:r>
        <w:rPr>
          <w:rFonts w:eastAsia="Arial"/>
          <w:color w:val="auto"/>
          <w:sz w:val="20"/>
          <w:szCs w:val="20"/>
        </w:rPr>
        <w:t>With a strong</w:t>
      </w:r>
      <w:r w:rsidR="006A391D" w:rsidRPr="00B02ACA">
        <w:rPr>
          <w:rFonts w:eastAsia="Arial"/>
          <w:color w:val="auto"/>
          <w:sz w:val="20"/>
          <w:szCs w:val="20"/>
        </w:rPr>
        <w:t xml:space="preserve"> focus on these priorities, BA can navigate the challenges posed by interest rates, inflation, and geopolitical events, ensuring sustained operational stability and competitiveness in the global aviation market.</w:t>
      </w:r>
    </w:p>
    <w:p w14:paraId="0C73D932" w14:textId="77777777" w:rsidR="00233A57" w:rsidRPr="000D7771" w:rsidRDefault="00233A57" w:rsidP="000D7771">
      <w:pPr>
        <w:pStyle w:val="Nornal"/>
        <w:jc w:val="left"/>
        <w:rPr>
          <w:rFonts w:eastAsia="Arial"/>
          <w:sz w:val="20"/>
          <w:szCs w:val="20"/>
        </w:rPr>
      </w:pPr>
    </w:p>
    <w:p w14:paraId="33733478" w14:textId="23A0F567" w:rsidR="006F1FB5"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In February 2024,</w:t>
      </w:r>
      <w:r w:rsidRPr="00680448">
        <w:rPr>
          <w:b/>
          <w:bCs/>
          <w:color w:val="00616A" w:themeColor="accent2" w:themeShade="BF"/>
          <w:sz w:val="20"/>
          <w:szCs w:val="20"/>
        </w:rPr>
        <w:t xml:space="preserve"> </w:t>
      </w:r>
      <w:r w:rsidRPr="00680448">
        <w:rPr>
          <w:rFonts w:eastAsia="Arial"/>
          <w:b/>
          <w:bCs/>
          <w:color w:val="00616A" w:themeColor="accent2" w:themeShade="BF"/>
          <w:sz w:val="20"/>
          <w:szCs w:val="20"/>
        </w:rPr>
        <w:t>Peter Cheese, current CEO of CIPD stated, “</w:t>
      </w:r>
      <w:r w:rsidRPr="00680448">
        <w:rPr>
          <w:rFonts w:eastAsia="Arial"/>
          <w:b/>
          <w:bCs/>
          <w:i/>
          <w:iCs/>
          <w:color w:val="00616A" w:themeColor="accent2" w:themeShade="BF"/>
          <w:sz w:val="20"/>
          <w:szCs w:val="20"/>
        </w:rPr>
        <w:t>AI is transforming jobs, careers and workplaces. People professionals have a key role to play in encouraging safe experimentation and rapid learning, so that we can reap the benefits and mitigate the risks</w:t>
      </w:r>
      <w:r w:rsidRPr="00680448">
        <w:rPr>
          <w:rFonts w:eastAsia="Arial"/>
          <w:b/>
          <w:bCs/>
          <w:color w:val="00616A" w:themeColor="accent2" w:themeShade="BF"/>
          <w:sz w:val="20"/>
          <w:szCs w:val="20"/>
        </w:rPr>
        <w:t>.” Assess the extent that AI is, or could be, used in your organisation (or an organisation with which you are familiar) and assess how AI impacts work. (AC 1.4)</w:t>
      </w:r>
    </w:p>
    <w:p w14:paraId="42E1EE16" w14:textId="48FDB0E3"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BA is actively integrating Artificial Intelligence (AI) across various facets of its operations, including people processes, to enhance efficiency and service quality. In its recruitment strategy, BA employs AI-driven tools to streamline candidate sourcing and selection. These tools assist in screening resumes, matching candidate profiles to job requirements, and even scheduling interviews, thereby accelerating the hiring process and reducing administrative burdens on HR personnel. However, it is crucial to maintain human oversight to ensure fairness and mitigate potential biases inherent in AI algorithms (Workday, 2024a).</w:t>
      </w:r>
    </w:p>
    <w:p w14:paraId="359403B8" w14:textId="34F9BABD"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In the realm of employee development, AI facilitates personali</w:t>
      </w:r>
      <w:r w:rsidR="00B02ACA" w:rsidRPr="00B02ACA">
        <w:rPr>
          <w:rFonts w:eastAsia="Arial"/>
          <w:color w:val="auto"/>
          <w:sz w:val="20"/>
          <w:szCs w:val="20"/>
        </w:rPr>
        <w:t>s</w:t>
      </w:r>
      <w:r w:rsidRPr="00B02ACA">
        <w:rPr>
          <w:rFonts w:eastAsia="Arial"/>
          <w:color w:val="auto"/>
          <w:sz w:val="20"/>
          <w:szCs w:val="20"/>
        </w:rPr>
        <w:t xml:space="preserve">ed learning experiences by </w:t>
      </w:r>
      <w:r w:rsidR="002847CB" w:rsidRPr="00B02ACA">
        <w:rPr>
          <w:rFonts w:eastAsia="Arial"/>
          <w:color w:val="auto"/>
          <w:sz w:val="20"/>
          <w:szCs w:val="20"/>
        </w:rPr>
        <w:t>analysing</w:t>
      </w:r>
      <w:r w:rsidRPr="00B02ACA">
        <w:rPr>
          <w:rFonts w:eastAsia="Arial"/>
          <w:color w:val="auto"/>
          <w:sz w:val="20"/>
          <w:szCs w:val="20"/>
        </w:rPr>
        <w:t xml:space="preserve"> individual performance data and tailoring training programs accordingly. This approach not only enhances skill development but also promotes employee engagement and retention by addressing specific developmental needs (Workday, 2024b).</w:t>
      </w:r>
    </w:p>
    <w:p w14:paraId="0B463987" w14:textId="4F8F625D"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Moreover, BA utili</w:t>
      </w:r>
      <w:r w:rsidR="00B02ACA" w:rsidRPr="00B02ACA">
        <w:rPr>
          <w:rFonts w:eastAsia="Arial"/>
          <w:color w:val="auto"/>
          <w:sz w:val="20"/>
          <w:szCs w:val="20"/>
        </w:rPr>
        <w:t>s</w:t>
      </w:r>
      <w:r w:rsidRPr="00B02ACA">
        <w:rPr>
          <w:rFonts w:eastAsia="Arial"/>
          <w:color w:val="auto"/>
          <w:sz w:val="20"/>
          <w:szCs w:val="20"/>
        </w:rPr>
        <w:t xml:space="preserve">es AI to </w:t>
      </w:r>
      <w:r w:rsidR="002847CB" w:rsidRPr="00B02ACA">
        <w:rPr>
          <w:rFonts w:eastAsia="Arial"/>
          <w:color w:val="auto"/>
          <w:sz w:val="20"/>
          <w:szCs w:val="20"/>
        </w:rPr>
        <w:t>optimise</w:t>
      </w:r>
      <w:r w:rsidRPr="00B02ACA">
        <w:rPr>
          <w:rFonts w:eastAsia="Arial"/>
          <w:color w:val="auto"/>
          <w:sz w:val="20"/>
          <w:szCs w:val="20"/>
        </w:rPr>
        <w:t xml:space="preserve"> workforce management. Predictive analytics assess factors such as employee turnover and absenteeism, enabling proactive interventions to maintain workforce stability. AI also supports performance management by providing data-driven insights into employee productivity, thereby informing appraisal and reward systems (Workday, 2024b).</w:t>
      </w:r>
    </w:p>
    <w:p w14:paraId="14802186" w14:textId="0C9657E7"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 xml:space="preserve">While AI offers significant advantages in automating routine tasks and providing analytical insights, it does not replace the need for human judgment in people processes. Critical functions such as conflict resolution, leadership, and strategic decision-making rely heavily on human empathy, ethical considerations, and </w:t>
      </w:r>
      <w:r w:rsidRPr="00B02ACA">
        <w:rPr>
          <w:rFonts w:eastAsia="Arial"/>
          <w:color w:val="auto"/>
          <w:sz w:val="20"/>
          <w:szCs w:val="20"/>
        </w:rPr>
        <w:lastRenderedPageBreak/>
        <w:t>complex problem-solving abilities</w:t>
      </w:r>
      <w:r w:rsidR="00B02ACA" w:rsidRPr="00B02ACA">
        <w:rPr>
          <w:rFonts w:eastAsia="Arial"/>
          <w:color w:val="auto"/>
          <w:sz w:val="20"/>
          <w:szCs w:val="20"/>
        </w:rPr>
        <w:t xml:space="preserve"> - </w:t>
      </w:r>
      <w:r w:rsidRPr="00B02ACA">
        <w:rPr>
          <w:rFonts w:eastAsia="Arial"/>
          <w:color w:val="auto"/>
          <w:sz w:val="20"/>
          <w:szCs w:val="20"/>
        </w:rPr>
        <w:t xml:space="preserve">areas where AI currently lacks competence. Therefore, BA's approach integrates AI as a complementary tool to human efforts, enhancing overall effectiveness without compromising the human elements essential to </w:t>
      </w:r>
      <w:r w:rsidR="002847CB" w:rsidRPr="00B02ACA">
        <w:rPr>
          <w:rFonts w:eastAsia="Arial"/>
          <w:color w:val="auto"/>
          <w:sz w:val="20"/>
          <w:szCs w:val="20"/>
        </w:rPr>
        <w:t>organisation</w:t>
      </w:r>
      <w:r w:rsidRPr="00B02ACA">
        <w:rPr>
          <w:rFonts w:eastAsia="Arial"/>
          <w:color w:val="auto"/>
          <w:sz w:val="20"/>
          <w:szCs w:val="20"/>
        </w:rPr>
        <w:t>al culture and employee satisfaction.</w:t>
      </w:r>
    </w:p>
    <w:p w14:paraId="7B1474AD" w14:textId="59FA870D" w:rsidR="006F1FB5" w:rsidRPr="00B02ACA" w:rsidRDefault="006F1FB5" w:rsidP="000D7771">
      <w:pPr>
        <w:pStyle w:val="Nornal"/>
        <w:jc w:val="left"/>
        <w:rPr>
          <w:rFonts w:eastAsia="Arial"/>
          <w:color w:val="auto"/>
          <w:sz w:val="20"/>
          <w:szCs w:val="20"/>
        </w:rPr>
      </w:pPr>
      <w:r w:rsidRPr="00B02ACA">
        <w:rPr>
          <w:rFonts w:eastAsia="Arial"/>
          <w:color w:val="auto"/>
          <w:sz w:val="20"/>
          <w:szCs w:val="20"/>
        </w:rPr>
        <w:t xml:space="preserve">In conclusion, BA's strategic implementation of AI in people processes aims to augment human capabilities rather than replace them. By automating administrative tasks and providing actionable insights, AI allows </w:t>
      </w:r>
      <w:r w:rsidR="00B02ACA" w:rsidRPr="00B02ACA">
        <w:rPr>
          <w:rFonts w:eastAsia="Arial"/>
          <w:color w:val="auto"/>
          <w:sz w:val="20"/>
          <w:szCs w:val="20"/>
        </w:rPr>
        <w:t xml:space="preserve">people </w:t>
      </w:r>
      <w:r w:rsidRPr="00B02ACA">
        <w:rPr>
          <w:rFonts w:eastAsia="Arial"/>
          <w:color w:val="auto"/>
          <w:sz w:val="20"/>
          <w:szCs w:val="20"/>
        </w:rPr>
        <w:t>professionals to focus on more strategic initiatives, thereby enhancing both operational efficiency and employee experience.</w:t>
      </w:r>
    </w:p>
    <w:p w14:paraId="2907CF6E" w14:textId="77777777" w:rsidR="00233A57" w:rsidRPr="000D7771" w:rsidRDefault="00233A57" w:rsidP="000D7771">
      <w:pPr>
        <w:pStyle w:val="Nornal"/>
        <w:jc w:val="left"/>
        <w:rPr>
          <w:rFonts w:eastAsia="Arial"/>
          <w:sz w:val="20"/>
          <w:szCs w:val="20"/>
        </w:rPr>
      </w:pPr>
    </w:p>
    <w:p w14:paraId="44BE46B5" w14:textId="4B413ADD" w:rsidR="00C967F4"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Explain Charles Handy’s model of organisational culture and explain David Rock’s SCARF theory. (AC 2.1)</w:t>
      </w:r>
    </w:p>
    <w:p w14:paraId="2D073839" w14:textId="0433BEBC" w:rsidR="00F66580" w:rsidRPr="00901BE8" w:rsidRDefault="00C967F4" w:rsidP="000D7771">
      <w:pPr>
        <w:pStyle w:val="Nornal"/>
        <w:jc w:val="left"/>
        <w:rPr>
          <w:rFonts w:eastAsia="Arial"/>
          <w:color w:val="auto"/>
          <w:sz w:val="20"/>
          <w:szCs w:val="20"/>
        </w:rPr>
      </w:pPr>
      <w:r w:rsidRPr="00901BE8">
        <w:rPr>
          <w:rFonts w:eastAsia="Arial"/>
          <w:color w:val="auto"/>
          <w:sz w:val="20"/>
          <w:szCs w:val="20"/>
        </w:rPr>
        <w:t xml:space="preserve">Charles Handy's model of </w:t>
      </w:r>
      <w:r w:rsidR="002847CB" w:rsidRPr="00901BE8">
        <w:rPr>
          <w:rFonts w:eastAsia="Arial"/>
          <w:color w:val="auto"/>
          <w:sz w:val="20"/>
          <w:szCs w:val="20"/>
        </w:rPr>
        <w:t>organisation</w:t>
      </w:r>
      <w:r w:rsidRPr="00901BE8">
        <w:rPr>
          <w:rFonts w:eastAsia="Arial"/>
          <w:color w:val="auto"/>
          <w:sz w:val="20"/>
          <w:szCs w:val="20"/>
        </w:rPr>
        <w:t>al culture identifies four distinct types: Power, Role, Task, and Perso</w:t>
      </w:r>
      <w:r w:rsidR="00CA4905">
        <w:rPr>
          <w:rFonts w:eastAsia="Arial"/>
          <w:color w:val="auto"/>
          <w:sz w:val="20"/>
          <w:szCs w:val="20"/>
        </w:rPr>
        <w:t>n</w:t>
      </w:r>
      <w:r w:rsidRPr="00901BE8">
        <w:rPr>
          <w:rFonts w:eastAsia="Arial"/>
          <w:color w:val="auto"/>
          <w:sz w:val="20"/>
          <w:szCs w:val="20"/>
        </w:rPr>
        <w:t>. Power Culture</w:t>
      </w:r>
      <w:r w:rsidR="00A146A3">
        <w:rPr>
          <w:rFonts w:eastAsia="Arial"/>
          <w:color w:val="auto"/>
          <w:sz w:val="20"/>
          <w:szCs w:val="20"/>
        </w:rPr>
        <w:t xml:space="preserve"> describes an organisation where</w:t>
      </w:r>
      <w:r w:rsidRPr="00901BE8">
        <w:rPr>
          <w:rFonts w:eastAsia="Arial"/>
          <w:color w:val="auto"/>
          <w:sz w:val="20"/>
          <w:szCs w:val="20"/>
        </w:rPr>
        <w:t xml:space="preserve"> control is centrali</w:t>
      </w:r>
      <w:r w:rsidR="00B02ACA" w:rsidRPr="00901BE8">
        <w:rPr>
          <w:rFonts w:eastAsia="Arial"/>
          <w:color w:val="auto"/>
          <w:sz w:val="20"/>
          <w:szCs w:val="20"/>
        </w:rPr>
        <w:t>s</w:t>
      </w:r>
      <w:r w:rsidRPr="00901BE8">
        <w:rPr>
          <w:rFonts w:eastAsia="Arial"/>
          <w:color w:val="auto"/>
          <w:sz w:val="20"/>
          <w:szCs w:val="20"/>
        </w:rPr>
        <w:t>ed, with decision-making authority concentrated among a few individuals, leading to swift decisions but potentially limiting employee autonomy. Role Culture is characteri</w:t>
      </w:r>
      <w:r w:rsidR="00B02ACA" w:rsidRPr="00901BE8">
        <w:rPr>
          <w:rFonts w:eastAsia="Arial"/>
          <w:color w:val="auto"/>
          <w:sz w:val="20"/>
          <w:szCs w:val="20"/>
        </w:rPr>
        <w:t>s</w:t>
      </w:r>
      <w:r w:rsidRPr="00901BE8">
        <w:rPr>
          <w:rFonts w:eastAsia="Arial"/>
          <w:color w:val="auto"/>
          <w:sz w:val="20"/>
          <w:szCs w:val="20"/>
        </w:rPr>
        <w:t>ed by clearly defined roles and responsibilities within a structured hierarchy, emphasi</w:t>
      </w:r>
      <w:r w:rsidR="00B02ACA" w:rsidRPr="00901BE8">
        <w:rPr>
          <w:rFonts w:eastAsia="Arial"/>
          <w:color w:val="auto"/>
          <w:sz w:val="20"/>
          <w:szCs w:val="20"/>
        </w:rPr>
        <w:t>s</w:t>
      </w:r>
      <w:r w:rsidRPr="00901BE8">
        <w:rPr>
          <w:rFonts w:eastAsia="Arial"/>
          <w:color w:val="auto"/>
          <w:sz w:val="20"/>
          <w:szCs w:val="20"/>
        </w:rPr>
        <w:t xml:space="preserve">ing stability and efficiency, though it may hinder innovation. Task Culture focuses on teamwork, bringing together individuals with specific skills to address </w:t>
      </w:r>
      <w:proofErr w:type="gramStart"/>
      <w:r w:rsidRPr="00901BE8">
        <w:rPr>
          <w:rFonts w:eastAsia="Arial"/>
          <w:color w:val="auto"/>
          <w:sz w:val="20"/>
          <w:szCs w:val="20"/>
        </w:rPr>
        <w:t>particular projects</w:t>
      </w:r>
      <w:proofErr w:type="gramEnd"/>
      <w:r w:rsidRPr="00901BE8">
        <w:rPr>
          <w:rFonts w:eastAsia="Arial"/>
          <w:color w:val="auto"/>
          <w:sz w:val="20"/>
          <w:szCs w:val="20"/>
        </w:rPr>
        <w:t xml:space="preserve"> or problems, fostering flexibility and collaboration. Person Culture places the individual at its </w:t>
      </w:r>
      <w:r w:rsidR="00901BE8" w:rsidRPr="00901BE8">
        <w:rPr>
          <w:rFonts w:eastAsia="Arial"/>
          <w:color w:val="auto"/>
          <w:sz w:val="20"/>
          <w:szCs w:val="20"/>
        </w:rPr>
        <w:t>centre</w:t>
      </w:r>
      <w:r w:rsidRPr="00901BE8">
        <w:rPr>
          <w:rFonts w:eastAsia="Arial"/>
          <w:color w:val="auto"/>
          <w:sz w:val="20"/>
          <w:szCs w:val="20"/>
        </w:rPr>
        <w:t xml:space="preserve">, often seen in </w:t>
      </w:r>
      <w:r w:rsidR="002847CB" w:rsidRPr="00901BE8">
        <w:rPr>
          <w:rFonts w:eastAsia="Arial"/>
          <w:color w:val="auto"/>
          <w:sz w:val="20"/>
          <w:szCs w:val="20"/>
        </w:rPr>
        <w:t>organisations</w:t>
      </w:r>
      <w:r w:rsidRPr="00901BE8">
        <w:rPr>
          <w:rFonts w:eastAsia="Arial"/>
          <w:color w:val="auto"/>
          <w:sz w:val="20"/>
          <w:szCs w:val="20"/>
        </w:rPr>
        <w:t xml:space="preserve"> where individuals operate independently, such as in certain professional partnerships. Understanding these cultural </w:t>
      </w:r>
      <w:proofErr w:type="gramStart"/>
      <w:r w:rsidRPr="00901BE8">
        <w:rPr>
          <w:rFonts w:eastAsia="Arial"/>
          <w:color w:val="auto"/>
          <w:sz w:val="20"/>
          <w:szCs w:val="20"/>
        </w:rPr>
        <w:t>types</w:t>
      </w:r>
      <w:proofErr w:type="gramEnd"/>
      <w:r w:rsidRPr="00901BE8">
        <w:rPr>
          <w:rFonts w:eastAsia="Arial"/>
          <w:color w:val="auto"/>
          <w:sz w:val="20"/>
          <w:szCs w:val="20"/>
        </w:rPr>
        <w:t xml:space="preserve"> aids </w:t>
      </w:r>
      <w:r w:rsidR="002847CB" w:rsidRPr="00901BE8">
        <w:rPr>
          <w:rFonts w:eastAsia="Arial"/>
          <w:color w:val="auto"/>
          <w:sz w:val="20"/>
          <w:szCs w:val="20"/>
        </w:rPr>
        <w:t>organisations</w:t>
      </w:r>
      <w:r w:rsidRPr="00901BE8">
        <w:rPr>
          <w:rFonts w:eastAsia="Arial"/>
          <w:color w:val="auto"/>
          <w:sz w:val="20"/>
          <w:szCs w:val="20"/>
        </w:rPr>
        <w:t xml:space="preserve"> in aligning their structures and practices with their strategic objectives</w:t>
      </w:r>
      <w:r w:rsidR="005E046D" w:rsidRPr="00901BE8">
        <w:rPr>
          <w:rFonts w:eastAsia="Arial"/>
          <w:color w:val="auto"/>
          <w:sz w:val="20"/>
          <w:szCs w:val="20"/>
        </w:rPr>
        <w:t xml:space="preserve"> (</w:t>
      </w:r>
      <w:r w:rsidR="00DF07FB" w:rsidRPr="00901BE8">
        <w:rPr>
          <w:rFonts w:eastAsia="Arial"/>
          <w:color w:val="auto"/>
          <w:sz w:val="20"/>
          <w:szCs w:val="20"/>
        </w:rPr>
        <w:t>Mind Tools</w:t>
      </w:r>
      <w:r w:rsidR="005E046D" w:rsidRPr="00901BE8">
        <w:rPr>
          <w:rFonts w:eastAsia="Arial"/>
          <w:color w:val="auto"/>
          <w:sz w:val="20"/>
          <w:szCs w:val="20"/>
        </w:rPr>
        <w:t>, 2022</w:t>
      </w:r>
      <w:r w:rsidR="00F66580" w:rsidRPr="00901BE8">
        <w:rPr>
          <w:rFonts w:eastAsia="Arial"/>
          <w:color w:val="auto"/>
          <w:sz w:val="20"/>
          <w:szCs w:val="20"/>
        </w:rPr>
        <w:t>)</w:t>
      </w:r>
      <w:r w:rsidR="00880B92" w:rsidRPr="00901BE8">
        <w:rPr>
          <w:rFonts w:eastAsia="Arial"/>
          <w:color w:val="auto"/>
          <w:sz w:val="20"/>
          <w:szCs w:val="20"/>
        </w:rPr>
        <w:t>.</w:t>
      </w:r>
    </w:p>
    <w:p w14:paraId="0CD0EDC2" w14:textId="6A3FA322" w:rsidR="00C967F4" w:rsidRPr="00901BE8" w:rsidRDefault="00C967F4" w:rsidP="000D7771">
      <w:pPr>
        <w:pStyle w:val="Nornal"/>
        <w:jc w:val="left"/>
        <w:rPr>
          <w:rFonts w:eastAsia="Arial"/>
          <w:color w:val="auto"/>
          <w:sz w:val="20"/>
          <w:szCs w:val="20"/>
        </w:rPr>
      </w:pPr>
      <w:r w:rsidRPr="00901BE8">
        <w:rPr>
          <w:rFonts w:eastAsia="Arial"/>
          <w:color w:val="auto"/>
          <w:sz w:val="20"/>
          <w:szCs w:val="20"/>
        </w:rPr>
        <w:t xml:space="preserve">David Rock's SCARF model outlines </w:t>
      </w:r>
      <w:r w:rsidR="008F4A18">
        <w:rPr>
          <w:rFonts w:eastAsia="Arial"/>
          <w:color w:val="auto"/>
          <w:sz w:val="20"/>
          <w:szCs w:val="20"/>
        </w:rPr>
        <w:t xml:space="preserve">a total of </w:t>
      </w:r>
      <w:r w:rsidRPr="00901BE8">
        <w:rPr>
          <w:rFonts w:eastAsia="Arial"/>
          <w:color w:val="auto"/>
          <w:sz w:val="20"/>
          <w:szCs w:val="20"/>
        </w:rPr>
        <w:t>five domains that influence human behavio</w:t>
      </w:r>
      <w:r w:rsidR="00901BE8" w:rsidRPr="00901BE8">
        <w:rPr>
          <w:rFonts w:eastAsia="Arial"/>
          <w:color w:val="auto"/>
          <w:sz w:val="20"/>
          <w:szCs w:val="20"/>
        </w:rPr>
        <w:t>u</w:t>
      </w:r>
      <w:r w:rsidRPr="00901BE8">
        <w:rPr>
          <w:rFonts w:eastAsia="Arial"/>
          <w:color w:val="auto"/>
          <w:sz w:val="20"/>
          <w:szCs w:val="20"/>
        </w:rPr>
        <w:t xml:space="preserve">r in social interactions: Status, Certainty, Autonomy, Relatedness, and Fairness. Status pertains to </w:t>
      </w:r>
      <w:r w:rsidR="004E6E10">
        <w:rPr>
          <w:rFonts w:eastAsia="Arial"/>
          <w:color w:val="auto"/>
          <w:sz w:val="20"/>
          <w:szCs w:val="20"/>
        </w:rPr>
        <w:t>people’s</w:t>
      </w:r>
      <w:r w:rsidRPr="00901BE8">
        <w:rPr>
          <w:rFonts w:eastAsia="Arial"/>
          <w:color w:val="auto"/>
          <w:sz w:val="20"/>
          <w:szCs w:val="20"/>
        </w:rPr>
        <w:t xml:space="preserve"> perceived importance relative to others. Certainty </w:t>
      </w:r>
      <w:r w:rsidR="004E6E10">
        <w:rPr>
          <w:rFonts w:eastAsia="Arial"/>
          <w:color w:val="auto"/>
          <w:sz w:val="20"/>
          <w:szCs w:val="20"/>
        </w:rPr>
        <w:t>refers to</w:t>
      </w:r>
      <w:r w:rsidRPr="00901BE8">
        <w:rPr>
          <w:rFonts w:eastAsia="Arial"/>
          <w:color w:val="auto"/>
          <w:sz w:val="20"/>
          <w:szCs w:val="20"/>
        </w:rPr>
        <w:t xml:space="preserve"> the ability to predict </w:t>
      </w:r>
      <w:r w:rsidR="007354E6">
        <w:rPr>
          <w:rFonts w:eastAsia="Arial"/>
          <w:color w:val="auto"/>
          <w:sz w:val="20"/>
          <w:szCs w:val="20"/>
        </w:rPr>
        <w:t xml:space="preserve">the future, thus </w:t>
      </w:r>
      <w:r w:rsidRPr="00901BE8">
        <w:rPr>
          <w:rFonts w:eastAsia="Arial"/>
          <w:color w:val="auto"/>
          <w:sz w:val="20"/>
          <w:szCs w:val="20"/>
        </w:rPr>
        <w:t>reducing anxiety. Autonomy refers to</w:t>
      </w:r>
      <w:r w:rsidR="00C234D9">
        <w:rPr>
          <w:rFonts w:eastAsia="Arial"/>
          <w:color w:val="auto"/>
          <w:sz w:val="20"/>
          <w:szCs w:val="20"/>
        </w:rPr>
        <w:t xml:space="preserve"> a</w:t>
      </w:r>
      <w:r w:rsidRPr="00901BE8">
        <w:rPr>
          <w:rFonts w:eastAsia="Arial"/>
          <w:color w:val="auto"/>
          <w:sz w:val="20"/>
          <w:szCs w:val="20"/>
        </w:rPr>
        <w:t xml:space="preserve"> sense of control over </w:t>
      </w:r>
      <w:r w:rsidR="00C234D9">
        <w:rPr>
          <w:rFonts w:eastAsia="Arial"/>
          <w:color w:val="auto"/>
          <w:sz w:val="20"/>
          <w:szCs w:val="20"/>
        </w:rPr>
        <w:t xml:space="preserve">your own </w:t>
      </w:r>
      <w:r w:rsidRPr="00901BE8">
        <w:rPr>
          <w:rFonts w:eastAsia="Arial"/>
          <w:color w:val="auto"/>
          <w:sz w:val="20"/>
          <w:szCs w:val="20"/>
        </w:rPr>
        <w:t xml:space="preserve">actions. Relatedness </w:t>
      </w:r>
      <w:r w:rsidR="007836B3">
        <w:rPr>
          <w:rFonts w:eastAsia="Arial"/>
          <w:color w:val="auto"/>
          <w:sz w:val="20"/>
          <w:szCs w:val="20"/>
        </w:rPr>
        <w:t>describes a</w:t>
      </w:r>
      <w:r w:rsidRPr="00901BE8">
        <w:rPr>
          <w:rFonts w:eastAsia="Arial"/>
          <w:color w:val="auto"/>
          <w:sz w:val="20"/>
          <w:szCs w:val="20"/>
        </w:rPr>
        <w:t xml:space="preserve"> feeling of connection with others. Fairness concerns the perception of equitable treatment. The SCARF model suggests that enhancing these domains can improve collaboration and productivity within </w:t>
      </w:r>
      <w:r w:rsidR="002847CB" w:rsidRPr="00901BE8">
        <w:rPr>
          <w:rFonts w:eastAsia="Arial"/>
          <w:color w:val="auto"/>
          <w:sz w:val="20"/>
          <w:szCs w:val="20"/>
        </w:rPr>
        <w:t>organisations</w:t>
      </w:r>
      <w:r w:rsidR="00880B92" w:rsidRPr="00901BE8">
        <w:rPr>
          <w:rFonts w:eastAsia="Arial"/>
          <w:color w:val="auto"/>
          <w:sz w:val="20"/>
          <w:szCs w:val="20"/>
        </w:rPr>
        <w:t xml:space="preserve"> (Mind Tools, 2008</w:t>
      </w:r>
      <w:r w:rsidR="00F66580" w:rsidRPr="00901BE8">
        <w:rPr>
          <w:rFonts w:eastAsia="Arial"/>
          <w:color w:val="auto"/>
          <w:sz w:val="20"/>
          <w:szCs w:val="20"/>
        </w:rPr>
        <w:t>)</w:t>
      </w:r>
      <w:r w:rsidR="00880B92" w:rsidRPr="00901BE8">
        <w:rPr>
          <w:rFonts w:eastAsia="Arial"/>
          <w:color w:val="auto"/>
          <w:sz w:val="20"/>
          <w:szCs w:val="20"/>
        </w:rPr>
        <w:t>.</w:t>
      </w:r>
    </w:p>
    <w:p w14:paraId="13A98FCB" w14:textId="0F5FBBC1" w:rsidR="00C967F4" w:rsidRPr="00901BE8" w:rsidRDefault="00C967F4" w:rsidP="000D7771">
      <w:pPr>
        <w:pStyle w:val="Nornal"/>
        <w:jc w:val="left"/>
        <w:rPr>
          <w:rFonts w:eastAsia="Arial"/>
          <w:color w:val="auto"/>
          <w:sz w:val="20"/>
          <w:szCs w:val="20"/>
        </w:rPr>
      </w:pPr>
      <w:r w:rsidRPr="00901BE8">
        <w:rPr>
          <w:rFonts w:eastAsia="Arial"/>
          <w:color w:val="auto"/>
          <w:sz w:val="20"/>
          <w:szCs w:val="20"/>
        </w:rPr>
        <w:t xml:space="preserve">Both Handy's and Rock's frameworks offer valuable insights into </w:t>
      </w:r>
      <w:r w:rsidR="002847CB" w:rsidRPr="00901BE8">
        <w:rPr>
          <w:rFonts w:eastAsia="Arial"/>
          <w:color w:val="auto"/>
          <w:sz w:val="20"/>
          <w:szCs w:val="20"/>
        </w:rPr>
        <w:t>organisation</w:t>
      </w:r>
      <w:r w:rsidRPr="00901BE8">
        <w:rPr>
          <w:rFonts w:eastAsia="Arial"/>
          <w:color w:val="auto"/>
          <w:sz w:val="20"/>
          <w:szCs w:val="20"/>
        </w:rPr>
        <w:t>al behavio</w:t>
      </w:r>
      <w:r w:rsidR="00901BE8" w:rsidRPr="00901BE8">
        <w:rPr>
          <w:rFonts w:eastAsia="Arial"/>
          <w:color w:val="auto"/>
          <w:sz w:val="20"/>
          <w:szCs w:val="20"/>
        </w:rPr>
        <w:t>u</w:t>
      </w:r>
      <w:r w:rsidRPr="00901BE8">
        <w:rPr>
          <w:rFonts w:eastAsia="Arial"/>
          <w:color w:val="auto"/>
          <w:sz w:val="20"/>
          <w:szCs w:val="20"/>
        </w:rPr>
        <w:t xml:space="preserve">r. Handy's model provides a lens to assess and shape </w:t>
      </w:r>
      <w:r w:rsidR="002847CB" w:rsidRPr="00901BE8">
        <w:rPr>
          <w:rFonts w:eastAsia="Arial"/>
          <w:color w:val="auto"/>
          <w:sz w:val="20"/>
          <w:szCs w:val="20"/>
        </w:rPr>
        <w:t>organisation</w:t>
      </w:r>
      <w:r w:rsidRPr="00901BE8">
        <w:rPr>
          <w:rFonts w:eastAsia="Arial"/>
          <w:color w:val="auto"/>
          <w:sz w:val="20"/>
          <w:szCs w:val="20"/>
        </w:rPr>
        <w:t>al culture, while Rock's SCARF model offers strategies to enhance employee engagement and collaboration by addressing fundamental social needs.</w:t>
      </w:r>
    </w:p>
    <w:p w14:paraId="36FC44F8" w14:textId="77777777" w:rsidR="00233A57" w:rsidRPr="000D7771" w:rsidRDefault="00233A57" w:rsidP="000D7771">
      <w:pPr>
        <w:pStyle w:val="Nornal"/>
        <w:jc w:val="left"/>
        <w:rPr>
          <w:rFonts w:eastAsia="Arial"/>
          <w:sz w:val="20"/>
          <w:szCs w:val="20"/>
        </w:rPr>
      </w:pPr>
    </w:p>
    <w:p w14:paraId="6F7AB027" w14:textId="68F5D60E" w:rsidR="00D31320" w:rsidRPr="00680448" w:rsidRDefault="008362B2"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Assess how employee selection or employee development impacts organisational culture and behaviour in your organisation (or one with which you are familiar). (AC 2.2)</w:t>
      </w:r>
    </w:p>
    <w:p w14:paraId="0175F33C" w14:textId="156C86F2"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Employee selection and development are pivotal in shaping </w:t>
      </w:r>
      <w:r w:rsidR="002847CB" w:rsidRPr="00901BE8">
        <w:rPr>
          <w:rFonts w:eastAsia="Arial"/>
          <w:color w:val="auto"/>
          <w:sz w:val="20"/>
          <w:szCs w:val="20"/>
        </w:rPr>
        <w:t>organisation</w:t>
      </w:r>
      <w:r w:rsidRPr="00901BE8">
        <w:rPr>
          <w:rFonts w:eastAsia="Arial"/>
          <w:color w:val="auto"/>
          <w:sz w:val="20"/>
          <w:szCs w:val="20"/>
        </w:rPr>
        <w:t>al culture and behavio</w:t>
      </w:r>
      <w:r w:rsidR="00901BE8" w:rsidRPr="00901BE8">
        <w:rPr>
          <w:rFonts w:eastAsia="Arial"/>
          <w:color w:val="auto"/>
          <w:sz w:val="20"/>
          <w:szCs w:val="20"/>
        </w:rPr>
        <w:t>u</w:t>
      </w:r>
      <w:r w:rsidRPr="00901BE8">
        <w:rPr>
          <w:rFonts w:eastAsia="Arial"/>
          <w:color w:val="auto"/>
          <w:sz w:val="20"/>
          <w:szCs w:val="20"/>
        </w:rPr>
        <w:t>r, particularly in service-oriented industries like aviation. At British Airways (BA), these processes have been instrumental in fostering a culture that emphasi</w:t>
      </w:r>
      <w:r w:rsidR="00901BE8" w:rsidRPr="00901BE8">
        <w:rPr>
          <w:rFonts w:eastAsia="Arial"/>
          <w:color w:val="auto"/>
          <w:sz w:val="20"/>
          <w:szCs w:val="20"/>
        </w:rPr>
        <w:t>s</w:t>
      </w:r>
      <w:r w:rsidRPr="00901BE8">
        <w:rPr>
          <w:rFonts w:eastAsia="Arial"/>
          <w:color w:val="auto"/>
          <w:sz w:val="20"/>
          <w:szCs w:val="20"/>
        </w:rPr>
        <w:t>es customer service excellence and operational efficiency.</w:t>
      </w:r>
    </w:p>
    <w:p w14:paraId="3371EDE3" w14:textId="1685BDA1"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BA's recruitment strategy focuses on attracting individuals who align with the company's core values and service ethos. By selecting candidates who demonstrate a commitment to customer satisfaction and teamwork, BA reinforces a culture </w:t>
      </w:r>
      <w:r w:rsidR="00901BE8" w:rsidRPr="00901BE8">
        <w:rPr>
          <w:rFonts w:eastAsia="Arial"/>
          <w:color w:val="auto"/>
          <w:sz w:val="20"/>
          <w:szCs w:val="20"/>
        </w:rPr>
        <w:t>centred</w:t>
      </w:r>
      <w:r w:rsidRPr="00901BE8">
        <w:rPr>
          <w:rFonts w:eastAsia="Arial"/>
          <w:color w:val="auto"/>
          <w:sz w:val="20"/>
          <w:szCs w:val="20"/>
        </w:rPr>
        <w:t xml:space="preserve"> on delivering high-quality service. This alignment between individual attributes and </w:t>
      </w:r>
      <w:r w:rsidR="002847CB" w:rsidRPr="00901BE8">
        <w:rPr>
          <w:rFonts w:eastAsia="Arial"/>
          <w:color w:val="auto"/>
          <w:sz w:val="20"/>
          <w:szCs w:val="20"/>
        </w:rPr>
        <w:t>organisation</w:t>
      </w:r>
      <w:r w:rsidRPr="00901BE8">
        <w:rPr>
          <w:rFonts w:eastAsia="Arial"/>
          <w:color w:val="auto"/>
          <w:sz w:val="20"/>
          <w:szCs w:val="20"/>
        </w:rPr>
        <w:t xml:space="preserve">al values ensures that employees embody the </w:t>
      </w:r>
      <w:r w:rsidR="00901BE8" w:rsidRPr="00901BE8">
        <w:rPr>
          <w:rFonts w:eastAsia="Arial"/>
          <w:color w:val="auto"/>
          <w:sz w:val="20"/>
          <w:szCs w:val="20"/>
        </w:rPr>
        <w:t>behaviours</w:t>
      </w:r>
      <w:r w:rsidRPr="00901BE8">
        <w:rPr>
          <w:rFonts w:eastAsia="Arial"/>
          <w:color w:val="auto"/>
          <w:sz w:val="20"/>
          <w:szCs w:val="20"/>
        </w:rPr>
        <w:t xml:space="preserve"> and attitudes that BA seeks to promote, thereby strengthening the desired </w:t>
      </w:r>
      <w:r w:rsidR="002847CB" w:rsidRPr="00901BE8">
        <w:rPr>
          <w:rFonts w:eastAsia="Arial"/>
          <w:color w:val="auto"/>
          <w:sz w:val="20"/>
          <w:szCs w:val="20"/>
        </w:rPr>
        <w:t>organisation</w:t>
      </w:r>
      <w:r w:rsidRPr="00901BE8">
        <w:rPr>
          <w:rFonts w:eastAsia="Arial"/>
          <w:color w:val="auto"/>
          <w:sz w:val="20"/>
          <w:szCs w:val="20"/>
        </w:rPr>
        <w:t xml:space="preserve">al culture. As noted by </w:t>
      </w:r>
      <w:proofErr w:type="spellStart"/>
      <w:r w:rsidRPr="00901BE8">
        <w:rPr>
          <w:rFonts w:eastAsia="Arial"/>
          <w:color w:val="auto"/>
          <w:sz w:val="20"/>
          <w:szCs w:val="20"/>
        </w:rPr>
        <w:t>Grugulis</w:t>
      </w:r>
      <w:proofErr w:type="spellEnd"/>
      <w:r w:rsidRPr="00901BE8">
        <w:rPr>
          <w:rFonts w:eastAsia="Arial"/>
          <w:color w:val="auto"/>
          <w:sz w:val="20"/>
          <w:szCs w:val="20"/>
        </w:rPr>
        <w:t xml:space="preserve"> and Wilkinson (2002), strategic recruitment is essential for embedding cultural values within the workforce.</w:t>
      </w:r>
    </w:p>
    <w:p w14:paraId="3B5043A7" w14:textId="7A00BA29"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BA has historically invested in comprehensive training programs to enhance employee skills and inculcate </w:t>
      </w:r>
      <w:r w:rsidR="002847CB" w:rsidRPr="00901BE8">
        <w:rPr>
          <w:rFonts w:eastAsia="Arial"/>
          <w:color w:val="auto"/>
          <w:sz w:val="20"/>
          <w:szCs w:val="20"/>
        </w:rPr>
        <w:t>organisation</w:t>
      </w:r>
      <w:r w:rsidRPr="00901BE8">
        <w:rPr>
          <w:rFonts w:eastAsia="Arial"/>
          <w:color w:val="auto"/>
          <w:sz w:val="20"/>
          <w:szCs w:val="20"/>
        </w:rPr>
        <w:t xml:space="preserve">al values. Initiatives such as the "Putting People First" program were designed to shift the company culture towards greater customer orientation and employee empowerment. These development programs not only improve individual competencies but also promote a collective identity and shared purpose among employees, which are critical components of </w:t>
      </w:r>
      <w:r w:rsidR="002847CB" w:rsidRPr="00901BE8">
        <w:rPr>
          <w:rFonts w:eastAsia="Arial"/>
          <w:color w:val="auto"/>
          <w:sz w:val="20"/>
          <w:szCs w:val="20"/>
        </w:rPr>
        <w:t>organisation</w:t>
      </w:r>
      <w:r w:rsidRPr="00901BE8">
        <w:rPr>
          <w:rFonts w:eastAsia="Arial"/>
          <w:color w:val="auto"/>
          <w:sz w:val="20"/>
          <w:szCs w:val="20"/>
        </w:rPr>
        <w:t>al culture (</w:t>
      </w:r>
      <w:proofErr w:type="spellStart"/>
      <w:r w:rsidRPr="00901BE8">
        <w:rPr>
          <w:rFonts w:eastAsia="Arial"/>
          <w:color w:val="auto"/>
          <w:sz w:val="20"/>
          <w:szCs w:val="20"/>
        </w:rPr>
        <w:t>Grugulis</w:t>
      </w:r>
      <w:proofErr w:type="spellEnd"/>
      <w:r w:rsidRPr="00901BE8">
        <w:rPr>
          <w:rFonts w:eastAsia="Arial"/>
          <w:color w:val="auto"/>
          <w:sz w:val="20"/>
          <w:szCs w:val="20"/>
        </w:rPr>
        <w:t xml:space="preserve"> and Wilkinson, 2002).</w:t>
      </w:r>
    </w:p>
    <w:p w14:paraId="763FD347" w14:textId="3D2A29E8"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Through targeted selection and development efforts, BA cultivates </w:t>
      </w:r>
      <w:r w:rsidR="00901BE8" w:rsidRPr="00901BE8">
        <w:rPr>
          <w:rFonts w:eastAsia="Arial"/>
          <w:color w:val="auto"/>
          <w:sz w:val="20"/>
          <w:szCs w:val="20"/>
        </w:rPr>
        <w:t>behaviours</w:t>
      </w:r>
      <w:r w:rsidRPr="00901BE8">
        <w:rPr>
          <w:rFonts w:eastAsia="Arial"/>
          <w:color w:val="auto"/>
          <w:sz w:val="20"/>
          <w:szCs w:val="20"/>
        </w:rPr>
        <w:t xml:space="preserve"> that align with its strategic objectives. Employees are encouraged to engage in proactive problem-solving, exhibit adaptability in </w:t>
      </w:r>
      <w:r w:rsidRPr="00901BE8">
        <w:rPr>
          <w:rFonts w:eastAsia="Arial"/>
          <w:color w:val="auto"/>
          <w:sz w:val="20"/>
          <w:szCs w:val="20"/>
        </w:rPr>
        <w:lastRenderedPageBreak/>
        <w:t xml:space="preserve">dynamic environments, and maintain a strong focus on customer needs. This </w:t>
      </w:r>
      <w:r w:rsidR="00901BE8" w:rsidRPr="00901BE8">
        <w:rPr>
          <w:rFonts w:eastAsia="Arial"/>
          <w:color w:val="auto"/>
          <w:sz w:val="20"/>
          <w:szCs w:val="20"/>
        </w:rPr>
        <w:t>behavioural</w:t>
      </w:r>
      <w:r w:rsidRPr="00901BE8">
        <w:rPr>
          <w:rFonts w:eastAsia="Arial"/>
          <w:color w:val="auto"/>
          <w:sz w:val="20"/>
          <w:szCs w:val="20"/>
        </w:rPr>
        <w:t xml:space="preserve"> alignment enhances </w:t>
      </w:r>
      <w:r w:rsidR="002847CB" w:rsidRPr="00901BE8">
        <w:rPr>
          <w:rFonts w:eastAsia="Arial"/>
          <w:color w:val="auto"/>
          <w:sz w:val="20"/>
          <w:szCs w:val="20"/>
        </w:rPr>
        <w:t>organisation</w:t>
      </w:r>
      <w:r w:rsidRPr="00901BE8">
        <w:rPr>
          <w:rFonts w:eastAsia="Arial"/>
          <w:color w:val="auto"/>
          <w:sz w:val="20"/>
          <w:szCs w:val="20"/>
        </w:rPr>
        <w:t>al performance and fosters a cohesive culture that supports BA's mission and goals.</w:t>
      </w:r>
    </w:p>
    <w:p w14:paraId="67C0C658" w14:textId="0036B60E"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Despite these efforts, BA has faced challenges in maintaining its desired culture, particularly during periods of </w:t>
      </w:r>
      <w:r w:rsidR="002847CB" w:rsidRPr="00901BE8">
        <w:rPr>
          <w:rFonts w:eastAsia="Arial"/>
          <w:color w:val="auto"/>
          <w:sz w:val="20"/>
          <w:szCs w:val="20"/>
        </w:rPr>
        <w:t>organisation</w:t>
      </w:r>
      <w:r w:rsidRPr="00901BE8">
        <w:rPr>
          <w:rFonts w:eastAsia="Arial"/>
          <w:color w:val="auto"/>
          <w:sz w:val="20"/>
          <w:szCs w:val="20"/>
        </w:rPr>
        <w:t xml:space="preserve">al change. For instance, shifts in management strategies and external market pressures have at times led to cultural turbulence, affecting employee morale and </w:t>
      </w:r>
      <w:r w:rsidR="00901BE8" w:rsidRPr="00901BE8">
        <w:rPr>
          <w:rFonts w:eastAsia="Arial"/>
          <w:color w:val="auto"/>
          <w:sz w:val="20"/>
          <w:szCs w:val="20"/>
        </w:rPr>
        <w:t>behaviour</w:t>
      </w:r>
      <w:r w:rsidRPr="00901BE8">
        <w:rPr>
          <w:rFonts w:eastAsia="Arial"/>
          <w:color w:val="auto"/>
          <w:sz w:val="20"/>
          <w:szCs w:val="20"/>
        </w:rPr>
        <w:t xml:space="preserve">. This underscores the need for continuous alignment between selection, development, and broader </w:t>
      </w:r>
      <w:r w:rsidR="002847CB" w:rsidRPr="00901BE8">
        <w:rPr>
          <w:rFonts w:eastAsia="Arial"/>
          <w:color w:val="auto"/>
          <w:sz w:val="20"/>
          <w:szCs w:val="20"/>
        </w:rPr>
        <w:t>organisation</w:t>
      </w:r>
      <w:r w:rsidRPr="00901BE8">
        <w:rPr>
          <w:rFonts w:eastAsia="Arial"/>
          <w:color w:val="auto"/>
          <w:sz w:val="20"/>
          <w:szCs w:val="20"/>
        </w:rPr>
        <w:t>al strategies to sustain a positive culture (</w:t>
      </w:r>
      <w:proofErr w:type="spellStart"/>
      <w:r w:rsidRPr="00901BE8">
        <w:rPr>
          <w:rFonts w:eastAsia="Arial"/>
          <w:color w:val="auto"/>
          <w:sz w:val="20"/>
          <w:szCs w:val="20"/>
        </w:rPr>
        <w:t>Grugulis</w:t>
      </w:r>
      <w:proofErr w:type="spellEnd"/>
      <w:r w:rsidRPr="00901BE8">
        <w:rPr>
          <w:rFonts w:eastAsia="Arial"/>
          <w:color w:val="auto"/>
          <w:sz w:val="20"/>
          <w:szCs w:val="20"/>
        </w:rPr>
        <w:t xml:space="preserve"> and Wilkinson, 2002).</w:t>
      </w:r>
    </w:p>
    <w:p w14:paraId="28A971DD" w14:textId="00CC1C20"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In conclusion, BA's approach to employee selection and development significantly influences its </w:t>
      </w:r>
      <w:r w:rsidR="002847CB" w:rsidRPr="00901BE8">
        <w:rPr>
          <w:rFonts w:eastAsia="Arial"/>
          <w:color w:val="auto"/>
          <w:sz w:val="20"/>
          <w:szCs w:val="20"/>
        </w:rPr>
        <w:t>organisation</w:t>
      </w:r>
      <w:r w:rsidRPr="00901BE8">
        <w:rPr>
          <w:rFonts w:eastAsia="Arial"/>
          <w:color w:val="auto"/>
          <w:sz w:val="20"/>
          <w:szCs w:val="20"/>
        </w:rPr>
        <w:t xml:space="preserve">al culture and </w:t>
      </w:r>
      <w:r w:rsidR="00901BE8" w:rsidRPr="00901BE8">
        <w:rPr>
          <w:rFonts w:eastAsia="Arial"/>
          <w:color w:val="auto"/>
          <w:sz w:val="20"/>
          <w:szCs w:val="20"/>
        </w:rPr>
        <w:t>behaviour</w:t>
      </w:r>
      <w:r w:rsidRPr="00901BE8">
        <w:rPr>
          <w:rFonts w:eastAsia="Arial"/>
          <w:color w:val="auto"/>
          <w:sz w:val="20"/>
          <w:szCs w:val="20"/>
        </w:rPr>
        <w:t xml:space="preserve">. By aligning these processes with its strategic objectives, BA fosters a workforce that embodies its core values and contributes to sustained </w:t>
      </w:r>
      <w:r w:rsidR="002847CB" w:rsidRPr="00901BE8">
        <w:rPr>
          <w:rFonts w:eastAsia="Arial"/>
          <w:color w:val="auto"/>
          <w:sz w:val="20"/>
          <w:szCs w:val="20"/>
        </w:rPr>
        <w:t>organisation</w:t>
      </w:r>
      <w:r w:rsidRPr="00901BE8">
        <w:rPr>
          <w:rFonts w:eastAsia="Arial"/>
          <w:color w:val="auto"/>
          <w:sz w:val="20"/>
          <w:szCs w:val="20"/>
        </w:rPr>
        <w:t>al success.</w:t>
      </w:r>
    </w:p>
    <w:p w14:paraId="1040EFEC" w14:textId="77777777" w:rsidR="00233A57" w:rsidRPr="000D7771" w:rsidRDefault="00233A57" w:rsidP="000D7771">
      <w:pPr>
        <w:pStyle w:val="Nornal"/>
        <w:jc w:val="left"/>
        <w:rPr>
          <w:rFonts w:eastAsia="Arial"/>
          <w:sz w:val="20"/>
          <w:szCs w:val="20"/>
        </w:rPr>
      </w:pPr>
    </w:p>
    <w:p w14:paraId="7885197E" w14:textId="5B2716D7" w:rsidR="00034B4F"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0FABC16" w14:textId="2AA34F54"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To implement a hybrid working model, where employees are required to work on-site at least two days a week, Kotter's 8-Step Change Model provides a structured approach to managing this transition. The first step, creating a sense of urgency, involves clearly communicating the need for change, highlighting the benefits of hybrid working, such as improved collaboration and employee wellbeing. By presenting data and real-life examples, employees and stakeholders will be motivated to support the shift (</w:t>
      </w:r>
      <w:r w:rsidR="00915D66">
        <w:rPr>
          <w:rFonts w:eastAsia="Arial"/>
          <w:color w:val="auto"/>
          <w:sz w:val="20"/>
          <w:szCs w:val="20"/>
        </w:rPr>
        <w:t>Kotter</w:t>
      </w:r>
      <w:r w:rsidRPr="00915D66">
        <w:rPr>
          <w:rFonts w:eastAsia="Arial"/>
          <w:color w:val="auto"/>
          <w:sz w:val="20"/>
          <w:szCs w:val="20"/>
        </w:rPr>
        <w:t>, 2025).</w:t>
      </w:r>
    </w:p>
    <w:p w14:paraId="2AD5CE31" w14:textId="6770CD6B"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Next, building a guiding coalition is crucial. A team of influential leaders should be assembled to drive the change process, address employee concerns, and maintain momentum throughout the implementation. This coalition is key in fostering support for the change (</w:t>
      </w:r>
      <w:r w:rsidR="004A149A" w:rsidRPr="00915D66">
        <w:rPr>
          <w:rFonts w:eastAsia="Arial"/>
          <w:color w:val="auto"/>
          <w:sz w:val="20"/>
          <w:szCs w:val="20"/>
        </w:rPr>
        <w:t>Kotter</w:t>
      </w:r>
      <w:r w:rsidRPr="00915D66">
        <w:rPr>
          <w:rFonts w:eastAsia="Arial"/>
          <w:color w:val="auto"/>
          <w:sz w:val="20"/>
          <w:szCs w:val="20"/>
        </w:rPr>
        <w:t xml:space="preserve">, 2025). In the third step, it is important to form a strategic vision and initiatives. A clear vision will outline the objectives and benefits of the hybrid working model, and initiatives should be developed to guide its implementation, ensuring alignment with </w:t>
      </w:r>
      <w:r w:rsidR="002847CB" w:rsidRPr="00915D66">
        <w:rPr>
          <w:rFonts w:eastAsia="Arial"/>
          <w:color w:val="auto"/>
          <w:sz w:val="20"/>
          <w:szCs w:val="20"/>
        </w:rPr>
        <w:t>organisation</w:t>
      </w:r>
      <w:r w:rsidRPr="00915D66">
        <w:rPr>
          <w:rFonts w:eastAsia="Arial"/>
          <w:color w:val="auto"/>
          <w:sz w:val="20"/>
          <w:szCs w:val="20"/>
        </w:rPr>
        <w:t>al goals.</w:t>
      </w:r>
    </w:p>
    <w:p w14:paraId="1A68D646" w14:textId="3177F724"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 xml:space="preserve">Communicating the vision of change is the fourth step. The vision and strategic initiatives should be communicated transparently across the </w:t>
      </w:r>
      <w:r w:rsidR="002847CB" w:rsidRPr="00915D66">
        <w:rPr>
          <w:rFonts w:eastAsia="Arial"/>
          <w:color w:val="auto"/>
          <w:sz w:val="20"/>
          <w:szCs w:val="20"/>
        </w:rPr>
        <w:t>organisation</w:t>
      </w:r>
      <w:r w:rsidRPr="00915D66">
        <w:rPr>
          <w:rFonts w:eastAsia="Arial"/>
          <w:color w:val="auto"/>
          <w:sz w:val="20"/>
          <w:szCs w:val="20"/>
        </w:rPr>
        <w:t xml:space="preserve"> through various channels. This ensures that employees understand the rationale behind the hybrid model, feel included, and </w:t>
      </w:r>
      <w:proofErr w:type="gramStart"/>
      <w:r w:rsidRPr="00915D66">
        <w:rPr>
          <w:rFonts w:eastAsia="Arial"/>
          <w:color w:val="auto"/>
          <w:sz w:val="20"/>
          <w:szCs w:val="20"/>
        </w:rPr>
        <w:t>have the opportunity to</w:t>
      </w:r>
      <w:proofErr w:type="gramEnd"/>
      <w:r w:rsidRPr="00915D66">
        <w:rPr>
          <w:rFonts w:eastAsia="Arial"/>
          <w:color w:val="auto"/>
          <w:sz w:val="20"/>
          <w:szCs w:val="20"/>
        </w:rPr>
        <w:t xml:space="preserve"> provide feedback (</w:t>
      </w:r>
      <w:r w:rsidR="004A149A" w:rsidRPr="00915D66">
        <w:rPr>
          <w:rFonts w:eastAsia="Arial"/>
          <w:color w:val="auto"/>
          <w:sz w:val="20"/>
          <w:szCs w:val="20"/>
        </w:rPr>
        <w:t>Kotter</w:t>
      </w:r>
      <w:r w:rsidRPr="00915D66">
        <w:rPr>
          <w:rFonts w:eastAsia="Arial"/>
          <w:color w:val="auto"/>
          <w:sz w:val="20"/>
          <w:szCs w:val="20"/>
        </w:rPr>
        <w:t>, 2025). To empower employees, the fifth step involves removing obstacles to adoption and providing the necessary resources, training, and support. Empowerment enables employees to embrace the new way of working and fosters a sense of ownership in the process.</w:t>
      </w:r>
    </w:p>
    <w:p w14:paraId="33516631" w14:textId="5784FE8F"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The sixth step involves generating short-term wins. By implementing pilot programs or phased rollouts, early successes can be celebrated, building confidence in the new model. This demonstrates the model's effectiveness and reinforces the change process (</w:t>
      </w:r>
      <w:r w:rsidR="004A149A" w:rsidRPr="00915D66">
        <w:rPr>
          <w:rFonts w:eastAsia="Arial"/>
          <w:color w:val="auto"/>
          <w:sz w:val="20"/>
          <w:szCs w:val="20"/>
        </w:rPr>
        <w:t>Kotter</w:t>
      </w:r>
      <w:r w:rsidRPr="00915D66">
        <w:rPr>
          <w:rFonts w:eastAsia="Arial"/>
          <w:color w:val="auto"/>
          <w:sz w:val="20"/>
          <w:szCs w:val="20"/>
        </w:rPr>
        <w:t xml:space="preserve">, 2025). The seventh step, sustaining acceleration, focuses on using the credibility gained from early wins to drive further changes. Continuous improvements and initiatives will maintain momentum and ensure that the hybrid model becomes deeply embedded. Finally, instituting change ensures that the hybrid model is anchored into the </w:t>
      </w:r>
      <w:r w:rsidR="002847CB" w:rsidRPr="00915D66">
        <w:rPr>
          <w:rFonts w:eastAsia="Arial"/>
          <w:color w:val="auto"/>
          <w:sz w:val="20"/>
          <w:szCs w:val="20"/>
        </w:rPr>
        <w:t>organisation</w:t>
      </w:r>
      <w:r w:rsidRPr="00915D66">
        <w:rPr>
          <w:rFonts w:eastAsia="Arial"/>
          <w:color w:val="auto"/>
          <w:sz w:val="20"/>
          <w:szCs w:val="20"/>
        </w:rPr>
        <w:t>'s culture through aligned policies, practices, and leadership development (</w:t>
      </w:r>
      <w:r w:rsidR="006D1BBF" w:rsidRPr="00915D66">
        <w:rPr>
          <w:rFonts w:eastAsia="Arial"/>
          <w:color w:val="auto"/>
          <w:sz w:val="20"/>
          <w:szCs w:val="20"/>
        </w:rPr>
        <w:t>Kotter</w:t>
      </w:r>
      <w:r w:rsidRPr="00915D66">
        <w:rPr>
          <w:rFonts w:eastAsia="Arial"/>
          <w:color w:val="auto"/>
          <w:sz w:val="20"/>
          <w:szCs w:val="20"/>
        </w:rPr>
        <w:t>, 2025).</w:t>
      </w:r>
    </w:p>
    <w:p w14:paraId="036F200C" w14:textId="78817460"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 xml:space="preserve">By systematically applying Kotter's approach, the transition to hybrid working can be successfully managed, ensuring both </w:t>
      </w:r>
      <w:r w:rsidR="002847CB" w:rsidRPr="00915D66">
        <w:rPr>
          <w:rFonts w:eastAsia="Arial"/>
          <w:color w:val="auto"/>
          <w:sz w:val="20"/>
          <w:szCs w:val="20"/>
        </w:rPr>
        <w:t>organisation</w:t>
      </w:r>
      <w:r w:rsidRPr="00915D66">
        <w:rPr>
          <w:rFonts w:eastAsia="Arial"/>
          <w:color w:val="auto"/>
          <w:sz w:val="20"/>
          <w:szCs w:val="20"/>
        </w:rPr>
        <w:t>al goals and employee needs are met.</w:t>
      </w:r>
    </w:p>
    <w:p w14:paraId="306E1012" w14:textId="77777777" w:rsidR="00915D66" w:rsidRDefault="00915D66" w:rsidP="000D7771">
      <w:pPr>
        <w:pStyle w:val="Nornal"/>
        <w:jc w:val="left"/>
        <w:rPr>
          <w:rFonts w:eastAsia="Arial"/>
          <w:b/>
          <w:bCs/>
          <w:color w:val="00616A" w:themeColor="accent2" w:themeShade="BF"/>
          <w:sz w:val="20"/>
          <w:szCs w:val="20"/>
        </w:rPr>
      </w:pPr>
    </w:p>
    <w:p w14:paraId="02A6B8E1" w14:textId="4D40223B" w:rsidR="00664040"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Using the Kubler-Ross change curve, discuss how change is experienced. (AC 2.4)</w:t>
      </w:r>
    </w:p>
    <w:p w14:paraId="643C31F8" w14:textId="40FCDC03" w:rsidR="00664040" w:rsidRPr="00915D66" w:rsidRDefault="00664040" w:rsidP="000D7771">
      <w:pPr>
        <w:pStyle w:val="Nornal"/>
        <w:jc w:val="left"/>
        <w:rPr>
          <w:rFonts w:eastAsia="Arial"/>
          <w:color w:val="auto"/>
          <w:sz w:val="20"/>
          <w:szCs w:val="20"/>
        </w:rPr>
      </w:pPr>
      <w:r w:rsidRPr="00915D66">
        <w:rPr>
          <w:rFonts w:eastAsia="Arial"/>
          <w:color w:val="auto"/>
          <w:sz w:val="20"/>
          <w:szCs w:val="20"/>
        </w:rPr>
        <w:t xml:space="preserve">The Kubler-Ross Change Curve is a model that outlines the emotional stages people typically experience when faced with change, initially introduced in the context of grief but widely applied to </w:t>
      </w:r>
      <w:r w:rsidR="002847CB" w:rsidRPr="00915D66">
        <w:rPr>
          <w:rFonts w:eastAsia="Arial"/>
          <w:color w:val="auto"/>
          <w:sz w:val="20"/>
          <w:szCs w:val="20"/>
        </w:rPr>
        <w:t>organisation</w:t>
      </w:r>
      <w:r w:rsidRPr="00915D66">
        <w:rPr>
          <w:rFonts w:eastAsia="Arial"/>
          <w:color w:val="auto"/>
          <w:sz w:val="20"/>
          <w:szCs w:val="20"/>
        </w:rPr>
        <w:t>al change. This model consists of five stages: denial, anger, bargaining, depression, and acceptance, which describe the emotional journey individuals undergo as they adjust to significant changes (Kubler-Ross &amp; Kessler, 2005).</w:t>
      </w:r>
    </w:p>
    <w:p w14:paraId="7455F4F8" w14:textId="73628DD6" w:rsidR="00664040" w:rsidRPr="00915D66" w:rsidRDefault="00664040" w:rsidP="000D7771">
      <w:pPr>
        <w:pStyle w:val="Nornal"/>
        <w:jc w:val="left"/>
        <w:rPr>
          <w:rFonts w:eastAsia="Arial"/>
          <w:color w:val="auto"/>
          <w:sz w:val="20"/>
          <w:szCs w:val="20"/>
        </w:rPr>
      </w:pPr>
      <w:r w:rsidRPr="00915D66">
        <w:rPr>
          <w:rFonts w:eastAsia="Arial"/>
          <w:color w:val="auto"/>
          <w:sz w:val="20"/>
          <w:szCs w:val="20"/>
        </w:rPr>
        <w:t xml:space="preserve">Initially, individuals may experience denial, where they reject the reality of change. This is a </w:t>
      </w:r>
      <w:r w:rsidR="00915D66" w:rsidRPr="00915D66">
        <w:rPr>
          <w:rFonts w:eastAsia="Arial"/>
          <w:color w:val="auto"/>
          <w:sz w:val="20"/>
          <w:szCs w:val="20"/>
        </w:rPr>
        <w:t>defence</w:t>
      </w:r>
      <w:r w:rsidRPr="00915D66">
        <w:rPr>
          <w:rFonts w:eastAsia="Arial"/>
          <w:color w:val="auto"/>
          <w:sz w:val="20"/>
          <w:szCs w:val="20"/>
        </w:rPr>
        <w:t xml:space="preserve"> mechanism against the overwhelming nature of change, as employees often struggle to accept the new </w:t>
      </w:r>
      <w:r w:rsidRPr="00915D66">
        <w:rPr>
          <w:rFonts w:eastAsia="Arial"/>
          <w:color w:val="auto"/>
          <w:sz w:val="20"/>
          <w:szCs w:val="20"/>
        </w:rPr>
        <w:lastRenderedPageBreak/>
        <w:t xml:space="preserve">direction (Kotter, </w:t>
      </w:r>
      <w:r w:rsidR="005E49ED" w:rsidRPr="00915D66">
        <w:rPr>
          <w:rFonts w:eastAsia="Arial"/>
          <w:color w:val="auto"/>
          <w:sz w:val="20"/>
          <w:szCs w:val="20"/>
        </w:rPr>
        <w:t>2012</w:t>
      </w:r>
      <w:r w:rsidRPr="00915D66">
        <w:rPr>
          <w:rFonts w:eastAsia="Arial"/>
          <w:color w:val="auto"/>
          <w:sz w:val="20"/>
          <w:szCs w:val="20"/>
        </w:rPr>
        <w:t>). In the anger phase, resistance to change can manifest, with individuals expressing frustration or dissatisfaction due to perceived loss or uncertainty about their future roles (Bridges, 2009).</w:t>
      </w:r>
    </w:p>
    <w:p w14:paraId="20A3D44B" w14:textId="34AA8477" w:rsidR="00664040" w:rsidRPr="00915D66" w:rsidRDefault="00664040" w:rsidP="000D7771">
      <w:pPr>
        <w:pStyle w:val="Nornal"/>
        <w:jc w:val="left"/>
        <w:rPr>
          <w:rFonts w:eastAsia="Arial"/>
          <w:color w:val="auto"/>
          <w:sz w:val="20"/>
          <w:szCs w:val="20"/>
        </w:rPr>
      </w:pPr>
      <w:r w:rsidRPr="00915D66">
        <w:rPr>
          <w:rFonts w:eastAsia="Arial"/>
          <w:color w:val="auto"/>
          <w:sz w:val="20"/>
          <w:szCs w:val="20"/>
        </w:rPr>
        <w:t>The bargaining stage often involves individuals trying to negotiate with the change, perhaps seeking ways to minimi</w:t>
      </w:r>
      <w:r w:rsidR="00915D66" w:rsidRPr="00915D66">
        <w:rPr>
          <w:rFonts w:eastAsia="Arial"/>
          <w:color w:val="auto"/>
          <w:sz w:val="20"/>
          <w:szCs w:val="20"/>
        </w:rPr>
        <w:t>s</w:t>
      </w:r>
      <w:r w:rsidRPr="00915D66">
        <w:rPr>
          <w:rFonts w:eastAsia="Arial"/>
          <w:color w:val="auto"/>
          <w:sz w:val="20"/>
          <w:szCs w:val="20"/>
        </w:rPr>
        <w:t>e its impact or hoping it will not affect them significantly. However, this is often followed by depression, a period of sadness and a sense of helplessness, where employees may feel overwhelmed by the changes that are occurring (Hiatt, 2006).</w:t>
      </w:r>
    </w:p>
    <w:p w14:paraId="48140103" w14:textId="38490BF8" w:rsidR="00664040" w:rsidRPr="00666B93" w:rsidRDefault="00664040" w:rsidP="000D7771">
      <w:pPr>
        <w:pStyle w:val="Nornal"/>
        <w:jc w:val="left"/>
        <w:rPr>
          <w:rFonts w:eastAsia="Arial"/>
          <w:color w:val="auto"/>
          <w:sz w:val="20"/>
          <w:szCs w:val="20"/>
        </w:rPr>
      </w:pPr>
      <w:r w:rsidRPr="00666B93">
        <w:rPr>
          <w:rFonts w:eastAsia="Arial"/>
          <w:color w:val="auto"/>
          <w:sz w:val="20"/>
          <w:szCs w:val="20"/>
        </w:rPr>
        <w:t xml:space="preserve">Ultimately, individuals reach the acceptance stage, where they begin to embrace the change, adapt, and engage with it. In this phase, employees start to focus on the opportunities that change may bring (Kotter, </w:t>
      </w:r>
      <w:r w:rsidR="005E49ED" w:rsidRPr="00666B93">
        <w:rPr>
          <w:rFonts w:eastAsia="Arial"/>
          <w:color w:val="auto"/>
          <w:sz w:val="20"/>
          <w:szCs w:val="20"/>
        </w:rPr>
        <w:t>2012</w:t>
      </w:r>
      <w:r w:rsidRPr="00666B93">
        <w:rPr>
          <w:rFonts w:eastAsia="Arial"/>
          <w:color w:val="auto"/>
          <w:sz w:val="20"/>
          <w:szCs w:val="20"/>
        </w:rPr>
        <w:t>). It's important to recogni</w:t>
      </w:r>
      <w:r w:rsidR="00915D66" w:rsidRPr="00666B93">
        <w:rPr>
          <w:rFonts w:eastAsia="Arial"/>
          <w:color w:val="auto"/>
          <w:sz w:val="20"/>
          <w:szCs w:val="20"/>
        </w:rPr>
        <w:t>s</w:t>
      </w:r>
      <w:r w:rsidRPr="00666B93">
        <w:rPr>
          <w:rFonts w:eastAsia="Arial"/>
          <w:color w:val="auto"/>
          <w:sz w:val="20"/>
          <w:szCs w:val="20"/>
        </w:rPr>
        <w:t>e that these stages are not linear; individuals may cycle through them multiple times or experience them in different orders, depending on the situation and their personal response to change (Bridges, 2009).</w:t>
      </w:r>
    </w:p>
    <w:p w14:paraId="427799AB" w14:textId="423BE8E2" w:rsidR="00664040" w:rsidRPr="00666B93" w:rsidRDefault="002847CB" w:rsidP="000D7771">
      <w:pPr>
        <w:pStyle w:val="Nornal"/>
        <w:jc w:val="left"/>
        <w:rPr>
          <w:rFonts w:eastAsia="Arial"/>
          <w:color w:val="auto"/>
          <w:sz w:val="20"/>
          <w:szCs w:val="20"/>
        </w:rPr>
      </w:pPr>
      <w:r w:rsidRPr="00666B93">
        <w:rPr>
          <w:rFonts w:eastAsia="Arial"/>
          <w:color w:val="auto"/>
          <w:sz w:val="20"/>
          <w:szCs w:val="20"/>
        </w:rPr>
        <w:t>Organisation</w:t>
      </w:r>
      <w:r w:rsidR="00664040" w:rsidRPr="00666B93">
        <w:rPr>
          <w:rFonts w:eastAsia="Arial"/>
          <w:color w:val="auto"/>
          <w:sz w:val="20"/>
          <w:szCs w:val="20"/>
        </w:rPr>
        <w:t xml:space="preserve">al change initiatives should consider these emotional stages to support employees through the transition. By acknowledging the emotional journey and providing adequate support, including clear communication, leadership guidance, and training, </w:t>
      </w:r>
      <w:r w:rsidRPr="00666B93">
        <w:rPr>
          <w:rFonts w:eastAsia="Arial"/>
          <w:color w:val="auto"/>
          <w:sz w:val="20"/>
          <w:szCs w:val="20"/>
        </w:rPr>
        <w:t>organisations</w:t>
      </w:r>
      <w:r w:rsidR="00664040" w:rsidRPr="00666B93">
        <w:rPr>
          <w:rFonts w:eastAsia="Arial"/>
          <w:color w:val="auto"/>
          <w:sz w:val="20"/>
          <w:szCs w:val="20"/>
        </w:rPr>
        <w:t xml:space="preserve"> can foster a smoother and more successful change process (Hiatt, 2006; Kotter, </w:t>
      </w:r>
      <w:r w:rsidR="005E49ED" w:rsidRPr="00666B93">
        <w:rPr>
          <w:rFonts w:eastAsia="Arial"/>
          <w:color w:val="auto"/>
          <w:sz w:val="20"/>
          <w:szCs w:val="20"/>
        </w:rPr>
        <w:t>2012</w:t>
      </w:r>
      <w:r w:rsidR="00664040" w:rsidRPr="00666B93">
        <w:rPr>
          <w:rFonts w:eastAsia="Arial"/>
          <w:color w:val="auto"/>
          <w:sz w:val="20"/>
          <w:szCs w:val="20"/>
        </w:rPr>
        <w:t>).</w:t>
      </w:r>
    </w:p>
    <w:p w14:paraId="3964780B" w14:textId="77777777" w:rsidR="00664040" w:rsidRPr="000D7771" w:rsidRDefault="00664040" w:rsidP="000D7771">
      <w:pPr>
        <w:pStyle w:val="Nornal"/>
        <w:jc w:val="left"/>
        <w:rPr>
          <w:rFonts w:eastAsia="Arial"/>
          <w:sz w:val="20"/>
          <w:szCs w:val="20"/>
        </w:rPr>
      </w:pPr>
    </w:p>
    <w:p w14:paraId="413C6C93" w14:textId="64293303" w:rsidR="000678EB"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42C371A" w14:textId="17212E34" w:rsidR="000678EB" w:rsidRPr="00666B93" w:rsidRDefault="000678EB" w:rsidP="000D7771">
      <w:pPr>
        <w:pStyle w:val="Nornal"/>
        <w:jc w:val="left"/>
        <w:rPr>
          <w:rFonts w:eastAsia="Arial"/>
          <w:color w:val="auto"/>
          <w:sz w:val="20"/>
          <w:szCs w:val="20"/>
        </w:rPr>
      </w:pPr>
      <w:r w:rsidRPr="00666B93">
        <w:rPr>
          <w:rFonts w:eastAsia="Arial"/>
          <w:color w:val="auto"/>
          <w:sz w:val="20"/>
          <w:szCs w:val="20"/>
        </w:rPr>
        <w:t xml:space="preserve">The importance of wellbeing at work has gained increasing recognition, as </w:t>
      </w:r>
      <w:r w:rsidR="002847CB" w:rsidRPr="00666B93">
        <w:rPr>
          <w:rFonts w:eastAsia="Arial"/>
          <w:color w:val="auto"/>
          <w:sz w:val="20"/>
          <w:szCs w:val="20"/>
        </w:rPr>
        <w:t>organisations</w:t>
      </w:r>
      <w:r w:rsidRPr="00666B93">
        <w:rPr>
          <w:rFonts w:eastAsia="Arial"/>
          <w:color w:val="auto"/>
          <w:sz w:val="20"/>
          <w:szCs w:val="20"/>
        </w:rPr>
        <w:t xml:space="preserve"> acknowledge the profound impact it has on employee performance, engagement, and retention. Wellbeing at work encompasses both physical and mental health, including factors such as work-life balance, </w:t>
      </w:r>
      <w:r w:rsidR="002847CB" w:rsidRPr="00666B93">
        <w:rPr>
          <w:rFonts w:eastAsia="Arial"/>
          <w:color w:val="auto"/>
          <w:sz w:val="20"/>
          <w:szCs w:val="20"/>
        </w:rPr>
        <w:t>organisation</w:t>
      </w:r>
      <w:r w:rsidRPr="00666B93">
        <w:rPr>
          <w:rFonts w:eastAsia="Arial"/>
          <w:color w:val="auto"/>
          <w:sz w:val="20"/>
          <w:szCs w:val="20"/>
        </w:rPr>
        <w:t xml:space="preserve">al culture, and job satisfaction (CIPD, 2023). A healthy workforce is essential for </w:t>
      </w:r>
      <w:r w:rsidR="002847CB" w:rsidRPr="00666B93">
        <w:rPr>
          <w:rFonts w:eastAsia="Arial"/>
          <w:color w:val="auto"/>
          <w:sz w:val="20"/>
          <w:szCs w:val="20"/>
        </w:rPr>
        <w:t>organisation</w:t>
      </w:r>
      <w:r w:rsidRPr="00666B93">
        <w:rPr>
          <w:rFonts w:eastAsia="Arial"/>
          <w:color w:val="auto"/>
          <w:sz w:val="20"/>
          <w:szCs w:val="20"/>
        </w:rPr>
        <w:t>al success, as it drives productivity, reduces absenteeism, and fosters positive work environments (Danna &amp; Griffin, 1999).</w:t>
      </w:r>
    </w:p>
    <w:p w14:paraId="22B0BEFC" w14:textId="7FB2D77C" w:rsidR="000678EB" w:rsidRPr="000D7771" w:rsidRDefault="000678EB" w:rsidP="000D7771">
      <w:pPr>
        <w:pStyle w:val="Nornal"/>
        <w:jc w:val="left"/>
        <w:rPr>
          <w:rFonts w:eastAsia="Arial"/>
          <w:color w:val="FF0000"/>
          <w:sz w:val="20"/>
          <w:szCs w:val="20"/>
        </w:rPr>
      </w:pPr>
      <w:r w:rsidRPr="00666B93">
        <w:rPr>
          <w:rFonts w:eastAsia="Arial"/>
          <w:color w:val="auto"/>
          <w:sz w:val="20"/>
          <w:szCs w:val="20"/>
        </w:rPr>
        <w:t xml:space="preserve">The CIPD’s </w:t>
      </w:r>
      <w:r w:rsidRPr="00666B93">
        <w:rPr>
          <w:rFonts w:eastAsia="Arial"/>
          <w:i/>
          <w:iCs/>
          <w:color w:val="auto"/>
          <w:sz w:val="20"/>
          <w:szCs w:val="20"/>
        </w:rPr>
        <w:t>Health and Wellbeing at Work Survey 2023</w:t>
      </w:r>
      <w:r w:rsidRPr="00666B93">
        <w:rPr>
          <w:rFonts w:eastAsia="Arial"/>
          <w:color w:val="auto"/>
          <w:sz w:val="20"/>
          <w:szCs w:val="20"/>
        </w:rPr>
        <w:t xml:space="preserve"> reveals a notable rise in the number of </w:t>
      </w:r>
      <w:r w:rsidR="002847CB" w:rsidRPr="00666B93">
        <w:rPr>
          <w:rFonts w:eastAsia="Arial"/>
          <w:color w:val="auto"/>
          <w:sz w:val="20"/>
          <w:szCs w:val="20"/>
        </w:rPr>
        <w:t>organisations</w:t>
      </w:r>
      <w:r w:rsidRPr="00666B93">
        <w:rPr>
          <w:rFonts w:eastAsia="Arial"/>
          <w:color w:val="auto"/>
          <w:sz w:val="20"/>
          <w:szCs w:val="20"/>
        </w:rPr>
        <w:t xml:space="preserve"> with a standalone wellbeing strategy, which reflects an increasing awareness of the need for dedicated wellbeing initiatives (CIPD, 2023). This increase signifies progress in the recognition of wellbeing as a strategic priority. However, the fact that 47% of </w:t>
      </w:r>
      <w:r w:rsidR="002847CB" w:rsidRPr="00666B93">
        <w:rPr>
          <w:rFonts w:eastAsia="Arial"/>
          <w:color w:val="auto"/>
          <w:sz w:val="20"/>
          <w:szCs w:val="20"/>
        </w:rPr>
        <w:t>organisations</w:t>
      </w:r>
      <w:r w:rsidRPr="00666B93">
        <w:rPr>
          <w:rFonts w:eastAsia="Arial"/>
          <w:color w:val="auto"/>
          <w:sz w:val="20"/>
          <w:szCs w:val="20"/>
        </w:rPr>
        <w:t xml:space="preserve"> still lack a standalone strategy highlights a gap in how deeply </w:t>
      </w:r>
      <w:r w:rsidR="002847CB" w:rsidRPr="00666B93">
        <w:rPr>
          <w:rFonts w:eastAsia="Arial"/>
          <w:color w:val="auto"/>
          <w:sz w:val="20"/>
          <w:szCs w:val="20"/>
        </w:rPr>
        <w:t>organisations</w:t>
      </w:r>
      <w:r w:rsidRPr="00666B93">
        <w:rPr>
          <w:rFonts w:eastAsia="Arial"/>
          <w:color w:val="auto"/>
          <w:sz w:val="20"/>
          <w:szCs w:val="20"/>
        </w:rPr>
        <w:t xml:space="preserve"> are embedding wellbeing into their core practices</w:t>
      </w:r>
      <w:r w:rsidRPr="000D7771">
        <w:rPr>
          <w:rFonts w:eastAsia="Arial"/>
          <w:color w:val="FF0000"/>
          <w:sz w:val="20"/>
          <w:szCs w:val="20"/>
        </w:rPr>
        <w:t>.</w:t>
      </w:r>
    </w:p>
    <w:p w14:paraId="77400805" w14:textId="28A0E9BF" w:rsidR="000678EB" w:rsidRPr="00666B93" w:rsidRDefault="000678EB" w:rsidP="000D7771">
      <w:pPr>
        <w:pStyle w:val="Nornal"/>
        <w:jc w:val="left"/>
        <w:rPr>
          <w:rFonts w:eastAsia="Arial"/>
          <w:color w:val="auto"/>
          <w:sz w:val="20"/>
          <w:szCs w:val="20"/>
        </w:rPr>
      </w:pPr>
      <w:r w:rsidRPr="00666B93">
        <w:rPr>
          <w:rFonts w:eastAsia="Arial"/>
          <w:color w:val="auto"/>
          <w:sz w:val="20"/>
          <w:szCs w:val="20"/>
        </w:rPr>
        <w:t>A good work environment is closely linked to improved employee wellbeing. The concept of “good work” is often associated with aspects such as job security, fair pay, manageable workloads, and opportunities for personal development (Green, 2006). According to Warr (2002), good work can positively affect employees’ psychological health, leading to greater job satisfaction and a sense of purpose. Furthermore, when employees feel their work is valued and their wellbeing is supported, they are more likely to exhibit higher levels of commitment and performance (Harter, Schmidt, &amp; Hayes, 2002).</w:t>
      </w:r>
    </w:p>
    <w:p w14:paraId="55174377" w14:textId="78BF0F3C" w:rsidR="000678EB" w:rsidRPr="00666B93" w:rsidRDefault="000678EB" w:rsidP="000D7771">
      <w:pPr>
        <w:pStyle w:val="Nornal"/>
        <w:jc w:val="left"/>
        <w:rPr>
          <w:rFonts w:eastAsia="Arial"/>
          <w:color w:val="auto"/>
          <w:sz w:val="20"/>
          <w:szCs w:val="20"/>
        </w:rPr>
      </w:pPr>
      <w:r w:rsidRPr="00666B93">
        <w:rPr>
          <w:rFonts w:eastAsia="Arial"/>
          <w:color w:val="auto"/>
          <w:sz w:val="20"/>
          <w:szCs w:val="20"/>
        </w:rPr>
        <w:t xml:space="preserve">Moreover, creating good work conditions can help mitigate stress, burnout, and mental health challenges. High-quality work environments that foster autonomy, support, and recognition can reduce the likelihood of stress-related illnesses (Karasek &amp; Theorell, 1990). As </w:t>
      </w:r>
      <w:r w:rsidR="002847CB" w:rsidRPr="00666B93">
        <w:rPr>
          <w:rFonts w:eastAsia="Arial"/>
          <w:color w:val="auto"/>
          <w:sz w:val="20"/>
          <w:szCs w:val="20"/>
        </w:rPr>
        <w:t>organisations</w:t>
      </w:r>
      <w:r w:rsidRPr="00666B93">
        <w:rPr>
          <w:rFonts w:eastAsia="Arial"/>
          <w:color w:val="auto"/>
          <w:sz w:val="20"/>
          <w:szCs w:val="20"/>
        </w:rPr>
        <w:t xml:space="preserve"> strive to align their work culture with these principles, employees are more likely to experience positive health outcomes, leading to decreased turno</w:t>
      </w:r>
      <w:r w:rsidR="000D7771" w:rsidRPr="00666B93">
        <w:rPr>
          <w:rFonts w:eastAsia="Arial"/>
          <w:color w:val="auto"/>
          <w:sz w:val="20"/>
          <w:szCs w:val="20"/>
        </w:rPr>
        <w:t>v</w:t>
      </w:r>
      <w:r w:rsidRPr="00666B93">
        <w:rPr>
          <w:rFonts w:eastAsia="Arial"/>
          <w:color w:val="auto"/>
          <w:sz w:val="20"/>
          <w:szCs w:val="20"/>
        </w:rPr>
        <w:t xml:space="preserve">er and greater </w:t>
      </w:r>
      <w:r w:rsidR="002847CB" w:rsidRPr="00666B93">
        <w:rPr>
          <w:rFonts w:eastAsia="Arial"/>
          <w:color w:val="auto"/>
          <w:sz w:val="20"/>
          <w:szCs w:val="20"/>
        </w:rPr>
        <w:t>organisation</w:t>
      </w:r>
      <w:r w:rsidRPr="00666B93">
        <w:rPr>
          <w:rFonts w:eastAsia="Arial"/>
          <w:color w:val="auto"/>
          <w:sz w:val="20"/>
          <w:szCs w:val="20"/>
        </w:rPr>
        <w:t>al loyalty.</w:t>
      </w:r>
    </w:p>
    <w:p w14:paraId="4D42FECE" w14:textId="45745A5F" w:rsidR="00233A57" w:rsidRPr="00666B93" w:rsidRDefault="000678EB" w:rsidP="000D7771">
      <w:pPr>
        <w:pStyle w:val="Nornal"/>
        <w:jc w:val="left"/>
        <w:rPr>
          <w:rFonts w:eastAsia="Arial"/>
          <w:color w:val="auto"/>
          <w:sz w:val="20"/>
          <w:szCs w:val="20"/>
        </w:rPr>
      </w:pPr>
      <w:r w:rsidRPr="00666B93">
        <w:rPr>
          <w:rFonts w:eastAsia="Arial"/>
          <w:color w:val="auto"/>
          <w:sz w:val="20"/>
          <w:szCs w:val="20"/>
        </w:rPr>
        <w:t xml:space="preserve">Despite these advantages, the lack of a dedicated wellbeing strategy in nearly half of </w:t>
      </w:r>
      <w:r w:rsidR="002847CB" w:rsidRPr="00666B93">
        <w:rPr>
          <w:rFonts w:eastAsia="Arial"/>
          <w:color w:val="auto"/>
          <w:sz w:val="20"/>
          <w:szCs w:val="20"/>
        </w:rPr>
        <w:t>organisations</w:t>
      </w:r>
      <w:r w:rsidRPr="00666B93">
        <w:rPr>
          <w:rFonts w:eastAsia="Arial"/>
          <w:color w:val="auto"/>
          <w:sz w:val="20"/>
          <w:szCs w:val="20"/>
        </w:rPr>
        <w:t xml:space="preserve"> indicates a failure to prioriti</w:t>
      </w:r>
      <w:r w:rsidR="00666B93" w:rsidRPr="00666B93">
        <w:rPr>
          <w:rFonts w:eastAsia="Arial"/>
          <w:color w:val="auto"/>
          <w:sz w:val="20"/>
          <w:szCs w:val="20"/>
        </w:rPr>
        <w:t>s</w:t>
      </w:r>
      <w:r w:rsidRPr="00666B93">
        <w:rPr>
          <w:rFonts w:eastAsia="Arial"/>
          <w:color w:val="auto"/>
          <w:sz w:val="20"/>
          <w:szCs w:val="20"/>
        </w:rPr>
        <w:t xml:space="preserve">e and effectively address employee wellbeing. Research by Langford (2021) highlights that </w:t>
      </w:r>
      <w:r w:rsidR="002847CB" w:rsidRPr="00666B93">
        <w:rPr>
          <w:rFonts w:eastAsia="Arial"/>
          <w:color w:val="auto"/>
          <w:sz w:val="20"/>
          <w:szCs w:val="20"/>
        </w:rPr>
        <w:t>organisations</w:t>
      </w:r>
      <w:r w:rsidRPr="00666B93">
        <w:rPr>
          <w:rFonts w:eastAsia="Arial"/>
          <w:color w:val="auto"/>
          <w:sz w:val="20"/>
          <w:szCs w:val="20"/>
        </w:rPr>
        <w:t xml:space="preserve"> with clear wellbeing frameworks are more likely to see improvements in engagement, productivity, and employee retention. Therefore, it is crucial for </w:t>
      </w:r>
      <w:r w:rsidR="002847CB" w:rsidRPr="00666B93">
        <w:rPr>
          <w:rFonts w:eastAsia="Arial"/>
          <w:color w:val="auto"/>
          <w:sz w:val="20"/>
          <w:szCs w:val="20"/>
        </w:rPr>
        <w:t>organisations</w:t>
      </w:r>
      <w:r w:rsidRPr="00666B93">
        <w:rPr>
          <w:rFonts w:eastAsia="Arial"/>
          <w:color w:val="auto"/>
          <w:sz w:val="20"/>
          <w:szCs w:val="20"/>
        </w:rPr>
        <w:t xml:space="preserve"> to not only recogni</w:t>
      </w:r>
      <w:r w:rsidR="00666B93" w:rsidRPr="00666B93">
        <w:rPr>
          <w:rFonts w:eastAsia="Arial"/>
          <w:color w:val="auto"/>
          <w:sz w:val="20"/>
          <w:szCs w:val="20"/>
        </w:rPr>
        <w:t>s</w:t>
      </w:r>
      <w:r w:rsidRPr="00666B93">
        <w:rPr>
          <w:rFonts w:eastAsia="Arial"/>
          <w:color w:val="auto"/>
          <w:sz w:val="20"/>
          <w:szCs w:val="20"/>
        </w:rPr>
        <w:t>e the importance of wellbeing but to also integrate it into their strategic objectives to ensure a thriving, sustainable workforce.</w:t>
      </w:r>
    </w:p>
    <w:p w14:paraId="41779069" w14:textId="77777777" w:rsidR="00666B93" w:rsidRPr="00666B93" w:rsidRDefault="00666B93" w:rsidP="000D7771">
      <w:pPr>
        <w:pStyle w:val="Nornal"/>
        <w:jc w:val="left"/>
        <w:rPr>
          <w:rFonts w:eastAsia="Arial"/>
          <w:color w:val="FF0000"/>
          <w:sz w:val="20"/>
          <w:szCs w:val="20"/>
        </w:rPr>
      </w:pPr>
    </w:p>
    <w:p w14:paraId="1E8335E3" w14:textId="3F075E3B" w:rsidR="008F0744"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Provide a brief overview of the employee lifecycle</w:t>
      </w:r>
      <w:r w:rsidRPr="00680448">
        <w:rPr>
          <w:rFonts w:eastAsia="Arial"/>
          <w:b/>
          <w:bCs/>
          <w:i/>
          <w:iCs/>
          <w:color w:val="00616A" w:themeColor="accent2" w:themeShade="BF"/>
          <w:sz w:val="20"/>
          <w:szCs w:val="20"/>
        </w:rPr>
        <w:t xml:space="preserve"> </w:t>
      </w:r>
      <w:r w:rsidRPr="00680448">
        <w:rPr>
          <w:rFonts w:eastAsia="Arial"/>
          <w:b/>
          <w:bCs/>
          <w:color w:val="00616A" w:themeColor="accent2" w:themeShade="BF"/>
          <w:sz w:val="20"/>
          <w:szCs w:val="20"/>
        </w:rPr>
        <w:t>and discuss people practice roles at the recruitment, development and separation stages of the lifecycle. (AC 3.1)</w:t>
      </w:r>
    </w:p>
    <w:p w14:paraId="39C465C4" w14:textId="22B7EA12" w:rsidR="008F0744" w:rsidRPr="00666B93" w:rsidRDefault="008F0744" w:rsidP="000D7771">
      <w:pPr>
        <w:pStyle w:val="Nornal"/>
        <w:jc w:val="left"/>
        <w:rPr>
          <w:rFonts w:eastAsia="Arial"/>
          <w:color w:val="auto"/>
          <w:sz w:val="20"/>
          <w:szCs w:val="20"/>
        </w:rPr>
      </w:pPr>
      <w:r w:rsidRPr="00666B93">
        <w:rPr>
          <w:rFonts w:eastAsia="Arial"/>
          <w:color w:val="auto"/>
          <w:sz w:val="20"/>
          <w:szCs w:val="20"/>
        </w:rPr>
        <w:lastRenderedPageBreak/>
        <w:t xml:space="preserve">The employee lifecycle refers to </w:t>
      </w:r>
      <w:r w:rsidR="00ED0670">
        <w:rPr>
          <w:rFonts w:eastAsia="Arial"/>
          <w:color w:val="auto"/>
          <w:sz w:val="20"/>
          <w:szCs w:val="20"/>
        </w:rPr>
        <w:t>a person’s career journey</w:t>
      </w:r>
      <w:r w:rsidRPr="00666B93">
        <w:rPr>
          <w:rFonts w:eastAsia="Arial"/>
          <w:color w:val="auto"/>
          <w:sz w:val="20"/>
          <w:szCs w:val="20"/>
        </w:rPr>
        <w:t xml:space="preserve"> </w:t>
      </w:r>
      <w:r w:rsidR="009C3E46">
        <w:rPr>
          <w:rFonts w:eastAsia="Arial"/>
          <w:color w:val="auto"/>
          <w:sz w:val="20"/>
          <w:szCs w:val="20"/>
        </w:rPr>
        <w:t>with a single</w:t>
      </w:r>
      <w:r w:rsidRPr="00666B93">
        <w:rPr>
          <w:rFonts w:eastAsia="Arial"/>
          <w:color w:val="auto"/>
          <w:sz w:val="20"/>
          <w:szCs w:val="20"/>
        </w:rPr>
        <w:t xml:space="preserve"> </w:t>
      </w:r>
      <w:r w:rsidR="002847CB" w:rsidRPr="00666B93">
        <w:rPr>
          <w:rFonts w:eastAsia="Arial"/>
          <w:color w:val="auto"/>
          <w:sz w:val="20"/>
          <w:szCs w:val="20"/>
        </w:rPr>
        <w:t>organisation</w:t>
      </w:r>
      <w:r w:rsidRPr="00666B93">
        <w:rPr>
          <w:rFonts w:eastAsia="Arial"/>
          <w:color w:val="auto"/>
          <w:sz w:val="20"/>
          <w:szCs w:val="20"/>
        </w:rPr>
        <w:t>, from recruitment to separation. Understanding the employee lifecycle is essential for people professionals to effectively manage talent and ensure a positive employee experience at each stage. The lifecycle typically includes recruitment, onboarding, development, retention, and separation (CIPD, 2020).</w:t>
      </w:r>
    </w:p>
    <w:p w14:paraId="6FB9DB08" w14:textId="3E0C4A10" w:rsidR="008F0744" w:rsidRPr="006521BD" w:rsidRDefault="008F0744" w:rsidP="000D7771">
      <w:pPr>
        <w:pStyle w:val="Nornal"/>
        <w:jc w:val="left"/>
        <w:rPr>
          <w:rFonts w:eastAsia="Arial"/>
          <w:color w:val="auto"/>
          <w:sz w:val="20"/>
          <w:szCs w:val="20"/>
        </w:rPr>
      </w:pPr>
      <w:r w:rsidRPr="00666B93">
        <w:rPr>
          <w:rFonts w:eastAsia="Arial"/>
          <w:color w:val="auto"/>
          <w:sz w:val="20"/>
          <w:szCs w:val="20"/>
        </w:rPr>
        <w:t xml:space="preserve">At the recruitment stage, people professionals play a crucial role in attracting and selecting the right talent. This involves creating job descriptions, sourcing </w:t>
      </w:r>
      <w:r w:rsidR="00BA1D92">
        <w:rPr>
          <w:rFonts w:eastAsia="Arial"/>
          <w:color w:val="auto"/>
          <w:sz w:val="20"/>
          <w:szCs w:val="20"/>
        </w:rPr>
        <w:t>local talent</w:t>
      </w:r>
      <w:r w:rsidRPr="00666B93">
        <w:rPr>
          <w:rFonts w:eastAsia="Arial"/>
          <w:color w:val="auto"/>
          <w:sz w:val="20"/>
          <w:szCs w:val="20"/>
        </w:rPr>
        <w:t>, c</w:t>
      </w:r>
      <w:r w:rsidR="00BA1D92">
        <w:rPr>
          <w:rFonts w:eastAsia="Arial"/>
          <w:color w:val="auto"/>
          <w:sz w:val="20"/>
          <w:szCs w:val="20"/>
        </w:rPr>
        <w:t>arrying out</w:t>
      </w:r>
      <w:r w:rsidRPr="00666B93">
        <w:rPr>
          <w:rFonts w:eastAsia="Arial"/>
          <w:color w:val="auto"/>
          <w:sz w:val="20"/>
          <w:szCs w:val="20"/>
        </w:rPr>
        <w:t xml:space="preserve"> interviews, and ensuring a fair and unbiased hiring process. Effective recruitment strategies are vital for building a strong workforce and ensuring a good fit between employees and the </w:t>
      </w:r>
      <w:r w:rsidR="002847CB" w:rsidRPr="00666B93">
        <w:rPr>
          <w:rFonts w:eastAsia="Arial"/>
          <w:color w:val="auto"/>
          <w:sz w:val="20"/>
          <w:szCs w:val="20"/>
        </w:rPr>
        <w:t>organisation</w:t>
      </w:r>
      <w:r w:rsidRPr="00666B93">
        <w:rPr>
          <w:rFonts w:eastAsia="Arial"/>
          <w:color w:val="auto"/>
          <w:sz w:val="20"/>
          <w:szCs w:val="20"/>
        </w:rPr>
        <w:t xml:space="preserve">al culture (Armstrong, 2020). Additionally, recruitment professionals help manage employer branding to attract top talent and ensure diversity and </w:t>
      </w:r>
      <w:r w:rsidRPr="006521BD">
        <w:rPr>
          <w:rFonts w:eastAsia="Arial"/>
          <w:color w:val="auto"/>
          <w:sz w:val="20"/>
          <w:szCs w:val="20"/>
        </w:rPr>
        <w:t>inclusion are prioriti</w:t>
      </w:r>
      <w:r w:rsidR="00666B93" w:rsidRPr="006521BD">
        <w:rPr>
          <w:rFonts w:eastAsia="Arial"/>
          <w:color w:val="auto"/>
          <w:sz w:val="20"/>
          <w:szCs w:val="20"/>
        </w:rPr>
        <w:t>s</w:t>
      </w:r>
      <w:r w:rsidRPr="006521BD">
        <w:rPr>
          <w:rFonts w:eastAsia="Arial"/>
          <w:color w:val="auto"/>
          <w:sz w:val="20"/>
          <w:szCs w:val="20"/>
        </w:rPr>
        <w:t>ed.</w:t>
      </w:r>
    </w:p>
    <w:p w14:paraId="5DB29193" w14:textId="142F5F87" w:rsidR="008F0744" w:rsidRPr="006521BD" w:rsidRDefault="008F0744" w:rsidP="000D7771">
      <w:pPr>
        <w:pStyle w:val="Nornal"/>
        <w:jc w:val="left"/>
        <w:rPr>
          <w:rFonts w:eastAsia="Arial"/>
          <w:color w:val="auto"/>
          <w:sz w:val="20"/>
          <w:szCs w:val="20"/>
        </w:rPr>
      </w:pPr>
      <w:r w:rsidRPr="006521BD">
        <w:rPr>
          <w:rFonts w:eastAsia="Arial"/>
          <w:color w:val="auto"/>
          <w:sz w:val="20"/>
          <w:szCs w:val="20"/>
        </w:rPr>
        <w:t>During the development phase, people professionals focus on fostering employee growth and maximi</w:t>
      </w:r>
      <w:r w:rsidR="006521BD" w:rsidRPr="006521BD">
        <w:rPr>
          <w:rFonts w:eastAsia="Arial"/>
          <w:color w:val="auto"/>
          <w:sz w:val="20"/>
          <w:szCs w:val="20"/>
        </w:rPr>
        <w:t>s</w:t>
      </w:r>
      <w:r w:rsidRPr="006521BD">
        <w:rPr>
          <w:rFonts w:eastAsia="Arial"/>
          <w:color w:val="auto"/>
          <w:sz w:val="20"/>
          <w:szCs w:val="20"/>
        </w:rPr>
        <w:t>ing potential. This includes providing opportunities for training, skill development, and career progression. By implementing performance management systems and supporting ongoing learning, HR professionals help employees enhance their capabilities, boosting engagement and productivity (</w:t>
      </w:r>
      <w:proofErr w:type="spellStart"/>
      <w:r w:rsidRPr="006521BD">
        <w:rPr>
          <w:rFonts w:eastAsia="Arial"/>
          <w:color w:val="auto"/>
          <w:sz w:val="20"/>
          <w:szCs w:val="20"/>
        </w:rPr>
        <w:t>Aguinis</w:t>
      </w:r>
      <w:proofErr w:type="spellEnd"/>
      <w:r w:rsidRPr="006521BD">
        <w:rPr>
          <w:rFonts w:eastAsia="Arial"/>
          <w:color w:val="auto"/>
          <w:sz w:val="20"/>
          <w:szCs w:val="20"/>
        </w:rPr>
        <w:t>, 2013). Development initiatives may include mentorship programs, leadership development, and continuous feedback, which contribute to long-term employee satisfaction and retention. People professionals also work closely with managers to identify skills gaps and create personali</w:t>
      </w:r>
      <w:r w:rsidR="006521BD" w:rsidRPr="006521BD">
        <w:rPr>
          <w:rFonts w:eastAsia="Arial"/>
          <w:color w:val="auto"/>
          <w:sz w:val="20"/>
          <w:szCs w:val="20"/>
        </w:rPr>
        <w:t>s</w:t>
      </w:r>
      <w:r w:rsidRPr="006521BD">
        <w:rPr>
          <w:rFonts w:eastAsia="Arial"/>
          <w:color w:val="auto"/>
          <w:sz w:val="20"/>
          <w:szCs w:val="20"/>
        </w:rPr>
        <w:t xml:space="preserve">ed development plans that align with both employee and </w:t>
      </w:r>
      <w:r w:rsidR="002847CB" w:rsidRPr="006521BD">
        <w:rPr>
          <w:rFonts w:eastAsia="Arial"/>
          <w:color w:val="auto"/>
          <w:sz w:val="20"/>
          <w:szCs w:val="20"/>
        </w:rPr>
        <w:t>organisation</w:t>
      </w:r>
      <w:r w:rsidR="000D7771" w:rsidRPr="006521BD">
        <w:rPr>
          <w:rFonts w:eastAsia="Arial"/>
          <w:color w:val="auto"/>
          <w:sz w:val="20"/>
          <w:szCs w:val="20"/>
        </w:rPr>
        <w:t>a</w:t>
      </w:r>
      <w:r w:rsidRPr="006521BD">
        <w:rPr>
          <w:rFonts w:eastAsia="Arial"/>
          <w:color w:val="auto"/>
          <w:sz w:val="20"/>
          <w:szCs w:val="20"/>
        </w:rPr>
        <w:t>l goals (CIPD, 2020).</w:t>
      </w:r>
    </w:p>
    <w:p w14:paraId="3C45B138" w14:textId="78EEE73B" w:rsidR="008F0744" w:rsidRPr="006521BD" w:rsidRDefault="008F0744" w:rsidP="000D7771">
      <w:pPr>
        <w:pStyle w:val="Nornal"/>
        <w:jc w:val="left"/>
        <w:rPr>
          <w:rFonts w:eastAsia="Arial"/>
          <w:color w:val="auto"/>
          <w:sz w:val="20"/>
          <w:szCs w:val="20"/>
        </w:rPr>
      </w:pPr>
      <w:r w:rsidRPr="006521BD">
        <w:rPr>
          <w:rFonts w:eastAsia="Arial"/>
          <w:color w:val="auto"/>
          <w:sz w:val="20"/>
          <w:szCs w:val="20"/>
        </w:rPr>
        <w:t xml:space="preserve">At the separation stage, people professionals manage the process of employee exit, whether due to resignation, retirement, or redundancy. A smooth separation process is essential for maintaining positive relationships with former employees and protecting the </w:t>
      </w:r>
      <w:r w:rsidR="002847CB" w:rsidRPr="006521BD">
        <w:rPr>
          <w:rFonts w:eastAsia="Arial"/>
          <w:color w:val="auto"/>
          <w:sz w:val="20"/>
          <w:szCs w:val="20"/>
        </w:rPr>
        <w:t>organisation</w:t>
      </w:r>
      <w:r w:rsidRPr="006521BD">
        <w:rPr>
          <w:rFonts w:eastAsia="Arial"/>
          <w:color w:val="auto"/>
          <w:sz w:val="20"/>
          <w:szCs w:val="20"/>
        </w:rPr>
        <w:t xml:space="preserve">’s reputation (Shuck &amp; Reio, 2014). This stage often involves conducting exit interviews to gather feedback on the employee experience, which can inform future people practices and </w:t>
      </w:r>
      <w:r w:rsidR="002847CB" w:rsidRPr="006521BD">
        <w:rPr>
          <w:rFonts w:eastAsia="Arial"/>
          <w:color w:val="auto"/>
          <w:sz w:val="20"/>
          <w:szCs w:val="20"/>
        </w:rPr>
        <w:t>organisation</w:t>
      </w:r>
      <w:r w:rsidRPr="006521BD">
        <w:rPr>
          <w:rFonts w:eastAsia="Arial"/>
          <w:color w:val="auto"/>
          <w:sz w:val="20"/>
          <w:szCs w:val="20"/>
        </w:rPr>
        <w:t>al improvements. People professionals are also responsible for ensuring compliance with legal requirements, providing necessary documentation, and facilitating knowledge transfer when an employee leaves (Armstrong, 2020).</w:t>
      </w:r>
    </w:p>
    <w:p w14:paraId="4B6D0536" w14:textId="5A81D6F7" w:rsidR="008F0744" w:rsidRPr="006521BD" w:rsidRDefault="008F0744" w:rsidP="000D7771">
      <w:pPr>
        <w:pStyle w:val="Nornal"/>
        <w:jc w:val="left"/>
        <w:rPr>
          <w:rFonts w:eastAsia="Arial"/>
          <w:color w:val="auto"/>
          <w:sz w:val="20"/>
          <w:szCs w:val="20"/>
        </w:rPr>
      </w:pPr>
      <w:r w:rsidRPr="006521BD">
        <w:rPr>
          <w:rFonts w:eastAsia="Arial"/>
          <w:color w:val="auto"/>
          <w:sz w:val="20"/>
          <w:szCs w:val="20"/>
        </w:rPr>
        <w:t xml:space="preserve">Throughout the employee lifecycle, people professionals are critical in ensuring a positive experience, supporting both the individual’s growth and the </w:t>
      </w:r>
      <w:r w:rsidR="002847CB" w:rsidRPr="006521BD">
        <w:rPr>
          <w:rFonts w:eastAsia="Arial"/>
          <w:color w:val="auto"/>
          <w:sz w:val="20"/>
          <w:szCs w:val="20"/>
        </w:rPr>
        <w:t>organisation</w:t>
      </w:r>
      <w:r w:rsidRPr="006521BD">
        <w:rPr>
          <w:rFonts w:eastAsia="Arial"/>
          <w:color w:val="auto"/>
          <w:sz w:val="20"/>
          <w:szCs w:val="20"/>
        </w:rPr>
        <w:t xml:space="preserve">’s strategic objectives. By managing each stage effectively, </w:t>
      </w:r>
      <w:r w:rsidR="002847CB" w:rsidRPr="006521BD">
        <w:rPr>
          <w:rFonts w:eastAsia="Arial"/>
          <w:color w:val="auto"/>
          <w:sz w:val="20"/>
          <w:szCs w:val="20"/>
        </w:rPr>
        <w:t>organisations</w:t>
      </w:r>
      <w:r w:rsidRPr="006521BD">
        <w:rPr>
          <w:rFonts w:eastAsia="Arial"/>
          <w:color w:val="auto"/>
          <w:sz w:val="20"/>
          <w:szCs w:val="20"/>
        </w:rPr>
        <w:t xml:space="preserve"> can enhance employee engagement, retention, and overall performance.</w:t>
      </w:r>
    </w:p>
    <w:p w14:paraId="16951A40" w14:textId="77777777" w:rsidR="00233A57" w:rsidRPr="000D7771" w:rsidRDefault="00233A57" w:rsidP="000D7771">
      <w:pPr>
        <w:pStyle w:val="Nornal"/>
        <w:jc w:val="left"/>
        <w:rPr>
          <w:rFonts w:eastAsia="Arial"/>
          <w:sz w:val="20"/>
          <w:szCs w:val="20"/>
        </w:rPr>
      </w:pPr>
    </w:p>
    <w:p w14:paraId="33186DDE" w14:textId="3A87CB58" w:rsidR="004F27A8"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Analyse how people practice supports organisational strategy through vertical integration and how people practice supports wider people strategies through horizontal integration. (AC 3.2)</w:t>
      </w:r>
    </w:p>
    <w:p w14:paraId="0937C2D7" w14:textId="0D9A432A"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People practice</w:t>
      </w:r>
      <w:r w:rsidR="006521BD" w:rsidRPr="006521BD">
        <w:rPr>
          <w:rFonts w:eastAsia="Arial"/>
          <w:color w:val="auto"/>
          <w:sz w:val="20"/>
          <w:szCs w:val="20"/>
        </w:rPr>
        <w:t xml:space="preserve"> </w:t>
      </w:r>
      <w:r w:rsidRPr="006521BD">
        <w:rPr>
          <w:rFonts w:eastAsia="Arial"/>
          <w:color w:val="auto"/>
          <w:sz w:val="20"/>
          <w:szCs w:val="20"/>
        </w:rPr>
        <w:t xml:space="preserve">plays a critical role in aligning with </w:t>
      </w:r>
      <w:r w:rsidR="002847CB" w:rsidRPr="006521BD">
        <w:rPr>
          <w:rFonts w:eastAsia="Arial"/>
          <w:color w:val="auto"/>
          <w:sz w:val="20"/>
          <w:szCs w:val="20"/>
        </w:rPr>
        <w:t>organisation</w:t>
      </w:r>
      <w:r w:rsidRPr="006521BD">
        <w:rPr>
          <w:rFonts w:eastAsia="Arial"/>
          <w:color w:val="auto"/>
          <w:sz w:val="20"/>
          <w:szCs w:val="20"/>
        </w:rPr>
        <w:t xml:space="preserve">al strategy through both vertical and horizontal integration. These integrations ensure that HR activities and people strategies support the broader goals of the </w:t>
      </w:r>
      <w:r w:rsidR="002847CB" w:rsidRPr="006521BD">
        <w:rPr>
          <w:rFonts w:eastAsia="Arial"/>
          <w:color w:val="auto"/>
          <w:sz w:val="20"/>
          <w:szCs w:val="20"/>
        </w:rPr>
        <w:t>organisation</w:t>
      </w:r>
      <w:r w:rsidRPr="006521BD">
        <w:rPr>
          <w:rFonts w:eastAsia="Arial"/>
          <w:color w:val="auto"/>
          <w:sz w:val="20"/>
          <w:szCs w:val="20"/>
        </w:rPr>
        <w:t xml:space="preserve"> while also contributing to the holistic development of the workforce.</w:t>
      </w:r>
    </w:p>
    <w:p w14:paraId="49EA9BB7" w14:textId="45340C54"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Vertical integration refers to the alignment of HR strategies with the </w:t>
      </w:r>
      <w:r w:rsidR="002847CB" w:rsidRPr="006521BD">
        <w:rPr>
          <w:rFonts w:eastAsia="Arial"/>
          <w:color w:val="auto"/>
          <w:sz w:val="20"/>
          <w:szCs w:val="20"/>
        </w:rPr>
        <w:t>organisation</w:t>
      </w:r>
      <w:r w:rsidRPr="006521BD">
        <w:rPr>
          <w:rFonts w:eastAsia="Arial"/>
          <w:color w:val="auto"/>
          <w:sz w:val="20"/>
          <w:szCs w:val="20"/>
        </w:rPr>
        <w:t xml:space="preserve">’s overall strategic goals. This type of integration ensures that people </w:t>
      </w:r>
      <w:proofErr w:type="gramStart"/>
      <w:r w:rsidRPr="006521BD">
        <w:rPr>
          <w:rFonts w:eastAsia="Arial"/>
          <w:color w:val="auto"/>
          <w:sz w:val="20"/>
          <w:szCs w:val="20"/>
        </w:rPr>
        <w:t>practices</w:t>
      </w:r>
      <w:proofErr w:type="gramEnd"/>
      <w:r w:rsidRPr="006521BD">
        <w:rPr>
          <w:rFonts w:eastAsia="Arial"/>
          <w:color w:val="auto"/>
          <w:sz w:val="20"/>
          <w:szCs w:val="20"/>
        </w:rPr>
        <w:t xml:space="preserve"> directly support the strategic direction and objectives of the </w:t>
      </w:r>
      <w:r w:rsidR="002847CB" w:rsidRPr="006521BD">
        <w:rPr>
          <w:rFonts w:eastAsia="Arial"/>
          <w:color w:val="auto"/>
          <w:sz w:val="20"/>
          <w:szCs w:val="20"/>
        </w:rPr>
        <w:t>organisation</w:t>
      </w:r>
      <w:r w:rsidRPr="006521BD">
        <w:rPr>
          <w:rFonts w:eastAsia="Arial"/>
          <w:color w:val="auto"/>
          <w:sz w:val="20"/>
          <w:szCs w:val="20"/>
        </w:rPr>
        <w:t xml:space="preserve">, creating a cohesive link between the workforce and the leadership team (Boxall &amp; Purcell, 2016). For example, if an </w:t>
      </w:r>
      <w:r w:rsidR="002847CB" w:rsidRPr="006521BD">
        <w:rPr>
          <w:rFonts w:eastAsia="Arial"/>
          <w:color w:val="auto"/>
          <w:sz w:val="20"/>
          <w:szCs w:val="20"/>
        </w:rPr>
        <w:t>organisation</w:t>
      </w:r>
      <w:r w:rsidRPr="006521BD">
        <w:rPr>
          <w:rFonts w:eastAsia="Arial"/>
          <w:color w:val="auto"/>
          <w:sz w:val="20"/>
          <w:szCs w:val="20"/>
        </w:rPr>
        <w:t xml:space="preserve"> focuses on innovation as a key part of its strategy, HR can align by designing recruitment processes to attract innovative talent, fostering a culture of creativity through employee engagement initiatives, and providing development opportunities that enhance employees’ innovative capabilities (Ulrich, 1997). Additionally, performance management systems can be tailored to track and reward contributions aligned with strategic goals, ensuring that individual and team objectives are in harmony with the </w:t>
      </w:r>
      <w:r w:rsidR="002847CB" w:rsidRPr="006521BD">
        <w:rPr>
          <w:rFonts w:eastAsia="Arial"/>
          <w:color w:val="auto"/>
          <w:sz w:val="20"/>
          <w:szCs w:val="20"/>
        </w:rPr>
        <w:t>organisation</w:t>
      </w:r>
      <w:r w:rsidRPr="006521BD">
        <w:rPr>
          <w:rFonts w:eastAsia="Arial"/>
          <w:color w:val="auto"/>
          <w:sz w:val="20"/>
          <w:szCs w:val="20"/>
        </w:rPr>
        <w:t xml:space="preserve">’s broader vision (Becker &amp; </w:t>
      </w:r>
      <w:proofErr w:type="spellStart"/>
      <w:r w:rsidRPr="006521BD">
        <w:rPr>
          <w:rFonts w:eastAsia="Arial"/>
          <w:color w:val="auto"/>
          <w:sz w:val="20"/>
          <w:szCs w:val="20"/>
        </w:rPr>
        <w:t>Huselid</w:t>
      </w:r>
      <w:proofErr w:type="spellEnd"/>
      <w:r w:rsidRPr="006521BD">
        <w:rPr>
          <w:rFonts w:eastAsia="Arial"/>
          <w:color w:val="auto"/>
          <w:sz w:val="20"/>
          <w:szCs w:val="20"/>
        </w:rPr>
        <w:t>, 2006).</w:t>
      </w:r>
    </w:p>
    <w:p w14:paraId="5628B7CE" w14:textId="41CBCA07"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People practice also supports vertical integration by helping to shape </w:t>
      </w:r>
      <w:r w:rsidR="002847CB" w:rsidRPr="006521BD">
        <w:rPr>
          <w:rFonts w:eastAsia="Arial"/>
          <w:color w:val="auto"/>
          <w:sz w:val="20"/>
          <w:szCs w:val="20"/>
        </w:rPr>
        <w:t>organisation</w:t>
      </w:r>
      <w:r w:rsidRPr="006521BD">
        <w:rPr>
          <w:rFonts w:eastAsia="Arial"/>
          <w:color w:val="auto"/>
          <w:sz w:val="20"/>
          <w:szCs w:val="20"/>
        </w:rPr>
        <w:t xml:space="preserve">al culture and leadership. HR can develop leadership programs that focus on the skills needed to implement and drive strategic objectives, ensuring that leadership at all levels is equipped to steer the </w:t>
      </w:r>
      <w:r w:rsidR="002847CB" w:rsidRPr="006521BD">
        <w:rPr>
          <w:rFonts w:eastAsia="Arial"/>
          <w:color w:val="auto"/>
          <w:sz w:val="20"/>
          <w:szCs w:val="20"/>
        </w:rPr>
        <w:t>organisation</w:t>
      </w:r>
      <w:r w:rsidRPr="006521BD">
        <w:rPr>
          <w:rFonts w:eastAsia="Arial"/>
          <w:color w:val="auto"/>
          <w:sz w:val="20"/>
          <w:szCs w:val="20"/>
        </w:rPr>
        <w:t xml:space="preserve"> toward its goals (</w:t>
      </w:r>
      <w:proofErr w:type="spellStart"/>
      <w:r w:rsidRPr="006521BD">
        <w:rPr>
          <w:rFonts w:eastAsia="Arial"/>
          <w:color w:val="auto"/>
          <w:sz w:val="20"/>
          <w:szCs w:val="20"/>
        </w:rPr>
        <w:t>Aguinis</w:t>
      </w:r>
      <w:proofErr w:type="spellEnd"/>
      <w:r w:rsidRPr="006521BD">
        <w:rPr>
          <w:rFonts w:eastAsia="Arial"/>
          <w:color w:val="auto"/>
          <w:sz w:val="20"/>
          <w:szCs w:val="20"/>
        </w:rPr>
        <w:t xml:space="preserve">, 2013). Furthermore, by implementing succession planning, HR ensures that future leaders align with the long-term vision of the </w:t>
      </w:r>
      <w:r w:rsidR="002847CB" w:rsidRPr="006521BD">
        <w:rPr>
          <w:rFonts w:eastAsia="Arial"/>
          <w:color w:val="auto"/>
          <w:sz w:val="20"/>
          <w:szCs w:val="20"/>
        </w:rPr>
        <w:t>organisation</w:t>
      </w:r>
      <w:r w:rsidRPr="006521BD">
        <w:rPr>
          <w:rFonts w:eastAsia="Arial"/>
          <w:color w:val="auto"/>
          <w:sz w:val="20"/>
          <w:szCs w:val="20"/>
        </w:rPr>
        <w:t>, securing the continuity of strategic execution over time.</w:t>
      </w:r>
    </w:p>
    <w:p w14:paraId="361D7D81" w14:textId="133A0358"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On the other hand, horizontal integration involves aligning people strategies across different HR functions and ensuring that these functions are interrelated and mutually supportive. This integration ensures a consistent and cohesive approach to people management across the </w:t>
      </w:r>
      <w:r w:rsidR="002847CB" w:rsidRPr="006521BD">
        <w:rPr>
          <w:rFonts w:eastAsia="Arial"/>
          <w:color w:val="auto"/>
          <w:sz w:val="20"/>
          <w:szCs w:val="20"/>
        </w:rPr>
        <w:t>organisation</w:t>
      </w:r>
      <w:r w:rsidRPr="006521BD">
        <w:rPr>
          <w:rFonts w:eastAsia="Arial"/>
          <w:color w:val="auto"/>
          <w:sz w:val="20"/>
          <w:szCs w:val="20"/>
        </w:rPr>
        <w:t xml:space="preserve">, leading to a more efficient and collaborative workforce (Boxall &amp; Purcell, 2016). For instance, recruitment, training, </w:t>
      </w:r>
      <w:r w:rsidRPr="006521BD">
        <w:rPr>
          <w:rFonts w:eastAsia="Arial"/>
          <w:color w:val="auto"/>
          <w:sz w:val="20"/>
          <w:szCs w:val="20"/>
        </w:rPr>
        <w:lastRenderedPageBreak/>
        <w:t xml:space="preserve">performance management, and compensation should all work together to create a seamless experience for employees and ensure that the </w:t>
      </w:r>
      <w:r w:rsidR="002847CB" w:rsidRPr="006521BD">
        <w:rPr>
          <w:rFonts w:eastAsia="Arial"/>
          <w:color w:val="auto"/>
          <w:sz w:val="20"/>
          <w:szCs w:val="20"/>
        </w:rPr>
        <w:t>organisation</w:t>
      </w:r>
      <w:r w:rsidRPr="006521BD">
        <w:rPr>
          <w:rFonts w:eastAsia="Arial"/>
          <w:color w:val="auto"/>
          <w:sz w:val="20"/>
          <w:szCs w:val="20"/>
        </w:rPr>
        <w:t>’s values and objectives are consistently communicated and upheld.</w:t>
      </w:r>
    </w:p>
    <w:p w14:paraId="3E3FD28D" w14:textId="7459C053"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For example, if a company aims to enhance employee wellbeing, horizontal integration means aligning health initiatives with performance management, development, and recognition systems to create a consistent message around employee care and engagement (CIPD, 2020). HR functions such as learning and development can work closely with recruitment to ensure that new hires possess the skills necessary to thrive in the </w:t>
      </w:r>
      <w:r w:rsidR="002847CB" w:rsidRPr="006521BD">
        <w:rPr>
          <w:rFonts w:eastAsia="Arial"/>
          <w:color w:val="auto"/>
          <w:sz w:val="20"/>
          <w:szCs w:val="20"/>
        </w:rPr>
        <w:t>organisation</w:t>
      </w:r>
      <w:r w:rsidRPr="006521BD">
        <w:rPr>
          <w:rFonts w:eastAsia="Arial"/>
          <w:color w:val="auto"/>
          <w:sz w:val="20"/>
          <w:szCs w:val="20"/>
        </w:rPr>
        <w:t>'s environment, while also aligning with existing training and development programs (Armstrong, 2020).</w:t>
      </w:r>
    </w:p>
    <w:p w14:paraId="76B4BAE9" w14:textId="1735A48D" w:rsidR="00233A57"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Through both vertical and horizontal integration, people practice ensures that HR supports </w:t>
      </w:r>
      <w:r w:rsidR="002847CB" w:rsidRPr="006521BD">
        <w:rPr>
          <w:rFonts w:eastAsia="Arial"/>
          <w:color w:val="auto"/>
          <w:sz w:val="20"/>
          <w:szCs w:val="20"/>
        </w:rPr>
        <w:t>organisation</w:t>
      </w:r>
      <w:r w:rsidRPr="006521BD">
        <w:rPr>
          <w:rFonts w:eastAsia="Arial"/>
          <w:color w:val="auto"/>
          <w:sz w:val="20"/>
          <w:szCs w:val="20"/>
        </w:rPr>
        <w:t>al strategy by aligning people management practices with the company’s goals while fostering a cohesive and engaged workforce.</w:t>
      </w:r>
    </w:p>
    <w:p w14:paraId="39672C23" w14:textId="77777777" w:rsidR="004F27A8" w:rsidRPr="000D7771" w:rsidRDefault="004F27A8" w:rsidP="000D7771">
      <w:pPr>
        <w:pStyle w:val="Nornal"/>
        <w:jc w:val="left"/>
        <w:rPr>
          <w:rFonts w:eastAsia="Arial"/>
          <w:sz w:val="20"/>
          <w:szCs w:val="20"/>
        </w:rPr>
      </w:pPr>
    </w:p>
    <w:p w14:paraId="7F3334D2" w14:textId="42D3813E" w:rsidR="00FD6185"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 xml:space="preserve">An organisation is planning to introduce a </w:t>
      </w:r>
      <w:r w:rsidR="00492B23" w:rsidRPr="00680448">
        <w:rPr>
          <w:rFonts w:eastAsia="Arial"/>
          <w:b/>
          <w:bCs/>
          <w:color w:val="00616A" w:themeColor="accent2" w:themeShade="BF"/>
          <w:sz w:val="20"/>
          <w:szCs w:val="20"/>
        </w:rPr>
        <w:t>four</w:t>
      </w:r>
      <w:r w:rsidRPr="00680448">
        <w:rPr>
          <w:rFonts w:eastAsia="Arial"/>
          <w:b/>
          <w:bCs/>
          <w:color w:val="00616A" w:themeColor="accent2" w:themeShade="BF"/>
          <w:sz w:val="20"/>
          <w:szCs w:val="20"/>
        </w:rPr>
        <w:t xml:space="preserve">-day working week. Discuss the processes the people function could use to consult and engage with managers and employees to understand their needs when moving from a </w:t>
      </w:r>
      <w:r w:rsidR="00492B23" w:rsidRPr="00680448">
        <w:rPr>
          <w:rFonts w:eastAsia="Arial"/>
          <w:b/>
          <w:bCs/>
          <w:color w:val="00616A" w:themeColor="accent2" w:themeShade="BF"/>
          <w:sz w:val="20"/>
          <w:szCs w:val="20"/>
        </w:rPr>
        <w:t>five</w:t>
      </w:r>
      <w:r w:rsidRPr="00680448">
        <w:rPr>
          <w:rFonts w:eastAsia="Arial"/>
          <w:b/>
          <w:bCs/>
          <w:color w:val="00616A" w:themeColor="accent2" w:themeShade="BF"/>
          <w:sz w:val="20"/>
          <w:szCs w:val="20"/>
        </w:rPr>
        <w:t xml:space="preserve">-day to </w:t>
      </w:r>
      <w:r w:rsidR="00492B23" w:rsidRPr="00680448">
        <w:rPr>
          <w:rFonts w:eastAsia="Arial"/>
          <w:b/>
          <w:bCs/>
          <w:color w:val="00616A" w:themeColor="accent2" w:themeShade="BF"/>
          <w:sz w:val="20"/>
          <w:szCs w:val="20"/>
        </w:rPr>
        <w:t>four</w:t>
      </w:r>
      <w:r w:rsidRPr="00680448">
        <w:rPr>
          <w:rFonts w:eastAsia="Arial"/>
          <w:b/>
          <w:bCs/>
          <w:color w:val="00616A" w:themeColor="accent2" w:themeShade="BF"/>
          <w:sz w:val="20"/>
          <w:szCs w:val="20"/>
        </w:rPr>
        <w:t>-day working week. (AC 3.3)</w:t>
      </w:r>
    </w:p>
    <w:p w14:paraId="63B6B3E1" w14:textId="77777777" w:rsidR="006521BD" w:rsidRDefault="00FD6185" w:rsidP="000D7771">
      <w:pPr>
        <w:pStyle w:val="Nornal"/>
        <w:jc w:val="left"/>
        <w:rPr>
          <w:color w:val="auto"/>
          <w:sz w:val="20"/>
          <w:szCs w:val="20"/>
        </w:rPr>
      </w:pPr>
      <w:r w:rsidRPr="006521BD">
        <w:rPr>
          <w:color w:val="auto"/>
          <w:sz w:val="20"/>
          <w:szCs w:val="20"/>
        </w:rPr>
        <w:t xml:space="preserve">Introducing a four-day working week is a significant change for any </w:t>
      </w:r>
      <w:r w:rsidR="002847CB" w:rsidRPr="006521BD">
        <w:rPr>
          <w:color w:val="auto"/>
          <w:sz w:val="20"/>
          <w:szCs w:val="20"/>
        </w:rPr>
        <w:t>organisation</w:t>
      </w:r>
      <w:r w:rsidRPr="006521BD">
        <w:rPr>
          <w:color w:val="auto"/>
          <w:sz w:val="20"/>
          <w:szCs w:val="20"/>
        </w:rPr>
        <w:t xml:space="preserve">, and the people function must effectively consult and engage with both managers and employees to understand their needs and ensure a smooth transition. By using structured processes to gather insights and address concerns, HR can foster acceptance, identify potential challenges, and align the change with </w:t>
      </w:r>
      <w:r w:rsidR="002847CB" w:rsidRPr="006521BD">
        <w:rPr>
          <w:color w:val="auto"/>
          <w:sz w:val="20"/>
          <w:szCs w:val="20"/>
        </w:rPr>
        <w:t>organisation</w:t>
      </w:r>
      <w:r w:rsidRPr="006521BD">
        <w:rPr>
          <w:color w:val="auto"/>
          <w:sz w:val="20"/>
          <w:szCs w:val="20"/>
        </w:rPr>
        <w:t>al goals</w:t>
      </w:r>
      <w:r w:rsidR="006521BD">
        <w:rPr>
          <w:color w:val="auto"/>
          <w:sz w:val="20"/>
          <w:szCs w:val="20"/>
        </w:rPr>
        <w:t>.</w:t>
      </w:r>
    </w:p>
    <w:p w14:paraId="1FFD91FA" w14:textId="20186A67" w:rsidR="00FD6185" w:rsidRPr="006521BD" w:rsidRDefault="00FD6185" w:rsidP="000D7771">
      <w:pPr>
        <w:pStyle w:val="Nornal"/>
        <w:jc w:val="left"/>
        <w:rPr>
          <w:color w:val="auto"/>
          <w:sz w:val="20"/>
          <w:szCs w:val="20"/>
        </w:rPr>
      </w:pPr>
      <w:r w:rsidRPr="006521BD">
        <w:rPr>
          <w:color w:val="auto"/>
          <w:sz w:val="20"/>
          <w:szCs w:val="20"/>
        </w:rPr>
        <w:t>The first step in the process is to engage with managers, as they will play a crucial role in implementing the new working model. People professionals can conduct structured consultations, such as workshops, focus groups, or one-on-one meetings, to understand managers’ perspectives on the potential impacts of a four-day working week. These discussions should explore concerns around productivity, performance monitoring, and team dynamics (Armstrong, 2020). Managers may also have insights into how the change could impact customer service, project timelines, and operational efficiency.</w:t>
      </w:r>
    </w:p>
    <w:p w14:paraId="3816F6F6" w14:textId="77777777" w:rsidR="006521BD" w:rsidRPr="006521BD" w:rsidRDefault="00FD6185" w:rsidP="000D7771">
      <w:pPr>
        <w:pStyle w:val="Nornal"/>
        <w:jc w:val="left"/>
        <w:rPr>
          <w:color w:val="auto"/>
          <w:sz w:val="20"/>
          <w:szCs w:val="20"/>
        </w:rPr>
      </w:pPr>
      <w:r w:rsidRPr="006521BD">
        <w:rPr>
          <w:color w:val="auto"/>
          <w:sz w:val="20"/>
          <w:szCs w:val="20"/>
        </w:rPr>
        <w:t>HR should also ensure managers are involved in setting clear expectations for the transition, defining measurable outcomes, and determining how to adjust workflows to maintain productivity. As recommended by Ulrich (1997), people professionals should position managers as key drivers of change by providing them with the resources and training necessary to manage teams in this new environment.</w:t>
      </w:r>
    </w:p>
    <w:p w14:paraId="722F7391" w14:textId="76E7DD05" w:rsidR="00FD6185" w:rsidRPr="006521BD" w:rsidRDefault="00FD6185" w:rsidP="000D7771">
      <w:pPr>
        <w:pStyle w:val="Nornal"/>
        <w:jc w:val="left"/>
        <w:rPr>
          <w:color w:val="auto"/>
          <w:sz w:val="20"/>
          <w:szCs w:val="20"/>
        </w:rPr>
      </w:pPr>
      <w:r w:rsidRPr="006521BD">
        <w:rPr>
          <w:color w:val="auto"/>
          <w:sz w:val="20"/>
          <w:szCs w:val="20"/>
        </w:rPr>
        <w:t>Employee consultation is equally important, as they are the ones directly affected by the change. A transparent and inclusive communication strategy can help build trust and ensure that employees feel heard and supported. People functions could use surveys, town hall meetings, or employee forums to gather feedback on how the change might impact work-life balance, job satisfaction, and wellbeing (CIPD, 2020). Open-ended questions in surveys can help uncover specific needs, such as flexibility in how the four-day week is structured (e.g., longer hours on four days vs. reducing hours per day).</w:t>
      </w:r>
    </w:p>
    <w:p w14:paraId="00B1ACEC" w14:textId="77777777" w:rsidR="006521BD" w:rsidRDefault="00FD6185" w:rsidP="000D7771">
      <w:pPr>
        <w:pStyle w:val="Nornal"/>
        <w:jc w:val="left"/>
        <w:rPr>
          <w:color w:val="auto"/>
          <w:sz w:val="20"/>
          <w:szCs w:val="20"/>
        </w:rPr>
      </w:pPr>
      <w:r w:rsidRPr="006521BD">
        <w:rPr>
          <w:color w:val="auto"/>
          <w:sz w:val="20"/>
          <w:szCs w:val="20"/>
        </w:rPr>
        <w:t>Additionally, HR should ensure that the employee engagement process is inclusive, allowing employees from diverse roles and departments to voice their concerns and preferences. Engaging with employee representatives or union bodies (if applicable) can provide additional insights into collective concerns and help facilitate smoother communication (Boxall &amp; Purcell, 2016).</w:t>
      </w:r>
    </w:p>
    <w:p w14:paraId="29A8827F" w14:textId="77777777" w:rsidR="006521BD" w:rsidRDefault="00FD6185" w:rsidP="000D7771">
      <w:pPr>
        <w:pStyle w:val="Nornal"/>
        <w:jc w:val="left"/>
        <w:rPr>
          <w:color w:val="auto"/>
          <w:sz w:val="20"/>
          <w:szCs w:val="20"/>
        </w:rPr>
      </w:pPr>
      <w:r w:rsidRPr="006521BD">
        <w:rPr>
          <w:color w:val="auto"/>
          <w:sz w:val="20"/>
          <w:szCs w:val="20"/>
        </w:rPr>
        <w:t xml:space="preserve">Once feedback has been collected from both managers and employees, HR can initiate pilot programs to test the new working structure. These trials allow the </w:t>
      </w:r>
      <w:r w:rsidR="002847CB" w:rsidRPr="006521BD">
        <w:rPr>
          <w:color w:val="auto"/>
          <w:sz w:val="20"/>
          <w:szCs w:val="20"/>
        </w:rPr>
        <w:t>organisation</w:t>
      </w:r>
      <w:r w:rsidRPr="006521BD">
        <w:rPr>
          <w:color w:val="auto"/>
          <w:sz w:val="20"/>
          <w:szCs w:val="20"/>
        </w:rPr>
        <w:t xml:space="preserve"> to identify any issues in real-time and </w:t>
      </w:r>
      <w:proofErr w:type="gramStart"/>
      <w:r w:rsidRPr="006521BD">
        <w:rPr>
          <w:color w:val="auto"/>
          <w:sz w:val="20"/>
          <w:szCs w:val="20"/>
        </w:rPr>
        <w:t>make adjustments</w:t>
      </w:r>
      <w:proofErr w:type="gramEnd"/>
      <w:r w:rsidRPr="006521BD">
        <w:rPr>
          <w:color w:val="auto"/>
          <w:sz w:val="20"/>
          <w:szCs w:val="20"/>
        </w:rPr>
        <w:t xml:space="preserve"> before full-scale implementation. Pilot groups could be selected across different departments to ensure that feedback is representative of the broader </w:t>
      </w:r>
      <w:r w:rsidR="002847CB" w:rsidRPr="006521BD">
        <w:rPr>
          <w:color w:val="auto"/>
          <w:sz w:val="20"/>
          <w:szCs w:val="20"/>
        </w:rPr>
        <w:t>organisation</w:t>
      </w:r>
      <w:r w:rsidRPr="006521BD">
        <w:rPr>
          <w:color w:val="auto"/>
          <w:sz w:val="20"/>
          <w:szCs w:val="20"/>
        </w:rPr>
        <w:t>. Regular feedback sessions during the pilot phase are essential for refining the approach and addressing any unforeseen challenges (Armstrong, 2020).</w:t>
      </w:r>
    </w:p>
    <w:p w14:paraId="34864B89" w14:textId="63A7710A" w:rsidR="00FD6185" w:rsidRPr="006521BD" w:rsidRDefault="00FD6185" w:rsidP="000D7771">
      <w:pPr>
        <w:pStyle w:val="Nornal"/>
        <w:jc w:val="left"/>
        <w:rPr>
          <w:color w:val="auto"/>
          <w:sz w:val="20"/>
          <w:szCs w:val="20"/>
        </w:rPr>
      </w:pPr>
      <w:r w:rsidRPr="006521BD">
        <w:rPr>
          <w:color w:val="auto"/>
          <w:sz w:val="20"/>
          <w:szCs w:val="20"/>
        </w:rPr>
        <w:t xml:space="preserve">Throughout the transition, continuous communication is vital. People professionals should provide regular updates to both managers and employees on the progress of the transition and any adjustments based on feedback. Engaging employees in regular feedback loops will help the </w:t>
      </w:r>
      <w:r w:rsidR="002847CB" w:rsidRPr="006521BD">
        <w:rPr>
          <w:color w:val="auto"/>
          <w:sz w:val="20"/>
          <w:szCs w:val="20"/>
        </w:rPr>
        <w:t>organisation</w:t>
      </w:r>
      <w:r w:rsidRPr="006521BD">
        <w:rPr>
          <w:color w:val="auto"/>
          <w:sz w:val="20"/>
          <w:szCs w:val="20"/>
        </w:rPr>
        <w:t xml:space="preserve"> refine the four-day working week model to meet both employee needs and </w:t>
      </w:r>
      <w:r w:rsidR="002847CB" w:rsidRPr="006521BD">
        <w:rPr>
          <w:color w:val="auto"/>
          <w:sz w:val="20"/>
          <w:szCs w:val="20"/>
        </w:rPr>
        <w:t>organisation</w:t>
      </w:r>
      <w:r w:rsidRPr="006521BD">
        <w:rPr>
          <w:color w:val="auto"/>
          <w:sz w:val="20"/>
          <w:szCs w:val="20"/>
        </w:rPr>
        <w:t>al objectives (CIPD, 2020).</w:t>
      </w:r>
    </w:p>
    <w:p w14:paraId="1F0C857D" w14:textId="1EB81253" w:rsidR="00FD6185" w:rsidRPr="006521BD" w:rsidRDefault="00FD6185" w:rsidP="000D7771">
      <w:pPr>
        <w:pStyle w:val="Nornal"/>
        <w:jc w:val="left"/>
        <w:rPr>
          <w:color w:val="auto"/>
          <w:sz w:val="20"/>
          <w:szCs w:val="20"/>
        </w:rPr>
      </w:pPr>
      <w:r w:rsidRPr="006521BD">
        <w:rPr>
          <w:color w:val="auto"/>
          <w:sz w:val="20"/>
          <w:szCs w:val="20"/>
        </w:rPr>
        <w:lastRenderedPageBreak/>
        <w:t xml:space="preserve">By engaging both managers and employees early and continuously throughout the transition, HR can help ensure that the switch to a four-day working week is successful and benefits the entire </w:t>
      </w:r>
      <w:r w:rsidR="002847CB" w:rsidRPr="006521BD">
        <w:rPr>
          <w:color w:val="auto"/>
          <w:sz w:val="20"/>
          <w:szCs w:val="20"/>
        </w:rPr>
        <w:t>organisation</w:t>
      </w:r>
      <w:r w:rsidRPr="006521BD">
        <w:rPr>
          <w:color w:val="auto"/>
          <w:sz w:val="20"/>
          <w:szCs w:val="20"/>
        </w:rPr>
        <w:t>.</w:t>
      </w:r>
    </w:p>
    <w:p w14:paraId="50F320D8" w14:textId="386C13DF" w:rsidR="001E4F5C" w:rsidRPr="000D7771" w:rsidRDefault="001E4F5C" w:rsidP="000D7771">
      <w:pPr>
        <w:pStyle w:val="Nornal"/>
        <w:rPr>
          <w:rFonts w:eastAsia="Times New Roman"/>
          <w:sz w:val="20"/>
          <w:szCs w:val="20"/>
          <w:lang w:eastAsia="en-GB"/>
        </w:rPr>
      </w:pPr>
    </w:p>
    <w:p w14:paraId="5B0496C2" w14:textId="2BC79DC2" w:rsidR="002B269E" w:rsidRPr="00680448" w:rsidRDefault="008F2FD2" w:rsidP="000D7771">
      <w:pPr>
        <w:pStyle w:val="Nornal"/>
        <w:rPr>
          <w:b/>
          <w:bCs/>
          <w:color w:val="00616A" w:themeColor="accent2" w:themeShade="BF"/>
          <w:sz w:val="20"/>
          <w:szCs w:val="20"/>
          <w:lang w:eastAsia="en-GB"/>
        </w:rPr>
      </w:pPr>
      <w:r w:rsidRPr="00680448">
        <w:rPr>
          <w:b/>
          <w:bCs/>
          <w:color w:val="00616A" w:themeColor="accent2" w:themeShade="BF"/>
          <w:sz w:val="20"/>
          <w:szCs w:val="20"/>
          <w:lang w:eastAsia="en-GB"/>
        </w:rPr>
        <w:t>R</w:t>
      </w:r>
      <w:r w:rsidR="001E4F5C" w:rsidRPr="00680448">
        <w:rPr>
          <w:b/>
          <w:bCs/>
          <w:color w:val="00616A" w:themeColor="accent2" w:themeShade="BF"/>
          <w:sz w:val="20"/>
          <w:szCs w:val="20"/>
          <w:lang w:eastAsia="en-GB"/>
        </w:rPr>
        <w:t>eference List</w:t>
      </w:r>
    </w:p>
    <w:p w14:paraId="5A1867EB" w14:textId="77777777" w:rsidR="002B269E" w:rsidRPr="000D7771" w:rsidRDefault="002B269E" w:rsidP="00F33E1B">
      <w:pPr>
        <w:pStyle w:val="Nornal"/>
        <w:jc w:val="left"/>
        <w:rPr>
          <w:sz w:val="20"/>
          <w:szCs w:val="20"/>
        </w:rPr>
      </w:pPr>
      <w:proofErr w:type="spellStart"/>
      <w:r w:rsidRPr="000D7771">
        <w:rPr>
          <w:sz w:val="20"/>
          <w:szCs w:val="20"/>
        </w:rPr>
        <w:t>Aguinis</w:t>
      </w:r>
      <w:proofErr w:type="spellEnd"/>
      <w:r w:rsidRPr="000D7771">
        <w:rPr>
          <w:sz w:val="20"/>
          <w:szCs w:val="20"/>
        </w:rPr>
        <w:t xml:space="preserve">, H. (2013). </w:t>
      </w:r>
      <w:r w:rsidRPr="000D7771">
        <w:rPr>
          <w:i/>
          <w:iCs/>
          <w:sz w:val="20"/>
          <w:szCs w:val="20"/>
        </w:rPr>
        <w:t>Performance management</w:t>
      </w:r>
      <w:r w:rsidRPr="000D7771">
        <w:rPr>
          <w:sz w:val="20"/>
          <w:szCs w:val="20"/>
        </w:rPr>
        <w:t>. Harlow, Essex: Pearson.</w:t>
      </w:r>
    </w:p>
    <w:p w14:paraId="75577B3C" w14:textId="77777777" w:rsidR="002B269E" w:rsidRPr="000D7771" w:rsidRDefault="002B269E" w:rsidP="00F33E1B">
      <w:pPr>
        <w:pStyle w:val="Nornal"/>
        <w:jc w:val="left"/>
        <w:rPr>
          <w:sz w:val="20"/>
          <w:szCs w:val="20"/>
        </w:rPr>
      </w:pPr>
      <w:r w:rsidRPr="000D7771">
        <w:rPr>
          <w:sz w:val="20"/>
          <w:szCs w:val="20"/>
        </w:rPr>
        <w:t xml:space="preserve">Armstrong, M. and Taylor, S. (2020). </w:t>
      </w:r>
      <w:r w:rsidRPr="000D7771">
        <w:rPr>
          <w:i/>
          <w:iCs/>
          <w:sz w:val="20"/>
          <w:szCs w:val="20"/>
        </w:rPr>
        <w:t>Armstrong’s Handbook of Human Resource Management Practice</w:t>
      </w:r>
      <w:r w:rsidRPr="000D7771">
        <w:rPr>
          <w:sz w:val="20"/>
          <w:szCs w:val="20"/>
        </w:rPr>
        <w:t>. 15th ed. Kogan Page.</w:t>
      </w:r>
    </w:p>
    <w:p w14:paraId="381F96F9" w14:textId="77777777" w:rsidR="002B269E" w:rsidRPr="000D7771" w:rsidRDefault="002B269E" w:rsidP="00F33E1B">
      <w:pPr>
        <w:pStyle w:val="Nornal"/>
        <w:jc w:val="left"/>
        <w:rPr>
          <w:sz w:val="20"/>
          <w:szCs w:val="20"/>
        </w:rPr>
      </w:pPr>
      <w:r w:rsidRPr="000D7771">
        <w:rPr>
          <w:sz w:val="20"/>
          <w:szCs w:val="20"/>
        </w:rPr>
        <w:t xml:space="preserve">Becker, B.E. and </w:t>
      </w:r>
      <w:proofErr w:type="spellStart"/>
      <w:r w:rsidRPr="000D7771">
        <w:rPr>
          <w:sz w:val="20"/>
          <w:szCs w:val="20"/>
        </w:rPr>
        <w:t>Huselid</w:t>
      </w:r>
      <w:proofErr w:type="spellEnd"/>
      <w:r w:rsidRPr="000D7771">
        <w:rPr>
          <w:sz w:val="20"/>
          <w:szCs w:val="20"/>
        </w:rPr>
        <w:t xml:space="preserve">, M.A. (2006). Strategic Human Resources Management: Where Do We Go from Here? </w:t>
      </w:r>
      <w:r w:rsidRPr="000D7771">
        <w:rPr>
          <w:i/>
          <w:iCs/>
          <w:sz w:val="20"/>
          <w:szCs w:val="20"/>
        </w:rPr>
        <w:t>Journal of Management</w:t>
      </w:r>
      <w:r w:rsidRPr="000D7771">
        <w:rPr>
          <w:sz w:val="20"/>
          <w:szCs w:val="20"/>
        </w:rPr>
        <w:t xml:space="preserve">, 32(6), pp.898–925. </w:t>
      </w:r>
      <w:proofErr w:type="spellStart"/>
      <w:proofErr w:type="gramStart"/>
      <w:r w:rsidRPr="000D7771">
        <w:rPr>
          <w:sz w:val="20"/>
          <w:szCs w:val="20"/>
        </w:rPr>
        <w:t>doi:https</w:t>
      </w:r>
      <w:proofErr w:type="spellEnd"/>
      <w:r w:rsidRPr="000D7771">
        <w:rPr>
          <w:sz w:val="20"/>
          <w:szCs w:val="20"/>
        </w:rPr>
        <w:t>://doi.org/10.1177/0149206306293668</w:t>
      </w:r>
      <w:proofErr w:type="gramEnd"/>
      <w:r w:rsidRPr="000D7771">
        <w:rPr>
          <w:sz w:val="20"/>
          <w:szCs w:val="20"/>
        </w:rPr>
        <w:t>.</w:t>
      </w:r>
    </w:p>
    <w:p w14:paraId="2EEF90C5" w14:textId="77777777" w:rsidR="002B269E" w:rsidRPr="000D7771" w:rsidRDefault="002B269E" w:rsidP="00F33E1B">
      <w:pPr>
        <w:pStyle w:val="Nornal"/>
        <w:jc w:val="left"/>
        <w:rPr>
          <w:sz w:val="20"/>
          <w:szCs w:val="20"/>
        </w:rPr>
      </w:pPr>
      <w:r w:rsidRPr="000D7771">
        <w:rPr>
          <w:sz w:val="20"/>
          <w:szCs w:val="20"/>
        </w:rPr>
        <w:t xml:space="preserve">Boxall, P. and Purcell, J. (2016). </w:t>
      </w:r>
      <w:r w:rsidRPr="000D7771">
        <w:rPr>
          <w:i/>
          <w:iCs/>
          <w:sz w:val="20"/>
          <w:szCs w:val="20"/>
        </w:rPr>
        <w:t>Strategy and Human Resource Management</w:t>
      </w:r>
      <w:r w:rsidRPr="000D7771">
        <w:rPr>
          <w:sz w:val="20"/>
          <w:szCs w:val="20"/>
        </w:rPr>
        <w:t>. 4th ed. Basingstoke, Hampshire: Palgrave Macmillan.</w:t>
      </w:r>
    </w:p>
    <w:p w14:paraId="3791A5E4" w14:textId="77777777" w:rsidR="002B269E" w:rsidRPr="000D7771" w:rsidRDefault="002B269E" w:rsidP="00F33E1B">
      <w:pPr>
        <w:pStyle w:val="Nornal"/>
        <w:jc w:val="left"/>
        <w:rPr>
          <w:sz w:val="20"/>
          <w:szCs w:val="20"/>
        </w:rPr>
      </w:pPr>
      <w:r w:rsidRPr="000D7771">
        <w:rPr>
          <w:sz w:val="20"/>
          <w:szCs w:val="20"/>
        </w:rPr>
        <w:t xml:space="preserve">Bridges, W. (2009). </w:t>
      </w:r>
      <w:r w:rsidRPr="000D7771">
        <w:rPr>
          <w:i/>
          <w:iCs/>
          <w:sz w:val="20"/>
          <w:szCs w:val="20"/>
        </w:rPr>
        <w:t>Managing transitions: Making the Most of Change</w:t>
      </w:r>
      <w:r w:rsidRPr="000D7771">
        <w:rPr>
          <w:sz w:val="20"/>
          <w:szCs w:val="20"/>
        </w:rPr>
        <w:t>. London: Nicholas Brealey Publishing.</w:t>
      </w:r>
    </w:p>
    <w:p w14:paraId="6995EAE0" w14:textId="77777777" w:rsidR="002B269E" w:rsidRPr="000D7771" w:rsidRDefault="002B269E" w:rsidP="00F33E1B">
      <w:pPr>
        <w:pStyle w:val="Nornal"/>
        <w:jc w:val="left"/>
        <w:rPr>
          <w:sz w:val="20"/>
          <w:szCs w:val="20"/>
        </w:rPr>
      </w:pPr>
      <w:r w:rsidRPr="000D7771">
        <w:rPr>
          <w:sz w:val="20"/>
          <w:szCs w:val="20"/>
        </w:rPr>
        <w:t xml:space="preserve">CIPD (2020). </w:t>
      </w:r>
      <w:r w:rsidRPr="000D7771">
        <w:rPr>
          <w:i/>
          <w:iCs/>
          <w:sz w:val="20"/>
          <w:szCs w:val="20"/>
        </w:rPr>
        <w:t>The Employee Lifecycle</w:t>
      </w:r>
      <w:r w:rsidRPr="000D7771">
        <w:rPr>
          <w:sz w:val="20"/>
          <w:szCs w:val="20"/>
        </w:rPr>
        <w:t>. [online] CIPD. Available at: https://www.cipd.co.uk [Accessed 7 Feb. 2025].</w:t>
      </w:r>
    </w:p>
    <w:p w14:paraId="3760856B" w14:textId="77777777" w:rsidR="002B269E" w:rsidRPr="000D7771" w:rsidRDefault="002B269E" w:rsidP="00F33E1B">
      <w:pPr>
        <w:pStyle w:val="Nornal"/>
        <w:jc w:val="left"/>
        <w:rPr>
          <w:sz w:val="20"/>
          <w:szCs w:val="20"/>
        </w:rPr>
      </w:pPr>
      <w:r w:rsidRPr="000D7771">
        <w:rPr>
          <w:sz w:val="20"/>
          <w:szCs w:val="20"/>
        </w:rPr>
        <w:t xml:space="preserve">CIPD (2023). </w:t>
      </w:r>
      <w:r w:rsidRPr="000D7771">
        <w:rPr>
          <w:i/>
          <w:iCs/>
          <w:sz w:val="20"/>
          <w:szCs w:val="20"/>
        </w:rPr>
        <w:t>Health and Wellbeing at Work Survey 2023</w:t>
      </w:r>
      <w:r w:rsidRPr="000D7771">
        <w:rPr>
          <w:sz w:val="20"/>
          <w:szCs w:val="20"/>
        </w:rPr>
        <w:t>. [online] Chartered Institute of Personnel and Development. Available at: https://www.cipd.co.uk [Accessed 5 Feb. 2025].</w:t>
      </w:r>
    </w:p>
    <w:p w14:paraId="0CEB1EE2" w14:textId="77777777" w:rsidR="002B269E" w:rsidRPr="000D7771" w:rsidRDefault="002B269E" w:rsidP="00F33E1B">
      <w:pPr>
        <w:pStyle w:val="Nornal"/>
        <w:jc w:val="left"/>
        <w:rPr>
          <w:sz w:val="20"/>
          <w:szCs w:val="20"/>
        </w:rPr>
      </w:pPr>
      <w:r w:rsidRPr="000D7771">
        <w:rPr>
          <w:sz w:val="20"/>
          <w:szCs w:val="20"/>
        </w:rPr>
        <w:t xml:space="preserve">Danna, K. and Griffin, R.W. (1999). Health and Well-Being in the Workplace: A Review and Synthesis of the Literature. </w:t>
      </w:r>
      <w:r w:rsidRPr="000D7771">
        <w:rPr>
          <w:i/>
          <w:iCs/>
          <w:sz w:val="20"/>
          <w:szCs w:val="20"/>
        </w:rPr>
        <w:t>Journal of Management</w:t>
      </w:r>
      <w:r w:rsidRPr="000D7771">
        <w:rPr>
          <w:sz w:val="20"/>
          <w:szCs w:val="20"/>
        </w:rPr>
        <w:t xml:space="preserve">, 25(3), pp.357–384. </w:t>
      </w:r>
      <w:proofErr w:type="spellStart"/>
      <w:proofErr w:type="gramStart"/>
      <w:r w:rsidRPr="000D7771">
        <w:rPr>
          <w:sz w:val="20"/>
          <w:szCs w:val="20"/>
        </w:rPr>
        <w:t>doi:https</w:t>
      </w:r>
      <w:proofErr w:type="spellEnd"/>
      <w:r w:rsidRPr="000D7771">
        <w:rPr>
          <w:sz w:val="20"/>
          <w:szCs w:val="20"/>
        </w:rPr>
        <w:t>://doi.org/10.1177/014920639902500305</w:t>
      </w:r>
      <w:proofErr w:type="gramEnd"/>
      <w:r w:rsidRPr="000D7771">
        <w:rPr>
          <w:sz w:val="20"/>
          <w:szCs w:val="20"/>
        </w:rPr>
        <w:t>.</w:t>
      </w:r>
    </w:p>
    <w:p w14:paraId="330C82BE" w14:textId="77777777" w:rsidR="002B269E" w:rsidRPr="000D7771" w:rsidRDefault="002B269E" w:rsidP="00F33E1B">
      <w:pPr>
        <w:pStyle w:val="Nornal"/>
        <w:jc w:val="left"/>
        <w:rPr>
          <w:sz w:val="20"/>
          <w:szCs w:val="20"/>
        </w:rPr>
      </w:pPr>
      <w:r w:rsidRPr="000D7771">
        <w:rPr>
          <w:sz w:val="20"/>
          <w:szCs w:val="20"/>
        </w:rPr>
        <w:t xml:space="preserve">Drucker, P. (2012). </w:t>
      </w:r>
      <w:r w:rsidRPr="000D7771">
        <w:rPr>
          <w:i/>
          <w:iCs/>
          <w:sz w:val="20"/>
          <w:szCs w:val="20"/>
        </w:rPr>
        <w:t>Management Challenges for the 21st Century</w:t>
      </w:r>
      <w:r w:rsidRPr="000D7771">
        <w:rPr>
          <w:sz w:val="20"/>
          <w:szCs w:val="20"/>
        </w:rPr>
        <w:t>. Routledge.</w:t>
      </w:r>
    </w:p>
    <w:p w14:paraId="0200872C" w14:textId="32A49114" w:rsidR="002B269E" w:rsidRPr="000D7771" w:rsidRDefault="002B269E" w:rsidP="00F33E1B">
      <w:pPr>
        <w:pStyle w:val="Nornal"/>
        <w:jc w:val="left"/>
        <w:rPr>
          <w:sz w:val="20"/>
          <w:szCs w:val="20"/>
        </w:rPr>
      </w:pPr>
      <w:r w:rsidRPr="000D7771">
        <w:rPr>
          <w:sz w:val="20"/>
          <w:szCs w:val="20"/>
        </w:rPr>
        <w:t xml:space="preserve">Galbraith, J.R. (2002). </w:t>
      </w:r>
      <w:r w:rsidRPr="000D7771">
        <w:rPr>
          <w:i/>
          <w:iCs/>
          <w:sz w:val="20"/>
          <w:szCs w:val="20"/>
        </w:rPr>
        <w:t xml:space="preserve">Designing </w:t>
      </w:r>
      <w:proofErr w:type="gramStart"/>
      <w:r w:rsidR="002847CB">
        <w:rPr>
          <w:i/>
          <w:iCs/>
          <w:sz w:val="20"/>
          <w:szCs w:val="20"/>
        </w:rPr>
        <w:t>Organisations</w:t>
      </w:r>
      <w:r w:rsidRPr="000D7771">
        <w:rPr>
          <w:i/>
          <w:iCs/>
          <w:sz w:val="20"/>
          <w:szCs w:val="20"/>
        </w:rPr>
        <w:t xml:space="preserve"> :</w:t>
      </w:r>
      <w:proofErr w:type="gramEnd"/>
      <w:r w:rsidRPr="000D7771">
        <w:rPr>
          <w:i/>
          <w:iCs/>
          <w:sz w:val="20"/>
          <w:szCs w:val="20"/>
        </w:rPr>
        <w:t xml:space="preserve"> an Executive Guide to Strategy, Structure, and Process</w:t>
      </w:r>
      <w:r w:rsidRPr="000D7771">
        <w:rPr>
          <w:sz w:val="20"/>
          <w:szCs w:val="20"/>
        </w:rPr>
        <w:t>. San Francisco: Jossey-Bass &amp; Pfeiffer Imprints, Wiley.</w:t>
      </w:r>
    </w:p>
    <w:p w14:paraId="694E55C9" w14:textId="77777777" w:rsidR="002B269E" w:rsidRPr="000D7771" w:rsidRDefault="002B269E" w:rsidP="00F33E1B">
      <w:pPr>
        <w:pStyle w:val="Nornal"/>
        <w:jc w:val="left"/>
        <w:rPr>
          <w:sz w:val="20"/>
          <w:szCs w:val="20"/>
        </w:rPr>
      </w:pPr>
      <w:r w:rsidRPr="000D7771">
        <w:rPr>
          <w:sz w:val="20"/>
          <w:szCs w:val="20"/>
        </w:rPr>
        <w:t xml:space="preserve">Georgiadis, P. (2024). </w:t>
      </w:r>
      <w:r w:rsidRPr="000D7771">
        <w:rPr>
          <w:i/>
          <w:iCs/>
          <w:sz w:val="20"/>
          <w:szCs w:val="20"/>
        </w:rPr>
        <w:t>British Airways to suspend flights to Beijing as Russia diversion adds costs</w:t>
      </w:r>
      <w:r w:rsidRPr="000D7771">
        <w:rPr>
          <w:sz w:val="20"/>
          <w:szCs w:val="20"/>
        </w:rPr>
        <w:t>. [online] Financial Times. Available at: https://www.ft.com/content/e752eefb-7685-480c-aec3-027ee98a47bf [Accessed 7 Feb. 2025].</w:t>
      </w:r>
    </w:p>
    <w:p w14:paraId="7D3DDFB4" w14:textId="39B91D96" w:rsidR="002B269E" w:rsidRPr="000D7771" w:rsidRDefault="002B269E" w:rsidP="00F33E1B">
      <w:pPr>
        <w:pStyle w:val="Nornal"/>
        <w:jc w:val="left"/>
        <w:rPr>
          <w:sz w:val="20"/>
          <w:szCs w:val="20"/>
        </w:rPr>
      </w:pPr>
      <w:r w:rsidRPr="000D7771">
        <w:rPr>
          <w:sz w:val="20"/>
          <w:szCs w:val="20"/>
        </w:rPr>
        <w:t xml:space="preserve">Goold, M. and Campbell, A. (2002). </w:t>
      </w:r>
      <w:r w:rsidRPr="000D7771">
        <w:rPr>
          <w:i/>
          <w:iCs/>
          <w:sz w:val="20"/>
          <w:szCs w:val="20"/>
        </w:rPr>
        <w:t xml:space="preserve">Designing Effective </w:t>
      </w:r>
      <w:proofErr w:type="gramStart"/>
      <w:r w:rsidR="002847CB">
        <w:rPr>
          <w:i/>
          <w:iCs/>
          <w:sz w:val="20"/>
          <w:szCs w:val="20"/>
        </w:rPr>
        <w:t>Organisations</w:t>
      </w:r>
      <w:r w:rsidRPr="000D7771">
        <w:rPr>
          <w:i/>
          <w:iCs/>
          <w:sz w:val="20"/>
          <w:szCs w:val="20"/>
        </w:rPr>
        <w:t xml:space="preserve"> :</w:t>
      </w:r>
      <w:proofErr w:type="gramEnd"/>
      <w:r w:rsidRPr="000D7771">
        <w:rPr>
          <w:i/>
          <w:iCs/>
          <w:sz w:val="20"/>
          <w:szCs w:val="20"/>
        </w:rPr>
        <w:t xml:space="preserve"> How to Create Structured Networks</w:t>
      </w:r>
      <w:r w:rsidRPr="000D7771">
        <w:rPr>
          <w:sz w:val="20"/>
          <w:szCs w:val="20"/>
        </w:rPr>
        <w:t>. San Francisco: Jossey-Bass.</w:t>
      </w:r>
    </w:p>
    <w:p w14:paraId="49BBEB82" w14:textId="77777777" w:rsidR="002B269E" w:rsidRPr="000D7771" w:rsidRDefault="002B269E" w:rsidP="00F33E1B">
      <w:pPr>
        <w:pStyle w:val="Nornal"/>
        <w:jc w:val="left"/>
        <w:rPr>
          <w:sz w:val="20"/>
          <w:szCs w:val="20"/>
        </w:rPr>
      </w:pPr>
      <w:r w:rsidRPr="000D7771">
        <w:rPr>
          <w:sz w:val="20"/>
          <w:szCs w:val="20"/>
        </w:rPr>
        <w:t xml:space="preserve">Green, F. (2006). </w:t>
      </w:r>
      <w:r w:rsidRPr="000D7771">
        <w:rPr>
          <w:i/>
          <w:iCs/>
          <w:sz w:val="20"/>
          <w:szCs w:val="20"/>
        </w:rPr>
        <w:t xml:space="preserve">Demanding </w:t>
      </w:r>
      <w:proofErr w:type="gramStart"/>
      <w:r w:rsidRPr="000D7771">
        <w:rPr>
          <w:i/>
          <w:iCs/>
          <w:sz w:val="20"/>
          <w:szCs w:val="20"/>
        </w:rPr>
        <w:t>work :</w:t>
      </w:r>
      <w:proofErr w:type="gramEnd"/>
      <w:r w:rsidRPr="000D7771">
        <w:rPr>
          <w:i/>
          <w:iCs/>
          <w:sz w:val="20"/>
          <w:szCs w:val="20"/>
        </w:rPr>
        <w:t xml:space="preserve"> the paradox of job quality in the affluent economy</w:t>
      </w:r>
      <w:r w:rsidRPr="000D7771">
        <w:rPr>
          <w:sz w:val="20"/>
          <w:szCs w:val="20"/>
        </w:rPr>
        <w:t>. Princeton: Princeton University Press.</w:t>
      </w:r>
    </w:p>
    <w:p w14:paraId="4946C274" w14:textId="77777777" w:rsidR="002B269E" w:rsidRPr="000D7771" w:rsidRDefault="002B269E" w:rsidP="00F33E1B">
      <w:pPr>
        <w:pStyle w:val="Nornal"/>
        <w:jc w:val="left"/>
        <w:rPr>
          <w:sz w:val="20"/>
          <w:szCs w:val="20"/>
        </w:rPr>
      </w:pPr>
      <w:r w:rsidRPr="000D7771">
        <w:rPr>
          <w:sz w:val="20"/>
          <w:szCs w:val="20"/>
        </w:rPr>
        <w:t xml:space="preserve">Griffith, C. (2025). </w:t>
      </w:r>
      <w:r w:rsidRPr="000D7771">
        <w:rPr>
          <w:i/>
          <w:iCs/>
          <w:sz w:val="20"/>
          <w:szCs w:val="20"/>
        </w:rPr>
        <w:t>Robotic recruiters to be unleashed in Workday upgrade</w:t>
      </w:r>
      <w:r w:rsidRPr="000D7771">
        <w:rPr>
          <w:sz w:val="20"/>
          <w:szCs w:val="20"/>
        </w:rPr>
        <w:t>. [online] The Australian. Available at: https://www.theaustralian.com.au/business/technology/robotic-recruiters-to-take-world-by-storm-as-workday-unleashes-upgrade/news-story/fa4b6f99f244e6cf24c014a2de42f074 [Accessed 8 Feb. 2025].</w:t>
      </w:r>
    </w:p>
    <w:p w14:paraId="3A9EA905" w14:textId="77777777" w:rsidR="002B269E" w:rsidRPr="000D7771" w:rsidRDefault="002B269E" w:rsidP="00F33E1B">
      <w:pPr>
        <w:pStyle w:val="Nornal"/>
        <w:jc w:val="left"/>
        <w:rPr>
          <w:sz w:val="20"/>
          <w:szCs w:val="20"/>
        </w:rPr>
      </w:pPr>
      <w:proofErr w:type="spellStart"/>
      <w:r w:rsidRPr="000D7771">
        <w:rPr>
          <w:sz w:val="20"/>
          <w:szCs w:val="20"/>
        </w:rPr>
        <w:t>Grugulis</w:t>
      </w:r>
      <w:proofErr w:type="spellEnd"/>
      <w:r w:rsidRPr="000D7771">
        <w:rPr>
          <w:sz w:val="20"/>
          <w:szCs w:val="20"/>
        </w:rPr>
        <w:t xml:space="preserve">, I. and Wilkinson, A. (2002). </w:t>
      </w:r>
      <w:r w:rsidRPr="000D7771">
        <w:rPr>
          <w:i/>
          <w:iCs/>
          <w:sz w:val="20"/>
          <w:szCs w:val="20"/>
        </w:rPr>
        <w:t>Managing Culture at British Airways: Hype, Hope and Reality</w:t>
      </w:r>
      <w:r w:rsidRPr="000D7771">
        <w:rPr>
          <w:sz w:val="20"/>
          <w:szCs w:val="20"/>
        </w:rPr>
        <w:t>. Long Range Planning, pp.179–194.</w:t>
      </w:r>
    </w:p>
    <w:p w14:paraId="73C6E63A" w14:textId="77777777" w:rsidR="002B269E" w:rsidRPr="000D7771" w:rsidRDefault="002B269E" w:rsidP="00F33E1B">
      <w:pPr>
        <w:pStyle w:val="Nornal"/>
        <w:jc w:val="left"/>
        <w:rPr>
          <w:sz w:val="20"/>
          <w:szCs w:val="20"/>
        </w:rPr>
      </w:pPr>
      <w:r w:rsidRPr="000D7771">
        <w:rPr>
          <w:sz w:val="20"/>
          <w:szCs w:val="20"/>
        </w:rPr>
        <w:t xml:space="preserve">Harter, J.K., Schmidt, F.L. and Hayes, T.L. (2002). Business-unit-level Relationship between Employee satisfaction, Employee engagement, and Business outcomes: a meta-analysis. </w:t>
      </w:r>
      <w:r w:rsidRPr="000D7771">
        <w:rPr>
          <w:i/>
          <w:iCs/>
          <w:sz w:val="20"/>
          <w:szCs w:val="20"/>
        </w:rPr>
        <w:t>Journal of Applied Psychology</w:t>
      </w:r>
      <w:r w:rsidRPr="000D7771">
        <w:rPr>
          <w:sz w:val="20"/>
          <w:szCs w:val="20"/>
        </w:rPr>
        <w:t>, [online] 87(2), pp.268–279. Available at: https://www.researchgate.net/publication/11367971_Business-Unit-Level_Relationship_Between_Employee_Satisfaction_Employee_Engagement_and_Business_Outcomes_A_Meta-Analysis [Accessed 7 Feb. 2025].</w:t>
      </w:r>
    </w:p>
    <w:p w14:paraId="307B2EDD" w14:textId="77777777" w:rsidR="002B269E" w:rsidRDefault="002B269E" w:rsidP="00F33E1B">
      <w:pPr>
        <w:pStyle w:val="Nornal"/>
        <w:jc w:val="left"/>
        <w:rPr>
          <w:sz w:val="20"/>
          <w:szCs w:val="20"/>
        </w:rPr>
      </w:pPr>
      <w:r w:rsidRPr="000D7771">
        <w:rPr>
          <w:sz w:val="20"/>
          <w:szCs w:val="20"/>
        </w:rPr>
        <w:t xml:space="preserve">Hiatt, J.M. (2006). </w:t>
      </w:r>
      <w:r w:rsidRPr="000D7771">
        <w:rPr>
          <w:i/>
          <w:iCs/>
          <w:sz w:val="20"/>
          <w:szCs w:val="20"/>
        </w:rPr>
        <w:t xml:space="preserve">ADKAR: A Model for Change in Business, Government, and our </w:t>
      </w:r>
      <w:proofErr w:type="gramStart"/>
      <w:r w:rsidRPr="000D7771">
        <w:rPr>
          <w:i/>
          <w:iCs/>
          <w:sz w:val="20"/>
          <w:szCs w:val="20"/>
        </w:rPr>
        <w:t>Community</w:t>
      </w:r>
      <w:proofErr w:type="gramEnd"/>
      <w:r w:rsidRPr="000D7771">
        <w:rPr>
          <w:sz w:val="20"/>
          <w:szCs w:val="20"/>
        </w:rPr>
        <w:t xml:space="preserve">. 1st ed. </w:t>
      </w:r>
      <w:proofErr w:type="spellStart"/>
      <w:r w:rsidRPr="000D7771">
        <w:rPr>
          <w:sz w:val="20"/>
          <w:szCs w:val="20"/>
        </w:rPr>
        <w:t>Prosci</w:t>
      </w:r>
      <w:proofErr w:type="spellEnd"/>
      <w:r w:rsidRPr="000D7771">
        <w:rPr>
          <w:sz w:val="20"/>
          <w:szCs w:val="20"/>
        </w:rPr>
        <w:t xml:space="preserve"> Learning </w:t>
      </w:r>
      <w:proofErr w:type="spellStart"/>
      <w:r w:rsidRPr="000D7771">
        <w:rPr>
          <w:sz w:val="20"/>
          <w:szCs w:val="20"/>
        </w:rPr>
        <w:t>Center</w:t>
      </w:r>
      <w:proofErr w:type="spellEnd"/>
      <w:r w:rsidRPr="000D7771">
        <w:rPr>
          <w:sz w:val="20"/>
          <w:szCs w:val="20"/>
        </w:rPr>
        <w:t xml:space="preserve"> Publications.</w:t>
      </w:r>
    </w:p>
    <w:p w14:paraId="62CA4EFD" w14:textId="77777777" w:rsidR="00085826" w:rsidRPr="00085826" w:rsidRDefault="00085826" w:rsidP="00085826">
      <w:pPr>
        <w:pStyle w:val="Nornal"/>
        <w:jc w:val="left"/>
        <w:rPr>
          <w:color w:val="FF0000"/>
          <w:sz w:val="20"/>
          <w:szCs w:val="20"/>
        </w:rPr>
      </w:pPr>
      <w:proofErr w:type="gramStart"/>
      <w:r w:rsidRPr="00085826">
        <w:rPr>
          <w:color w:val="FF0000"/>
          <w:sz w:val="20"/>
          <w:szCs w:val="20"/>
        </w:rPr>
        <w:t>Indeed</w:t>
      </w:r>
      <w:proofErr w:type="gramEnd"/>
      <w:r w:rsidRPr="00085826">
        <w:rPr>
          <w:color w:val="FF0000"/>
          <w:sz w:val="20"/>
          <w:szCs w:val="20"/>
        </w:rPr>
        <w:t xml:space="preserve"> Editorial Team (2024). </w:t>
      </w:r>
      <w:r w:rsidRPr="00085826">
        <w:rPr>
          <w:i/>
          <w:iCs/>
          <w:color w:val="FF0000"/>
          <w:sz w:val="20"/>
          <w:szCs w:val="20"/>
        </w:rPr>
        <w:t>Pros and Cons of Implementing a Divisional Structure</w:t>
      </w:r>
      <w:r w:rsidRPr="00085826">
        <w:rPr>
          <w:color w:val="FF0000"/>
          <w:sz w:val="20"/>
          <w:szCs w:val="20"/>
        </w:rPr>
        <w:t>. [online] Indeed Career Guide. Available at: https://www.indeed.com/career-advice/career-development/divisional-structure [Accessed 25 Mar. 2025].</w:t>
      </w:r>
    </w:p>
    <w:p w14:paraId="5EE8E365" w14:textId="77777777" w:rsidR="00085826" w:rsidRPr="000D7771" w:rsidRDefault="00085826" w:rsidP="00F33E1B">
      <w:pPr>
        <w:pStyle w:val="Nornal"/>
        <w:jc w:val="left"/>
        <w:rPr>
          <w:sz w:val="20"/>
          <w:szCs w:val="20"/>
        </w:rPr>
      </w:pPr>
    </w:p>
    <w:p w14:paraId="00C1AE6E" w14:textId="77777777" w:rsidR="002B269E" w:rsidRPr="000D7771" w:rsidRDefault="002B269E" w:rsidP="00F33E1B">
      <w:pPr>
        <w:pStyle w:val="Nornal"/>
        <w:jc w:val="left"/>
        <w:rPr>
          <w:sz w:val="20"/>
          <w:szCs w:val="20"/>
        </w:rPr>
      </w:pPr>
      <w:r w:rsidRPr="000D7771">
        <w:rPr>
          <w:sz w:val="20"/>
          <w:szCs w:val="20"/>
        </w:rPr>
        <w:lastRenderedPageBreak/>
        <w:t xml:space="preserve">Kotter, J. (2025). </w:t>
      </w:r>
      <w:r w:rsidRPr="000D7771">
        <w:rPr>
          <w:i/>
          <w:iCs/>
          <w:sz w:val="20"/>
          <w:szCs w:val="20"/>
        </w:rPr>
        <w:t>The 8 Steps for Leading Change</w:t>
      </w:r>
      <w:r w:rsidRPr="000D7771">
        <w:rPr>
          <w:sz w:val="20"/>
          <w:szCs w:val="20"/>
        </w:rPr>
        <w:t>. [online] Kotter. Available at: https://www.kotterinc.com/methodology/8-steps/.</w:t>
      </w:r>
    </w:p>
    <w:p w14:paraId="214D52C8" w14:textId="77777777" w:rsidR="002B269E" w:rsidRPr="000D7771" w:rsidRDefault="002B269E" w:rsidP="00F33E1B">
      <w:pPr>
        <w:pStyle w:val="Nornal"/>
        <w:jc w:val="left"/>
        <w:rPr>
          <w:sz w:val="20"/>
          <w:szCs w:val="20"/>
        </w:rPr>
      </w:pPr>
      <w:r w:rsidRPr="000D7771">
        <w:rPr>
          <w:sz w:val="20"/>
          <w:szCs w:val="20"/>
        </w:rPr>
        <w:t xml:space="preserve">Kotter, J.P. (2012). </w:t>
      </w:r>
      <w:r w:rsidRPr="000D7771">
        <w:rPr>
          <w:i/>
          <w:iCs/>
          <w:sz w:val="20"/>
          <w:szCs w:val="20"/>
        </w:rPr>
        <w:t>Leading Change</w:t>
      </w:r>
      <w:r w:rsidRPr="000D7771">
        <w:rPr>
          <w:sz w:val="20"/>
          <w:szCs w:val="20"/>
        </w:rPr>
        <w:t>. Boston, Massachusetts: Harvard Business Review Press.</w:t>
      </w:r>
    </w:p>
    <w:p w14:paraId="2E6D8B90" w14:textId="77777777" w:rsidR="002B269E" w:rsidRPr="000D7771" w:rsidRDefault="002B269E" w:rsidP="00F33E1B">
      <w:pPr>
        <w:pStyle w:val="Nornal"/>
        <w:jc w:val="left"/>
        <w:rPr>
          <w:sz w:val="20"/>
          <w:szCs w:val="20"/>
        </w:rPr>
      </w:pPr>
      <w:r w:rsidRPr="000D7771">
        <w:rPr>
          <w:sz w:val="20"/>
          <w:szCs w:val="20"/>
        </w:rPr>
        <w:t xml:space="preserve">Kübler-Ross, E. and Kessler, D. (2005). </w:t>
      </w:r>
      <w:r w:rsidRPr="000D7771">
        <w:rPr>
          <w:i/>
          <w:iCs/>
          <w:sz w:val="20"/>
          <w:szCs w:val="20"/>
        </w:rPr>
        <w:t>On Grief &amp; grieving: Finding the Meaning of Grief through the Five Stages of Loss</w:t>
      </w:r>
      <w:r w:rsidRPr="000D7771">
        <w:rPr>
          <w:sz w:val="20"/>
          <w:szCs w:val="20"/>
        </w:rPr>
        <w:t>. New York: Scribner.</w:t>
      </w:r>
    </w:p>
    <w:p w14:paraId="3B8FEE8A" w14:textId="77777777" w:rsidR="002B269E" w:rsidRPr="000D7771" w:rsidRDefault="002B269E" w:rsidP="00F33E1B">
      <w:pPr>
        <w:pStyle w:val="Nornal"/>
        <w:jc w:val="left"/>
        <w:rPr>
          <w:sz w:val="20"/>
          <w:szCs w:val="20"/>
        </w:rPr>
      </w:pPr>
      <w:r w:rsidRPr="000D7771">
        <w:rPr>
          <w:sz w:val="20"/>
          <w:szCs w:val="20"/>
        </w:rPr>
        <w:t xml:space="preserve">Langford, P. (2021). </w:t>
      </w:r>
      <w:r w:rsidRPr="000D7771">
        <w:rPr>
          <w:i/>
          <w:iCs/>
          <w:sz w:val="20"/>
          <w:szCs w:val="20"/>
        </w:rPr>
        <w:t xml:space="preserve">The Importance of Wellbeing Strategies in Driving </w:t>
      </w:r>
      <w:proofErr w:type="gramStart"/>
      <w:r w:rsidRPr="000D7771">
        <w:rPr>
          <w:i/>
          <w:iCs/>
          <w:sz w:val="20"/>
          <w:szCs w:val="20"/>
        </w:rPr>
        <w:t xml:space="preserve">Engagement </w:t>
      </w:r>
      <w:r w:rsidRPr="000D7771">
        <w:rPr>
          <w:sz w:val="20"/>
          <w:szCs w:val="20"/>
        </w:rPr>
        <w:t>.</w:t>
      </w:r>
      <w:proofErr w:type="gramEnd"/>
      <w:r w:rsidRPr="000D7771">
        <w:rPr>
          <w:sz w:val="20"/>
          <w:szCs w:val="20"/>
        </w:rPr>
        <w:t xml:space="preserve"> [online] People Management. Available at: https://www.peoplemanagement.co.uk [Accessed 7 Feb. 2025].</w:t>
      </w:r>
    </w:p>
    <w:p w14:paraId="1BBEF073" w14:textId="77777777" w:rsidR="002B269E" w:rsidRPr="000D7771" w:rsidRDefault="002B269E" w:rsidP="00F33E1B">
      <w:pPr>
        <w:pStyle w:val="Nornal"/>
        <w:jc w:val="left"/>
        <w:rPr>
          <w:sz w:val="20"/>
          <w:szCs w:val="20"/>
        </w:rPr>
      </w:pPr>
      <w:r w:rsidRPr="000D7771">
        <w:rPr>
          <w:sz w:val="20"/>
          <w:szCs w:val="20"/>
        </w:rPr>
        <w:t xml:space="preserve">Lawlor, P. (n.d.). </w:t>
      </w:r>
      <w:r w:rsidRPr="000D7771">
        <w:rPr>
          <w:i/>
          <w:iCs/>
          <w:sz w:val="20"/>
          <w:szCs w:val="20"/>
        </w:rPr>
        <w:t>Factors impacting the global aviation industry</w:t>
      </w:r>
      <w:r w:rsidRPr="000D7771">
        <w:rPr>
          <w:sz w:val="20"/>
          <w:szCs w:val="20"/>
        </w:rPr>
        <w:t>. [online] Investec. Available at: https://www.investec.com/en_za/focus/economy/factors-impacting-the-global-aviation-industry.html [Accessed 7 Feb. 2025].</w:t>
      </w:r>
    </w:p>
    <w:p w14:paraId="071B3283" w14:textId="77777777" w:rsidR="002B269E" w:rsidRPr="000D7771" w:rsidRDefault="002B269E" w:rsidP="00F33E1B">
      <w:pPr>
        <w:pStyle w:val="Nornal"/>
        <w:jc w:val="left"/>
        <w:rPr>
          <w:sz w:val="20"/>
          <w:szCs w:val="20"/>
        </w:rPr>
      </w:pPr>
      <w:r w:rsidRPr="000D7771">
        <w:rPr>
          <w:sz w:val="20"/>
          <w:szCs w:val="20"/>
        </w:rPr>
        <w:t xml:space="preserve">Mind Tools (2008). </w:t>
      </w:r>
      <w:r w:rsidRPr="000D7771">
        <w:rPr>
          <w:i/>
          <w:iCs/>
          <w:sz w:val="20"/>
          <w:szCs w:val="20"/>
        </w:rPr>
        <w:t>David Rock’s SCARF Model</w:t>
      </w:r>
      <w:r w:rsidRPr="000D7771">
        <w:rPr>
          <w:sz w:val="20"/>
          <w:szCs w:val="20"/>
        </w:rPr>
        <w:t>. [online] www.mindtools.com. Available at: https://www.mindtools.com/akswgc0/david-rocks-scarf-model [Accessed 6 Feb. 2025].</w:t>
      </w:r>
    </w:p>
    <w:p w14:paraId="396D910D" w14:textId="77777777" w:rsidR="002B269E" w:rsidRPr="000D7771" w:rsidRDefault="002B269E" w:rsidP="00F33E1B">
      <w:pPr>
        <w:pStyle w:val="Nornal"/>
        <w:jc w:val="left"/>
        <w:rPr>
          <w:sz w:val="20"/>
          <w:szCs w:val="20"/>
        </w:rPr>
      </w:pPr>
      <w:r w:rsidRPr="000D7771">
        <w:rPr>
          <w:sz w:val="20"/>
          <w:szCs w:val="20"/>
        </w:rPr>
        <w:t xml:space="preserve">Mind Tools (2022). </w:t>
      </w:r>
      <w:r w:rsidRPr="000D7771">
        <w:rPr>
          <w:i/>
          <w:iCs/>
          <w:sz w:val="20"/>
          <w:szCs w:val="20"/>
        </w:rPr>
        <w:t>Handy’s Four Types of Culture</w:t>
      </w:r>
      <w:r w:rsidRPr="000D7771">
        <w:rPr>
          <w:sz w:val="20"/>
          <w:szCs w:val="20"/>
        </w:rPr>
        <w:t>. [online] www.mindtools.com. Available at: https://www.mindtools.com/ass7geb/handys-four-types-of-culture [Accessed 6 Feb. 2025].</w:t>
      </w:r>
    </w:p>
    <w:p w14:paraId="3B6261CF" w14:textId="5555D57B" w:rsidR="002B269E" w:rsidRPr="000D7771" w:rsidRDefault="002B269E" w:rsidP="00F33E1B">
      <w:pPr>
        <w:pStyle w:val="Nornal"/>
        <w:jc w:val="left"/>
        <w:rPr>
          <w:sz w:val="20"/>
          <w:szCs w:val="20"/>
        </w:rPr>
      </w:pPr>
      <w:r w:rsidRPr="000D7771">
        <w:rPr>
          <w:sz w:val="20"/>
          <w:szCs w:val="20"/>
        </w:rPr>
        <w:t xml:space="preserve">Mintzberg, H. (1993). </w:t>
      </w:r>
      <w:r w:rsidRPr="000D7771">
        <w:rPr>
          <w:i/>
          <w:iCs/>
          <w:sz w:val="20"/>
          <w:szCs w:val="20"/>
        </w:rPr>
        <w:t xml:space="preserve">Structure in </w:t>
      </w:r>
      <w:proofErr w:type="gramStart"/>
      <w:r w:rsidRPr="000D7771">
        <w:rPr>
          <w:i/>
          <w:iCs/>
          <w:sz w:val="20"/>
          <w:szCs w:val="20"/>
        </w:rPr>
        <w:t>Fives :</w:t>
      </w:r>
      <w:proofErr w:type="gramEnd"/>
      <w:r w:rsidRPr="000D7771">
        <w:rPr>
          <w:i/>
          <w:iCs/>
          <w:sz w:val="20"/>
          <w:szCs w:val="20"/>
        </w:rPr>
        <w:t xml:space="preserve"> Designing Effective </w:t>
      </w:r>
      <w:r w:rsidR="002847CB">
        <w:rPr>
          <w:i/>
          <w:iCs/>
          <w:sz w:val="20"/>
          <w:szCs w:val="20"/>
        </w:rPr>
        <w:t>Organisations</w:t>
      </w:r>
      <w:r w:rsidRPr="000D7771">
        <w:rPr>
          <w:sz w:val="20"/>
          <w:szCs w:val="20"/>
        </w:rPr>
        <w:t>. Englewood Cliffs, N.J.: Prentice Hall.</w:t>
      </w:r>
    </w:p>
    <w:p w14:paraId="484F23FB" w14:textId="77777777" w:rsidR="002B269E" w:rsidRPr="000D7771" w:rsidRDefault="002B269E" w:rsidP="00F33E1B">
      <w:pPr>
        <w:pStyle w:val="Nornal"/>
        <w:jc w:val="left"/>
        <w:rPr>
          <w:sz w:val="20"/>
          <w:szCs w:val="20"/>
        </w:rPr>
      </w:pPr>
      <w:r w:rsidRPr="000D7771">
        <w:rPr>
          <w:sz w:val="20"/>
          <w:szCs w:val="20"/>
        </w:rPr>
        <w:t xml:space="preserve">Price, R.H. (1991). Healthy Work: Stress, Productivity, and the Reconstruction of Working Life. Robert </w:t>
      </w:r>
      <w:proofErr w:type="gramStart"/>
      <w:r w:rsidRPr="000D7771">
        <w:rPr>
          <w:sz w:val="20"/>
          <w:szCs w:val="20"/>
        </w:rPr>
        <w:t>Karasek ,</w:t>
      </w:r>
      <w:proofErr w:type="gramEnd"/>
      <w:r w:rsidRPr="000D7771">
        <w:rPr>
          <w:sz w:val="20"/>
          <w:szCs w:val="20"/>
        </w:rPr>
        <w:t xml:space="preserve"> Töres Theorell. </w:t>
      </w:r>
      <w:r w:rsidRPr="000D7771">
        <w:rPr>
          <w:i/>
          <w:iCs/>
          <w:sz w:val="20"/>
          <w:szCs w:val="20"/>
        </w:rPr>
        <w:t>The Quarterly Review of Biology</w:t>
      </w:r>
      <w:r w:rsidRPr="000D7771">
        <w:rPr>
          <w:sz w:val="20"/>
          <w:szCs w:val="20"/>
        </w:rPr>
        <w:t xml:space="preserve">, 66(4), pp.525–526. </w:t>
      </w:r>
      <w:proofErr w:type="spellStart"/>
      <w:proofErr w:type="gramStart"/>
      <w:r w:rsidRPr="000D7771">
        <w:rPr>
          <w:sz w:val="20"/>
          <w:szCs w:val="20"/>
        </w:rPr>
        <w:t>doi:https</w:t>
      </w:r>
      <w:proofErr w:type="spellEnd"/>
      <w:r w:rsidRPr="000D7771">
        <w:rPr>
          <w:sz w:val="20"/>
          <w:szCs w:val="20"/>
        </w:rPr>
        <w:t>://doi.org/10.1086/417423</w:t>
      </w:r>
      <w:proofErr w:type="gramEnd"/>
      <w:r w:rsidRPr="000D7771">
        <w:rPr>
          <w:sz w:val="20"/>
          <w:szCs w:val="20"/>
        </w:rPr>
        <w:t>.</w:t>
      </w:r>
    </w:p>
    <w:p w14:paraId="1F242F99" w14:textId="77777777" w:rsidR="002B269E" w:rsidRPr="000D7771" w:rsidRDefault="002B269E" w:rsidP="00F33E1B">
      <w:pPr>
        <w:pStyle w:val="Nornal"/>
        <w:jc w:val="left"/>
        <w:rPr>
          <w:sz w:val="20"/>
          <w:szCs w:val="20"/>
        </w:rPr>
      </w:pPr>
      <w:r w:rsidRPr="000D7771">
        <w:rPr>
          <w:sz w:val="20"/>
          <w:szCs w:val="20"/>
        </w:rPr>
        <w:t xml:space="preserve">Rose, K. (2024). </w:t>
      </w:r>
      <w:r w:rsidRPr="000D7771">
        <w:rPr>
          <w:i/>
          <w:iCs/>
          <w:sz w:val="20"/>
          <w:szCs w:val="20"/>
        </w:rPr>
        <w:t>IAG Loyalty Takes Flight with Workday Human Capital Management</w:t>
      </w:r>
      <w:r w:rsidRPr="000D7771">
        <w:rPr>
          <w:sz w:val="20"/>
          <w:szCs w:val="20"/>
        </w:rPr>
        <w:t>. [online] Newsroom | Workday. Available at: https://en-gb.newsroom.workday.com/2024-10-24-IAG-Loyalty-Takes-Flight-with-Workday-Human-Capital-Management [Accessed 7 Feb. 2025].</w:t>
      </w:r>
    </w:p>
    <w:p w14:paraId="4A42CB23" w14:textId="249B795F" w:rsidR="002B269E" w:rsidRPr="000D7771" w:rsidRDefault="002B269E" w:rsidP="00F33E1B">
      <w:pPr>
        <w:pStyle w:val="Nornal"/>
        <w:jc w:val="left"/>
        <w:rPr>
          <w:sz w:val="20"/>
          <w:szCs w:val="20"/>
        </w:rPr>
      </w:pPr>
      <w:r w:rsidRPr="000D7771">
        <w:rPr>
          <w:sz w:val="20"/>
          <w:szCs w:val="20"/>
        </w:rPr>
        <w:t xml:space="preserve">Shuck, B. and Reio, T.G. (2014). Employee Engagement and Well-Being. </w:t>
      </w:r>
      <w:r w:rsidRPr="000D7771">
        <w:rPr>
          <w:i/>
          <w:iCs/>
          <w:sz w:val="20"/>
          <w:szCs w:val="20"/>
        </w:rPr>
        <w:t xml:space="preserve">Journal of Leadership &amp; </w:t>
      </w:r>
      <w:r w:rsidR="002847CB">
        <w:rPr>
          <w:i/>
          <w:iCs/>
          <w:sz w:val="20"/>
          <w:szCs w:val="20"/>
        </w:rPr>
        <w:t>Organisation</w:t>
      </w:r>
      <w:r w:rsidRPr="000D7771">
        <w:rPr>
          <w:i/>
          <w:iCs/>
          <w:sz w:val="20"/>
          <w:szCs w:val="20"/>
        </w:rPr>
        <w:t>al Studies</w:t>
      </w:r>
      <w:r w:rsidRPr="000D7771">
        <w:rPr>
          <w:sz w:val="20"/>
          <w:szCs w:val="20"/>
        </w:rPr>
        <w:t xml:space="preserve">, [online] 21(1), pp.43–58. </w:t>
      </w:r>
      <w:proofErr w:type="spellStart"/>
      <w:proofErr w:type="gramStart"/>
      <w:r w:rsidRPr="000D7771">
        <w:rPr>
          <w:sz w:val="20"/>
          <w:szCs w:val="20"/>
        </w:rPr>
        <w:t>doi:https</w:t>
      </w:r>
      <w:proofErr w:type="spellEnd"/>
      <w:r w:rsidRPr="000D7771">
        <w:rPr>
          <w:sz w:val="20"/>
          <w:szCs w:val="20"/>
        </w:rPr>
        <w:t>://doi.org/10.1177/1548051813494240</w:t>
      </w:r>
      <w:proofErr w:type="gramEnd"/>
      <w:r w:rsidRPr="000D7771">
        <w:rPr>
          <w:sz w:val="20"/>
          <w:szCs w:val="20"/>
        </w:rPr>
        <w:t>.</w:t>
      </w:r>
    </w:p>
    <w:p w14:paraId="7F77CD49" w14:textId="77777777" w:rsidR="002B269E" w:rsidRDefault="002B269E" w:rsidP="00F33E1B">
      <w:pPr>
        <w:pStyle w:val="Nornal"/>
        <w:jc w:val="left"/>
        <w:rPr>
          <w:sz w:val="20"/>
          <w:szCs w:val="20"/>
        </w:rPr>
      </w:pPr>
      <w:r w:rsidRPr="000D7771">
        <w:rPr>
          <w:sz w:val="20"/>
          <w:szCs w:val="20"/>
        </w:rPr>
        <w:t xml:space="preserve">Sogabe, T. (2024). </w:t>
      </w:r>
      <w:r w:rsidRPr="000D7771">
        <w:rPr>
          <w:i/>
          <w:iCs/>
          <w:sz w:val="20"/>
          <w:szCs w:val="20"/>
        </w:rPr>
        <w:t>Ascend Consultancy Weekly Team Perspective: The impact of rising interest rates on lease rent</w:t>
      </w:r>
      <w:r w:rsidRPr="000D7771">
        <w:rPr>
          <w:sz w:val="20"/>
          <w:szCs w:val="20"/>
        </w:rPr>
        <w:t xml:space="preserve">. [online] </w:t>
      </w:r>
      <w:proofErr w:type="spellStart"/>
      <w:r w:rsidRPr="000D7771">
        <w:rPr>
          <w:sz w:val="20"/>
          <w:szCs w:val="20"/>
        </w:rPr>
        <w:t>Cirium</w:t>
      </w:r>
      <w:proofErr w:type="spellEnd"/>
      <w:r w:rsidRPr="000D7771">
        <w:rPr>
          <w:sz w:val="20"/>
          <w:szCs w:val="20"/>
        </w:rPr>
        <w:t>. Available at: https://www.cirium.com/thoughtcloud/ascend-consultancy-weekly-team-perspective-impact-of-rising-interest-rates-lease-fees/ [Accessed 7 Feb. 2025].</w:t>
      </w:r>
    </w:p>
    <w:p w14:paraId="4141DA0C" w14:textId="1C4277BE" w:rsidR="00A0141B" w:rsidRPr="00C3750A" w:rsidRDefault="00A0141B" w:rsidP="00F33E1B">
      <w:pPr>
        <w:pStyle w:val="Nornal"/>
        <w:jc w:val="left"/>
        <w:rPr>
          <w:color w:val="FF0000"/>
          <w:sz w:val="20"/>
          <w:szCs w:val="20"/>
        </w:rPr>
      </w:pPr>
      <w:r w:rsidRPr="00C3750A">
        <w:rPr>
          <w:color w:val="FF0000"/>
          <w:sz w:val="20"/>
          <w:szCs w:val="20"/>
        </w:rPr>
        <w:t xml:space="preserve">The Times (2024) </w:t>
      </w:r>
      <w:r w:rsidRPr="00C3750A">
        <w:rPr>
          <w:i/>
          <w:iCs/>
          <w:color w:val="FF0000"/>
          <w:sz w:val="20"/>
          <w:szCs w:val="20"/>
        </w:rPr>
        <w:t>'British Airways unveils new first-class suites'</w:t>
      </w:r>
      <w:r w:rsidRPr="00C3750A">
        <w:rPr>
          <w:color w:val="FF0000"/>
          <w:sz w:val="20"/>
          <w:szCs w:val="20"/>
        </w:rPr>
        <w:t xml:space="preserve">. Available at: https://www.thetimes.co.uk/article/ba-british-airways-first-class-suites-review </w:t>
      </w:r>
      <w:r w:rsidR="00C3750A" w:rsidRPr="00C3750A">
        <w:rPr>
          <w:color w:val="FF0000"/>
          <w:sz w:val="20"/>
          <w:szCs w:val="20"/>
        </w:rPr>
        <w:t>[</w:t>
      </w:r>
      <w:r w:rsidRPr="00C3750A">
        <w:rPr>
          <w:color w:val="FF0000"/>
          <w:sz w:val="20"/>
          <w:szCs w:val="20"/>
        </w:rPr>
        <w:t>Accessed: 7 Feb</w:t>
      </w:r>
      <w:r w:rsidR="00C3750A" w:rsidRPr="00C3750A">
        <w:rPr>
          <w:color w:val="FF0000"/>
          <w:sz w:val="20"/>
          <w:szCs w:val="20"/>
        </w:rPr>
        <w:t>.</w:t>
      </w:r>
      <w:r w:rsidRPr="00C3750A">
        <w:rPr>
          <w:color w:val="FF0000"/>
          <w:sz w:val="20"/>
          <w:szCs w:val="20"/>
        </w:rPr>
        <w:t xml:space="preserve"> 2025</w:t>
      </w:r>
      <w:r w:rsidR="00C3750A" w:rsidRPr="00C3750A">
        <w:rPr>
          <w:color w:val="FF0000"/>
          <w:sz w:val="20"/>
          <w:szCs w:val="20"/>
        </w:rPr>
        <w:t>]</w:t>
      </w:r>
      <w:r w:rsidRPr="00C3750A">
        <w:rPr>
          <w:color w:val="FF0000"/>
          <w:sz w:val="20"/>
          <w:szCs w:val="20"/>
        </w:rPr>
        <w:t>.</w:t>
      </w:r>
    </w:p>
    <w:p w14:paraId="2C103C52" w14:textId="43BA3404" w:rsidR="00712AEA" w:rsidRPr="00712AEA" w:rsidRDefault="00712AEA" w:rsidP="00712AEA">
      <w:pPr>
        <w:pStyle w:val="Nornal"/>
        <w:rPr>
          <w:color w:val="FF0000"/>
          <w:sz w:val="20"/>
          <w:szCs w:val="20"/>
        </w:rPr>
      </w:pPr>
      <w:r w:rsidRPr="00712AEA">
        <w:rPr>
          <w:color w:val="FF0000"/>
          <w:sz w:val="20"/>
          <w:szCs w:val="20"/>
        </w:rPr>
        <w:t xml:space="preserve">Topham, G., Duncan, P. and Goodier, M. (2024). </w:t>
      </w:r>
      <w:r w:rsidRPr="00712AEA">
        <w:rPr>
          <w:i/>
          <w:iCs/>
          <w:color w:val="FF0000"/>
          <w:sz w:val="20"/>
          <w:szCs w:val="20"/>
        </w:rPr>
        <w:t>‘Running a Bad Airline Is expensive’: Is British Airways Finally Getting better?</w:t>
      </w:r>
      <w:r w:rsidRPr="00712AEA">
        <w:rPr>
          <w:color w:val="FF0000"/>
          <w:sz w:val="20"/>
          <w:szCs w:val="20"/>
        </w:rPr>
        <w:t xml:space="preserve"> [online] The Guardian. Available at: https://www.theguardian.com/business/2024/dec/28/is-british-airways-getting-better-complaints-7bn-turnaround-plan [Accessed 25 Mar. 2025].</w:t>
      </w:r>
    </w:p>
    <w:p w14:paraId="320B65FA" w14:textId="77777777" w:rsidR="002B269E" w:rsidRPr="000D7771" w:rsidRDefault="002B269E" w:rsidP="00F33E1B">
      <w:pPr>
        <w:pStyle w:val="Nornal"/>
        <w:jc w:val="left"/>
        <w:rPr>
          <w:sz w:val="20"/>
          <w:szCs w:val="20"/>
        </w:rPr>
      </w:pPr>
      <w:r w:rsidRPr="000D7771">
        <w:rPr>
          <w:sz w:val="20"/>
          <w:szCs w:val="20"/>
        </w:rPr>
        <w:t xml:space="preserve">Ulrich, D. (1997). </w:t>
      </w:r>
      <w:r w:rsidRPr="000D7771">
        <w:rPr>
          <w:i/>
          <w:iCs/>
          <w:sz w:val="20"/>
          <w:szCs w:val="20"/>
        </w:rPr>
        <w:t>Human Resource Champions</w:t>
      </w:r>
      <w:r w:rsidRPr="000D7771">
        <w:rPr>
          <w:sz w:val="20"/>
          <w:szCs w:val="20"/>
        </w:rPr>
        <w:t>. Harvard Business Press.</w:t>
      </w:r>
    </w:p>
    <w:p w14:paraId="7A53F66B" w14:textId="77777777" w:rsidR="002B269E" w:rsidRPr="000D7771" w:rsidRDefault="002B269E" w:rsidP="00F33E1B">
      <w:pPr>
        <w:pStyle w:val="Nornal"/>
        <w:jc w:val="left"/>
        <w:rPr>
          <w:sz w:val="20"/>
          <w:szCs w:val="20"/>
        </w:rPr>
      </w:pPr>
      <w:r w:rsidRPr="000D7771">
        <w:rPr>
          <w:sz w:val="20"/>
          <w:szCs w:val="20"/>
        </w:rPr>
        <w:t xml:space="preserve">Ulrich, D., Younger, J., Brockbank, W. and Ulrich, M. (2012). </w:t>
      </w:r>
      <w:r w:rsidRPr="000D7771">
        <w:rPr>
          <w:i/>
          <w:iCs/>
          <w:sz w:val="20"/>
          <w:szCs w:val="20"/>
        </w:rPr>
        <w:t xml:space="preserve">HR from the </w:t>
      </w:r>
      <w:proofErr w:type="gramStart"/>
      <w:r w:rsidRPr="000D7771">
        <w:rPr>
          <w:i/>
          <w:iCs/>
          <w:sz w:val="20"/>
          <w:szCs w:val="20"/>
        </w:rPr>
        <w:t>outside :</w:t>
      </w:r>
      <w:proofErr w:type="gramEnd"/>
      <w:r w:rsidRPr="000D7771">
        <w:rPr>
          <w:i/>
          <w:iCs/>
          <w:sz w:val="20"/>
          <w:szCs w:val="20"/>
        </w:rPr>
        <w:t xml:space="preserve"> Six Competencies for the Future of Human Resources</w:t>
      </w:r>
      <w:r w:rsidRPr="000D7771">
        <w:rPr>
          <w:sz w:val="20"/>
          <w:szCs w:val="20"/>
        </w:rPr>
        <w:t xml:space="preserve">. New York, N.Y </w:t>
      </w:r>
      <w:proofErr w:type="spellStart"/>
      <w:r w:rsidRPr="000D7771">
        <w:rPr>
          <w:sz w:val="20"/>
          <w:szCs w:val="20"/>
        </w:rPr>
        <w:t>Mcgraw-Hill</w:t>
      </w:r>
      <w:proofErr w:type="spellEnd"/>
      <w:r w:rsidRPr="000D7771">
        <w:rPr>
          <w:sz w:val="20"/>
          <w:szCs w:val="20"/>
        </w:rPr>
        <w:t xml:space="preserve"> Education.</w:t>
      </w:r>
    </w:p>
    <w:p w14:paraId="55799C47" w14:textId="4FEE68CA" w:rsidR="00787484" w:rsidRPr="000D7771" w:rsidRDefault="002B269E" w:rsidP="00F33E1B">
      <w:pPr>
        <w:pStyle w:val="Nornal"/>
        <w:jc w:val="left"/>
        <w:rPr>
          <w:color w:val="FF0000"/>
          <w:sz w:val="20"/>
          <w:szCs w:val="20"/>
        </w:rPr>
      </w:pPr>
      <w:r w:rsidRPr="000D7771">
        <w:rPr>
          <w:sz w:val="20"/>
          <w:szCs w:val="20"/>
        </w:rPr>
        <w:t xml:space="preserve">Warr, P. (2002). </w:t>
      </w:r>
      <w:r w:rsidRPr="000D7771">
        <w:rPr>
          <w:i/>
          <w:iCs/>
          <w:sz w:val="20"/>
          <w:szCs w:val="20"/>
        </w:rPr>
        <w:t>The Study of Well-being, Behaviour and Attitudes.</w:t>
      </w:r>
      <w:r w:rsidRPr="000D7771">
        <w:rPr>
          <w:sz w:val="20"/>
          <w:szCs w:val="20"/>
        </w:rPr>
        <w:t xml:space="preserve"> [online] Research Gate. Available at: https://www.researchgate.net/publication/232453845_The_Study_of_Well-being_Behaviour_and_Attitudes [Accessed 7 Feb. 2025]</w:t>
      </w:r>
      <w:r w:rsidR="008F2FD2" w:rsidRPr="000D7771">
        <w:rPr>
          <w:color w:val="FF0000"/>
          <w:sz w:val="20"/>
          <w:szCs w:val="20"/>
        </w:rPr>
        <w:t xml:space="preserve"> </w:t>
      </w:r>
    </w:p>
    <w:sectPr w:rsidR="00787484" w:rsidRPr="000D7771" w:rsidSect="0083154D">
      <w:headerReference w:type="default" r:id="rId11"/>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09B90" w14:textId="77777777" w:rsidR="00320480" w:rsidRDefault="00320480" w:rsidP="00CB3ADD">
      <w:pPr>
        <w:spacing w:line="240" w:lineRule="auto"/>
      </w:pPr>
      <w:r>
        <w:separator/>
      </w:r>
    </w:p>
  </w:endnote>
  <w:endnote w:type="continuationSeparator" w:id="0">
    <w:p w14:paraId="5C16B678" w14:textId="77777777" w:rsidR="00320480" w:rsidRDefault="00320480" w:rsidP="00CB3ADD">
      <w:pPr>
        <w:spacing w:line="240" w:lineRule="auto"/>
      </w:pPr>
      <w:r>
        <w:continuationSeparator/>
      </w:r>
    </w:p>
  </w:endnote>
  <w:endnote w:type="continuationNotice" w:id="1">
    <w:p w14:paraId="691E2D15" w14:textId="77777777" w:rsidR="00320480" w:rsidRDefault="0032048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2DD1B9" w14:textId="77777777" w:rsidR="00320480" w:rsidRDefault="00320480" w:rsidP="00CB3ADD">
      <w:pPr>
        <w:spacing w:line="240" w:lineRule="auto"/>
      </w:pPr>
      <w:r>
        <w:separator/>
      </w:r>
    </w:p>
  </w:footnote>
  <w:footnote w:type="continuationSeparator" w:id="0">
    <w:p w14:paraId="21AD54FB" w14:textId="77777777" w:rsidR="00320480" w:rsidRDefault="00320480" w:rsidP="00CB3ADD">
      <w:pPr>
        <w:spacing w:line="240" w:lineRule="auto"/>
      </w:pPr>
      <w:r>
        <w:continuationSeparator/>
      </w:r>
    </w:p>
  </w:footnote>
  <w:footnote w:type="continuationNotice" w:id="1">
    <w:p w14:paraId="0B1A0A08" w14:textId="77777777" w:rsidR="00320480" w:rsidRDefault="0032048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5004923C" w:rsidR="00C35828" w:rsidRPr="00D73392" w:rsidRDefault="00680448" w:rsidP="00E20247">
    <w:pPr>
      <w:pStyle w:val="Header"/>
      <w:tabs>
        <w:tab w:val="clear" w:pos="4513"/>
        <w:tab w:val="clear" w:pos="9026"/>
        <w:tab w:val="center" w:pos="3544"/>
        <w:tab w:val="right" w:pos="14601"/>
      </w:tabs>
      <w:rPr>
        <w:rFonts w:ascii="Trebuchet MS" w:hAnsi="Trebuchet MS"/>
        <w:color w:val="808080" w:themeColor="background1" w:themeShade="80"/>
      </w:rPr>
    </w:pPr>
    <w:r w:rsidRPr="00680448">
      <w:rPr>
        <w:rFonts w:ascii="Trebuchet MS" w:hAnsi="Trebuchet MS"/>
        <w:color w:val="00616A" w:themeColor="accent2" w:themeShade="BF"/>
      </w:rPr>
      <w:t>Kelsea Peterson</w:t>
    </w:r>
    <w:r w:rsidR="00C35828" w:rsidRPr="00680448">
      <w:rPr>
        <w:color w:val="00616A" w:themeColor="accent2" w:themeShade="BF"/>
      </w:rPr>
      <w:t xml:space="preserve"> </w:t>
    </w:r>
    <w:r w:rsidR="00C35828">
      <w:rPr>
        <w:color w:val="808080" w:themeColor="background1" w:themeShade="80"/>
      </w:rPr>
      <w:tab/>
    </w:r>
    <w:r w:rsidR="00C35828">
      <w:rPr>
        <w:color w:val="808080" w:themeColor="background1" w:themeShade="80"/>
      </w:rPr>
      <w:tab/>
    </w:r>
    <w:r w:rsidR="00D30A5D" w:rsidRPr="00680448">
      <w:rPr>
        <w:rFonts w:ascii="Trebuchet MS" w:hAnsi="Trebuchet MS"/>
        <w:color w:val="00616A" w:themeColor="accent2" w:themeShade="BF"/>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D6012"/>
    <w:multiLevelType w:val="hybridMultilevel"/>
    <w:tmpl w:val="D2FA4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FD558F"/>
    <w:multiLevelType w:val="hybridMultilevel"/>
    <w:tmpl w:val="8AE2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263600"/>
    <w:multiLevelType w:val="hybridMultilevel"/>
    <w:tmpl w:val="9498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A6DC7"/>
    <w:multiLevelType w:val="hybridMultilevel"/>
    <w:tmpl w:val="3D1CA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3" w15:restartNumberingAfterBreak="0">
    <w:nsid w:val="3E13266D"/>
    <w:multiLevelType w:val="hybridMultilevel"/>
    <w:tmpl w:val="A02E9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20"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6B4874"/>
    <w:multiLevelType w:val="hybridMultilevel"/>
    <w:tmpl w:val="BC686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3312CE"/>
    <w:multiLevelType w:val="multilevel"/>
    <w:tmpl w:val="31AAC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4"/>
  </w:num>
  <w:num w:numId="4" w16cid:durableId="1897160064">
    <w:abstractNumId w:val="26"/>
  </w:num>
  <w:num w:numId="5" w16cid:durableId="666664689">
    <w:abstractNumId w:val="7"/>
  </w:num>
  <w:num w:numId="6" w16cid:durableId="132262630">
    <w:abstractNumId w:val="2"/>
  </w:num>
  <w:num w:numId="7" w16cid:durableId="1552695760">
    <w:abstractNumId w:val="24"/>
  </w:num>
  <w:num w:numId="8" w16cid:durableId="651720773">
    <w:abstractNumId w:val="20"/>
  </w:num>
  <w:num w:numId="9" w16cid:durableId="1138188816">
    <w:abstractNumId w:val="5"/>
  </w:num>
  <w:num w:numId="10" w16cid:durableId="1343170309">
    <w:abstractNumId w:val="3"/>
  </w:num>
  <w:num w:numId="11" w16cid:durableId="1943106811">
    <w:abstractNumId w:val="16"/>
  </w:num>
  <w:num w:numId="12" w16cid:durableId="744258813">
    <w:abstractNumId w:val="22"/>
  </w:num>
  <w:num w:numId="13" w16cid:durableId="1534807361">
    <w:abstractNumId w:val="15"/>
  </w:num>
  <w:num w:numId="14" w16cid:durableId="1099373750">
    <w:abstractNumId w:val="18"/>
  </w:num>
  <w:num w:numId="15" w16cid:durableId="931232851">
    <w:abstractNumId w:val="4"/>
  </w:num>
  <w:num w:numId="16" w16cid:durableId="842819565">
    <w:abstractNumId w:val="11"/>
  </w:num>
  <w:num w:numId="17" w16cid:durableId="1843159052">
    <w:abstractNumId w:val="25"/>
  </w:num>
  <w:num w:numId="18" w16cid:durableId="504826028">
    <w:abstractNumId w:val="12"/>
  </w:num>
  <w:num w:numId="19" w16cid:durableId="467088888">
    <w:abstractNumId w:val="19"/>
  </w:num>
  <w:num w:numId="20" w16cid:durableId="8864535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78703744">
    <w:abstractNumId w:val="13"/>
  </w:num>
  <w:num w:numId="22" w16cid:durableId="910391277">
    <w:abstractNumId w:val="23"/>
  </w:num>
  <w:num w:numId="23" w16cid:durableId="7802764">
    <w:abstractNumId w:val="8"/>
  </w:num>
  <w:num w:numId="24" w16cid:durableId="606667089">
    <w:abstractNumId w:val="10"/>
  </w:num>
  <w:num w:numId="25" w16cid:durableId="526062744">
    <w:abstractNumId w:val="9"/>
  </w:num>
  <w:num w:numId="26" w16cid:durableId="1156602648">
    <w:abstractNumId w:val="21"/>
  </w:num>
  <w:num w:numId="27" w16cid:durableId="1947884723">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2B04"/>
    <w:rsid w:val="00004303"/>
    <w:rsid w:val="00005F03"/>
    <w:rsid w:val="00006E80"/>
    <w:rsid w:val="00010B10"/>
    <w:rsid w:val="00011888"/>
    <w:rsid w:val="00012A56"/>
    <w:rsid w:val="00012B4D"/>
    <w:rsid w:val="000133BF"/>
    <w:rsid w:val="00013D06"/>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4B4F"/>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678EB"/>
    <w:rsid w:val="000700E9"/>
    <w:rsid w:val="000710CF"/>
    <w:rsid w:val="00071E62"/>
    <w:rsid w:val="00072281"/>
    <w:rsid w:val="0007286D"/>
    <w:rsid w:val="00074BFC"/>
    <w:rsid w:val="00075587"/>
    <w:rsid w:val="00076468"/>
    <w:rsid w:val="000848A8"/>
    <w:rsid w:val="000850FA"/>
    <w:rsid w:val="00085826"/>
    <w:rsid w:val="00085944"/>
    <w:rsid w:val="00086D1D"/>
    <w:rsid w:val="00086D8E"/>
    <w:rsid w:val="00087359"/>
    <w:rsid w:val="000873AB"/>
    <w:rsid w:val="000907DE"/>
    <w:rsid w:val="000912FD"/>
    <w:rsid w:val="0009260A"/>
    <w:rsid w:val="00094991"/>
    <w:rsid w:val="000960EA"/>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771"/>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137"/>
    <w:rsid w:val="001156C4"/>
    <w:rsid w:val="001160A9"/>
    <w:rsid w:val="001169F7"/>
    <w:rsid w:val="00117A1D"/>
    <w:rsid w:val="001220B1"/>
    <w:rsid w:val="0012227C"/>
    <w:rsid w:val="00123A3C"/>
    <w:rsid w:val="00125402"/>
    <w:rsid w:val="00127569"/>
    <w:rsid w:val="001303BD"/>
    <w:rsid w:val="00130FAB"/>
    <w:rsid w:val="001337EA"/>
    <w:rsid w:val="00133DBB"/>
    <w:rsid w:val="00134EA7"/>
    <w:rsid w:val="00134FE6"/>
    <w:rsid w:val="0013520D"/>
    <w:rsid w:val="00136B2D"/>
    <w:rsid w:val="00137B0D"/>
    <w:rsid w:val="00143856"/>
    <w:rsid w:val="00145BA2"/>
    <w:rsid w:val="00150DB8"/>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87299"/>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39F4"/>
    <w:rsid w:val="001B45D7"/>
    <w:rsid w:val="001B7129"/>
    <w:rsid w:val="001B75C4"/>
    <w:rsid w:val="001B7C32"/>
    <w:rsid w:val="001C0B97"/>
    <w:rsid w:val="001C0BED"/>
    <w:rsid w:val="001C1523"/>
    <w:rsid w:val="001C1600"/>
    <w:rsid w:val="001C183C"/>
    <w:rsid w:val="001C2995"/>
    <w:rsid w:val="001C43A1"/>
    <w:rsid w:val="001C4558"/>
    <w:rsid w:val="001C587C"/>
    <w:rsid w:val="001D022A"/>
    <w:rsid w:val="001D064F"/>
    <w:rsid w:val="001D12C2"/>
    <w:rsid w:val="001D2BA6"/>
    <w:rsid w:val="001D36E1"/>
    <w:rsid w:val="001D3B2A"/>
    <w:rsid w:val="001D541A"/>
    <w:rsid w:val="001D7A22"/>
    <w:rsid w:val="001E257E"/>
    <w:rsid w:val="001E2ED0"/>
    <w:rsid w:val="001E3984"/>
    <w:rsid w:val="001E4F5C"/>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065A5"/>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495A"/>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1F4B"/>
    <w:rsid w:val="0028315D"/>
    <w:rsid w:val="002840FE"/>
    <w:rsid w:val="002847CB"/>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69E"/>
    <w:rsid w:val="002B2D87"/>
    <w:rsid w:val="002B3E23"/>
    <w:rsid w:val="002B4975"/>
    <w:rsid w:val="002B49AC"/>
    <w:rsid w:val="002B7F3C"/>
    <w:rsid w:val="002C2666"/>
    <w:rsid w:val="002C27D2"/>
    <w:rsid w:val="002C3CA5"/>
    <w:rsid w:val="002C5020"/>
    <w:rsid w:val="002C51B1"/>
    <w:rsid w:val="002C6F5B"/>
    <w:rsid w:val="002C757E"/>
    <w:rsid w:val="002D350E"/>
    <w:rsid w:val="002D49CF"/>
    <w:rsid w:val="002D4F9D"/>
    <w:rsid w:val="002D6D05"/>
    <w:rsid w:val="002D7361"/>
    <w:rsid w:val="002D7688"/>
    <w:rsid w:val="002E3F66"/>
    <w:rsid w:val="002E592E"/>
    <w:rsid w:val="002E6F56"/>
    <w:rsid w:val="002F03B9"/>
    <w:rsid w:val="002F0BE8"/>
    <w:rsid w:val="002F0C07"/>
    <w:rsid w:val="002F17FE"/>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0480"/>
    <w:rsid w:val="00325133"/>
    <w:rsid w:val="00327F95"/>
    <w:rsid w:val="003307D9"/>
    <w:rsid w:val="00331655"/>
    <w:rsid w:val="00333136"/>
    <w:rsid w:val="00335AE3"/>
    <w:rsid w:val="00343612"/>
    <w:rsid w:val="003447E5"/>
    <w:rsid w:val="00345985"/>
    <w:rsid w:val="003509E3"/>
    <w:rsid w:val="00350F2C"/>
    <w:rsid w:val="00351731"/>
    <w:rsid w:val="00352533"/>
    <w:rsid w:val="00353EE1"/>
    <w:rsid w:val="00354F67"/>
    <w:rsid w:val="00355EC4"/>
    <w:rsid w:val="00356D8A"/>
    <w:rsid w:val="00360709"/>
    <w:rsid w:val="00363742"/>
    <w:rsid w:val="003646A0"/>
    <w:rsid w:val="00366CA7"/>
    <w:rsid w:val="00372797"/>
    <w:rsid w:val="003741F6"/>
    <w:rsid w:val="00374986"/>
    <w:rsid w:val="00386814"/>
    <w:rsid w:val="0038716F"/>
    <w:rsid w:val="003875D9"/>
    <w:rsid w:val="0039172C"/>
    <w:rsid w:val="00393227"/>
    <w:rsid w:val="0039380F"/>
    <w:rsid w:val="00394803"/>
    <w:rsid w:val="00394B84"/>
    <w:rsid w:val="00395271"/>
    <w:rsid w:val="003960D8"/>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0AB9"/>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49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D4DDC"/>
    <w:rsid w:val="004E32AA"/>
    <w:rsid w:val="004E3E2A"/>
    <w:rsid w:val="004E4BFF"/>
    <w:rsid w:val="004E5FCD"/>
    <w:rsid w:val="004E6E10"/>
    <w:rsid w:val="004F1146"/>
    <w:rsid w:val="004F27A8"/>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0A27"/>
    <w:rsid w:val="00524C1B"/>
    <w:rsid w:val="005255C5"/>
    <w:rsid w:val="005258B3"/>
    <w:rsid w:val="00526892"/>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09CF"/>
    <w:rsid w:val="005766D9"/>
    <w:rsid w:val="005829EB"/>
    <w:rsid w:val="00584410"/>
    <w:rsid w:val="00585FD3"/>
    <w:rsid w:val="00586ACD"/>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8CF"/>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46D"/>
    <w:rsid w:val="005E058F"/>
    <w:rsid w:val="005E0D75"/>
    <w:rsid w:val="005E155A"/>
    <w:rsid w:val="005E1AEC"/>
    <w:rsid w:val="005E29DE"/>
    <w:rsid w:val="005E3DAC"/>
    <w:rsid w:val="005E49ED"/>
    <w:rsid w:val="005E4B49"/>
    <w:rsid w:val="005E6291"/>
    <w:rsid w:val="005F386F"/>
    <w:rsid w:val="005F771B"/>
    <w:rsid w:val="005F7D50"/>
    <w:rsid w:val="006003B4"/>
    <w:rsid w:val="006012CF"/>
    <w:rsid w:val="00602E8C"/>
    <w:rsid w:val="006049D5"/>
    <w:rsid w:val="00607F6B"/>
    <w:rsid w:val="0061091C"/>
    <w:rsid w:val="006132B0"/>
    <w:rsid w:val="00614B55"/>
    <w:rsid w:val="00616053"/>
    <w:rsid w:val="00621BCB"/>
    <w:rsid w:val="00622367"/>
    <w:rsid w:val="00622DB1"/>
    <w:rsid w:val="006259DA"/>
    <w:rsid w:val="00630481"/>
    <w:rsid w:val="00631AA4"/>
    <w:rsid w:val="0064049A"/>
    <w:rsid w:val="0064108A"/>
    <w:rsid w:val="006411A9"/>
    <w:rsid w:val="006435FC"/>
    <w:rsid w:val="00645441"/>
    <w:rsid w:val="00645F65"/>
    <w:rsid w:val="006476EC"/>
    <w:rsid w:val="00650510"/>
    <w:rsid w:val="00651277"/>
    <w:rsid w:val="006521BD"/>
    <w:rsid w:val="00655B97"/>
    <w:rsid w:val="006562F3"/>
    <w:rsid w:val="006607E7"/>
    <w:rsid w:val="00661A67"/>
    <w:rsid w:val="00661B79"/>
    <w:rsid w:val="00662C23"/>
    <w:rsid w:val="00664040"/>
    <w:rsid w:val="006641B0"/>
    <w:rsid w:val="00665FF2"/>
    <w:rsid w:val="0066673E"/>
    <w:rsid w:val="00666B93"/>
    <w:rsid w:val="00667751"/>
    <w:rsid w:val="00667997"/>
    <w:rsid w:val="00667F30"/>
    <w:rsid w:val="0067043C"/>
    <w:rsid w:val="0067127A"/>
    <w:rsid w:val="006721BD"/>
    <w:rsid w:val="006757F0"/>
    <w:rsid w:val="00676E90"/>
    <w:rsid w:val="00680448"/>
    <w:rsid w:val="00680568"/>
    <w:rsid w:val="00680FB8"/>
    <w:rsid w:val="00681923"/>
    <w:rsid w:val="00681DFA"/>
    <w:rsid w:val="00683281"/>
    <w:rsid w:val="006859C3"/>
    <w:rsid w:val="006859E0"/>
    <w:rsid w:val="00687F52"/>
    <w:rsid w:val="00690E6C"/>
    <w:rsid w:val="006921F6"/>
    <w:rsid w:val="006934D4"/>
    <w:rsid w:val="006954EA"/>
    <w:rsid w:val="00696A9D"/>
    <w:rsid w:val="00697505"/>
    <w:rsid w:val="006A255C"/>
    <w:rsid w:val="006A391D"/>
    <w:rsid w:val="006A5E84"/>
    <w:rsid w:val="006A60E7"/>
    <w:rsid w:val="006B1120"/>
    <w:rsid w:val="006B24E2"/>
    <w:rsid w:val="006B3073"/>
    <w:rsid w:val="006B36DB"/>
    <w:rsid w:val="006B3820"/>
    <w:rsid w:val="006B42CE"/>
    <w:rsid w:val="006B496C"/>
    <w:rsid w:val="006B5D0F"/>
    <w:rsid w:val="006B5D40"/>
    <w:rsid w:val="006B63F2"/>
    <w:rsid w:val="006B745D"/>
    <w:rsid w:val="006C2364"/>
    <w:rsid w:val="006C528B"/>
    <w:rsid w:val="006C6636"/>
    <w:rsid w:val="006C6809"/>
    <w:rsid w:val="006D18A3"/>
    <w:rsid w:val="006D1BBF"/>
    <w:rsid w:val="006D1F6C"/>
    <w:rsid w:val="006D28F5"/>
    <w:rsid w:val="006D34EC"/>
    <w:rsid w:val="006D3512"/>
    <w:rsid w:val="006E0E7E"/>
    <w:rsid w:val="006E13E1"/>
    <w:rsid w:val="006E13FC"/>
    <w:rsid w:val="006E145B"/>
    <w:rsid w:val="006E17ED"/>
    <w:rsid w:val="006E185F"/>
    <w:rsid w:val="006E1B24"/>
    <w:rsid w:val="006E27F6"/>
    <w:rsid w:val="006E3529"/>
    <w:rsid w:val="006E49AF"/>
    <w:rsid w:val="006E5F18"/>
    <w:rsid w:val="006E6676"/>
    <w:rsid w:val="006E7A8C"/>
    <w:rsid w:val="006F1156"/>
    <w:rsid w:val="006F1FB5"/>
    <w:rsid w:val="006F2926"/>
    <w:rsid w:val="006F7E11"/>
    <w:rsid w:val="0070016E"/>
    <w:rsid w:val="0070055D"/>
    <w:rsid w:val="00703294"/>
    <w:rsid w:val="00704BCF"/>
    <w:rsid w:val="0070764E"/>
    <w:rsid w:val="00712AEA"/>
    <w:rsid w:val="007159E3"/>
    <w:rsid w:val="007205EF"/>
    <w:rsid w:val="00720DCD"/>
    <w:rsid w:val="00722E4E"/>
    <w:rsid w:val="0072444B"/>
    <w:rsid w:val="00724AB3"/>
    <w:rsid w:val="00724AC8"/>
    <w:rsid w:val="00725029"/>
    <w:rsid w:val="0072619F"/>
    <w:rsid w:val="007269B9"/>
    <w:rsid w:val="00730BBF"/>
    <w:rsid w:val="0073301F"/>
    <w:rsid w:val="00734C83"/>
    <w:rsid w:val="007354E6"/>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36B3"/>
    <w:rsid w:val="0078589D"/>
    <w:rsid w:val="00787484"/>
    <w:rsid w:val="00793702"/>
    <w:rsid w:val="00795B4A"/>
    <w:rsid w:val="007970CD"/>
    <w:rsid w:val="007974EE"/>
    <w:rsid w:val="007A1385"/>
    <w:rsid w:val="007A229F"/>
    <w:rsid w:val="007A34C6"/>
    <w:rsid w:val="007A7782"/>
    <w:rsid w:val="007B01AC"/>
    <w:rsid w:val="007C1252"/>
    <w:rsid w:val="007D339A"/>
    <w:rsid w:val="007D5D6C"/>
    <w:rsid w:val="007E308B"/>
    <w:rsid w:val="007E3D70"/>
    <w:rsid w:val="007E4BB2"/>
    <w:rsid w:val="007E6BFB"/>
    <w:rsid w:val="007F0435"/>
    <w:rsid w:val="007F1619"/>
    <w:rsid w:val="007F30AB"/>
    <w:rsid w:val="007F45FC"/>
    <w:rsid w:val="007F70AA"/>
    <w:rsid w:val="008002E2"/>
    <w:rsid w:val="0080084D"/>
    <w:rsid w:val="00800A61"/>
    <w:rsid w:val="008028E2"/>
    <w:rsid w:val="00802DD0"/>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154D"/>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9F8"/>
    <w:rsid w:val="00874B72"/>
    <w:rsid w:val="00875B1D"/>
    <w:rsid w:val="00880AD1"/>
    <w:rsid w:val="00880B92"/>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0A12"/>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6677"/>
    <w:rsid w:val="008D7142"/>
    <w:rsid w:val="008D72BE"/>
    <w:rsid w:val="008D75FC"/>
    <w:rsid w:val="008E15B3"/>
    <w:rsid w:val="008E1DD4"/>
    <w:rsid w:val="008E20C5"/>
    <w:rsid w:val="008E261D"/>
    <w:rsid w:val="008E2949"/>
    <w:rsid w:val="008E5C70"/>
    <w:rsid w:val="008E5C88"/>
    <w:rsid w:val="008E60D1"/>
    <w:rsid w:val="008E6304"/>
    <w:rsid w:val="008E664B"/>
    <w:rsid w:val="008E72AF"/>
    <w:rsid w:val="008E75CF"/>
    <w:rsid w:val="008E7892"/>
    <w:rsid w:val="008F002C"/>
    <w:rsid w:val="008F0744"/>
    <w:rsid w:val="008F0974"/>
    <w:rsid w:val="008F0D9D"/>
    <w:rsid w:val="008F1127"/>
    <w:rsid w:val="008F2165"/>
    <w:rsid w:val="008F2FD2"/>
    <w:rsid w:val="008F3368"/>
    <w:rsid w:val="008F3B9A"/>
    <w:rsid w:val="008F3E9F"/>
    <w:rsid w:val="008F4A18"/>
    <w:rsid w:val="008F4C1A"/>
    <w:rsid w:val="008F5D47"/>
    <w:rsid w:val="008F6184"/>
    <w:rsid w:val="008F725A"/>
    <w:rsid w:val="00900224"/>
    <w:rsid w:val="009008F5"/>
    <w:rsid w:val="009016D4"/>
    <w:rsid w:val="00901BE8"/>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15D6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3C17"/>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5FCA"/>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B663A"/>
    <w:rsid w:val="009C0E74"/>
    <w:rsid w:val="009C3E46"/>
    <w:rsid w:val="009C3E7B"/>
    <w:rsid w:val="009C41D1"/>
    <w:rsid w:val="009D4957"/>
    <w:rsid w:val="009D50B1"/>
    <w:rsid w:val="009D68A5"/>
    <w:rsid w:val="009E0439"/>
    <w:rsid w:val="009E35CC"/>
    <w:rsid w:val="009E3F81"/>
    <w:rsid w:val="009E753F"/>
    <w:rsid w:val="009F0B2F"/>
    <w:rsid w:val="009F17DB"/>
    <w:rsid w:val="009F1F11"/>
    <w:rsid w:val="009F3209"/>
    <w:rsid w:val="009F750D"/>
    <w:rsid w:val="00A0141B"/>
    <w:rsid w:val="00A015FB"/>
    <w:rsid w:val="00A0201B"/>
    <w:rsid w:val="00A039BB"/>
    <w:rsid w:val="00A03D0F"/>
    <w:rsid w:val="00A03F8A"/>
    <w:rsid w:val="00A0495E"/>
    <w:rsid w:val="00A1133C"/>
    <w:rsid w:val="00A11EA4"/>
    <w:rsid w:val="00A12E3E"/>
    <w:rsid w:val="00A146A3"/>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203B"/>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3E15"/>
    <w:rsid w:val="00A75B81"/>
    <w:rsid w:val="00A76818"/>
    <w:rsid w:val="00A77BE8"/>
    <w:rsid w:val="00A81F90"/>
    <w:rsid w:val="00A82C09"/>
    <w:rsid w:val="00A831D6"/>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46EF"/>
    <w:rsid w:val="00AA5EC4"/>
    <w:rsid w:val="00AA6CD6"/>
    <w:rsid w:val="00AB1F67"/>
    <w:rsid w:val="00AB26D2"/>
    <w:rsid w:val="00AB28DB"/>
    <w:rsid w:val="00AB49D8"/>
    <w:rsid w:val="00AB52D0"/>
    <w:rsid w:val="00AB5718"/>
    <w:rsid w:val="00AB6E95"/>
    <w:rsid w:val="00AB7916"/>
    <w:rsid w:val="00AC1706"/>
    <w:rsid w:val="00AC21B2"/>
    <w:rsid w:val="00AC28CD"/>
    <w:rsid w:val="00AC35C8"/>
    <w:rsid w:val="00AC59A6"/>
    <w:rsid w:val="00AC6429"/>
    <w:rsid w:val="00AC6721"/>
    <w:rsid w:val="00AC672F"/>
    <w:rsid w:val="00AD05BA"/>
    <w:rsid w:val="00AD07CC"/>
    <w:rsid w:val="00AD48C6"/>
    <w:rsid w:val="00AD53AA"/>
    <w:rsid w:val="00AD642F"/>
    <w:rsid w:val="00AD67A9"/>
    <w:rsid w:val="00AE06D3"/>
    <w:rsid w:val="00AE0A58"/>
    <w:rsid w:val="00AE0CF2"/>
    <w:rsid w:val="00AE0D32"/>
    <w:rsid w:val="00AE0EFC"/>
    <w:rsid w:val="00AE3220"/>
    <w:rsid w:val="00AE35E8"/>
    <w:rsid w:val="00AE59DD"/>
    <w:rsid w:val="00AE61DE"/>
    <w:rsid w:val="00AF2388"/>
    <w:rsid w:val="00AF2C14"/>
    <w:rsid w:val="00AF341C"/>
    <w:rsid w:val="00AF5077"/>
    <w:rsid w:val="00B0019B"/>
    <w:rsid w:val="00B01107"/>
    <w:rsid w:val="00B02ACA"/>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2672E"/>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277B"/>
    <w:rsid w:val="00B74116"/>
    <w:rsid w:val="00B763C9"/>
    <w:rsid w:val="00B842D7"/>
    <w:rsid w:val="00B85DA1"/>
    <w:rsid w:val="00B86D3F"/>
    <w:rsid w:val="00B92707"/>
    <w:rsid w:val="00B929C5"/>
    <w:rsid w:val="00B930EB"/>
    <w:rsid w:val="00B93F79"/>
    <w:rsid w:val="00B9606E"/>
    <w:rsid w:val="00BA07D1"/>
    <w:rsid w:val="00BA1D92"/>
    <w:rsid w:val="00BA267F"/>
    <w:rsid w:val="00BA42A6"/>
    <w:rsid w:val="00BB0B68"/>
    <w:rsid w:val="00BB14F3"/>
    <w:rsid w:val="00BB1CF0"/>
    <w:rsid w:val="00BB2A10"/>
    <w:rsid w:val="00BB3E01"/>
    <w:rsid w:val="00BC124B"/>
    <w:rsid w:val="00BC2AF3"/>
    <w:rsid w:val="00BC6CE7"/>
    <w:rsid w:val="00BC6F95"/>
    <w:rsid w:val="00BC73A4"/>
    <w:rsid w:val="00BC78C7"/>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AC"/>
    <w:rsid w:val="00C02FB1"/>
    <w:rsid w:val="00C03B73"/>
    <w:rsid w:val="00C040E2"/>
    <w:rsid w:val="00C040FC"/>
    <w:rsid w:val="00C0581D"/>
    <w:rsid w:val="00C07F15"/>
    <w:rsid w:val="00C20158"/>
    <w:rsid w:val="00C234D9"/>
    <w:rsid w:val="00C2773F"/>
    <w:rsid w:val="00C317F4"/>
    <w:rsid w:val="00C33F8D"/>
    <w:rsid w:val="00C348AD"/>
    <w:rsid w:val="00C35429"/>
    <w:rsid w:val="00C35828"/>
    <w:rsid w:val="00C36BC6"/>
    <w:rsid w:val="00C3750A"/>
    <w:rsid w:val="00C37F8D"/>
    <w:rsid w:val="00C430E4"/>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967F4"/>
    <w:rsid w:val="00CA041C"/>
    <w:rsid w:val="00CA085B"/>
    <w:rsid w:val="00CA248F"/>
    <w:rsid w:val="00CA352B"/>
    <w:rsid w:val="00CA4905"/>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3F28"/>
    <w:rsid w:val="00CE5557"/>
    <w:rsid w:val="00CE6958"/>
    <w:rsid w:val="00CE7537"/>
    <w:rsid w:val="00CF20E9"/>
    <w:rsid w:val="00CF4BD6"/>
    <w:rsid w:val="00D002D2"/>
    <w:rsid w:val="00D01018"/>
    <w:rsid w:val="00D040B1"/>
    <w:rsid w:val="00D0456C"/>
    <w:rsid w:val="00D07A60"/>
    <w:rsid w:val="00D132A5"/>
    <w:rsid w:val="00D13A0F"/>
    <w:rsid w:val="00D14360"/>
    <w:rsid w:val="00D16280"/>
    <w:rsid w:val="00D166D1"/>
    <w:rsid w:val="00D16C03"/>
    <w:rsid w:val="00D16D97"/>
    <w:rsid w:val="00D17BA2"/>
    <w:rsid w:val="00D20992"/>
    <w:rsid w:val="00D2164A"/>
    <w:rsid w:val="00D23DD5"/>
    <w:rsid w:val="00D257AB"/>
    <w:rsid w:val="00D30196"/>
    <w:rsid w:val="00D30391"/>
    <w:rsid w:val="00D30944"/>
    <w:rsid w:val="00D30A5D"/>
    <w:rsid w:val="00D31320"/>
    <w:rsid w:val="00D323B0"/>
    <w:rsid w:val="00D324E9"/>
    <w:rsid w:val="00D338E5"/>
    <w:rsid w:val="00D35043"/>
    <w:rsid w:val="00D35A80"/>
    <w:rsid w:val="00D40E56"/>
    <w:rsid w:val="00D41562"/>
    <w:rsid w:val="00D416DB"/>
    <w:rsid w:val="00D42378"/>
    <w:rsid w:val="00D439DF"/>
    <w:rsid w:val="00D442E0"/>
    <w:rsid w:val="00D46105"/>
    <w:rsid w:val="00D51A3B"/>
    <w:rsid w:val="00D53D10"/>
    <w:rsid w:val="00D572D1"/>
    <w:rsid w:val="00D57799"/>
    <w:rsid w:val="00D57D27"/>
    <w:rsid w:val="00D631DD"/>
    <w:rsid w:val="00D65D11"/>
    <w:rsid w:val="00D67641"/>
    <w:rsid w:val="00D70176"/>
    <w:rsid w:val="00D71375"/>
    <w:rsid w:val="00D73392"/>
    <w:rsid w:val="00D745D3"/>
    <w:rsid w:val="00D74C9B"/>
    <w:rsid w:val="00D74D59"/>
    <w:rsid w:val="00D7612A"/>
    <w:rsid w:val="00D76D7B"/>
    <w:rsid w:val="00D76F3E"/>
    <w:rsid w:val="00D779BA"/>
    <w:rsid w:val="00D77C24"/>
    <w:rsid w:val="00D80E3D"/>
    <w:rsid w:val="00D81FAB"/>
    <w:rsid w:val="00D825AE"/>
    <w:rsid w:val="00D826D2"/>
    <w:rsid w:val="00D84E1C"/>
    <w:rsid w:val="00D87A72"/>
    <w:rsid w:val="00D90C1A"/>
    <w:rsid w:val="00D93665"/>
    <w:rsid w:val="00D939C9"/>
    <w:rsid w:val="00D96991"/>
    <w:rsid w:val="00D9721F"/>
    <w:rsid w:val="00D9795C"/>
    <w:rsid w:val="00DA2106"/>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07FB"/>
    <w:rsid w:val="00DF13FE"/>
    <w:rsid w:val="00DF1AE8"/>
    <w:rsid w:val="00DF4F65"/>
    <w:rsid w:val="00DF6EB7"/>
    <w:rsid w:val="00E005B3"/>
    <w:rsid w:val="00E01773"/>
    <w:rsid w:val="00E04657"/>
    <w:rsid w:val="00E06609"/>
    <w:rsid w:val="00E0679F"/>
    <w:rsid w:val="00E06BA8"/>
    <w:rsid w:val="00E072E8"/>
    <w:rsid w:val="00E11E11"/>
    <w:rsid w:val="00E12B0F"/>
    <w:rsid w:val="00E14D11"/>
    <w:rsid w:val="00E162A0"/>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38C3"/>
    <w:rsid w:val="00E44E56"/>
    <w:rsid w:val="00E46145"/>
    <w:rsid w:val="00E463CC"/>
    <w:rsid w:val="00E5310D"/>
    <w:rsid w:val="00E532CE"/>
    <w:rsid w:val="00E53FD0"/>
    <w:rsid w:val="00E567FD"/>
    <w:rsid w:val="00E56D98"/>
    <w:rsid w:val="00E62A7E"/>
    <w:rsid w:val="00E6437E"/>
    <w:rsid w:val="00E6710C"/>
    <w:rsid w:val="00E71863"/>
    <w:rsid w:val="00E74E1E"/>
    <w:rsid w:val="00E76DEE"/>
    <w:rsid w:val="00E80C38"/>
    <w:rsid w:val="00E82AE8"/>
    <w:rsid w:val="00E83565"/>
    <w:rsid w:val="00E84223"/>
    <w:rsid w:val="00E86C53"/>
    <w:rsid w:val="00E87541"/>
    <w:rsid w:val="00E90DF6"/>
    <w:rsid w:val="00E916B3"/>
    <w:rsid w:val="00E92F46"/>
    <w:rsid w:val="00E93785"/>
    <w:rsid w:val="00E943E8"/>
    <w:rsid w:val="00E9682C"/>
    <w:rsid w:val="00E972CA"/>
    <w:rsid w:val="00EA0A9C"/>
    <w:rsid w:val="00EA1C75"/>
    <w:rsid w:val="00EA3503"/>
    <w:rsid w:val="00EA5386"/>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0670"/>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06D84"/>
    <w:rsid w:val="00F1132D"/>
    <w:rsid w:val="00F14358"/>
    <w:rsid w:val="00F15965"/>
    <w:rsid w:val="00F24B08"/>
    <w:rsid w:val="00F25476"/>
    <w:rsid w:val="00F26F9C"/>
    <w:rsid w:val="00F3020C"/>
    <w:rsid w:val="00F3119A"/>
    <w:rsid w:val="00F33E1B"/>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6580"/>
    <w:rsid w:val="00F67A50"/>
    <w:rsid w:val="00F71C8B"/>
    <w:rsid w:val="00F7214C"/>
    <w:rsid w:val="00F72D47"/>
    <w:rsid w:val="00F7463B"/>
    <w:rsid w:val="00F768A0"/>
    <w:rsid w:val="00F819F6"/>
    <w:rsid w:val="00F86345"/>
    <w:rsid w:val="00F86609"/>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594"/>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4C6D"/>
    <w:rsid w:val="00FD5E5B"/>
    <w:rsid w:val="00FD6185"/>
    <w:rsid w:val="00FD672E"/>
    <w:rsid w:val="00FE1935"/>
    <w:rsid w:val="00FE1993"/>
    <w:rsid w:val="00FE22CB"/>
    <w:rsid w:val="00FE3432"/>
    <w:rsid w:val="00FE4878"/>
    <w:rsid w:val="00FE62D3"/>
    <w:rsid w:val="00FE6C93"/>
    <w:rsid w:val="00FE7E5F"/>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1104">
      <w:bodyDiv w:val="1"/>
      <w:marLeft w:val="0"/>
      <w:marRight w:val="0"/>
      <w:marTop w:val="0"/>
      <w:marBottom w:val="0"/>
      <w:divBdr>
        <w:top w:val="none" w:sz="0" w:space="0" w:color="auto"/>
        <w:left w:val="none" w:sz="0" w:space="0" w:color="auto"/>
        <w:bottom w:val="none" w:sz="0" w:space="0" w:color="auto"/>
        <w:right w:val="none" w:sz="0" w:space="0" w:color="auto"/>
      </w:divBdr>
    </w:div>
    <w:div w:id="10307378">
      <w:bodyDiv w:val="1"/>
      <w:marLeft w:val="0"/>
      <w:marRight w:val="0"/>
      <w:marTop w:val="0"/>
      <w:marBottom w:val="0"/>
      <w:divBdr>
        <w:top w:val="none" w:sz="0" w:space="0" w:color="auto"/>
        <w:left w:val="none" w:sz="0" w:space="0" w:color="auto"/>
        <w:bottom w:val="none" w:sz="0" w:space="0" w:color="auto"/>
        <w:right w:val="none" w:sz="0" w:space="0" w:color="auto"/>
      </w:divBdr>
    </w:div>
    <w:div w:id="34892559">
      <w:bodyDiv w:val="1"/>
      <w:marLeft w:val="0"/>
      <w:marRight w:val="0"/>
      <w:marTop w:val="0"/>
      <w:marBottom w:val="0"/>
      <w:divBdr>
        <w:top w:val="none" w:sz="0" w:space="0" w:color="auto"/>
        <w:left w:val="none" w:sz="0" w:space="0" w:color="auto"/>
        <w:bottom w:val="none" w:sz="0" w:space="0" w:color="auto"/>
        <w:right w:val="none" w:sz="0" w:space="0" w:color="auto"/>
      </w:divBdr>
      <w:divsChild>
        <w:div w:id="1390612898">
          <w:marLeft w:val="0"/>
          <w:marRight w:val="0"/>
          <w:marTop w:val="0"/>
          <w:marBottom w:val="0"/>
          <w:divBdr>
            <w:top w:val="none" w:sz="0" w:space="0" w:color="auto"/>
            <w:left w:val="none" w:sz="0" w:space="0" w:color="auto"/>
            <w:bottom w:val="none" w:sz="0" w:space="0" w:color="auto"/>
            <w:right w:val="none" w:sz="0" w:space="0" w:color="auto"/>
          </w:divBdr>
        </w:div>
      </w:divsChild>
    </w:div>
    <w:div w:id="68163924">
      <w:bodyDiv w:val="1"/>
      <w:marLeft w:val="0"/>
      <w:marRight w:val="0"/>
      <w:marTop w:val="0"/>
      <w:marBottom w:val="0"/>
      <w:divBdr>
        <w:top w:val="none" w:sz="0" w:space="0" w:color="auto"/>
        <w:left w:val="none" w:sz="0" w:space="0" w:color="auto"/>
        <w:bottom w:val="none" w:sz="0" w:space="0" w:color="auto"/>
        <w:right w:val="none" w:sz="0" w:space="0" w:color="auto"/>
      </w:divBdr>
    </w:div>
    <w:div w:id="154998801">
      <w:bodyDiv w:val="1"/>
      <w:marLeft w:val="0"/>
      <w:marRight w:val="0"/>
      <w:marTop w:val="0"/>
      <w:marBottom w:val="0"/>
      <w:divBdr>
        <w:top w:val="none" w:sz="0" w:space="0" w:color="auto"/>
        <w:left w:val="none" w:sz="0" w:space="0" w:color="auto"/>
        <w:bottom w:val="none" w:sz="0" w:space="0" w:color="auto"/>
        <w:right w:val="none" w:sz="0" w:space="0" w:color="auto"/>
      </w:divBdr>
      <w:divsChild>
        <w:div w:id="1690401342">
          <w:marLeft w:val="0"/>
          <w:marRight w:val="0"/>
          <w:marTop w:val="0"/>
          <w:marBottom w:val="0"/>
          <w:divBdr>
            <w:top w:val="none" w:sz="0" w:space="0" w:color="auto"/>
            <w:left w:val="none" w:sz="0" w:space="0" w:color="auto"/>
            <w:bottom w:val="none" w:sz="0" w:space="0" w:color="auto"/>
            <w:right w:val="none" w:sz="0" w:space="0" w:color="auto"/>
          </w:divBdr>
        </w:div>
        <w:div w:id="1082143360">
          <w:marLeft w:val="0"/>
          <w:marRight w:val="0"/>
          <w:marTop w:val="0"/>
          <w:marBottom w:val="0"/>
          <w:divBdr>
            <w:top w:val="none" w:sz="0" w:space="0" w:color="auto"/>
            <w:left w:val="none" w:sz="0" w:space="0" w:color="auto"/>
            <w:bottom w:val="none" w:sz="0" w:space="0" w:color="auto"/>
            <w:right w:val="none" w:sz="0" w:space="0" w:color="auto"/>
          </w:divBdr>
        </w:div>
        <w:div w:id="1855848615">
          <w:marLeft w:val="0"/>
          <w:marRight w:val="0"/>
          <w:marTop w:val="0"/>
          <w:marBottom w:val="0"/>
          <w:divBdr>
            <w:top w:val="none" w:sz="0" w:space="0" w:color="auto"/>
            <w:left w:val="none" w:sz="0" w:space="0" w:color="auto"/>
            <w:bottom w:val="none" w:sz="0" w:space="0" w:color="auto"/>
            <w:right w:val="none" w:sz="0" w:space="0" w:color="auto"/>
          </w:divBdr>
        </w:div>
        <w:div w:id="367141597">
          <w:marLeft w:val="0"/>
          <w:marRight w:val="0"/>
          <w:marTop w:val="0"/>
          <w:marBottom w:val="0"/>
          <w:divBdr>
            <w:top w:val="none" w:sz="0" w:space="0" w:color="auto"/>
            <w:left w:val="none" w:sz="0" w:space="0" w:color="auto"/>
            <w:bottom w:val="none" w:sz="0" w:space="0" w:color="auto"/>
            <w:right w:val="none" w:sz="0" w:space="0" w:color="auto"/>
          </w:divBdr>
        </w:div>
      </w:divsChild>
    </w:div>
    <w:div w:id="214239736">
      <w:bodyDiv w:val="1"/>
      <w:marLeft w:val="0"/>
      <w:marRight w:val="0"/>
      <w:marTop w:val="0"/>
      <w:marBottom w:val="0"/>
      <w:divBdr>
        <w:top w:val="none" w:sz="0" w:space="0" w:color="auto"/>
        <w:left w:val="none" w:sz="0" w:space="0" w:color="auto"/>
        <w:bottom w:val="none" w:sz="0" w:space="0" w:color="auto"/>
        <w:right w:val="none" w:sz="0" w:space="0" w:color="auto"/>
      </w:divBdr>
      <w:divsChild>
        <w:div w:id="2101221209">
          <w:marLeft w:val="0"/>
          <w:marRight w:val="0"/>
          <w:marTop w:val="0"/>
          <w:marBottom w:val="0"/>
          <w:divBdr>
            <w:top w:val="none" w:sz="0" w:space="0" w:color="auto"/>
            <w:left w:val="none" w:sz="0" w:space="0" w:color="auto"/>
            <w:bottom w:val="none" w:sz="0" w:space="0" w:color="auto"/>
            <w:right w:val="none" w:sz="0" w:space="0" w:color="auto"/>
          </w:divBdr>
        </w:div>
        <w:div w:id="1006249131">
          <w:marLeft w:val="0"/>
          <w:marRight w:val="0"/>
          <w:marTop w:val="0"/>
          <w:marBottom w:val="0"/>
          <w:divBdr>
            <w:top w:val="none" w:sz="0" w:space="0" w:color="auto"/>
            <w:left w:val="none" w:sz="0" w:space="0" w:color="auto"/>
            <w:bottom w:val="none" w:sz="0" w:space="0" w:color="auto"/>
            <w:right w:val="none" w:sz="0" w:space="0" w:color="auto"/>
          </w:divBdr>
        </w:div>
        <w:div w:id="1445804540">
          <w:marLeft w:val="0"/>
          <w:marRight w:val="0"/>
          <w:marTop w:val="0"/>
          <w:marBottom w:val="0"/>
          <w:divBdr>
            <w:top w:val="none" w:sz="0" w:space="0" w:color="auto"/>
            <w:left w:val="none" w:sz="0" w:space="0" w:color="auto"/>
            <w:bottom w:val="none" w:sz="0" w:space="0" w:color="auto"/>
            <w:right w:val="none" w:sz="0" w:space="0" w:color="auto"/>
          </w:divBdr>
        </w:div>
        <w:div w:id="391317274">
          <w:marLeft w:val="0"/>
          <w:marRight w:val="0"/>
          <w:marTop w:val="0"/>
          <w:marBottom w:val="0"/>
          <w:divBdr>
            <w:top w:val="none" w:sz="0" w:space="0" w:color="auto"/>
            <w:left w:val="none" w:sz="0" w:space="0" w:color="auto"/>
            <w:bottom w:val="none" w:sz="0" w:space="0" w:color="auto"/>
            <w:right w:val="none" w:sz="0" w:space="0" w:color="auto"/>
          </w:divBdr>
        </w:div>
      </w:divsChild>
    </w:div>
    <w:div w:id="225531211">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5767751">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321811982">
      <w:bodyDiv w:val="1"/>
      <w:marLeft w:val="0"/>
      <w:marRight w:val="0"/>
      <w:marTop w:val="0"/>
      <w:marBottom w:val="0"/>
      <w:divBdr>
        <w:top w:val="none" w:sz="0" w:space="0" w:color="auto"/>
        <w:left w:val="none" w:sz="0" w:space="0" w:color="auto"/>
        <w:bottom w:val="none" w:sz="0" w:space="0" w:color="auto"/>
        <w:right w:val="none" w:sz="0" w:space="0" w:color="auto"/>
      </w:divBdr>
    </w:div>
    <w:div w:id="446893757">
      <w:bodyDiv w:val="1"/>
      <w:marLeft w:val="0"/>
      <w:marRight w:val="0"/>
      <w:marTop w:val="0"/>
      <w:marBottom w:val="0"/>
      <w:divBdr>
        <w:top w:val="none" w:sz="0" w:space="0" w:color="auto"/>
        <w:left w:val="none" w:sz="0" w:space="0" w:color="auto"/>
        <w:bottom w:val="none" w:sz="0" w:space="0" w:color="auto"/>
        <w:right w:val="none" w:sz="0" w:space="0" w:color="auto"/>
      </w:divBdr>
      <w:divsChild>
        <w:div w:id="478035833">
          <w:marLeft w:val="0"/>
          <w:marRight w:val="0"/>
          <w:marTop w:val="0"/>
          <w:marBottom w:val="0"/>
          <w:divBdr>
            <w:top w:val="none" w:sz="0" w:space="0" w:color="auto"/>
            <w:left w:val="none" w:sz="0" w:space="0" w:color="auto"/>
            <w:bottom w:val="none" w:sz="0" w:space="0" w:color="auto"/>
            <w:right w:val="none" w:sz="0" w:space="0" w:color="auto"/>
          </w:divBdr>
        </w:div>
      </w:divsChild>
    </w:div>
    <w:div w:id="453329694">
      <w:bodyDiv w:val="1"/>
      <w:marLeft w:val="0"/>
      <w:marRight w:val="0"/>
      <w:marTop w:val="0"/>
      <w:marBottom w:val="0"/>
      <w:divBdr>
        <w:top w:val="none" w:sz="0" w:space="0" w:color="auto"/>
        <w:left w:val="none" w:sz="0" w:space="0" w:color="auto"/>
        <w:bottom w:val="none" w:sz="0" w:space="0" w:color="auto"/>
        <w:right w:val="none" w:sz="0" w:space="0" w:color="auto"/>
      </w:divBdr>
    </w:div>
    <w:div w:id="465243503">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89774795">
      <w:bodyDiv w:val="1"/>
      <w:marLeft w:val="0"/>
      <w:marRight w:val="0"/>
      <w:marTop w:val="0"/>
      <w:marBottom w:val="0"/>
      <w:divBdr>
        <w:top w:val="none" w:sz="0" w:space="0" w:color="auto"/>
        <w:left w:val="none" w:sz="0" w:space="0" w:color="auto"/>
        <w:bottom w:val="none" w:sz="0" w:space="0" w:color="auto"/>
        <w:right w:val="none" w:sz="0" w:space="0" w:color="auto"/>
      </w:divBdr>
    </w:div>
    <w:div w:id="647704969">
      <w:bodyDiv w:val="1"/>
      <w:marLeft w:val="0"/>
      <w:marRight w:val="0"/>
      <w:marTop w:val="0"/>
      <w:marBottom w:val="0"/>
      <w:divBdr>
        <w:top w:val="none" w:sz="0" w:space="0" w:color="auto"/>
        <w:left w:val="none" w:sz="0" w:space="0" w:color="auto"/>
        <w:bottom w:val="none" w:sz="0" w:space="0" w:color="auto"/>
        <w:right w:val="none" w:sz="0" w:space="0" w:color="auto"/>
      </w:divBdr>
    </w:div>
    <w:div w:id="662466844">
      <w:bodyDiv w:val="1"/>
      <w:marLeft w:val="0"/>
      <w:marRight w:val="0"/>
      <w:marTop w:val="0"/>
      <w:marBottom w:val="0"/>
      <w:divBdr>
        <w:top w:val="none" w:sz="0" w:space="0" w:color="auto"/>
        <w:left w:val="none" w:sz="0" w:space="0" w:color="auto"/>
        <w:bottom w:val="none" w:sz="0" w:space="0" w:color="auto"/>
        <w:right w:val="none" w:sz="0" w:space="0" w:color="auto"/>
      </w:divBdr>
    </w:div>
    <w:div w:id="675770335">
      <w:bodyDiv w:val="1"/>
      <w:marLeft w:val="0"/>
      <w:marRight w:val="0"/>
      <w:marTop w:val="0"/>
      <w:marBottom w:val="0"/>
      <w:divBdr>
        <w:top w:val="none" w:sz="0" w:space="0" w:color="auto"/>
        <w:left w:val="none" w:sz="0" w:space="0" w:color="auto"/>
        <w:bottom w:val="none" w:sz="0" w:space="0" w:color="auto"/>
        <w:right w:val="none" w:sz="0" w:space="0" w:color="auto"/>
      </w:divBdr>
    </w:div>
    <w:div w:id="680621428">
      <w:bodyDiv w:val="1"/>
      <w:marLeft w:val="0"/>
      <w:marRight w:val="0"/>
      <w:marTop w:val="0"/>
      <w:marBottom w:val="0"/>
      <w:divBdr>
        <w:top w:val="none" w:sz="0" w:space="0" w:color="auto"/>
        <w:left w:val="none" w:sz="0" w:space="0" w:color="auto"/>
        <w:bottom w:val="none" w:sz="0" w:space="0" w:color="auto"/>
        <w:right w:val="none" w:sz="0" w:space="0" w:color="auto"/>
      </w:divBdr>
    </w:div>
    <w:div w:id="768812506">
      <w:bodyDiv w:val="1"/>
      <w:marLeft w:val="0"/>
      <w:marRight w:val="0"/>
      <w:marTop w:val="0"/>
      <w:marBottom w:val="0"/>
      <w:divBdr>
        <w:top w:val="none" w:sz="0" w:space="0" w:color="auto"/>
        <w:left w:val="none" w:sz="0" w:space="0" w:color="auto"/>
        <w:bottom w:val="none" w:sz="0" w:space="0" w:color="auto"/>
        <w:right w:val="none" w:sz="0" w:space="0" w:color="auto"/>
      </w:divBdr>
    </w:div>
    <w:div w:id="782771066">
      <w:bodyDiv w:val="1"/>
      <w:marLeft w:val="0"/>
      <w:marRight w:val="0"/>
      <w:marTop w:val="0"/>
      <w:marBottom w:val="0"/>
      <w:divBdr>
        <w:top w:val="none" w:sz="0" w:space="0" w:color="auto"/>
        <w:left w:val="none" w:sz="0" w:space="0" w:color="auto"/>
        <w:bottom w:val="none" w:sz="0" w:space="0" w:color="auto"/>
        <w:right w:val="none" w:sz="0" w:space="0" w:color="auto"/>
      </w:divBdr>
    </w:div>
    <w:div w:id="805859530">
      <w:bodyDiv w:val="1"/>
      <w:marLeft w:val="0"/>
      <w:marRight w:val="0"/>
      <w:marTop w:val="0"/>
      <w:marBottom w:val="0"/>
      <w:divBdr>
        <w:top w:val="none" w:sz="0" w:space="0" w:color="auto"/>
        <w:left w:val="none" w:sz="0" w:space="0" w:color="auto"/>
        <w:bottom w:val="none" w:sz="0" w:space="0" w:color="auto"/>
        <w:right w:val="none" w:sz="0" w:space="0" w:color="auto"/>
      </w:divBdr>
    </w:div>
    <w:div w:id="901016540">
      <w:bodyDiv w:val="1"/>
      <w:marLeft w:val="0"/>
      <w:marRight w:val="0"/>
      <w:marTop w:val="0"/>
      <w:marBottom w:val="0"/>
      <w:divBdr>
        <w:top w:val="none" w:sz="0" w:space="0" w:color="auto"/>
        <w:left w:val="none" w:sz="0" w:space="0" w:color="auto"/>
        <w:bottom w:val="none" w:sz="0" w:space="0" w:color="auto"/>
        <w:right w:val="none" w:sz="0" w:space="0" w:color="auto"/>
      </w:divBdr>
      <w:divsChild>
        <w:div w:id="841237166">
          <w:marLeft w:val="0"/>
          <w:marRight w:val="0"/>
          <w:marTop w:val="0"/>
          <w:marBottom w:val="0"/>
          <w:divBdr>
            <w:top w:val="none" w:sz="0" w:space="0" w:color="auto"/>
            <w:left w:val="none" w:sz="0" w:space="0" w:color="auto"/>
            <w:bottom w:val="none" w:sz="0" w:space="0" w:color="auto"/>
            <w:right w:val="none" w:sz="0" w:space="0" w:color="auto"/>
          </w:divBdr>
        </w:div>
        <w:div w:id="960377174">
          <w:marLeft w:val="0"/>
          <w:marRight w:val="0"/>
          <w:marTop w:val="0"/>
          <w:marBottom w:val="0"/>
          <w:divBdr>
            <w:top w:val="none" w:sz="0" w:space="0" w:color="auto"/>
            <w:left w:val="none" w:sz="0" w:space="0" w:color="auto"/>
            <w:bottom w:val="none" w:sz="0" w:space="0" w:color="auto"/>
            <w:right w:val="none" w:sz="0" w:space="0" w:color="auto"/>
          </w:divBdr>
        </w:div>
      </w:divsChild>
    </w:div>
    <w:div w:id="90737638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069767997">
      <w:bodyDiv w:val="1"/>
      <w:marLeft w:val="0"/>
      <w:marRight w:val="0"/>
      <w:marTop w:val="0"/>
      <w:marBottom w:val="0"/>
      <w:divBdr>
        <w:top w:val="none" w:sz="0" w:space="0" w:color="auto"/>
        <w:left w:val="none" w:sz="0" w:space="0" w:color="auto"/>
        <w:bottom w:val="none" w:sz="0" w:space="0" w:color="auto"/>
        <w:right w:val="none" w:sz="0" w:space="0" w:color="auto"/>
      </w:divBdr>
    </w:div>
    <w:div w:id="1094591466">
      <w:bodyDiv w:val="1"/>
      <w:marLeft w:val="0"/>
      <w:marRight w:val="0"/>
      <w:marTop w:val="0"/>
      <w:marBottom w:val="0"/>
      <w:divBdr>
        <w:top w:val="none" w:sz="0" w:space="0" w:color="auto"/>
        <w:left w:val="none" w:sz="0" w:space="0" w:color="auto"/>
        <w:bottom w:val="none" w:sz="0" w:space="0" w:color="auto"/>
        <w:right w:val="none" w:sz="0" w:space="0" w:color="auto"/>
      </w:divBdr>
    </w:div>
    <w:div w:id="1101989794">
      <w:bodyDiv w:val="1"/>
      <w:marLeft w:val="0"/>
      <w:marRight w:val="0"/>
      <w:marTop w:val="0"/>
      <w:marBottom w:val="0"/>
      <w:divBdr>
        <w:top w:val="none" w:sz="0" w:space="0" w:color="auto"/>
        <w:left w:val="none" w:sz="0" w:space="0" w:color="auto"/>
        <w:bottom w:val="none" w:sz="0" w:space="0" w:color="auto"/>
        <w:right w:val="none" w:sz="0" w:space="0" w:color="auto"/>
      </w:divBdr>
    </w:div>
    <w:div w:id="1108624381">
      <w:bodyDiv w:val="1"/>
      <w:marLeft w:val="0"/>
      <w:marRight w:val="0"/>
      <w:marTop w:val="0"/>
      <w:marBottom w:val="0"/>
      <w:divBdr>
        <w:top w:val="none" w:sz="0" w:space="0" w:color="auto"/>
        <w:left w:val="none" w:sz="0" w:space="0" w:color="auto"/>
        <w:bottom w:val="none" w:sz="0" w:space="0" w:color="auto"/>
        <w:right w:val="none" w:sz="0" w:space="0" w:color="auto"/>
      </w:divBdr>
    </w:div>
    <w:div w:id="1168251511">
      <w:bodyDiv w:val="1"/>
      <w:marLeft w:val="0"/>
      <w:marRight w:val="0"/>
      <w:marTop w:val="0"/>
      <w:marBottom w:val="0"/>
      <w:divBdr>
        <w:top w:val="none" w:sz="0" w:space="0" w:color="auto"/>
        <w:left w:val="none" w:sz="0" w:space="0" w:color="auto"/>
        <w:bottom w:val="none" w:sz="0" w:space="0" w:color="auto"/>
        <w:right w:val="none" w:sz="0" w:space="0" w:color="auto"/>
      </w:divBdr>
    </w:div>
    <w:div w:id="1169901477">
      <w:bodyDiv w:val="1"/>
      <w:marLeft w:val="0"/>
      <w:marRight w:val="0"/>
      <w:marTop w:val="0"/>
      <w:marBottom w:val="0"/>
      <w:divBdr>
        <w:top w:val="none" w:sz="0" w:space="0" w:color="auto"/>
        <w:left w:val="none" w:sz="0" w:space="0" w:color="auto"/>
        <w:bottom w:val="none" w:sz="0" w:space="0" w:color="auto"/>
        <w:right w:val="none" w:sz="0" w:space="0" w:color="auto"/>
      </w:divBdr>
      <w:divsChild>
        <w:div w:id="534928929">
          <w:marLeft w:val="0"/>
          <w:marRight w:val="0"/>
          <w:marTop w:val="0"/>
          <w:marBottom w:val="0"/>
          <w:divBdr>
            <w:top w:val="none" w:sz="0" w:space="0" w:color="auto"/>
            <w:left w:val="none" w:sz="0" w:space="0" w:color="auto"/>
            <w:bottom w:val="none" w:sz="0" w:space="0" w:color="auto"/>
            <w:right w:val="none" w:sz="0" w:space="0" w:color="auto"/>
          </w:divBdr>
        </w:div>
      </w:divsChild>
    </w:div>
    <w:div w:id="1274560152">
      <w:bodyDiv w:val="1"/>
      <w:marLeft w:val="0"/>
      <w:marRight w:val="0"/>
      <w:marTop w:val="0"/>
      <w:marBottom w:val="0"/>
      <w:divBdr>
        <w:top w:val="none" w:sz="0" w:space="0" w:color="auto"/>
        <w:left w:val="none" w:sz="0" w:space="0" w:color="auto"/>
        <w:bottom w:val="none" w:sz="0" w:space="0" w:color="auto"/>
        <w:right w:val="none" w:sz="0" w:space="0" w:color="auto"/>
      </w:divBdr>
    </w:div>
    <w:div w:id="1306474397">
      <w:bodyDiv w:val="1"/>
      <w:marLeft w:val="0"/>
      <w:marRight w:val="0"/>
      <w:marTop w:val="0"/>
      <w:marBottom w:val="0"/>
      <w:divBdr>
        <w:top w:val="none" w:sz="0" w:space="0" w:color="auto"/>
        <w:left w:val="none" w:sz="0" w:space="0" w:color="auto"/>
        <w:bottom w:val="none" w:sz="0" w:space="0" w:color="auto"/>
        <w:right w:val="none" w:sz="0" w:space="0" w:color="auto"/>
      </w:divBdr>
      <w:divsChild>
        <w:div w:id="2031444611">
          <w:marLeft w:val="0"/>
          <w:marRight w:val="0"/>
          <w:marTop w:val="0"/>
          <w:marBottom w:val="0"/>
          <w:divBdr>
            <w:top w:val="none" w:sz="0" w:space="0" w:color="auto"/>
            <w:left w:val="none" w:sz="0" w:space="0" w:color="auto"/>
            <w:bottom w:val="none" w:sz="0" w:space="0" w:color="auto"/>
            <w:right w:val="none" w:sz="0" w:space="0" w:color="auto"/>
          </w:divBdr>
        </w:div>
      </w:divsChild>
    </w:div>
    <w:div w:id="1375890130">
      <w:bodyDiv w:val="1"/>
      <w:marLeft w:val="0"/>
      <w:marRight w:val="0"/>
      <w:marTop w:val="0"/>
      <w:marBottom w:val="0"/>
      <w:divBdr>
        <w:top w:val="none" w:sz="0" w:space="0" w:color="auto"/>
        <w:left w:val="none" w:sz="0" w:space="0" w:color="auto"/>
        <w:bottom w:val="none" w:sz="0" w:space="0" w:color="auto"/>
        <w:right w:val="none" w:sz="0" w:space="0" w:color="auto"/>
      </w:divBdr>
    </w:div>
    <w:div w:id="1451513611">
      <w:bodyDiv w:val="1"/>
      <w:marLeft w:val="0"/>
      <w:marRight w:val="0"/>
      <w:marTop w:val="0"/>
      <w:marBottom w:val="0"/>
      <w:divBdr>
        <w:top w:val="none" w:sz="0" w:space="0" w:color="auto"/>
        <w:left w:val="none" w:sz="0" w:space="0" w:color="auto"/>
        <w:bottom w:val="none" w:sz="0" w:space="0" w:color="auto"/>
        <w:right w:val="none" w:sz="0" w:space="0" w:color="auto"/>
      </w:divBdr>
    </w:div>
    <w:div w:id="1470778440">
      <w:bodyDiv w:val="1"/>
      <w:marLeft w:val="0"/>
      <w:marRight w:val="0"/>
      <w:marTop w:val="0"/>
      <w:marBottom w:val="0"/>
      <w:divBdr>
        <w:top w:val="none" w:sz="0" w:space="0" w:color="auto"/>
        <w:left w:val="none" w:sz="0" w:space="0" w:color="auto"/>
        <w:bottom w:val="none" w:sz="0" w:space="0" w:color="auto"/>
        <w:right w:val="none" w:sz="0" w:space="0" w:color="auto"/>
      </w:divBdr>
    </w:div>
    <w:div w:id="1494178525">
      <w:bodyDiv w:val="1"/>
      <w:marLeft w:val="0"/>
      <w:marRight w:val="0"/>
      <w:marTop w:val="0"/>
      <w:marBottom w:val="0"/>
      <w:divBdr>
        <w:top w:val="none" w:sz="0" w:space="0" w:color="auto"/>
        <w:left w:val="none" w:sz="0" w:space="0" w:color="auto"/>
        <w:bottom w:val="none" w:sz="0" w:space="0" w:color="auto"/>
        <w:right w:val="none" w:sz="0" w:space="0" w:color="auto"/>
      </w:divBdr>
    </w:div>
    <w:div w:id="1507403518">
      <w:bodyDiv w:val="1"/>
      <w:marLeft w:val="0"/>
      <w:marRight w:val="0"/>
      <w:marTop w:val="0"/>
      <w:marBottom w:val="0"/>
      <w:divBdr>
        <w:top w:val="none" w:sz="0" w:space="0" w:color="auto"/>
        <w:left w:val="none" w:sz="0" w:space="0" w:color="auto"/>
        <w:bottom w:val="none" w:sz="0" w:space="0" w:color="auto"/>
        <w:right w:val="none" w:sz="0" w:space="0" w:color="auto"/>
      </w:divBdr>
    </w:div>
    <w:div w:id="1519193545">
      <w:bodyDiv w:val="1"/>
      <w:marLeft w:val="0"/>
      <w:marRight w:val="0"/>
      <w:marTop w:val="0"/>
      <w:marBottom w:val="0"/>
      <w:divBdr>
        <w:top w:val="none" w:sz="0" w:space="0" w:color="auto"/>
        <w:left w:val="none" w:sz="0" w:space="0" w:color="auto"/>
        <w:bottom w:val="none" w:sz="0" w:space="0" w:color="auto"/>
        <w:right w:val="none" w:sz="0" w:space="0" w:color="auto"/>
      </w:divBdr>
    </w:div>
    <w:div w:id="1548562431">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8661608">
      <w:bodyDiv w:val="1"/>
      <w:marLeft w:val="0"/>
      <w:marRight w:val="0"/>
      <w:marTop w:val="0"/>
      <w:marBottom w:val="0"/>
      <w:divBdr>
        <w:top w:val="none" w:sz="0" w:space="0" w:color="auto"/>
        <w:left w:val="none" w:sz="0" w:space="0" w:color="auto"/>
        <w:bottom w:val="none" w:sz="0" w:space="0" w:color="auto"/>
        <w:right w:val="none" w:sz="0" w:space="0" w:color="auto"/>
      </w:divBdr>
    </w:div>
    <w:div w:id="1583098821">
      <w:bodyDiv w:val="1"/>
      <w:marLeft w:val="0"/>
      <w:marRight w:val="0"/>
      <w:marTop w:val="0"/>
      <w:marBottom w:val="0"/>
      <w:divBdr>
        <w:top w:val="none" w:sz="0" w:space="0" w:color="auto"/>
        <w:left w:val="none" w:sz="0" w:space="0" w:color="auto"/>
        <w:bottom w:val="none" w:sz="0" w:space="0" w:color="auto"/>
        <w:right w:val="none" w:sz="0" w:space="0" w:color="auto"/>
      </w:divBdr>
    </w:div>
    <w:div w:id="1592813261">
      <w:bodyDiv w:val="1"/>
      <w:marLeft w:val="0"/>
      <w:marRight w:val="0"/>
      <w:marTop w:val="0"/>
      <w:marBottom w:val="0"/>
      <w:divBdr>
        <w:top w:val="none" w:sz="0" w:space="0" w:color="auto"/>
        <w:left w:val="none" w:sz="0" w:space="0" w:color="auto"/>
        <w:bottom w:val="none" w:sz="0" w:space="0" w:color="auto"/>
        <w:right w:val="none" w:sz="0" w:space="0" w:color="auto"/>
      </w:divBdr>
    </w:div>
    <w:div w:id="1628967312">
      <w:bodyDiv w:val="1"/>
      <w:marLeft w:val="0"/>
      <w:marRight w:val="0"/>
      <w:marTop w:val="0"/>
      <w:marBottom w:val="0"/>
      <w:divBdr>
        <w:top w:val="none" w:sz="0" w:space="0" w:color="auto"/>
        <w:left w:val="none" w:sz="0" w:space="0" w:color="auto"/>
        <w:bottom w:val="none" w:sz="0" w:space="0" w:color="auto"/>
        <w:right w:val="none" w:sz="0" w:space="0" w:color="auto"/>
      </w:divBdr>
      <w:divsChild>
        <w:div w:id="180896685">
          <w:marLeft w:val="0"/>
          <w:marRight w:val="0"/>
          <w:marTop w:val="0"/>
          <w:marBottom w:val="0"/>
          <w:divBdr>
            <w:top w:val="none" w:sz="0" w:space="0" w:color="auto"/>
            <w:left w:val="none" w:sz="0" w:space="0" w:color="auto"/>
            <w:bottom w:val="none" w:sz="0" w:space="0" w:color="auto"/>
            <w:right w:val="none" w:sz="0" w:space="0" w:color="auto"/>
          </w:divBdr>
        </w:div>
      </w:divsChild>
    </w:div>
    <w:div w:id="1677918478">
      <w:bodyDiv w:val="1"/>
      <w:marLeft w:val="0"/>
      <w:marRight w:val="0"/>
      <w:marTop w:val="0"/>
      <w:marBottom w:val="0"/>
      <w:divBdr>
        <w:top w:val="none" w:sz="0" w:space="0" w:color="auto"/>
        <w:left w:val="none" w:sz="0" w:space="0" w:color="auto"/>
        <w:bottom w:val="none" w:sz="0" w:space="0" w:color="auto"/>
        <w:right w:val="none" w:sz="0" w:space="0" w:color="auto"/>
      </w:divBdr>
    </w:div>
    <w:div w:id="1787772336">
      <w:bodyDiv w:val="1"/>
      <w:marLeft w:val="0"/>
      <w:marRight w:val="0"/>
      <w:marTop w:val="0"/>
      <w:marBottom w:val="0"/>
      <w:divBdr>
        <w:top w:val="none" w:sz="0" w:space="0" w:color="auto"/>
        <w:left w:val="none" w:sz="0" w:space="0" w:color="auto"/>
        <w:bottom w:val="none" w:sz="0" w:space="0" w:color="auto"/>
        <w:right w:val="none" w:sz="0" w:space="0" w:color="auto"/>
      </w:divBdr>
    </w:div>
    <w:div w:id="1794325947">
      <w:bodyDiv w:val="1"/>
      <w:marLeft w:val="0"/>
      <w:marRight w:val="0"/>
      <w:marTop w:val="0"/>
      <w:marBottom w:val="0"/>
      <w:divBdr>
        <w:top w:val="none" w:sz="0" w:space="0" w:color="auto"/>
        <w:left w:val="none" w:sz="0" w:space="0" w:color="auto"/>
        <w:bottom w:val="none" w:sz="0" w:space="0" w:color="auto"/>
        <w:right w:val="none" w:sz="0" w:space="0" w:color="auto"/>
      </w:divBdr>
      <w:divsChild>
        <w:div w:id="1950315664">
          <w:marLeft w:val="0"/>
          <w:marRight w:val="0"/>
          <w:marTop w:val="0"/>
          <w:marBottom w:val="0"/>
          <w:divBdr>
            <w:top w:val="none" w:sz="0" w:space="0" w:color="auto"/>
            <w:left w:val="none" w:sz="0" w:space="0" w:color="auto"/>
            <w:bottom w:val="none" w:sz="0" w:space="0" w:color="auto"/>
            <w:right w:val="none" w:sz="0" w:space="0" w:color="auto"/>
          </w:divBdr>
        </w:div>
        <w:div w:id="1560096777">
          <w:marLeft w:val="0"/>
          <w:marRight w:val="0"/>
          <w:marTop w:val="0"/>
          <w:marBottom w:val="0"/>
          <w:divBdr>
            <w:top w:val="none" w:sz="0" w:space="0" w:color="auto"/>
            <w:left w:val="none" w:sz="0" w:space="0" w:color="auto"/>
            <w:bottom w:val="none" w:sz="0" w:space="0" w:color="auto"/>
            <w:right w:val="none" w:sz="0" w:space="0" w:color="auto"/>
          </w:divBdr>
        </w:div>
      </w:divsChild>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64896356">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883177936">
      <w:bodyDiv w:val="1"/>
      <w:marLeft w:val="0"/>
      <w:marRight w:val="0"/>
      <w:marTop w:val="0"/>
      <w:marBottom w:val="0"/>
      <w:divBdr>
        <w:top w:val="none" w:sz="0" w:space="0" w:color="auto"/>
        <w:left w:val="none" w:sz="0" w:space="0" w:color="auto"/>
        <w:bottom w:val="none" w:sz="0" w:space="0" w:color="auto"/>
        <w:right w:val="none" w:sz="0" w:space="0" w:color="auto"/>
      </w:divBdr>
    </w:div>
    <w:div w:id="1898709817">
      <w:bodyDiv w:val="1"/>
      <w:marLeft w:val="0"/>
      <w:marRight w:val="0"/>
      <w:marTop w:val="0"/>
      <w:marBottom w:val="0"/>
      <w:divBdr>
        <w:top w:val="none" w:sz="0" w:space="0" w:color="auto"/>
        <w:left w:val="none" w:sz="0" w:space="0" w:color="auto"/>
        <w:bottom w:val="none" w:sz="0" w:space="0" w:color="auto"/>
        <w:right w:val="none" w:sz="0" w:space="0" w:color="auto"/>
      </w:divBdr>
      <w:divsChild>
        <w:div w:id="2128544844">
          <w:marLeft w:val="0"/>
          <w:marRight w:val="0"/>
          <w:marTop w:val="0"/>
          <w:marBottom w:val="0"/>
          <w:divBdr>
            <w:top w:val="none" w:sz="0" w:space="0" w:color="auto"/>
            <w:left w:val="none" w:sz="0" w:space="0" w:color="auto"/>
            <w:bottom w:val="none" w:sz="0" w:space="0" w:color="auto"/>
            <w:right w:val="none" w:sz="0" w:space="0" w:color="auto"/>
          </w:divBdr>
        </w:div>
      </w:divsChild>
    </w:div>
    <w:div w:id="1919367625">
      <w:bodyDiv w:val="1"/>
      <w:marLeft w:val="0"/>
      <w:marRight w:val="0"/>
      <w:marTop w:val="0"/>
      <w:marBottom w:val="0"/>
      <w:divBdr>
        <w:top w:val="none" w:sz="0" w:space="0" w:color="auto"/>
        <w:left w:val="none" w:sz="0" w:space="0" w:color="auto"/>
        <w:bottom w:val="none" w:sz="0" w:space="0" w:color="auto"/>
        <w:right w:val="none" w:sz="0" w:space="0" w:color="auto"/>
      </w:divBdr>
    </w:div>
    <w:div w:id="1942756514">
      <w:bodyDiv w:val="1"/>
      <w:marLeft w:val="0"/>
      <w:marRight w:val="0"/>
      <w:marTop w:val="0"/>
      <w:marBottom w:val="0"/>
      <w:divBdr>
        <w:top w:val="none" w:sz="0" w:space="0" w:color="auto"/>
        <w:left w:val="none" w:sz="0" w:space="0" w:color="auto"/>
        <w:bottom w:val="none" w:sz="0" w:space="0" w:color="auto"/>
        <w:right w:val="none" w:sz="0" w:space="0" w:color="auto"/>
      </w:divBdr>
    </w:div>
    <w:div w:id="195239868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04821392">
      <w:bodyDiv w:val="1"/>
      <w:marLeft w:val="0"/>
      <w:marRight w:val="0"/>
      <w:marTop w:val="0"/>
      <w:marBottom w:val="0"/>
      <w:divBdr>
        <w:top w:val="none" w:sz="0" w:space="0" w:color="auto"/>
        <w:left w:val="none" w:sz="0" w:space="0" w:color="auto"/>
        <w:bottom w:val="none" w:sz="0" w:space="0" w:color="auto"/>
        <w:right w:val="none" w:sz="0" w:space="0" w:color="auto"/>
      </w:divBdr>
    </w:div>
    <w:div w:id="202725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ddd66cce-ffe1-4029-967c-5e15ef73127f}" enabled="0" method="" siteId="{ddd66cce-ffe1-4029-967c-5e15ef73127f}" removed="1"/>
</clbl:labelList>
</file>

<file path=docProps/app.xml><?xml version="1.0" encoding="utf-8"?>
<Properties xmlns="http://schemas.openxmlformats.org/officeDocument/2006/extended-properties" xmlns:vt="http://schemas.openxmlformats.org/officeDocument/2006/docPropsVTypes">
  <Template>Normal</Template>
  <TotalTime>282</TotalTime>
  <Pages>10</Pages>
  <Words>6550</Words>
  <Characters>37338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43801</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Kelsea Peterson</dc:creator>
  <cp:keywords/>
  <cp:lastModifiedBy>Kelsea Peterson</cp:lastModifiedBy>
  <cp:revision>115</cp:revision>
  <dcterms:created xsi:type="dcterms:W3CDTF">2025-02-07T12:01:00Z</dcterms:created>
  <dcterms:modified xsi:type="dcterms:W3CDTF">2025-03-31T14:20:00Z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