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448C4" w14:textId="77777777" w:rsidR="00747238" w:rsidRPr="00747238" w:rsidRDefault="00747238" w:rsidP="00747238">
      <w:pPr>
        <w:rPr>
          <w:rFonts w:cstheme="majorBidi"/>
          <w:b/>
          <w:bCs/>
          <w:szCs w:val="24"/>
        </w:rPr>
      </w:pPr>
      <w:r w:rsidRPr="00747238">
        <w:rPr>
          <w:rFonts w:cstheme="majorBidi"/>
        </w:rPr>
        <w:fldChar w:fldCharType="begin"/>
      </w:r>
      <w:r w:rsidRPr="00747238">
        <w:rPr>
          <w:rFonts w:cstheme="majorBidi"/>
        </w:rPr>
        <w:instrText xml:space="preserve"> INCLUDEPICTURE "https://npld.eu/wp-content/uploads/2024/02/Uni-Wales-Trinity-David-logo-600x300-1.jpeg" \* MERGEFORMATINET </w:instrText>
      </w:r>
      <w:r w:rsidRPr="00747238">
        <w:rPr>
          <w:rFonts w:cstheme="majorBidi"/>
        </w:rPr>
        <w:fldChar w:fldCharType="separate"/>
      </w:r>
      <w:r w:rsidRPr="00747238">
        <w:rPr>
          <w:rFonts w:cstheme="majorBidi"/>
          <w:noProof/>
          <w:lang w:val="en-US" w:eastAsia="en-US"/>
        </w:rPr>
        <w:drawing>
          <wp:inline distT="0" distB="0" distL="0" distR="0" wp14:anchorId="5E5EBE16" wp14:editId="2BE41582">
            <wp:extent cx="1994149" cy="998621"/>
            <wp:effectExtent l="0" t="0" r="0" b="5080"/>
            <wp:docPr id="1218099241"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16535" cy="1009832"/>
                    </a:xfrm>
                    <a:prstGeom prst="rect">
                      <a:avLst/>
                    </a:prstGeom>
                    <a:noFill/>
                    <a:ln>
                      <a:noFill/>
                    </a:ln>
                  </pic:spPr>
                </pic:pic>
              </a:graphicData>
            </a:graphic>
          </wp:inline>
        </w:drawing>
      </w:r>
      <w:r w:rsidRPr="00747238">
        <w:rPr>
          <w:rFonts w:cstheme="majorBidi"/>
        </w:rPr>
        <w:fldChar w:fldCharType="end"/>
      </w:r>
    </w:p>
    <w:p w14:paraId="4B3868D6" w14:textId="77777777" w:rsidR="00747238" w:rsidRPr="00747238" w:rsidRDefault="00747238" w:rsidP="0096682C">
      <w:pPr>
        <w:jc w:val="center"/>
        <w:rPr>
          <w:rFonts w:cstheme="majorBidi"/>
          <w:b/>
          <w:bCs/>
          <w:szCs w:val="24"/>
        </w:rPr>
      </w:pPr>
    </w:p>
    <w:p w14:paraId="4E1AA738" w14:textId="77777777" w:rsidR="0096682C" w:rsidRPr="00747238" w:rsidRDefault="0096682C" w:rsidP="0096682C">
      <w:pPr>
        <w:jc w:val="center"/>
        <w:rPr>
          <w:rFonts w:cstheme="majorBidi"/>
          <w:sz w:val="28"/>
          <w:szCs w:val="24"/>
        </w:rPr>
      </w:pPr>
      <w:r w:rsidRPr="00747238">
        <w:rPr>
          <w:rFonts w:cstheme="majorBidi"/>
          <w:b/>
          <w:bCs/>
          <w:sz w:val="28"/>
          <w:szCs w:val="28"/>
        </w:rPr>
        <w:t>LCHS4010</w:t>
      </w:r>
    </w:p>
    <w:p w14:paraId="6F8DE223" w14:textId="77777777" w:rsidR="0096682C" w:rsidRPr="00747238" w:rsidRDefault="0096682C" w:rsidP="0096682C">
      <w:pPr>
        <w:jc w:val="center"/>
        <w:rPr>
          <w:rFonts w:cstheme="majorBidi"/>
          <w:sz w:val="28"/>
          <w:szCs w:val="24"/>
        </w:rPr>
      </w:pPr>
      <w:r w:rsidRPr="00747238">
        <w:rPr>
          <w:rFonts w:cstheme="majorBidi"/>
          <w:b/>
          <w:bCs/>
          <w:sz w:val="28"/>
          <w:szCs w:val="28"/>
        </w:rPr>
        <w:t>Psychology in Health and Social Care</w:t>
      </w:r>
    </w:p>
    <w:p w14:paraId="31294DE7" w14:textId="77777777" w:rsidR="0096682C" w:rsidRPr="00747238" w:rsidRDefault="0096682C" w:rsidP="0096682C">
      <w:pPr>
        <w:rPr>
          <w:rFonts w:cstheme="majorBidi"/>
        </w:rPr>
      </w:pPr>
    </w:p>
    <w:p w14:paraId="189E740E" w14:textId="77777777" w:rsidR="0096682C" w:rsidRPr="00747238" w:rsidRDefault="0096682C" w:rsidP="0096682C">
      <w:pPr>
        <w:rPr>
          <w:rFonts w:cstheme="majorBidi"/>
        </w:rPr>
      </w:pPr>
    </w:p>
    <w:p w14:paraId="11D70E76" w14:textId="77777777" w:rsidR="0096682C" w:rsidRPr="00747238" w:rsidRDefault="0096682C" w:rsidP="0096682C">
      <w:pPr>
        <w:rPr>
          <w:rFonts w:cstheme="majorBidi"/>
          <w:b/>
          <w:bCs/>
        </w:rPr>
      </w:pPr>
      <w:r w:rsidRPr="00747238">
        <w:rPr>
          <w:rFonts w:cstheme="majorBidi"/>
          <w:b/>
          <w:bCs/>
          <w:sz w:val="22"/>
        </w:rPr>
        <w:t>Student name</w:t>
      </w:r>
      <w:r w:rsidR="00747238" w:rsidRPr="00747238">
        <w:rPr>
          <w:rFonts w:cstheme="majorBidi"/>
          <w:b/>
          <w:bCs/>
          <w:sz w:val="22"/>
        </w:rPr>
        <w:t>: Zawadi Nibigira</w:t>
      </w:r>
    </w:p>
    <w:p w14:paraId="02528263" w14:textId="7E0977B6" w:rsidR="0096682C" w:rsidRPr="00747238" w:rsidRDefault="0096682C" w:rsidP="0096682C">
      <w:pPr>
        <w:rPr>
          <w:rFonts w:cstheme="majorBidi"/>
          <w:b/>
          <w:bCs/>
        </w:rPr>
      </w:pPr>
      <w:r w:rsidRPr="00747238">
        <w:rPr>
          <w:rFonts w:cstheme="majorBidi"/>
          <w:b/>
          <w:bCs/>
          <w:sz w:val="22"/>
        </w:rPr>
        <w:t>Student number</w:t>
      </w:r>
      <w:r w:rsidR="00747238" w:rsidRPr="00747238">
        <w:rPr>
          <w:rFonts w:cstheme="majorBidi"/>
          <w:b/>
          <w:bCs/>
          <w:sz w:val="22"/>
        </w:rPr>
        <w:t>:</w:t>
      </w:r>
      <w:r w:rsidR="00A653CD">
        <w:rPr>
          <w:rFonts w:cstheme="majorBidi"/>
          <w:b/>
          <w:bCs/>
          <w:sz w:val="22"/>
        </w:rPr>
        <w:t xml:space="preserve"> 2435451</w:t>
      </w:r>
    </w:p>
    <w:p w14:paraId="3260C850" w14:textId="6CFE2B02" w:rsidR="0096682C" w:rsidRPr="00747238" w:rsidRDefault="0096682C" w:rsidP="0096682C">
      <w:pPr>
        <w:rPr>
          <w:rFonts w:cstheme="majorBidi"/>
          <w:b/>
          <w:bCs/>
        </w:rPr>
      </w:pPr>
      <w:r w:rsidRPr="00747238">
        <w:rPr>
          <w:rFonts w:cstheme="majorBidi"/>
          <w:b/>
          <w:bCs/>
          <w:sz w:val="22"/>
        </w:rPr>
        <w:t>Lecturer's name</w:t>
      </w:r>
      <w:r w:rsidR="00747238" w:rsidRPr="00747238">
        <w:rPr>
          <w:rFonts w:cstheme="majorBidi"/>
          <w:b/>
          <w:bCs/>
          <w:sz w:val="22"/>
        </w:rPr>
        <w:t>:</w:t>
      </w:r>
      <w:r w:rsidR="00A653CD">
        <w:rPr>
          <w:rFonts w:cstheme="majorBidi"/>
          <w:b/>
          <w:bCs/>
          <w:sz w:val="22"/>
        </w:rPr>
        <w:t xml:space="preserve"> </w:t>
      </w:r>
      <w:r w:rsidR="00AA5E43">
        <w:rPr>
          <w:rFonts w:cstheme="majorBidi"/>
          <w:b/>
          <w:bCs/>
          <w:sz w:val="22"/>
        </w:rPr>
        <w:t>Shepherd Ziko</w:t>
      </w:r>
    </w:p>
    <w:p w14:paraId="45F16F52" w14:textId="77777777" w:rsidR="0096682C" w:rsidRPr="00747238" w:rsidRDefault="0096682C" w:rsidP="0096682C">
      <w:pPr>
        <w:rPr>
          <w:rFonts w:cstheme="majorBidi"/>
        </w:rPr>
      </w:pPr>
    </w:p>
    <w:tbl>
      <w:tblPr>
        <w:tblStyle w:val="TableGrid"/>
        <w:tblW w:w="9360" w:type="dxa"/>
        <w:tblLook w:val="04A0" w:firstRow="1" w:lastRow="0" w:firstColumn="1" w:lastColumn="0" w:noHBand="0" w:noVBand="1"/>
      </w:tblPr>
      <w:tblGrid>
        <w:gridCol w:w="9360"/>
      </w:tblGrid>
      <w:tr w:rsidR="0096682C" w:rsidRPr="00747238" w14:paraId="6BE86EE8" w14:textId="77777777" w:rsidTr="00991E6C">
        <w:tc>
          <w:tcPr>
            <w:tcW w:w="9360" w:type="dxa"/>
          </w:tcPr>
          <w:p w14:paraId="5A48677E" w14:textId="57BA2A0C" w:rsidR="0096682C" w:rsidRPr="00747238" w:rsidRDefault="0096682C" w:rsidP="00747238">
            <w:pPr>
              <w:rPr>
                <w:rFonts w:cstheme="majorBidi"/>
              </w:rPr>
            </w:pPr>
            <w:r w:rsidRPr="00747238">
              <w:rPr>
                <w:rFonts w:cstheme="majorBidi"/>
                <w:b/>
                <w:bCs/>
                <w:sz w:val="20"/>
                <w:szCs w:val="20"/>
              </w:rPr>
              <w:t xml:space="preserve">Acknowledgement of the use of AI tools </w:t>
            </w:r>
          </w:p>
          <w:p w14:paraId="26B72A49" w14:textId="77777777" w:rsidR="0096682C" w:rsidRPr="00747238" w:rsidRDefault="0096682C" w:rsidP="00922F04">
            <w:pPr>
              <w:rPr>
                <w:rFonts w:cstheme="majorBidi"/>
              </w:rPr>
            </w:pPr>
            <w:r w:rsidRPr="00747238">
              <w:rPr>
                <w:rFonts w:cstheme="majorBidi"/>
                <w:sz w:val="20"/>
                <w:szCs w:val="20"/>
              </w:rPr>
              <w:t xml:space="preserve">I confirm that I have </w:t>
            </w:r>
            <w:r w:rsidRPr="00747238">
              <w:rPr>
                <w:rFonts w:cstheme="majorBidi"/>
                <w:b/>
                <w:bCs/>
                <w:sz w:val="20"/>
                <w:szCs w:val="20"/>
              </w:rPr>
              <w:t>not</w:t>
            </w:r>
            <w:r w:rsidRPr="00747238">
              <w:rPr>
                <w:rFonts w:cstheme="majorBidi"/>
                <w:sz w:val="20"/>
                <w:szCs w:val="20"/>
              </w:rPr>
              <w:t xml:space="preserve"> used any AI tools in the research and creation of this assignment. I confirm that I have not presented any AI generated materials as my own work.</w:t>
            </w:r>
          </w:p>
          <w:p w14:paraId="2C91AEB7" w14:textId="3CE4807C" w:rsidR="0096682C" w:rsidRPr="00747238" w:rsidRDefault="0096682C" w:rsidP="00485811">
            <w:pPr>
              <w:rPr>
                <w:rFonts w:cstheme="majorBidi"/>
              </w:rPr>
            </w:pPr>
            <w:r w:rsidRPr="00747238">
              <w:rPr>
                <w:rFonts w:cstheme="majorBidi"/>
                <w:sz w:val="20"/>
                <w:szCs w:val="20"/>
              </w:rPr>
              <w:t>I confirm I have copies of my drafts, notes, and other resources I used, which I may be asked to provide in evidence</w:t>
            </w:r>
          </w:p>
        </w:tc>
      </w:tr>
    </w:tbl>
    <w:p w14:paraId="4EF39E9C" w14:textId="77777777" w:rsidR="00747238" w:rsidRPr="00747238" w:rsidRDefault="00747238">
      <w:pPr>
        <w:suppressAutoHyphens w:val="0"/>
        <w:autoSpaceDN/>
        <w:spacing w:after="0" w:line="240" w:lineRule="auto"/>
        <w:jc w:val="left"/>
        <w:rPr>
          <w:rFonts w:cstheme="majorBidi"/>
        </w:rPr>
      </w:pPr>
    </w:p>
    <w:p w14:paraId="7318A8E6" w14:textId="77777777" w:rsidR="00747238" w:rsidRPr="00747238" w:rsidRDefault="00747238">
      <w:pPr>
        <w:suppressAutoHyphens w:val="0"/>
        <w:autoSpaceDN/>
        <w:spacing w:after="0" w:line="240" w:lineRule="auto"/>
        <w:jc w:val="left"/>
        <w:rPr>
          <w:rFonts w:cstheme="majorBidi"/>
        </w:rPr>
      </w:pPr>
      <w:r w:rsidRPr="00747238">
        <w:rPr>
          <w:rFonts w:cstheme="majorBidi"/>
        </w:rPr>
        <w:br w:type="page"/>
      </w:r>
    </w:p>
    <w:sdt>
      <w:sdtPr>
        <w:rPr>
          <w:rFonts w:asciiTheme="majorBidi" w:eastAsia="Arial" w:hAnsiTheme="majorBidi" w:cs="Times New Roman"/>
          <w:color w:val="auto"/>
          <w:sz w:val="24"/>
          <w:szCs w:val="24"/>
          <w:lang w:val="en-GB" w:eastAsia="zh-TW"/>
        </w:rPr>
        <w:id w:val="584654226"/>
        <w:docPartObj>
          <w:docPartGallery w:val="Table of Contents"/>
          <w:docPartUnique/>
        </w:docPartObj>
      </w:sdtPr>
      <w:sdtEndPr>
        <w:rPr>
          <w:rFonts w:eastAsia="Calibri"/>
          <w:b/>
          <w:bCs/>
          <w:noProof/>
          <w:szCs w:val="22"/>
        </w:rPr>
      </w:sdtEndPr>
      <w:sdtContent>
        <w:p w14:paraId="141484C8" w14:textId="77777777" w:rsidR="00747238" w:rsidRPr="00991E6C" w:rsidRDefault="00747238" w:rsidP="00747238">
          <w:pPr>
            <w:pStyle w:val="TOCHeading"/>
            <w:spacing w:line="360" w:lineRule="auto"/>
            <w:jc w:val="center"/>
            <w:rPr>
              <w:rFonts w:asciiTheme="majorBidi" w:hAnsiTheme="majorBidi"/>
              <w:b/>
              <w:bCs/>
              <w:color w:val="000000" w:themeColor="text1"/>
            </w:rPr>
          </w:pPr>
          <w:r w:rsidRPr="00991E6C">
            <w:rPr>
              <w:rFonts w:asciiTheme="majorBidi" w:hAnsiTheme="majorBidi"/>
              <w:b/>
              <w:bCs/>
              <w:color w:val="000000" w:themeColor="text1"/>
            </w:rPr>
            <w:t>Table of Contents</w:t>
          </w:r>
        </w:p>
        <w:p w14:paraId="72369E7B" w14:textId="77777777" w:rsidR="00747238" w:rsidRPr="00747238" w:rsidRDefault="00747238" w:rsidP="00747238">
          <w:pPr>
            <w:pStyle w:val="TOC1"/>
            <w:tabs>
              <w:tab w:val="right" w:leader="dot" w:pos="9016"/>
            </w:tabs>
            <w:spacing w:line="360" w:lineRule="auto"/>
            <w:rPr>
              <w:rFonts w:asciiTheme="majorBidi" w:eastAsiaTheme="minorEastAsia" w:hAnsiTheme="majorBidi" w:cstheme="majorBidi"/>
              <w:noProof/>
              <w:kern w:val="2"/>
              <w:lang w:eastAsia="zh-TW"/>
              <w14:ligatures w14:val="standardContextual"/>
            </w:rPr>
          </w:pPr>
          <w:r w:rsidRPr="00747238">
            <w:rPr>
              <w:rFonts w:asciiTheme="majorBidi" w:hAnsiTheme="majorBidi" w:cstheme="majorBidi"/>
            </w:rPr>
            <w:fldChar w:fldCharType="begin"/>
          </w:r>
          <w:r w:rsidRPr="00747238">
            <w:rPr>
              <w:rFonts w:asciiTheme="majorBidi" w:hAnsiTheme="majorBidi" w:cstheme="majorBidi"/>
            </w:rPr>
            <w:instrText xml:space="preserve"> TOC \o "1-3" \h \z \u </w:instrText>
          </w:r>
          <w:r w:rsidRPr="00747238">
            <w:rPr>
              <w:rFonts w:asciiTheme="majorBidi" w:hAnsiTheme="majorBidi" w:cstheme="majorBidi"/>
            </w:rPr>
            <w:fldChar w:fldCharType="separate"/>
          </w:r>
          <w:hyperlink w:anchor="_Toc227590268" w:history="1">
            <w:r w:rsidRPr="00747238">
              <w:rPr>
                <w:rStyle w:val="Hyperlink"/>
                <w:rFonts w:asciiTheme="majorBidi" w:hAnsiTheme="majorBidi" w:cstheme="majorBidi"/>
                <w:noProof/>
              </w:rPr>
              <w:t>Part A: Annotated Bibliography</w:t>
            </w:r>
            <w:r w:rsidRPr="00747238">
              <w:rPr>
                <w:rFonts w:asciiTheme="majorBidi" w:hAnsiTheme="majorBidi" w:cstheme="majorBidi"/>
                <w:noProof/>
                <w:webHidden/>
              </w:rPr>
              <w:tab/>
            </w:r>
            <w:r w:rsidRPr="00747238">
              <w:rPr>
                <w:rFonts w:asciiTheme="majorBidi" w:hAnsiTheme="majorBidi" w:cstheme="majorBidi"/>
                <w:noProof/>
                <w:webHidden/>
              </w:rPr>
              <w:fldChar w:fldCharType="begin"/>
            </w:r>
            <w:r w:rsidRPr="00747238">
              <w:rPr>
                <w:rFonts w:asciiTheme="majorBidi" w:hAnsiTheme="majorBidi" w:cstheme="majorBidi"/>
                <w:noProof/>
                <w:webHidden/>
              </w:rPr>
              <w:instrText xml:space="preserve"> PAGEREF _Toc227590268 \h </w:instrText>
            </w:r>
            <w:r w:rsidRPr="00747238">
              <w:rPr>
                <w:rFonts w:asciiTheme="majorBidi" w:hAnsiTheme="majorBidi" w:cstheme="majorBidi"/>
                <w:noProof/>
                <w:webHidden/>
              </w:rPr>
            </w:r>
            <w:r w:rsidRPr="00747238">
              <w:rPr>
                <w:rFonts w:asciiTheme="majorBidi" w:hAnsiTheme="majorBidi" w:cstheme="majorBidi"/>
                <w:noProof/>
                <w:webHidden/>
              </w:rPr>
              <w:fldChar w:fldCharType="separate"/>
            </w:r>
            <w:r w:rsidRPr="00747238">
              <w:rPr>
                <w:rFonts w:asciiTheme="majorBidi" w:hAnsiTheme="majorBidi" w:cstheme="majorBidi"/>
                <w:noProof/>
                <w:webHidden/>
              </w:rPr>
              <w:t>3</w:t>
            </w:r>
            <w:r w:rsidRPr="00747238">
              <w:rPr>
                <w:rFonts w:asciiTheme="majorBidi" w:hAnsiTheme="majorBidi" w:cstheme="majorBidi"/>
                <w:noProof/>
                <w:webHidden/>
              </w:rPr>
              <w:fldChar w:fldCharType="end"/>
            </w:r>
          </w:hyperlink>
        </w:p>
        <w:p w14:paraId="346ACCDF" w14:textId="77777777" w:rsidR="00747238" w:rsidRPr="00747238" w:rsidRDefault="00747238" w:rsidP="00747238">
          <w:pPr>
            <w:pStyle w:val="TOC1"/>
            <w:tabs>
              <w:tab w:val="right" w:leader="dot" w:pos="9016"/>
            </w:tabs>
            <w:spacing w:line="360" w:lineRule="auto"/>
            <w:rPr>
              <w:rFonts w:asciiTheme="majorBidi" w:eastAsiaTheme="minorEastAsia" w:hAnsiTheme="majorBidi" w:cstheme="majorBidi"/>
              <w:noProof/>
              <w:kern w:val="2"/>
              <w:lang w:eastAsia="zh-TW"/>
              <w14:ligatures w14:val="standardContextual"/>
            </w:rPr>
          </w:pPr>
          <w:hyperlink w:anchor="_Toc227590269" w:history="1">
            <w:r w:rsidRPr="00747238">
              <w:rPr>
                <w:rStyle w:val="Hyperlink"/>
                <w:rFonts w:asciiTheme="majorBidi" w:hAnsiTheme="majorBidi" w:cstheme="majorBidi"/>
                <w:noProof/>
              </w:rPr>
              <w:t>Part B Report: Applying Erikson’s theory to improve psychological wellbeing in older adults in residential care</w:t>
            </w:r>
            <w:r w:rsidRPr="00747238">
              <w:rPr>
                <w:rFonts w:asciiTheme="majorBidi" w:hAnsiTheme="majorBidi" w:cstheme="majorBidi"/>
                <w:noProof/>
                <w:webHidden/>
              </w:rPr>
              <w:tab/>
            </w:r>
            <w:r w:rsidRPr="00747238">
              <w:rPr>
                <w:rFonts w:asciiTheme="majorBidi" w:hAnsiTheme="majorBidi" w:cstheme="majorBidi"/>
                <w:noProof/>
                <w:webHidden/>
              </w:rPr>
              <w:fldChar w:fldCharType="begin"/>
            </w:r>
            <w:r w:rsidRPr="00747238">
              <w:rPr>
                <w:rFonts w:asciiTheme="majorBidi" w:hAnsiTheme="majorBidi" w:cstheme="majorBidi"/>
                <w:noProof/>
                <w:webHidden/>
              </w:rPr>
              <w:instrText xml:space="preserve"> PAGEREF _Toc227590269 \h </w:instrText>
            </w:r>
            <w:r w:rsidRPr="00747238">
              <w:rPr>
                <w:rFonts w:asciiTheme="majorBidi" w:hAnsiTheme="majorBidi" w:cstheme="majorBidi"/>
                <w:noProof/>
                <w:webHidden/>
              </w:rPr>
            </w:r>
            <w:r w:rsidRPr="00747238">
              <w:rPr>
                <w:rFonts w:asciiTheme="majorBidi" w:hAnsiTheme="majorBidi" w:cstheme="majorBidi"/>
                <w:noProof/>
                <w:webHidden/>
              </w:rPr>
              <w:fldChar w:fldCharType="separate"/>
            </w:r>
            <w:r w:rsidRPr="00747238">
              <w:rPr>
                <w:rFonts w:asciiTheme="majorBidi" w:hAnsiTheme="majorBidi" w:cstheme="majorBidi"/>
                <w:noProof/>
                <w:webHidden/>
              </w:rPr>
              <w:t>6</w:t>
            </w:r>
            <w:r w:rsidRPr="00747238">
              <w:rPr>
                <w:rFonts w:asciiTheme="majorBidi" w:hAnsiTheme="majorBidi" w:cstheme="majorBidi"/>
                <w:noProof/>
                <w:webHidden/>
              </w:rPr>
              <w:fldChar w:fldCharType="end"/>
            </w:r>
          </w:hyperlink>
        </w:p>
        <w:p w14:paraId="004247FB" w14:textId="77777777" w:rsidR="00747238" w:rsidRPr="00747238" w:rsidRDefault="00747238" w:rsidP="00747238">
          <w:pPr>
            <w:pStyle w:val="TOC2"/>
            <w:tabs>
              <w:tab w:val="right" w:leader="dot" w:pos="9016"/>
            </w:tabs>
            <w:spacing w:line="360" w:lineRule="auto"/>
            <w:rPr>
              <w:rFonts w:asciiTheme="majorBidi" w:eastAsiaTheme="minorEastAsia" w:hAnsiTheme="majorBidi" w:cstheme="majorBidi"/>
              <w:noProof/>
              <w:kern w:val="2"/>
              <w:lang w:eastAsia="zh-TW"/>
              <w14:ligatures w14:val="standardContextual"/>
            </w:rPr>
          </w:pPr>
          <w:hyperlink w:anchor="_Toc227590270" w:history="1">
            <w:r w:rsidRPr="00747238">
              <w:rPr>
                <w:rStyle w:val="Hyperlink"/>
                <w:rFonts w:asciiTheme="majorBidi" w:hAnsiTheme="majorBidi" w:cstheme="majorBidi"/>
                <w:noProof/>
              </w:rPr>
              <w:t>Introduction</w:t>
            </w:r>
            <w:r w:rsidRPr="00747238">
              <w:rPr>
                <w:rFonts w:asciiTheme="majorBidi" w:hAnsiTheme="majorBidi" w:cstheme="majorBidi"/>
                <w:noProof/>
                <w:webHidden/>
              </w:rPr>
              <w:tab/>
            </w:r>
            <w:r w:rsidRPr="00747238">
              <w:rPr>
                <w:rFonts w:asciiTheme="majorBidi" w:hAnsiTheme="majorBidi" w:cstheme="majorBidi"/>
                <w:noProof/>
                <w:webHidden/>
              </w:rPr>
              <w:fldChar w:fldCharType="begin"/>
            </w:r>
            <w:r w:rsidRPr="00747238">
              <w:rPr>
                <w:rFonts w:asciiTheme="majorBidi" w:hAnsiTheme="majorBidi" w:cstheme="majorBidi"/>
                <w:noProof/>
                <w:webHidden/>
              </w:rPr>
              <w:instrText xml:space="preserve"> PAGEREF _Toc227590270 \h </w:instrText>
            </w:r>
            <w:r w:rsidRPr="00747238">
              <w:rPr>
                <w:rFonts w:asciiTheme="majorBidi" w:hAnsiTheme="majorBidi" w:cstheme="majorBidi"/>
                <w:noProof/>
                <w:webHidden/>
              </w:rPr>
            </w:r>
            <w:r w:rsidRPr="00747238">
              <w:rPr>
                <w:rFonts w:asciiTheme="majorBidi" w:hAnsiTheme="majorBidi" w:cstheme="majorBidi"/>
                <w:noProof/>
                <w:webHidden/>
              </w:rPr>
              <w:fldChar w:fldCharType="separate"/>
            </w:r>
            <w:r w:rsidRPr="00747238">
              <w:rPr>
                <w:rFonts w:asciiTheme="majorBidi" w:hAnsiTheme="majorBidi" w:cstheme="majorBidi"/>
                <w:noProof/>
                <w:webHidden/>
              </w:rPr>
              <w:t>6</w:t>
            </w:r>
            <w:r w:rsidRPr="00747238">
              <w:rPr>
                <w:rFonts w:asciiTheme="majorBidi" w:hAnsiTheme="majorBidi" w:cstheme="majorBidi"/>
                <w:noProof/>
                <w:webHidden/>
              </w:rPr>
              <w:fldChar w:fldCharType="end"/>
            </w:r>
          </w:hyperlink>
        </w:p>
        <w:p w14:paraId="09D007CF" w14:textId="77777777" w:rsidR="00747238" w:rsidRPr="00747238" w:rsidRDefault="00747238" w:rsidP="00747238">
          <w:pPr>
            <w:pStyle w:val="TOC2"/>
            <w:tabs>
              <w:tab w:val="right" w:leader="dot" w:pos="9016"/>
            </w:tabs>
            <w:spacing w:line="360" w:lineRule="auto"/>
            <w:rPr>
              <w:rFonts w:asciiTheme="majorBidi" w:eastAsiaTheme="minorEastAsia" w:hAnsiTheme="majorBidi" w:cstheme="majorBidi"/>
              <w:noProof/>
              <w:kern w:val="2"/>
              <w:lang w:eastAsia="zh-TW"/>
              <w14:ligatures w14:val="standardContextual"/>
            </w:rPr>
          </w:pPr>
          <w:hyperlink w:anchor="_Toc227590271" w:history="1">
            <w:r w:rsidRPr="00747238">
              <w:rPr>
                <w:rStyle w:val="Hyperlink"/>
                <w:rFonts w:asciiTheme="majorBidi" w:hAnsiTheme="majorBidi" w:cstheme="majorBidi"/>
                <w:noProof/>
              </w:rPr>
              <w:t>Application in practice</w:t>
            </w:r>
            <w:r w:rsidRPr="00747238">
              <w:rPr>
                <w:rFonts w:asciiTheme="majorBidi" w:hAnsiTheme="majorBidi" w:cstheme="majorBidi"/>
                <w:noProof/>
                <w:webHidden/>
              </w:rPr>
              <w:tab/>
            </w:r>
            <w:r w:rsidRPr="00747238">
              <w:rPr>
                <w:rFonts w:asciiTheme="majorBidi" w:hAnsiTheme="majorBidi" w:cstheme="majorBidi"/>
                <w:noProof/>
                <w:webHidden/>
              </w:rPr>
              <w:fldChar w:fldCharType="begin"/>
            </w:r>
            <w:r w:rsidRPr="00747238">
              <w:rPr>
                <w:rFonts w:asciiTheme="majorBidi" w:hAnsiTheme="majorBidi" w:cstheme="majorBidi"/>
                <w:noProof/>
                <w:webHidden/>
              </w:rPr>
              <w:instrText xml:space="preserve"> PAGEREF _Toc227590271 \h </w:instrText>
            </w:r>
            <w:r w:rsidRPr="00747238">
              <w:rPr>
                <w:rFonts w:asciiTheme="majorBidi" w:hAnsiTheme="majorBidi" w:cstheme="majorBidi"/>
                <w:noProof/>
                <w:webHidden/>
              </w:rPr>
            </w:r>
            <w:r w:rsidRPr="00747238">
              <w:rPr>
                <w:rFonts w:asciiTheme="majorBidi" w:hAnsiTheme="majorBidi" w:cstheme="majorBidi"/>
                <w:noProof/>
                <w:webHidden/>
              </w:rPr>
              <w:fldChar w:fldCharType="separate"/>
            </w:r>
            <w:r w:rsidRPr="00747238">
              <w:rPr>
                <w:rFonts w:asciiTheme="majorBidi" w:hAnsiTheme="majorBidi" w:cstheme="majorBidi"/>
                <w:noProof/>
                <w:webHidden/>
              </w:rPr>
              <w:t>6</w:t>
            </w:r>
            <w:r w:rsidRPr="00747238">
              <w:rPr>
                <w:rFonts w:asciiTheme="majorBidi" w:hAnsiTheme="majorBidi" w:cstheme="majorBidi"/>
                <w:noProof/>
                <w:webHidden/>
              </w:rPr>
              <w:fldChar w:fldCharType="end"/>
            </w:r>
          </w:hyperlink>
        </w:p>
        <w:p w14:paraId="0CC83658" w14:textId="77777777" w:rsidR="00747238" w:rsidRPr="00747238" w:rsidRDefault="00747238" w:rsidP="00747238">
          <w:pPr>
            <w:pStyle w:val="TOC2"/>
            <w:tabs>
              <w:tab w:val="right" w:leader="dot" w:pos="9016"/>
            </w:tabs>
            <w:spacing w:line="360" w:lineRule="auto"/>
            <w:rPr>
              <w:rFonts w:asciiTheme="majorBidi" w:eastAsiaTheme="minorEastAsia" w:hAnsiTheme="majorBidi" w:cstheme="majorBidi"/>
              <w:noProof/>
              <w:kern w:val="2"/>
              <w:lang w:eastAsia="zh-TW"/>
              <w14:ligatures w14:val="standardContextual"/>
            </w:rPr>
          </w:pPr>
          <w:hyperlink w:anchor="_Toc227590272" w:history="1">
            <w:r w:rsidRPr="00747238">
              <w:rPr>
                <w:rStyle w:val="Hyperlink"/>
                <w:rFonts w:asciiTheme="majorBidi" w:hAnsiTheme="majorBidi" w:cstheme="majorBidi"/>
                <w:noProof/>
              </w:rPr>
              <w:t>One challenge and a strategy to overcome it</w:t>
            </w:r>
            <w:r w:rsidRPr="00747238">
              <w:rPr>
                <w:rFonts w:asciiTheme="majorBidi" w:hAnsiTheme="majorBidi" w:cstheme="majorBidi"/>
                <w:noProof/>
                <w:webHidden/>
              </w:rPr>
              <w:tab/>
            </w:r>
            <w:r w:rsidRPr="00747238">
              <w:rPr>
                <w:rFonts w:asciiTheme="majorBidi" w:hAnsiTheme="majorBidi" w:cstheme="majorBidi"/>
                <w:noProof/>
                <w:webHidden/>
              </w:rPr>
              <w:fldChar w:fldCharType="begin"/>
            </w:r>
            <w:r w:rsidRPr="00747238">
              <w:rPr>
                <w:rFonts w:asciiTheme="majorBidi" w:hAnsiTheme="majorBidi" w:cstheme="majorBidi"/>
                <w:noProof/>
                <w:webHidden/>
              </w:rPr>
              <w:instrText xml:space="preserve"> PAGEREF _Toc227590272 \h </w:instrText>
            </w:r>
            <w:r w:rsidRPr="00747238">
              <w:rPr>
                <w:rFonts w:asciiTheme="majorBidi" w:hAnsiTheme="majorBidi" w:cstheme="majorBidi"/>
                <w:noProof/>
                <w:webHidden/>
              </w:rPr>
            </w:r>
            <w:r w:rsidRPr="00747238">
              <w:rPr>
                <w:rFonts w:asciiTheme="majorBidi" w:hAnsiTheme="majorBidi" w:cstheme="majorBidi"/>
                <w:noProof/>
                <w:webHidden/>
              </w:rPr>
              <w:fldChar w:fldCharType="separate"/>
            </w:r>
            <w:r w:rsidRPr="00747238">
              <w:rPr>
                <w:rFonts w:asciiTheme="majorBidi" w:hAnsiTheme="majorBidi" w:cstheme="majorBidi"/>
                <w:noProof/>
                <w:webHidden/>
              </w:rPr>
              <w:t>7</w:t>
            </w:r>
            <w:r w:rsidRPr="00747238">
              <w:rPr>
                <w:rFonts w:asciiTheme="majorBidi" w:hAnsiTheme="majorBidi" w:cstheme="majorBidi"/>
                <w:noProof/>
                <w:webHidden/>
              </w:rPr>
              <w:fldChar w:fldCharType="end"/>
            </w:r>
          </w:hyperlink>
        </w:p>
        <w:p w14:paraId="77D97AEA" w14:textId="77777777" w:rsidR="00747238" w:rsidRPr="00747238" w:rsidRDefault="00747238" w:rsidP="00747238">
          <w:pPr>
            <w:pStyle w:val="TOC2"/>
            <w:tabs>
              <w:tab w:val="right" w:leader="dot" w:pos="9016"/>
            </w:tabs>
            <w:spacing w:line="360" w:lineRule="auto"/>
            <w:rPr>
              <w:rFonts w:asciiTheme="majorBidi" w:eastAsiaTheme="minorEastAsia" w:hAnsiTheme="majorBidi" w:cstheme="majorBidi"/>
              <w:noProof/>
              <w:kern w:val="2"/>
              <w:lang w:eastAsia="zh-TW"/>
              <w14:ligatures w14:val="standardContextual"/>
            </w:rPr>
          </w:pPr>
          <w:hyperlink w:anchor="_Toc227590273" w:history="1">
            <w:r w:rsidRPr="00747238">
              <w:rPr>
                <w:rStyle w:val="Hyperlink"/>
                <w:rFonts w:asciiTheme="majorBidi" w:hAnsiTheme="majorBidi" w:cstheme="majorBidi"/>
                <w:noProof/>
              </w:rPr>
              <w:t>Conclusion</w:t>
            </w:r>
            <w:r w:rsidRPr="00747238">
              <w:rPr>
                <w:rFonts w:asciiTheme="majorBidi" w:hAnsiTheme="majorBidi" w:cstheme="majorBidi"/>
                <w:noProof/>
                <w:webHidden/>
              </w:rPr>
              <w:tab/>
            </w:r>
            <w:r w:rsidRPr="00747238">
              <w:rPr>
                <w:rFonts w:asciiTheme="majorBidi" w:hAnsiTheme="majorBidi" w:cstheme="majorBidi"/>
                <w:noProof/>
                <w:webHidden/>
              </w:rPr>
              <w:fldChar w:fldCharType="begin"/>
            </w:r>
            <w:r w:rsidRPr="00747238">
              <w:rPr>
                <w:rFonts w:asciiTheme="majorBidi" w:hAnsiTheme="majorBidi" w:cstheme="majorBidi"/>
                <w:noProof/>
                <w:webHidden/>
              </w:rPr>
              <w:instrText xml:space="preserve"> PAGEREF _Toc227590273 \h </w:instrText>
            </w:r>
            <w:r w:rsidRPr="00747238">
              <w:rPr>
                <w:rFonts w:asciiTheme="majorBidi" w:hAnsiTheme="majorBidi" w:cstheme="majorBidi"/>
                <w:noProof/>
                <w:webHidden/>
              </w:rPr>
            </w:r>
            <w:r w:rsidRPr="00747238">
              <w:rPr>
                <w:rFonts w:asciiTheme="majorBidi" w:hAnsiTheme="majorBidi" w:cstheme="majorBidi"/>
                <w:noProof/>
                <w:webHidden/>
              </w:rPr>
              <w:fldChar w:fldCharType="separate"/>
            </w:r>
            <w:r w:rsidRPr="00747238">
              <w:rPr>
                <w:rFonts w:asciiTheme="majorBidi" w:hAnsiTheme="majorBidi" w:cstheme="majorBidi"/>
                <w:noProof/>
                <w:webHidden/>
              </w:rPr>
              <w:t>7</w:t>
            </w:r>
            <w:r w:rsidRPr="00747238">
              <w:rPr>
                <w:rFonts w:asciiTheme="majorBidi" w:hAnsiTheme="majorBidi" w:cstheme="majorBidi"/>
                <w:noProof/>
                <w:webHidden/>
              </w:rPr>
              <w:fldChar w:fldCharType="end"/>
            </w:r>
          </w:hyperlink>
        </w:p>
        <w:p w14:paraId="6D4D535A" w14:textId="77777777" w:rsidR="00747238" w:rsidRPr="00747238" w:rsidRDefault="00747238" w:rsidP="00747238">
          <w:pPr>
            <w:pStyle w:val="TOC1"/>
            <w:tabs>
              <w:tab w:val="right" w:leader="dot" w:pos="9016"/>
            </w:tabs>
            <w:spacing w:line="360" w:lineRule="auto"/>
            <w:rPr>
              <w:rFonts w:asciiTheme="majorBidi" w:eastAsiaTheme="minorEastAsia" w:hAnsiTheme="majorBidi" w:cstheme="majorBidi"/>
              <w:noProof/>
              <w:kern w:val="2"/>
              <w:lang w:eastAsia="zh-TW"/>
              <w14:ligatures w14:val="standardContextual"/>
            </w:rPr>
          </w:pPr>
          <w:hyperlink w:anchor="_Toc227590274" w:history="1">
            <w:r w:rsidRPr="00747238">
              <w:rPr>
                <w:rStyle w:val="Hyperlink"/>
                <w:rFonts w:asciiTheme="majorBidi" w:hAnsiTheme="majorBidi" w:cstheme="majorBidi"/>
                <w:noProof/>
              </w:rPr>
              <w:t>References</w:t>
            </w:r>
            <w:r w:rsidRPr="00747238">
              <w:rPr>
                <w:rFonts w:asciiTheme="majorBidi" w:hAnsiTheme="majorBidi" w:cstheme="majorBidi"/>
                <w:noProof/>
                <w:webHidden/>
              </w:rPr>
              <w:tab/>
            </w:r>
            <w:r w:rsidRPr="00747238">
              <w:rPr>
                <w:rFonts w:asciiTheme="majorBidi" w:hAnsiTheme="majorBidi" w:cstheme="majorBidi"/>
                <w:noProof/>
                <w:webHidden/>
              </w:rPr>
              <w:fldChar w:fldCharType="begin"/>
            </w:r>
            <w:r w:rsidRPr="00747238">
              <w:rPr>
                <w:rFonts w:asciiTheme="majorBidi" w:hAnsiTheme="majorBidi" w:cstheme="majorBidi"/>
                <w:noProof/>
                <w:webHidden/>
              </w:rPr>
              <w:instrText xml:space="preserve"> PAGEREF _Toc227590274 \h </w:instrText>
            </w:r>
            <w:r w:rsidRPr="00747238">
              <w:rPr>
                <w:rFonts w:asciiTheme="majorBidi" w:hAnsiTheme="majorBidi" w:cstheme="majorBidi"/>
                <w:noProof/>
                <w:webHidden/>
              </w:rPr>
            </w:r>
            <w:r w:rsidRPr="00747238">
              <w:rPr>
                <w:rFonts w:asciiTheme="majorBidi" w:hAnsiTheme="majorBidi" w:cstheme="majorBidi"/>
                <w:noProof/>
                <w:webHidden/>
              </w:rPr>
              <w:fldChar w:fldCharType="separate"/>
            </w:r>
            <w:r w:rsidRPr="00747238">
              <w:rPr>
                <w:rFonts w:asciiTheme="majorBidi" w:hAnsiTheme="majorBidi" w:cstheme="majorBidi"/>
                <w:noProof/>
                <w:webHidden/>
              </w:rPr>
              <w:t>8</w:t>
            </w:r>
            <w:r w:rsidRPr="00747238">
              <w:rPr>
                <w:rFonts w:asciiTheme="majorBidi" w:hAnsiTheme="majorBidi" w:cstheme="majorBidi"/>
                <w:noProof/>
                <w:webHidden/>
              </w:rPr>
              <w:fldChar w:fldCharType="end"/>
            </w:r>
          </w:hyperlink>
        </w:p>
        <w:p w14:paraId="4A838FAB" w14:textId="77777777" w:rsidR="00747238" w:rsidRPr="00747238" w:rsidRDefault="00747238" w:rsidP="00747238">
          <w:pPr>
            <w:suppressAutoHyphens w:val="0"/>
            <w:autoSpaceDN/>
            <w:spacing w:after="0"/>
            <w:jc w:val="left"/>
            <w:rPr>
              <w:rFonts w:cstheme="majorBidi"/>
              <w:b/>
              <w:bCs/>
              <w:noProof/>
            </w:rPr>
          </w:pPr>
          <w:r w:rsidRPr="00747238">
            <w:rPr>
              <w:rFonts w:cstheme="majorBidi"/>
              <w:b/>
              <w:bCs/>
              <w:noProof/>
            </w:rPr>
            <w:fldChar w:fldCharType="end"/>
          </w:r>
        </w:p>
      </w:sdtContent>
    </w:sdt>
    <w:p w14:paraId="342B6338" w14:textId="77777777" w:rsidR="00394612" w:rsidRPr="00747238" w:rsidRDefault="00394612" w:rsidP="00747238">
      <w:pPr>
        <w:suppressAutoHyphens w:val="0"/>
        <w:autoSpaceDN/>
        <w:spacing w:after="0"/>
        <w:jc w:val="left"/>
        <w:rPr>
          <w:rFonts w:cstheme="majorBidi"/>
          <w:b/>
          <w:bCs/>
          <w:sz w:val="32"/>
          <w:szCs w:val="28"/>
        </w:rPr>
      </w:pPr>
      <w:r w:rsidRPr="00747238">
        <w:rPr>
          <w:rFonts w:cstheme="majorBidi"/>
        </w:rPr>
        <w:br w:type="page"/>
      </w:r>
    </w:p>
    <w:p w14:paraId="7F8A3BD9" w14:textId="77777777" w:rsidR="00394612" w:rsidRPr="00747238" w:rsidRDefault="00394612" w:rsidP="00394612">
      <w:pPr>
        <w:pStyle w:val="Heading1"/>
        <w:rPr>
          <w:rFonts w:cstheme="majorBidi"/>
        </w:rPr>
      </w:pPr>
      <w:bookmarkStart w:id="0" w:name="_Toc227590268"/>
      <w:r w:rsidRPr="00747238">
        <w:rPr>
          <w:rFonts w:cstheme="majorBidi"/>
        </w:rPr>
        <w:t>Part A: Annotated Bibliography</w:t>
      </w:r>
      <w:bookmarkEnd w:id="0"/>
    </w:p>
    <w:p w14:paraId="7526F23C" w14:textId="77777777" w:rsidR="00394612" w:rsidRPr="00394612" w:rsidRDefault="00394612" w:rsidP="00394612">
      <w:pPr>
        <w:rPr>
          <w:rFonts w:cstheme="majorBidi"/>
        </w:rPr>
      </w:pPr>
      <w:r w:rsidRPr="00394612">
        <w:rPr>
          <w:rFonts w:cstheme="majorBidi"/>
          <w:b/>
          <w:bCs/>
        </w:rPr>
        <w:t xml:space="preserve">1. Malone, J.C., Liu, S.R., Vaillant, G.E., Rentz, D.M. and Waldinger, R.J. (2016) ‘Midlife Eriksonian psychosocial development: Setting the stage for cognitive and emotional health in late life’, </w:t>
      </w:r>
      <w:r w:rsidRPr="00394612">
        <w:rPr>
          <w:rFonts w:cstheme="majorBidi"/>
          <w:b/>
          <w:bCs/>
          <w:i/>
          <w:iCs/>
        </w:rPr>
        <w:t>Developmental Psychology</w:t>
      </w:r>
      <w:r w:rsidRPr="00394612">
        <w:rPr>
          <w:rFonts w:cstheme="majorBidi"/>
          <w:b/>
          <w:bCs/>
        </w:rPr>
        <w:t>, 52(3), pp. 496–508.</w:t>
      </w:r>
    </w:p>
    <w:p w14:paraId="7227D21E" w14:textId="77777777" w:rsidR="00394612" w:rsidRPr="00747238" w:rsidRDefault="00394612" w:rsidP="00394612">
      <w:pPr>
        <w:rPr>
          <w:rFonts w:cstheme="majorBidi"/>
        </w:rPr>
      </w:pPr>
      <w:r w:rsidRPr="00747238">
        <w:rPr>
          <w:rFonts w:cstheme="majorBidi"/>
        </w:rPr>
        <w:t xml:space="preserve">This longitudinal journal article uses the psychosocial framework of Erikson to investigate whether a greater psychosocial development during midlife is more likely to predict improved outcomes later in life. Based on the Harvard Study of Adult Development, the authors concluded that positive midlife psychosocial development correlated with more robust global cognition and executive functioning in adulthood, and reduced degrees of depression. Effectually, the research contends that effective adult developmental task negotiation like intimacy, career engagement and generativity can have enduring protective impacts on emotional and cognitive wellbeing during the older age. </w:t>
      </w:r>
    </w:p>
    <w:p w14:paraId="7CB4BF82" w14:textId="77777777" w:rsidR="00394612" w:rsidRPr="00394612" w:rsidRDefault="00394612" w:rsidP="00394612">
      <w:pPr>
        <w:rPr>
          <w:rFonts w:cstheme="majorBidi"/>
        </w:rPr>
      </w:pPr>
      <w:r w:rsidRPr="00747238">
        <w:rPr>
          <w:rFonts w:cstheme="majorBidi"/>
        </w:rPr>
        <w:t xml:space="preserve">This source is extremely pertinent to health and social care in that it demonstrates that the concept of psychosocial development is not merely a theoretical construct but can be quantitatively associated with subsequent wellbeing. To practitioners, this justifies person-centred methods that appreciate meaning, relationships, contribution and identity as opposed to focusing on physical decline. One of the limitations is that the sample used was composed of men in one long-lasting US study, which limits the generalisation to women, other ethnic groups and modern service users. </w:t>
      </w:r>
    </w:p>
    <w:p w14:paraId="3D23CCBF" w14:textId="77777777" w:rsidR="00394612" w:rsidRPr="00394612" w:rsidRDefault="00394612" w:rsidP="00394612">
      <w:pPr>
        <w:rPr>
          <w:rFonts w:cstheme="majorBidi"/>
        </w:rPr>
      </w:pPr>
      <w:r w:rsidRPr="00394612">
        <w:rPr>
          <w:rFonts w:cstheme="majorBidi"/>
          <w:b/>
          <w:bCs/>
        </w:rPr>
        <w:t xml:space="preserve">2. Gilleard, C. (2020) ‘The final stage of human development? Erikson’s view of integrity and old age’, </w:t>
      </w:r>
      <w:r w:rsidRPr="00394612">
        <w:rPr>
          <w:rFonts w:cstheme="majorBidi"/>
          <w:b/>
          <w:bCs/>
          <w:i/>
          <w:iCs/>
        </w:rPr>
        <w:t>International Journal of Ageing and Later Life</w:t>
      </w:r>
      <w:r w:rsidRPr="00394612">
        <w:rPr>
          <w:rFonts w:cstheme="majorBidi"/>
          <w:b/>
          <w:bCs/>
        </w:rPr>
        <w:t>, 14(2), pp. 95–112.</w:t>
      </w:r>
    </w:p>
    <w:p w14:paraId="2172923B" w14:textId="77777777" w:rsidR="00394612" w:rsidRPr="00747238" w:rsidRDefault="00394612" w:rsidP="00394612">
      <w:pPr>
        <w:rPr>
          <w:rFonts w:cstheme="majorBidi"/>
        </w:rPr>
      </w:pPr>
      <w:r w:rsidRPr="00747238">
        <w:rPr>
          <w:rFonts w:cstheme="majorBidi"/>
        </w:rPr>
        <w:t>Gilleard critically discusses the last stage of Erikson, ego integrity versus despair, and how far it is possible to see it as a developmental accomplishment that is universally fixed. The article suggests that the model by Erikson provides old age with meaning and purpose by placing later life in context as a time of reflection, wisdom and narrative integration. But Gilleard also notes that the empirical data on a definite stage-like development is not strong. He posits that it might be fruitful to perceive identity, intimacy, generativity and integrity as motifs in the narratives of adulthood as opposed to age-specific phases.</w:t>
      </w:r>
    </w:p>
    <w:p w14:paraId="4360A8EA" w14:textId="77777777" w:rsidR="00394612" w:rsidRPr="00394612" w:rsidRDefault="00394612" w:rsidP="00394612">
      <w:pPr>
        <w:rPr>
          <w:rFonts w:cstheme="majorBidi"/>
        </w:rPr>
      </w:pPr>
      <w:r w:rsidRPr="00747238">
        <w:rPr>
          <w:rFonts w:cstheme="majorBidi"/>
        </w:rPr>
        <w:t xml:space="preserve">In the context of health and social care, the theory developed by Erikson can promote the practice of life review, reminiscence work and dignity-based care of elderly people. However, Gilleard is helpful in cautioning practitioners against being too demanding of a developmental expectation of people whose lives might be characterized by trauma, poverty, chronic illness or unresolved loss. Its usefulness is that it advocates a more adaptable implementation of Erikson: the theory can be applied to aid meaning-making by professionals who do not necessarily presume that all older individuals should reach the same level of perceived integrity. </w:t>
      </w:r>
    </w:p>
    <w:p w14:paraId="6E3CFDC9" w14:textId="77777777" w:rsidR="00394612" w:rsidRPr="00394612" w:rsidRDefault="00394612" w:rsidP="00394612">
      <w:pPr>
        <w:rPr>
          <w:rFonts w:cstheme="majorBidi"/>
        </w:rPr>
      </w:pPr>
      <w:r w:rsidRPr="00394612">
        <w:rPr>
          <w:rFonts w:cstheme="majorBidi"/>
          <w:b/>
          <w:bCs/>
        </w:rPr>
        <w:t xml:space="preserve">3. Adams, K.B., Leibbrandt, S. and Moon, H. (2011) ‘A critical review of the literature on social and leisure activity and wellbeing in later life’, </w:t>
      </w:r>
      <w:r w:rsidRPr="00394612">
        <w:rPr>
          <w:rFonts w:cstheme="majorBidi"/>
          <w:b/>
          <w:bCs/>
          <w:i/>
          <w:iCs/>
        </w:rPr>
        <w:t>Ageing &amp; Society</w:t>
      </w:r>
      <w:r w:rsidRPr="00394612">
        <w:rPr>
          <w:rFonts w:cstheme="majorBidi"/>
          <w:b/>
          <w:bCs/>
        </w:rPr>
        <w:t>, 31(4), pp. 683–712.</w:t>
      </w:r>
    </w:p>
    <w:p w14:paraId="34E0EDA0" w14:textId="77777777" w:rsidR="00394612" w:rsidRPr="00394612" w:rsidRDefault="00394612" w:rsidP="00394612">
      <w:pPr>
        <w:rPr>
          <w:rFonts w:cstheme="majorBidi"/>
        </w:rPr>
      </w:pPr>
      <w:r w:rsidRPr="00747238">
        <w:rPr>
          <w:rFonts w:cstheme="majorBidi"/>
        </w:rPr>
        <w:t xml:space="preserve">Based on the tradition of Activity theory, this review paper reviews evidence on the relationship between social and leisure activity and wellbeing in later life. By examining 42 studies, the authors discovered that the engagement in social and leisure activities is usually linked to better wellbeing, health and even survival. The best evidence in respect of informal social action, e.g., communication with friends, neighbours and family. </w:t>
      </w:r>
    </w:p>
    <w:p w14:paraId="3408D24A" w14:textId="77777777" w:rsidR="00394612" w:rsidRPr="00394612" w:rsidRDefault="00394612" w:rsidP="00394612">
      <w:pPr>
        <w:rPr>
          <w:rFonts w:cstheme="majorBidi"/>
        </w:rPr>
      </w:pPr>
      <w:r w:rsidRPr="00747238">
        <w:rPr>
          <w:rFonts w:cstheme="majorBidi"/>
        </w:rPr>
        <w:t xml:space="preserve">This is an excellent health and social care source as it links theory to a wide evidence base. It facilitates interventions, which minimise isolation and maximize meaningful participation, day services, group activity, peer support, volunteering and community programmes. Vitally, the article also reveals that not every activity is equally good; that is, choice and quality is important. This is an important practice implication, as care providers occasionally provide activity as a procedural, rather than as a personally meaningful, activity. </w:t>
      </w:r>
    </w:p>
    <w:p w14:paraId="51783F71" w14:textId="77777777" w:rsidR="00394612" w:rsidRPr="00394612" w:rsidRDefault="00394612" w:rsidP="00394612">
      <w:pPr>
        <w:rPr>
          <w:rFonts w:cstheme="majorBidi"/>
        </w:rPr>
      </w:pPr>
      <w:r w:rsidRPr="00394612">
        <w:rPr>
          <w:rFonts w:cstheme="majorBidi"/>
          <w:b/>
          <w:bCs/>
        </w:rPr>
        <w:t xml:space="preserve">4. Luo, M., Moulder, R.G., Breitfelder, L.K. and Röcke, C. (2024) ‘Activity diversity and well-being in daily life: Evidence for heterogeneity between older adults’, </w:t>
      </w:r>
      <w:r w:rsidRPr="00394612">
        <w:rPr>
          <w:rFonts w:cstheme="majorBidi"/>
          <w:b/>
          <w:bCs/>
          <w:i/>
          <w:iCs/>
        </w:rPr>
        <w:t>The Journals of Gerontology: Series B</w:t>
      </w:r>
      <w:r w:rsidRPr="00394612">
        <w:rPr>
          <w:rFonts w:cstheme="majorBidi"/>
          <w:b/>
          <w:bCs/>
        </w:rPr>
        <w:t>, 79(6), gbae025.</w:t>
      </w:r>
    </w:p>
    <w:p w14:paraId="0D26B4BC" w14:textId="77777777" w:rsidR="00394612" w:rsidRPr="00394612" w:rsidRDefault="00394612" w:rsidP="00394612">
      <w:pPr>
        <w:rPr>
          <w:rFonts w:cstheme="majorBidi"/>
        </w:rPr>
      </w:pPr>
      <w:r w:rsidRPr="00747238">
        <w:rPr>
          <w:rFonts w:cstheme="majorBidi"/>
        </w:rPr>
        <w:t>This is a recent empirical article that revisits assumptions made in the Activity theory by looking at whether increased diversity in activities enhances everyday wellbeing among older adults. The researchers used two weeks of daily data on smartphone users during retirement to find no overall average relationship between more diverse daily engagements and more positive affect. Rather, the association was different among the people, and worse health may render highly diverse days less productive. The authors conclude that the influences of activity patterns on wellbeing in later life vary significantly</w:t>
      </w:r>
      <w:r w:rsidRPr="00394612">
        <w:rPr>
          <w:rFonts w:cstheme="majorBidi"/>
        </w:rPr>
        <w:t xml:space="preserve">. </w:t>
      </w:r>
    </w:p>
    <w:p w14:paraId="20F04C3E" w14:textId="77777777" w:rsidR="00394612" w:rsidRPr="00394612" w:rsidRDefault="00394612" w:rsidP="00394612">
      <w:pPr>
        <w:rPr>
          <w:rFonts w:cstheme="majorBidi"/>
        </w:rPr>
      </w:pPr>
      <w:r w:rsidRPr="00747238">
        <w:rPr>
          <w:rFonts w:cstheme="majorBidi"/>
        </w:rPr>
        <w:t>This source is especially useful to make critical commentary due to the update of the Activity theory with the more accurate perspective. It proposes that in health and social care practitioners ought not to believe that more activity necessarily equates to better wellbeing. In certain cases, selective and controllable activities can be more effective than highly diverse schedules to some older adults, particularly those with less energy or worse health. These have practice implications on care planning: Care should be individualised, time-based and responsive to health. This article is thus very topical as it maintains the merits of the Activity theory but questions the one-size-fits-all models of intervention</w:t>
      </w:r>
      <w:r w:rsidRPr="00394612">
        <w:rPr>
          <w:rFonts w:cstheme="majorBidi"/>
        </w:rPr>
        <w:t>.</w:t>
      </w:r>
    </w:p>
    <w:p w14:paraId="3DA9A5FD" w14:textId="77777777" w:rsidR="0053054D" w:rsidRPr="00747238" w:rsidRDefault="0053054D">
      <w:pPr>
        <w:suppressAutoHyphens w:val="0"/>
        <w:autoSpaceDN/>
        <w:spacing w:after="0" w:line="240" w:lineRule="auto"/>
        <w:jc w:val="left"/>
        <w:rPr>
          <w:rFonts w:cstheme="majorBidi"/>
        </w:rPr>
      </w:pPr>
      <w:r w:rsidRPr="00747238">
        <w:rPr>
          <w:rFonts w:cstheme="majorBidi"/>
        </w:rPr>
        <w:br w:type="page"/>
      </w:r>
    </w:p>
    <w:p w14:paraId="3051AEFB" w14:textId="77777777" w:rsidR="00B9351A" w:rsidRPr="00747238" w:rsidRDefault="0053054D" w:rsidP="0053054D">
      <w:pPr>
        <w:pStyle w:val="Heading1"/>
        <w:rPr>
          <w:rFonts w:cstheme="majorBidi"/>
        </w:rPr>
      </w:pPr>
      <w:bookmarkStart w:id="1" w:name="_Toc227590269"/>
      <w:r w:rsidRPr="00747238">
        <w:rPr>
          <w:rFonts w:cstheme="majorBidi"/>
        </w:rPr>
        <w:t>Part B Report: Applying Erikson’s theory to improve psychological wellbeing in older adults in residential care</w:t>
      </w:r>
      <w:bookmarkEnd w:id="1"/>
    </w:p>
    <w:p w14:paraId="48B2A561" w14:textId="77777777" w:rsidR="0053054D" w:rsidRPr="00747238" w:rsidRDefault="0053054D" w:rsidP="0053054D">
      <w:pPr>
        <w:pStyle w:val="Heading2"/>
        <w:rPr>
          <w:rFonts w:cstheme="majorBidi"/>
        </w:rPr>
      </w:pPr>
      <w:bookmarkStart w:id="2" w:name="_Toc227590270"/>
      <w:r w:rsidRPr="00747238">
        <w:rPr>
          <w:rFonts w:cstheme="majorBidi"/>
        </w:rPr>
        <w:t>Introduction</w:t>
      </w:r>
      <w:bookmarkEnd w:id="2"/>
    </w:p>
    <w:p w14:paraId="087F5E0C" w14:textId="77777777" w:rsidR="0053054D" w:rsidRPr="00747238" w:rsidRDefault="0053054D" w:rsidP="0053054D">
      <w:pPr>
        <w:rPr>
          <w:rFonts w:cstheme="majorBidi"/>
        </w:rPr>
      </w:pPr>
      <w:r w:rsidRPr="00747238">
        <w:rPr>
          <w:rFonts w:cstheme="majorBidi"/>
        </w:rPr>
        <w:t>This report outlines the application of Erikson theory in enhancing psychological wellbeing in residential care, provides a case scenario to explain the practical value of the theory and outlines one of the challenges that professionals may encounter in its application.</w:t>
      </w:r>
    </w:p>
    <w:p w14:paraId="1947A3BD" w14:textId="77777777" w:rsidR="0053054D" w:rsidRPr="00747238" w:rsidRDefault="0053054D" w:rsidP="0053054D">
      <w:pPr>
        <w:pStyle w:val="Heading2"/>
        <w:rPr>
          <w:rFonts w:cstheme="majorBidi"/>
        </w:rPr>
      </w:pPr>
      <w:bookmarkStart w:id="3" w:name="_Toc227590271"/>
      <w:r w:rsidRPr="00747238">
        <w:rPr>
          <w:rFonts w:cstheme="majorBidi"/>
        </w:rPr>
        <w:t>Application in practice</w:t>
      </w:r>
      <w:bookmarkEnd w:id="3"/>
    </w:p>
    <w:p w14:paraId="6C615808" w14:textId="77777777" w:rsidR="0053054D" w:rsidRPr="00747238" w:rsidRDefault="0053054D" w:rsidP="0053054D">
      <w:pPr>
        <w:rPr>
          <w:rFonts w:cstheme="majorBidi"/>
        </w:rPr>
      </w:pPr>
      <w:r w:rsidRPr="00747238">
        <w:rPr>
          <w:rFonts w:cstheme="majorBidi"/>
        </w:rPr>
        <w:t>Life review is one of the practical approaches to the theory of Erikson in residential care. According to Butler (1963), life review is a natural process that occurs in old age whereby individuals re-examine past experiences and attempt to make them coherent to their sense of self. Structured reminiscence, staff talks, books of life stories, family photographs, music and culturally familiar objects can be used to support this. In a meta-analysis, Lin et al. (2024) discovered that life review therapy and reminiscence interventions have the potential to alleviate late-life depression, thus indicating that reflective interventions may have actual psychological advantages. This is significant in care homes, where the emotional distress would otherwise be viewed as a symptom to be managed rather than an issue of developmental conflict associated to meaning and identity.</w:t>
      </w:r>
    </w:p>
    <w:p w14:paraId="6D7B2AF5" w14:textId="77777777" w:rsidR="0053054D" w:rsidRPr="00747238" w:rsidRDefault="0053054D" w:rsidP="0053054D">
      <w:pPr>
        <w:rPr>
          <w:rFonts w:cstheme="majorBidi"/>
        </w:rPr>
      </w:pPr>
      <w:r w:rsidRPr="00747238">
        <w:rPr>
          <w:rFonts w:cstheme="majorBidi"/>
        </w:rPr>
        <w:t>When applying the theory of Erikson to the practice of professionals, who work in an older adults care home, they would be required to incorporate an identity-centered care into their daily activities. The residents must be referred to as those with histories, relationships, preferences and achievements and not just people with care needs. This approach can be assisted by person-centred assessment and care planning to recognise the entire person and advance dignity, autonomy, and psychological wellbeing (World Health Organization, 2025). Similarly, NICE (2013) says that older individuals in the care facility need to be assisted in their personal identity and engage in a meaningful activity to enhance mental wellbeing.</w:t>
      </w:r>
    </w:p>
    <w:p w14:paraId="292BE32E" w14:textId="77777777" w:rsidR="0053054D" w:rsidRPr="00747238" w:rsidRDefault="0053054D" w:rsidP="0053054D">
      <w:pPr>
        <w:rPr>
          <w:rFonts w:cstheme="majorBidi"/>
        </w:rPr>
      </w:pPr>
      <w:r w:rsidRPr="00747238">
        <w:rPr>
          <w:rFonts w:cstheme="majorBidi"/>
        </w:rPr>
        <w:t>A realistic case scenario is that of Mrs Begum, an 86-year-old resident who moved into a care home after a stroke and the death of her husband. She is withdrawn since admission, frequently claims that she is no use anymore, and does not like group activities. With the aid of the Erikson theory, employees can interpret her unhappiness as not just depressive. It is a conflict of integrity and hopelessness. One of the key workers initiates short weekly review of her life with Mrs Begum, through family photographs and discussion of her previous work as a mother, neighbour and cook. Her identity is also backed by the staff in their normal day-to-day activities as they invite her to contribute in menu selection and discussing traditional foods. Gradually, she starts talking in a more positive manner about her life and is more interested in people. This is based on the idea of life review as proposed by Butler (1963) and is endorsed by the available evidence that reflection and reminiscence can enhance mood in old age (Lin et al., 2024).</w:t>
      </w:r>
    </w:p>
    <w:p w14:paraId="13B71E07" w14:textId="77777777" w:rsidR="0053054D" w:rsidRPr="00747238" w:rsidRDefault="0053054D" w:rsidP="0053054D">
      <w:pPr>
        <w:pStyle w:val="Heading2"/>
        <w:rPr>
          <w:rFonts w:cstheme="majorBidi"/>
        </w:rPr>
      </w:pPr>
      <w:bookmarkStart w:id="4" w:name="_Toc227590272"/>
      <w:r w:rsidRPr="00747238">
        <w:rPr>
          <w:rFonts w:cstheme="majorBidi"/>
        </w:rPr>
        <w:t>One challenge and a strategy to overcome it</w:t>
      </w:r>
      <w:bookmarkEnd w:id="4"/>
    </w:p>
    <w:p w14:paraId="73079C80" w14:textId="77777777" w:rsidR="0053054D" w:rsidRPr="00747238" w:rsidRDefault="0053054D" w:rsidP="0053054D">
      <w:pPr>
        <w:rPr>
          <w:rFonts w:cstheme="majorBidi"/>
        </w:rPr>
      </w:pPr>
      <w:r w:rsidRPr="00747238">
        <w:rPr>
          <w:rFonts w:cstheme="majorBidi"/>
        </w:rPr>
        <w:t>One of the main issues with the implementation of the Erikson theory is that the practice in care homes is frequently influenced by the lack of time, shortages, and task-oriented regimes. Staff might experience that meaningful conversations and life review work are excessive in time. Moreover, certain residents might be cognitively impaired, or there are sensory losses or trauma records, which can render reflective work more delicate and complicated. It was discovered by Dezutter, Toussaint and Dewitte (2019) that older adults in residential care have to balance the concepts of integrity and despair, which is a challenging task, and emotional readjustment is not always immediate.</w:t>
      </w:r>
    </w:p>
    <w:p w14:paraId="060BCFEB" w14:textId="77777777" w:rsidR="0053054D" w:rsidRPr="00747238" w:rsidRDefault="0053054D" w:rsidP="0053054D">
      <w:pPr>
        <w:rPr>
          <w:rFonts w:cstheme="majorBidi"/>
        </w:rPr>
      </w:pPr>
      <w:r w:rsidRPr="00747238">
        <w:rPr>
          <w:rFonts w:cstheme="majorBidi"/>
        </w:rPr>
        <w:t>One approach that is practical will be to incorporate this theory in routine care as opposed to considering it a supplementary intervention. Short prompts presented in identity terms can be used by staff during meals, personal care and social contact, whereas families can assist in the creation of life story materials to support care plans. Person-centred communication training will also enhance skills of using reminiscence safely and respectfully. This renders the theory of Erikson practical in everyday practice and in accordance with the general advice on the person-centred care and mental wellbeing in older adults (NICE, 2013; World Health Organization, 2025).</w:t>
      </w:r>
    </w:p>
    <w:p w14:paraId="0E340FC4" w14:textId="77777777" w:rsidR="0053054D" w:rsidRPr="00747238" w:rsidRDefault="0053054D" w:rsidP="0053054D">
      <w:pPr>
        <w:pStyle w:val="Heading2"/>
        <w:rPr>
          <w:rFonts w:cstheme="majorBidi"/>
        </w:rPr>
      </w:pPr>
      <w:bookmarkStart w:id="5" w:name="_Toc227590273"/>
      <w:r w:rsidRPr="00747238">
        <w:rPr>
          <w:rFonts w:cstheme="majorBidi"/>
        </w:rPr>
        <w:t>Conclusion</w:t>
      </w:r>
      <w:bookmarkEnd w:id="5"/>
    </w:p>
    <w:p w14:paraId="7E4D77D0" w14:textId="77777777" w:rsidR="0096682C" w:rsidRPr="00747238" w:rsidRDefault="0053054D" w:rsidP="0096682C">
      <w:pPr>
        <w:rPr>
          <w:rFonts w:cstheme="majorBidi"/>
        </w:rPr>
      </w:pPr>
      <w:r w:rsidRPr="00747238">
        <w:rPr>
          <w:rFonts w:cstheme="majorBidi"/>
        </w:rPr>
        <w:t>To sum up, the theory by Erikson can be used as an effective tool in enhancing the psychological wellbeing of older adults living in residential care. Its emphasis on integrity and despair assists professionals to see the worth of meaning, identity and reflection in later life. The staff can help the residents feel appreciated, empathized and identified with their life history by employing the life review and person-centred care techniques. Though this may be difficult due to the time pressure and complicated needs, incorporation of identity-based care into daily practice is the realistic and effective solution.</w:t>
      </w:r>
    </w:p>
    <w:p w14:paraId="7CFA6DCE" w14:textId="77777777" w:rsidR="0053054D" w:rsidRPr="00747238" w:rsidRDefault="0096682C" w:rsidP="0096682C">
      <w:pPr>
        <w:pStyle w:val="Heading1"/>
        <w:rPr>
          <w:rFonts w:cstheme="majorBidi"/>
        </w:rPr>
      </w:pPr>
      <w:bookmarkStart w:id="6" w:name="_Toc227590274"/>
      <w:r w:rsidRPr="00747238">
        <w:rPr>
          <w:rFonts w:cstheme="majorBidi"/>
        </w:rPr>
        <w:t>References</w:t>
      </w:r>
      <w:bookmarkEnd w:id="6"/>
    </w:p>
    <w:p w14:paraId="2E5372CB" w14:textId="77777777" w:rsidR="0096682C" w:rsidRPr="0096682C" w:rsidRDefault="0096682C" w:rsidP="0096682C">
      <w:pPr>
        <w:rPr>
          <w:rFonts w:cstheme="majorBidi"/>
        </w:rPr>
      </w:pPr>
      <w:r w:rsidRPr="0096682C">
        <w:rPr>
          <w:rFonts w:cstheme="majorBidi"/>
        </w:rPr>
        <w:t xml:space="preserve">Adams, K.B., Leibbrandt, S. and Moon, H. (2011) ‘A critical review of the literature on social and leisure activity and wellbeing in later life’, </w:t>
      </w:r>
      <w:r w:rsidRPr="0096682C">
        <w:rPr>
          <w:rFonts w:cstheme="majorBidi"/>
          <w:i/>
          <w:iCs/>
        </w:rPr>
        <w:t>Ageing &amp; Society</w:t>
      </w:r>
      <w:r w:rsidRPr="0096682C">
        <w:rPr>
          <w:rFonts w:cstheme="majorBidi"/>
        </w:rPr>
        <w:t>, 31(4), pp. 683–712.</w:t>
      </w:r>
    </w:p>
    <w:p w14:paraId="5267B26E" w14:textId="77777777" w:rsidR="0096682C" w:rsidRPr="0096682C" w:rsidRDefault="0096682C" w:rsidP="0096682C">
      <w:pPr>
        <w:rPr>
          <w:rFonts w:cstheme="majorBidi"/>
        </w:rPr>
      </w:pPr>
      <w:r w:rsidRPr="0096682C">
        <w:rPr>
          <w:rFonts w:cstheme="majorBidi"/>
        </w:rPr>
        <w:t xml:space="preserve">Butler, R.N. (1963) ‘The life review: An interpretation of reminiscence in the aged’, </w:t>
      </w:r>
      <w:r w:rsidRPr="0096682C">
        <w:rPr>
          <w:rFonts w:cstheme="majorBidi"/>
          <w:i/>
          <w:iCs/>
        </w:rPr>
        <w:t>Psychiatry</w:t>
      </w:r>
      <w:r w:rsidRPr="0096682C">
        <w:rPr>
          <w:rFonts w:cstheme="majorBidi"/>
        </w:rPr>
        <w:t>, 26, pp. 65–76.</w:t>
      </w:r>
    </w:p>
    <w:p w14:paraId="6F351A3F" w14:textId="77777777" w:rsidR="0096682C" w:rsidRPr="0096682C" w:rsidRDefault="0096682C" w:rsidP="0096682C">
      <w:pPr>
        <w:rPr>
          <w:rFonts w:cstheme="majorBidi"/>
        </w:rPr>
      </w:pPr>
      <w:r w:rsidRPr="0096682C">
        <w:rPr>
          <w:rFonts w:cstheme="majorBidi"/>
        </w:rPr>
        <w:t xml:space="preserve">Dezutter, J., Toussaint, L. and Dewitte, L. (2019) ‘Finding a balance between integrity and despair: A challenging task for older adults in residential care’, </w:t>
      </w:r>
      <w:r w:rsidRPr="0096682C">
        <w:rPr>
          <w:rFonts w:cstheme="majorBidi"/>
          <w:i/>
          <w:iCs/>
        </w:rPr>
        <w:t>Journal of Adult Development</w:t>
      </w:r>
      <w:r w:rsidRPr="0096682C">
        <w:rPr>
          <w:rFonts w:cstheme="majorBidi"/>
        </w:rPr>
        <w:t>, 27(2), pp. 1–10.</w:t>
      </w:r>
    </w:p>
    <w:p w14:paraId="633CDF7E" w14:textId="77777777" w:rsidR="0096682C" w:rsidRPr="0096682C" w:rsidRDefault="0096682C" w:rsidP="0096682C">
      <w:pPr>
        <w:rPr>
          <w:rFonts w:cstheme="majorBidi"/>
        </w:rPr>
      </w:pPr>
      <w:r w:rsidRPr="0096682C">
        <w:rPr>
          <w:rFonts w:cstheme="majorBidi"/>
        </w:rPr>
        <w:t xml:space="preserve">Erikson, E.H. and Erikson, J.M. (1998) </w:t>
      </w:r>
      <w:r w:rsidRPr="0096682C">
        <w:rPr>
          <w:rFonts w:cstheme="majorBidi"/>
          <w:i/>
          <w:iCs/>
        </w:rPr>
        <w:t>The life cycle completed</w:t>
      </w:r>
      <w:r w:rsidRPr="0096682C">
        <w:rPr>
          <w:rFonts w:cstheme="majorBidi"/>
        </w:rPr>
        <w:t>. Extended version. New York: W.W. Norton &amp; Company.</w:t>
      </w:r>
    </w:p>
    <w:p w14:paraId="3156C150" w14:textId="77777777" w:rsidR="0096682C" w:rsidRPr="0096682C" w:rsidRDefault="0096682C" w:rsidP="0096682C">
      <w:pPr>
        <w:rPr>
          <w:rFonts w:cstheme="majorBidi"/>
        </w:rPr>
      </w:pPr>
      <w:r w:rsidRPr="0096682C">
        <w:rPr>
          <w:rFonts w:cstheme="majorBidi"/>
        </w:rPr>
        <w:t xml:space="preserve">Gilleard, C. (2020) ‘The final stage of human development? Erikson’s view of integrity and old age’, </w:t>
      </w:r>
      <w:r w:rsidRPr="0096682C">
        <w:rPr>
          <w:rFonts w:cstheme="majorBidi"/>
          <w:i/>
          <w:iCs/>
        </w:rPr>
        <w:t>International Journal of Ageing and Later Life</w:t>
      </w:r>
      <w:r w:rsidRPr="0096682C">
        <w:rPr>
          <w:rFonts w:cstheme="majorBidi"/>
        </w:rPr>
        <w:t>, 14(2), pp. 139–162.</w:t>
      </w:r>
    </w:p>
    <w:p w14:paraId="6842DA0D" w14:textId="77777777" w:rsidR="0096682C" w:rsidRPr="0096682C" w:rsidRDefault="0096682C" w:rsidP="0096682C">
      <w:pPr>
        <w:rPr>
          <w:rFonts w:cstheme="majorBidi"/>
        </w:rPr>
      </w:pPr>
      <w:r w:rsidRPr="0096682C">
        <w:rPr>
          <w:rFonts w:cstheme="majorBidi"/>
        </w:rPr>
        <w:t xml:space="preserve">Gilleard, C. (2020) ‘The final stage of human development? Erikson’s view of integrity and old age’, </w:t>
      </w:r>
      <w:r w:rsidRPr="0096682C">
        <w:rPr>
          <w:rFonts w:cstheme="majorBidi"/>
          <w:i/>
          <w:iCs/>
        </w:rPr>
        <w:t>International Journal of Ageing and Later Life</w:t>
      </w:r>
      <w:r w:rsidRPr="0096682C">
        <w:rPr>
          <w:rFonts w:cstheme="majorBidi"/>
        </w:rPr>
        <w:t>, 14(2), pp. 95–112.</w:t>
      </w:r>
    </w:p>
    <w:p w14:paraId="67B40335" w14:textId="77777777" w:rsidR="0096682C" w:rsidRPr="0096682C" w:rsidRDefault="0096682C" w:rsidP="0096682C">
      <w:pPr>
        <w:rPr>
          <w:rFonts w:cstheme="majorBidi"/>
        </w:rPr>
      </w:pPr>
      <w:r w:rsidRPr="0096682C">
        <w:rPr>
          <w:rFonts w:cstheme="majorBidi"/>
        </w:rPr>
        <w:t xml:space="preserve">Lin, J., Zhao, R., Li, H., Lei, Y. and Cuijpers, P. (2024) ‘Looking back on life: An updated meta-analysis of the effect of life review therapy and reminiscence on late-life depression’, </w:t>
      </w:r>
      <w:r w:rsidRPr="0096682C">
        <w:rPr>
          <w:rFonts w:cstheme="majorBidi"/>
          <w:i/>
          <w:iCs/>
        </w:rPr>
        <w:t>Journal of Affective Disorders</w:t>
      </w:r>
      <w:r w:rsidRPr="0096682C">
        <w:rPr>
          <w:rFonts w:cstheme="majorBidi"/>
        </w:rPr>
        <w:t>, 347, pp. 163–174.</w:t>
      </w:r>
    </w:p>
    <w:p w14:paraId="7FEBE3F6" w14:textId="77777777" w:rsidR="0096682C" w:rsidRPr="0096682C" w:rsidRDefault="0096682C" w:rsidP="0096682C">
      <w:pPr>
        <w:rPr>
          <w:rFonts w:cstheme="majorBidi"/>
        </w:rPr>
      </w:pPr>
      <w:r w:rsidRPr="0096682C">
        <w:rPr>
          <w:rFonts w:cstheme="majorBidi"/>
        </w:rPr>
        <w:t xml:space="preserve">Luo, M., Moulder, R.G., Breitfelder, L.K. and Röcke, C. (2024) ‘Activity diversity and well-being in daily life: Evidence for heterogeneity between older adults’, </w:t>
      </w:r>
      <w:r w:rsidRPr="0096682C">
        <w:rPr>
          <w:rFonts w:cstheme="majorBidi"/>
          <w:i/>
          <w:iCs/>
        </w:rPr>
        <w:t>The Journals of Gerontology: Series B</w:t>
      </w:r>
      <w:r w:rsidRPr="0096682C">
        <w:rPr>
          <w:rFonts w:cstheme="majorBidi"/>
        </w:rPr>
        <w:t>, 79(6), gbae025.</w:t>
      </w:r>
    </w:p>
    <w:p w14:paraId="58BD210F" w14:textId="77777777" w:rsidR="0096682C" w:rsidRPr="0096682C" w:rsidRDefault="0096682C" w:rsidP="0096682C">
      <w:pPr>
        <w:rPr>
          <w:rFonts w:cstheme="majorBidi"/>
        </w:rPr>
      </w:pPr>
      <w:r w:rsidRPr="0096682C">
        <w:rPr>
          <w:rFonts w:cstheme="majorBidi"/>
        </w:rPr>
        <w:t xml:space="preserve">National Institute for Health and Care Excellence (2013) </w:t>
      </w:r>
      <w:r w:rsidRPr="0096682C">
        <w:rPr>
          <w:rFonts w:cstheme="majorBidi"/>
          <w:i/>
          <w:iCs/>
        </w:rPr>
        <w:t>Mental wellbeing of older people in care homes (QS50)</w:t>
      </w:r>
      <w:r w:rsidRPr="0096682C">
        <w:rPr>
          <w:rFonts w:cstheme="majorBidi"/>
        </w:rPr>
        <w:t>. London: NICE.</w:t>
      </w:r>
    </w:p>
    <w:p w14:paraId="6AAA1B02" w14:textId="77777777" w:rsidR="0096682C" w:rsidRPr="0096682C" w:rsidRDefault="0096682C" w:rsidP="0096682C">
      <w:pPr>
        <w:rPr>
          <w:rFonts w:cstheme="majorBidi"/>
        </w:rPr>
      </w:pPr>
      <w:r w:rsidRPr="0096682C">
        <w:rPr>
          <w:rFonts w:cstheme="majorBidi"/>
        </w:rPr>
        <w:t xml:space="preserve">World Health Organization (2025) </w:t>
      </w:r>
      <w:r w:rsidRPr="0096682C">
        <w:rPr>
          <w:rFonts w:cstheme="majorBidi"/>
          <w:i/>
          <w:iCs/>
        </w:rPr>
        <w:t>Integrated care for older people (ICOPE): Guidance for person-centred assessment and pathways in primary care</w:t>
      </w:r>
      <w:r w:rsidRPr="0096682C">
        <w:rPr>
          <w:rFonts w:cstheme="majorBidi"/>
        </w:rPr>
        <w:t>. 2nd edn. Geneva: World Health Organization.</w:t>
      </w:r>
    </w:p>
    <w:p w14:paraId="1ADAFE69" w14:textId="77777777" w:rsidR="0096682C" w:rsidRPr="00747238" w:rsidRDefault="0096682C" w:rsidP="0096682C">
      <w:pPr>
        <w:rPr>
          <w:rFonts w:cstheme="majorBidi"/>
        </w:rPr>
      </w:pPr>
    </w:p>
    <w:sectPr w:rsidR="0096682C" w:rsidRPr="007472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612"/>
    <w:rsid w:val="0006752D"/>
    <w:rsid w:val="000D4F95"/>
    <w:rsid w:val="000E5143"/>
    <w:rsid w:val="00127D25"/>
    <w:rsid w:val="0017023B"/>
    <w:rsid w:val="00235728"/>
    <w:rsid w:val="002A6743"/>
    <w:rsid w:val="00394612"/>
    <w:rsid w:val="00485811"/>
    <w:rsid w:val="004B0214"/>
    <w:rsid w:val="00504076"/>
    <w:rsid w:val="0053054D"/>
    <w:rsid w:val="005B7643"/>
    <w:rsid w:val="005C0BD0"/>
    <w:rsid w:val="005E41CC"/>
    <w:rsid w:val="006D5DE9"/>
    <w:rsid w:val="00747238"/>
    <w:rsid w:val="008322B3"/>
    <w:rsid w:val="00893CFD"/>
    <w:rsid w:val="008E4B23"/>
    <w:rsid w:val="00946B62"/>
    <w:rsid w:val="0096682C"/>
    <w:rsid w:val="00991E6C"/>
    <w:rsid w:val="009E148D"/>
    <w:rsid w:val="00A11B6C"/>
    <w:rsid w:val="00A653CD"/>
    <w:rsid w:val="00A908AA"/>
    <w:rsid w:val="00AA5E43"/>
    <w:rsid w:val="00AC2473"/>
    <w:rsid w:val="00AD0996"/>
    <w:rsid w:val="00B51B23"/>
    <w:rsid w:val="00B67B16"/>
    <w:rsid w:val="00B9351A"/>
    <w:rsid w:val="00C0569B"/>
    <w:rsid w:val="00C42068"/>
    <w:rsid w:val="00C81B5D"/>
    <w:rsid w:val="00CB7496"/>
    <w:rsid w:val="00D067D7"/>
    <w:rsid w:val="00D15357"/>
    <w:rsid w:val="00D41D6D"/>
    <w:rsid w:val="00DA123B"/>
    <w:rsid w:val="00DB2106"/>
    <w:rsid w:val="00DD0BB0"/>
    <w:rsid w:val="00E14F20"/>
    <w:rsid w:val="00E639F7"/>
    <w:rsid w:val="00F3486F"/>
    <w:rsid w:val="00FB635B"/>
    <w:rsid w:val="00FC5E00"/>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065A3"/>
  <w15:chartTrackingRefBased/>
  <w15:docId w15:val="{CCEDE45D-A8BA-6F48-940F-86BD73ADF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728"/>
    <w:pPr>
      <w:suppressAutoHyphens/>
      <w:autoSpaceDN w:val="0"/>
      <w:spacing w:after="160" w:line="360" w:lineRule="auto"/>
      <w:jc w:val="both"/>
    </w:pPr>
    <w:rPr>
      <w:rFonts w:asciiTheme="majorBidi" w:eastAsia="Calibri" w:hAnsiTheme="majorBidi" w:cs="Times New Roman"/>
      <w:kern w:val="0"/>
      <w:szCs w:val="22"/>
      <w14:ligatures w14:val="none"/>
    </w:rPr>
  </w:style>
  <w:style w:type="paragraph" w:styleId="Heading1">
    <w:name w:val="heading 1"/>
    <w:basedOn w:val="Normal"/>
    <w:next w:val="Normal"/>
    <w:link w:val="Heading1Char"/>
    <w:uiPriority w:val="9"/>
    <w:qFormat/>
    <w:rsid w:val="00394612"/>
    <w:pPr>
      <w:outlineLvl w:val="0"/>
    </w:pPr>
    <w:rPr>
      <w:b/>
      <w:bCs/>
      <w:sz w:val="32"/>
      <w:szCs w:val="28"/>
    </w:rPr>
  </w:style>
  <w:style w:type="paragraph" w:styleId="Heading2">
    <w:name w:val="heading 2"/>
    <w:basedOn w:val="Normal"/>
    <w:next w:val="Normal"/>
    <w:link w:val="Heading2Char"/>
    <w:uiPriority w:val="9"/>
    <w:unhideWhenUsed/>
    <w:qFormat/>
    <w:rsid w:val="0053054D"/>
    <w:pPr>
      <w:outlineLvl w:val="1"/>
    </w:pPr>
    <w:rPr>
      <w:b/>
      <w:bCs/>
      <w:sz w:val="28"/>
      <w:szCs w:val="24"/>
    </w:rPr>
  </w:style>
  <w:style w:type="paragraph" w:styleId="Heading3">
    <w:name w:val="heading 3"/>
    <w:basedOn w:val="Normal"/>
    <w:next w:val="Normal"/>
    <w:link w:val="Heading3Char"/>
    <w:uiPriority w:val="9"/>
    <w:semiHidden/>
    <w:unhideWhenUsed/>
    <w:qFormat/>
    <w:rsid w:val="0053054D"/>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612"/>
    <w:rPr>
      <w:rFonts w:asciiTheme="majorBidi" w:eastAsia="Calibri" w:hAnsiTheme="majorBidi" w:cs="Times New Roman"/>
      <w:b/>
      <w:bCs/>
      <w:kern w:val="0"/>
      <w:sz w:val="32"/>
      <w:szCs w:val="28"/>
      <w:lang w:val="en-GB"/>
      <w14:ligatures w14:val="none"/>
    </w:rPr>
  </w:style>
  <w:style w:type="character" w:customStyle="1" w:styleId="Heading2Char">
    <w:name w:val="Heading 2 Char"/>
    <w:basedOn w:val="DefaultParagraphFont"/>
    <w:link w:val="Heading2"/>
    <w:uiPriority w:val="9"/>
    <w:rsid w:val="0053054D"/>
    <w:rPr>
      <w:rFonts w:asciiTheme="majorBidi" w:eastAsia="Calibri" w:hAnsiTheme="majorBidi" w:cs="Times New Roman"/>
      <w:b/>
      <w:bCs/>
      <w:kern w:val="0"/>
      <w:sz w:val="28"/>
      <w14:ligatures w14:val="none"/>
    </w:rPr>
  </w:style>
  <w:style w:type="character" w:customStyle="1" w:styleId="Heading3Char">
    <w:name w:val="Heading 3 Char"/>
    <w:basedOn w:val="DefaultParagraphFont"/>
    <w:link w:val="Heading3"/>
    <w:uiPriority w:val="9"/>
    <w:semiHidden/>
    <w:rsid w:val="0053054D"/>
    <w:rPr>
      <w:rFonts w:asciiTheme="majorHAnsi" w:eastAsiaTheme="majorEastAsia" w:hAnsiTheme="majorHAnsi" w:cstheme="majorBidi"/>
      <w:color w:val="1F3763" w:themeColor="accent1" w:themeShade="7F"/>
      <w:kern w:val="0"/>
      <w:lang w:val="en-GB"/>
      <w14:ligatures w14:val="none"/>
    </w:rPr>
  </w:style>
  <w:style w:type="character" w:styleId="Hyperlink">
    <w:name w:val="Hyperlink"/>
    <w:uiPriority w:val="99"/>
    <w:unhideWhenUsed/>
    <w:rsid w:val="00747238"/>
    <w:rPr>
      <w:color w:val="0563C1"/>
      <w:u w:val="single"/>
    </w:rPr>
  </w:style>
  <w:style w:type="paragraph" w:styleId="TOCHeading">
    <w:name w:val="TOC Heading"/>
    <w:basedOn w:val="Heading1"/>
    <w:next w:val="Normal"/>
    <w:uiPriority w:val="39"/>
    <w:unhideWhenUsed/>
    <w:qFormat/>
    <w:rsid w:val="00747238"/>
    <w:pPr>
      <w:keepNext/>
      <w:keepLines/>
      <w:suppressAutoHyphens w:val="0"/>
      <w:autoSpaceDN/>
      <w:spacing w:before="240" w:after="0" w:line="259" w:lineRule="auto"/>
      <w:jc w:val="left"/>
      <w:outlineLvl w:val="9"/>
    </w:pPr>
    <w:rPr>
      <w:rFonts w:asciiTheme="majorHAnsi" w:eastAsiaTheme="majorEastAsia" w:hAnsiTheme="majorHAnsi" w:cstheme="majorBidi"/>
      <w:b w:val="0"/>
      <w:bCs w:val="0"/>
      <w:color w:val="2F5496" w:themeColor="accent1" w:themeShade="BF"/>
      <w:szCs w:val="32"/>
      <w:lang w:val="en-US" w:eastAsia="en-US"/>
    </w:rPr>
  </w:style>
  <w:style w:type="paragraph" w:styleId="TOC1">
    <w:name w:val="toc 1"/>
    <w:basedOn w:val="Normal"/>
    <w:next w:val="Normal"/>
    <w:autoRedefine/>
    <w:uiPriority w:val="39"/>
    <w:unhideWhenUsed/>
    <w:rsid w:val="00747238"/>
    <w:pPr>
      <w:suppressAutoHyphens w:val="0"/>
      <w:autoSpaceDN/>
      <w:spacing w:after="100" w:line="240" w:lineRule="auto"/>
      <w:jc w:val="left"/>
    </w:pPr>
    <w:rPr>
      <w:rFonts w:ascii="Arial" w:eastAsia="Arial" w:hAnsi="Arial" w:cs="Arial"/>
      <w:szCs w:val="24"/>
      <w:lang w:val="en-US" w:eastAsia="en-US"/>
    </w:rPr>
  </w:style>
  <w:style w:type="paragraph" w:styleId="TOC2">
    <w:name w:val="toc 2"/>
    <w:basedOn w:val="Normal"/>
    <w:next w:val="Normal"/>
    <w:autoRedefine/>
    <w:uiPriority w:val="39"/>
    <w:unhideWhenUsed/>
    <w:rsid w:val="00747238"/>
    <w:pPr>
      <w:suppressAutoHyphens w:val="0"/>
      <w:autoSpaceDN/>
      <w:spacing w:after="100" w:line="240" w:lineRule="auto"/>
      <w:ind w:left="240"/>
      <w:jc w:val="left"/>
    </w:pPr>
    <w:rPr>
      <w:rFonts w:ascii="Arial" w:eastAsia="Arial" w:hAnsi="Arial" w:cs="Arial"/>
      <w:szCs w:val="24"/>
      <w:lang w:val="en-US" w:eastAsia="en-US"/>
    </w:rPr>
  </w:style>
  <w:style w:type="table" w:styleId="TableGrid">
    <w:name w:val="Table Grid"/>
    <w:basedOn w:val="TableNormal"/>
    <w:uiPriority w:val="39"/>
    <w:rsid w:val="00991E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10847">
      <w:bodyDiv w:val="1"/>
      <w:marLeft w:val="0"/>
      <w:marRight w:val="0"/>
      <w:marTop w:val="0"/>
      <w:marBottom w:val="0"/>
      <w:divBdr>
        <w:top w:val="none" w:sz="0" w:space="0" w:color="auto"/>
        <w:left w:val="none" w:sz="0" w:space="0" w:color="auto"/>
        <w:bottom w:val="none" w:sz="0" w:space="0" w:color="auto"/>
        <w:right w:val="none" w:sz="0" w:space="0" w:color="auto"/>
      </w:divBdr>
    </w:div>
    <w:div w:id="338894711">
      <w:bodyDiv w:val="1"/>
      <w:marLeft w:val="0"/>
      <w:marRight w:val="0"/>
      <w:marTop w:val="0"/>
      <w:marBottom w:val="0"/>
      <w:divBdr>
        <w:top w:val="none" w:sz="0" w:space="0" w:color="auto"/>
        <w:left w:val="none" w:sz="0" w:space="0" w:color="auto"/>
        <w:bottom w:val="none" w:sz="0" w:space="0" w:color="auto"/>
        <w:right w:val="none" w:sz="0" w:space="0" w:color="auto"/>
      </w:divBdr>
    </w:div>
    <w:div w:id="661082003">
      <w:bodyDiv w:val="1"/>
      <w:marLeft w:val="0"/>
      <w:marRight w:val="0"/>
      <w:marTop w:val="0"/>
      <w:marBottom w:val="0"/>
      <w:divBdr>
        <w:top w:val="none" w:sz="0" w:space="0" w:color="auto"/>
        <w:left w:val="none" w:sz="0" w:space="0" w:color="auto"/>
        <w:bottom w:val="none" w:sz="0" w:space="0" w:color="auto"/>
        <w:right w:val="none" w:sz="0" w:space="0" w:color="auto"/>
      </w:divBdr>
    </w:div>
    <w:div w:id="818545302">
      <w:bodyDiv w:val="1"/>
      <w:marLeft w:val="0"/>
      <w:marRight w:val="0"/>
      <w:marTop w:val="0"/>
      <w:marBottom w:val="0"/>
      <w:divBdr>
        <w:top w:val="none" w:sz="0" w:space="0" w:color="auto"/>
        <w:left w:val="none" w:sz="0" w:space="0" w:color="auto"/>
        <w:bottom w:val="none" w:sz="0" w:space="0" w:color="auto"/>
        <w:right w:val="none" w:sz="0" w:space="0" w:color="auto"/>
      </w:divBdr>
    </w:div>
    <w:div w:id="939870394">
      <w:bodyDiv w:val="1"/>
      <w:marLeft w:val="0"/>
      <w:marRight w:val="0"/>
      <w:marTop w:val="0"/>
      <w:marBottom w:val="0"/>
      <w:divBdr>
        <w:top w:val="none" w:sz="0" w:space="0" w:color="auto"/>
        <w:left w:val="none" w:sz="0" w:space="0" w:color="auto"/>
        <w:bottom w:val="none" w:sz="0" w:space="0" w:color="auto"/>
        <w:right w:val="none" w:sz="0" w:space="0" w:color="auto"/>
      </w:divBdr>
    </w:div>
    <w:div w:id="948008420">
      <w:bodyDiv w:val="1"/>
      <w:marLeft w:val="0"/>
      <w:marRight w:val="0"/>
      <w:marTop w:val="0"/>
      <w:marBottom w:val="0"/>
      <w:divBdr>
        <w:top w:val="none" w:sz="0" w:space="0" w:color="auto"/>
        <w:left w:val="none" w:sz="0" w:space="0" w:color="auto"/>
        <w:bottom w:val="none" w:sz="0" w:space="0" w:color="auto"/>
        <w:right w:val="none" w:sz="0" w:space="0" w:color="auto"/>
      </w:divBdr>
    </w:div>
    <w:div w:id="1491797352">
      <w:bodyDiv w:val="1"/>
      <w:marLeft w:val="0"/>
      <w:marRight w:val="0"/>
      <w:marTop w:val="0"/>
      <w:marBottom w:val="0"/>
      <w:divBdr>
        <w:top w:val="none" w:sz="0" w:space="0" w:color="auto"/>
        <w:left w:val="none" w:sz="0" w:space="0" w:color="auto"/>
        <w:bottom w:val="none" w:sz="0" w:space="0" w:color="auto"/>
        <w:right w:val="none" w:sz="0" w:space="0" w:color="auto"/>
      </w:divBdr>
    </w:div>
    <w:div w:id="212391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2077</Words>
  <Characters>11839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amne amirah</cp:lastModifiedBy>
  <cp:revision>2</cp:revision>
  <dcterms:created xsi:type="dcterms:W3CDTF">2026-04-20T22:40:00Z</dcterms:created>
  <dcterms:modified xsi:type="dcterms:W3CDTF">2026-04-20T22:40:00Z</dcterms:modified>
</cp:coreProperties>
</file>