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3002F" w14:textId="59EE91EB" w:rsidR="00403714" w:rsidRDefault="000E2E7E">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Default="000E2E7E"/>
    <w:p w14:paraId="73022E7D" w14:textId="77777777" w:rsidR="000E2E7E" w:rsidRDefault="000E2E7E">
      <w:pPr>
        <w:rPr>
          <w:sz w:val="52"/>
          <w:szCs w:val="52"/>
        </w:rPr>
      </w:pPr>
    </w:p>
    <w:p w14:paraId="0C87A799" w14:textId="2E11B833" w:rsidR="000E2E7E" w:rsidRPr="000E2E7E" w:rsidRDefault="000E2E7E">
      <w:pPr>
        <w:rPr>
          <w:b/>
          <w:bCs/>
          <w:sz w:val="52"/>
          <w:szCs w:val="52"/>
        </w:rPr>
      </w:pPr>
      <w:r w:rsidRPr="000E2E7E">
        <w:rPr>
          <w:b/>
          <w:bCs/>
          <w:sz w:val="52"/>
          <w:szCs w:val="52"/>
        </w:rPr>
        <w:t>Module Code:</w:t>
      </w:r>
      <w:r>
        <w:rPr>
          <w:b/>
          <w:bCs/>
          <w:sz w:val="52"/>
          <w:szCs w:val="52"/>
        </w:rPr>
        <w:t xml:space="preserve">  </w:t>
      </w:r>
      <w:r w:rsidRPr="000E2E7E">
        <w:rPr>
          <w:b/>
          <w:bCs/>
          <w:sz w:val="48"/>
          <w:szCs w:val="48"/>
        </w:rPr>
        <w:t>ECAD</w:t>
      </w:r>
      <w:r w:rsidR="00510D18">
        <w:rPr>
          <w:b/>
          <w:bCs/>
          <w:sz w:val="48"/>
          <w:szCs w:val="48"/>
        </w:rPr>
        <w:t>5014</w:t>
      </w:r>
    </w:p>
    <w:p w14:paraId="10FFAE95" w14:textId="77777777" w:rsidR="000E2E7E" w:rsidRPr="000E2E7E" w:rsidRDefault="000E2E7E">
      <w:pPr>
        <w:rPr>
          <w:b/>
          <w:bCs/>
          <w:sz w:val="52"/>
          <w:szCs w:val="52"/>
        </w:rPr>
      </w:pPr>
    </w:p>
    <w:p w14:paraId="12C585B1" w14:textId="77777777" w:rsidR="000E2E7E" w:rsidRDefault="000E2E7E">
      <w:pPr>
        <w:rPr>
          <w:b/>
          <w:bCs/>
          <w:sz w:val="52"/>
          <w:szCs w:val="52"/>
        </w:rPr>
      </w:pPr>
      <w:r w:rsidRPr="000E2E7E">
        <w:rPr>
          <w:b/>
          <w:bCs/>
          <w:sz w:val="52"/>
          <w:szCs w:val="52"/>
        </w:rPr>
        <w:t>Assignment Title:</w:t>
      </w:r>
      <w:r>
        <w:rPr>
          <w:b/>
          <w:bCs/>
          <w:sz w:val="52"/>
          <w:szCs w:val="52"/>
        </w:rPr>
        <w:t xml:space="preserve"> </w:t>
      </w:r>
    </w:p>
    <w:p w14:paraId="1648AA10" w14:textId="0F7AD627" w:rsidR="000E2E7E" w:rsidRPr="000E2E7E" w:rsidRDefault="00510D18">
      <w:pPr>
        <w:rPr>
          <w:b/>
          <w:bCs/>
          <w:sz w:val="52"/>
          <w:szCs w:val="52"/>
        </w:rPr>
      </w:pPr>
      <w:r>
        <w:rPr>
          <w:b/>
          <w:bCs/>
          <w:sz w:val="44"/>
          <w:szCs w:val="44"/>
        </w:rPr>
        <w:t>Design and conduct a small-scale research study, and critically evaluate the chosen research tools, and the impact of your findings on your professional practice.</w:t>
      </w:r>
    </w:p>
    <w:p w14:paraId="78DCE9B9" w14:textId="77777777" w:rsidR="000E2E7E" w:rsidRPr="000E2E7E" w:rsidRDefault="000E2E7E">
      <w:pPr>
        <w:rPr>
          <w:b/>
          <w:bCs/>
          <w:sz w:val="52"/>
          <w:szCs w:val="52"/>
        </w:rPr>
      </w:pPr>
    </w:p>
    <w:p w14:paraId="47D65DC0" w14:textId="37234215" w:rsidR="000E2E7E" w:rsidRPr="000E2E7E" w:rsidRDefault="000E2E7E">
      <w:pPr>
        <w:rPr>
          <w:b/>
          <w:bCs/>
          <w:sz w:val="52"/>
          <w:szCs w:val="52"/>
        </w:rPr>
      </w:pPr>
      <w:r w:rsidRPr="000E2E7E">
        <w:rPr>
          <w:b/>
          <w:bCs/>
          <w:sz w:val="52"/>
          <w:szCs w:val="52"/>
        </w:rPr>
        <w:t>Student Name:</w:t>
      </w:r>
      <w:r w:rsidR="00F441E9">
        <w:rPr>
          <w:b/>
          <w:bCs/>
          <w:sz w:val="52"/>
          <w:szCs w:val="52"/>
        </w:rPr>
        <w:t xml:space="preserve"> Alex Jenkins </w:t>
      </w:r>
    </w:p>
    <w:p w14:paraId="1025240F" w14:textId="0550092B" w:rsidR="000E2E7E" w:rsidRPr="000E2E7E" w:rsidRDefault="000E2E7E">
      <w:pPr>
        <w:rPr>
          <w:b/>
          <w:bCs/>
          <w:sz w:val="52"/>
          <w:szCs w:val="52"/>
        </w:rPr>
      </w:pPr>
      <w:r w:rsidRPr="000E2E7E">
        <w:rPr>
          <w:b/>
          <w:bCs/>
          <w:sz w:val="52"/>
          <w:szCs w:val="52"/>
        </w:rPr>
        <w:t>Student Number:</w:t>
      </w:r>
      <w:r w:rsidR="00F441E9">
        <w:rPr>
          <w:b/>
          <w:bCs/>
          <w:sz w:val="52"/>
          <w:szCs w:val="52"/>
        </w:rPr>
        <w:t xml:space="preserve"> 2205212</w:t>
      </w:r>
    </w:p>
    <w:p w14:paraId="66EB3C44" w14:textId="3EA69FAC" w:rsidR="000E2E7E" w:rsidRDefault="000E2E7E">
      <w:pPr>
        <w:rPr>
          <w:b/>
          <w:bCs/>
          <w:sz w:val="52"/>
          <w:szCs w:val="52"/>
        </w:rPr>
      </w:pPr>
      <w:r w:rsidRPr="000E2E7E">
        <w:rPr>
          <w:b/>
          <w:bCs/>
          <w:sz w:val="52"/>
          <w:szCs w:val="52"/>
        </w:rPr>
        <w:t>BA Primary Education (QTS)</w:t>
      </w:r>
    </w:p>
    <w:p w14:paraId="097A6454" w14:textId="77777777" w:rsidR="000E2E7E" w:rsidRPr="000E2E7E" w:rsidRDefault="000E2E7E">
      <w:pPr>
        <w:rPr>
          <w:b/>
          <w:bCs/>
          <w:sz w:val="52"/>
          <w:szCs w:val="52"/>
        </w:rPr>
      </w:pPr>
    </w:p>
    <w:p w14:paraId="2009F732" w14:textId="5370B39D" w:rsidR="000E2E7E" w:rsidRPr="00A81D8A" w:rsidRDefault="000E2E7E" w:rsidP="000E2E7E">
      <w:pPr>
        <w:rPr>
          <w:b/>
          <w:bCs/>
          <w:sz w:val="32"/>
          <w:szCs w:val="32"/>
          <w:u w:val="single"/>
        </w:rPr>
      </w:pPr>
      <w:r w:rsidRPr="00E243A8">
        <w:rPr>
          <w:b/>
          <w:bCs/>
          <w:sz w:val="32"/>
          <w:szCs w:val="32"/>
          <w:u w:val="single"/>
        </w:rPr>
        <w:lastRenderedPageBreak/>
        <w:t>AI Acknowledgement</w:t>
      </w:r>
    </w:p>
    <w:p w14:paraId="395CF8DB" w14:textId="7CD7EE5A" w:rsidR="000E2E7E" w:rsidRPr="00DD5969" w:rsidRDefault="000E2E7E" w:rsidP="000E2E7E">
      <w:r w:rsidRPr="00DD5969">
        <w:t xml:space="preserve">I acknowledge the use of </w:t>
      </w:r>
      <w:proofErr w:type="spellStart"/>
      <w:r w:rsidR="00A81D8A">
        <w:t>Chatgpt</w:t>
      </w:r>
      <w:proofErr w:type="spellEnd"/>
      <w:r w:rsidR="00A81D8A">
        <w:t xml:space="preserve"> </w:t>
      </w:r>
      <w:r w:rsidRPr="00DD5969">
        <w:t>on [</w:t>
      </w:r>
      <w:r w:rsidR="00A81D8A">
        <w:t>30</w:t>
      </w:r>
      <w:r w:rsidR="00A81D8A" w:rsidRPr="00A81D8A">
        <w:rPr>
          <w:vertAlign w:val="superscript"/>
        </w:rPr>
        <w:t>th</w:t>
      </w:r>
      <w:r w:rsidR="00A81D8A">
        <w:t xml:space="preserve"> March to transcribe my interviews</w:t>
      </w:r>
      <w:r w:rsidRPr="00DD5969">
        <w:t>.</w:t>
      </w:r>
      <w:r w:rsidR="00A81D8A">
        <w:t xml:space="preserve"> And </w:t>
      </w:r>
      <w:r w:rsidR="00A81D8A" w:rsidRPr="00DD5969">
        <w:t>to</w:t>
      </w:r>
      <w:r w:rsidR="00A81D8A">
        <w:t xml:space="preserve"> help me </w:t>
      </w:r>
      <w:r w:rsidR="00F441E9">
        <w:t xml:space="preserve">research. I </w:t>
      </w:r>
      <w:r w:rsidRPr="00DD5969">
        <w:t xml:space="preserve">used the prompt(s): </w:t>
      </w:r>
    </w:p>
    <w:p w14:paraId="3EC3AC2C" w14:textId="629EC882" w:rsidR="000E2E7E" w:rsidRDefault="00A81D8A" w:rsidP="00A81D8A">
      <w:pPr>
        <w:pStyle w:val="ListParagraph"/>
        <w:numPr>
          <w:ilvl w:val="0"/>
          <w:numId w:val="1"/>
        </w:numPr>
      </w:pPr>
      <w:r>
        <w:t xml:space="preserve">Can </w:t>
      </w:r>
      <w:r w:rsidR="00F441E9">
        <w:t>you</w:t>
      </w:r>
      <w:r>
        <w:t xml:space="preserve"> please transcribe these audio files.</w:t>
      </w:r>
    </w:p>
    <w:p w14:paraId="7E36F463" w14:textId="7F159C7A" w:rsidR="00A81D8A" w:rsidRDefault="00A81D8A" w:rsidP="00A81D8A">
      <w:pPr>
        <w:pStyle w:val="ListParagraph"/>
        <w:numPr>
          <w:ilvl w:val="0"/>
          <w:numId w:val="1"/>
        </w:numPr>
      </w:pPr>
      <w:r>
        <w:t xml:space="preserve">Who agrees that success criteria help students. </w:t>
      </w:r>
    </w:p>
    <w:p w14:paraId="37A56935" w14:textId="4D9000E7" w:rsidR="00A81D8A" w:rsidRPr="00DD5969" w:rsidRDefault="00A81D8A" w:rsidP="00A81D8A">
      <w:pPr>
        <w:pStyle w:val="ListParagraph"/>
        <w:numPr>
          <w:ilvl w:val="0"/>
          <w:numId w:val="1"/>
        </w:numPr>
      </w:pPr>
      <w:r>
        <w:t xml:space="preserve">Find me some studies on success criteria in the classroom. </w:t>
      </w:r>
    </w:p>
    <w:p w14:paraId="052A13F9" w14:textId="007F1B45" w:rsidR="00A81D8A" w:rsidRDefault="000E2E7E" w:rsidP="000E2E7E">
      <w:r w:rsidRPr="00DD5969">
        <w:t xml:space="preserve">I confirm that I have not presented any AI generated text as my own work. </w:t>
      </w:r>
    </w:p>
    <w:p w14:paraId="4AC2F274" w14:textId="7DBADFD6" w:rsidR="000E2E7E" w:rsidRDefault="000E2E7E" w:rsidP="000E2E7E">
      <w:r w:rsidRPr="00DD5969">
        <w:t xml:space="preserve">I confirm </w:t>
      </w:r>
      <w:r>
        <w:t xml:space="preserve">that </w:t>
      </w:r>
      <w:r w:rsidRPr="00DD5969">
        <w:t xml:space="preserve">I have copies of my drafts, notes, and other resources I used before and after the use of AI tools which I may be asked to provide in evidence. </w:t>
      </w:r>
    </w:p>
    <w:p w14:paraId="3B533FD1" w14:textId="77777777" w:rsidR="000E2E7E" w:rsidRDefault="000E2E7E" w:rsidP="000E2E7E">
      <w:pPr>
        <w:rPr>
          <w:sz w:val="16"/>
          <w:szCs w:val="16"/>
        </w:rPr>
      </w:pPr>
    </w:p>
    <w:p w14:paraId="6CDE5B9A" w14:textId="77777777" w:rsidR="000E2E7E" w:rsidRDefault="000E2E7E" w:rsidP="000E2E7E">
      <w:pPr>
        <w:rPr>
          <w:sz w:val="16"/>
          <w:szCs w:val="16"/>
        </w:rPr>
      </w:pPr>
    </w:p>
    <w:p w14:paraId="576F22A4" w14:textId="77777777" w:rsidR="000E2E7E" w:rsidRDefault="000E2E7E" w:rsidP="000E2E7E">
      <w:pPr>
        <w:rPr>
          <w:sz w:val="16"/>
          <w:szCs w:val="16"/>
        </w:rPr>
      </w:pPr>
    </w:p>
    <w:tbl>
      <w:tblPr>
        <w:tblStyle w:val="TableGrid"/>
        <w:tblW w:w="9282" w:type="dxa"/>
        <w:tblLook w:val="04A0" w:firstRow="1" w:lastRow="0" w:firstColumn="1" w:lastColumn="0" w:noHBand="0" w:noVBand="1"/>
      </w:tblPr>
      <w:tblGrid>
        <w:gridCol w:w="3256"/>
        <w:gridCol w:w="3118"/>
        <w:gridCol w:w="2908"/>
      </w:tblGrid>
      <w:tr w:rsidR="000E2E7E" w:rsidRPr="001B4AB4" w14:paraId="0ADB3F25" w14:textId="77777777" w:rsidTr="000E2E7E">
        <w:trPr>
          <w:trHeight w:val="360"/>
        </w:trPr>
        <w:tc>
          <w:tcPr>
            <w:tcW w:w="3256" w:type="dxa"/>
          </w:tcPr>
          <w:p w14:paraId="2110C93E" w14:textId="45B7432A" w:rsidR="000E2E7E" w:rsidRPr="00121BB2" w:rsidRDefault="000E2E7E" w:rsidP="00AE36BB">
            <w:pPr>
              <w:rPr>
                <w:b/>
                <w:bCs/>
                <w:color w:val="FFFFFF"/>
                <w:sz w:val="28"/>
                <w:szCs w:val="28"/>
                <w:lang w:val="cy-GB"/>
              </w:rPr>
            </w:pPr>
            <w:r w:rsidRPr="00121BB2">
              <w:rPr>
                <w:b/>
                <w:bCs/>
                <w:sz w:val="28"/>
                <w:szCs w:val="28"/>
                <w:lang w:val="cy-GB"/>
              </w:rPr>
              <w:t>Targets from previous module</w:t>
            </w:r>
          </w:p>
        </w:tc>
        <w:tc>
          <w:tcPr>
            <w:tcW w:w="3118" w:type="dxa"/>
          </w:tcPr>
          <w:p w14:paraId="1C0504E0" w14:textId="648CF4FC" w:rsidR="000E2E7E" w:rsidRPr="00121BB2" w:rsidRDefault="000E2E7E" w:rsidP="00AE36BB">
            <w:pPr>
              <w:rPr>
                <w:b/>
                <w:bCs/>
                <w:color w:val="FFFFFF"/>
                <w:sz w:val="28"/>
                <w:szCs w:val="28"/>
                <w:lang w:val="cy-GB"/>
              </w:rPr>
            </w:pPr>
            <w:r w:rsidRPr="00121BB2">
              <w:rPr>
                <w:b/>
                <w:bCs/>
                <w:sz w:val="28"/>
                <w:szCs w:val="28"/>
                <w:lang w:val="cy-GB"/>
              </w:rPr>
              <w:t>How I have worked on these?</w:t>
            </w:r>
          </w:p>
        </w:tc>
        <w:tc>
          <w:tcPr>
            <w:tcW w:w="2908" w:type="dxa"/>
          </w:tcPr>
          <w:p w14:paraId="0ED8A1ED" w14:textId="77777777" w:rsidR="000E2E7E" w:rsidRPr="00121BB2" w:rsidRDefault="000E2E7E" w:rsidP="00AE36BB">
            <w:pPr>
              <w:rPr>
                <w:rFonts w:ascii="Calibri" w:hAnsi="Calibri" w:cs="Calibri"/>
                <w:b/>
                <w:bCs/>
                <w:sz w:val="28"/>
                <w:szCs w:val="28"/>
                <w:lang w:val="cy-GB"/>
              </w:rPr>
            </w:pPr>
            <w:r w:rsidRPr="00121BB2">
              <w:rPr>
                <w:rFonts w:ascii="Calibri" w:hAnsi="Calibri" w:cs="Calibri"/>
                <w:b/>
                <w:bCs/>
                <w:sz w:val="28"/>
                <w:szCs w:val="28"/>
                <w:lang w:val="cy-GB"/>
              </w:rPr>
              <w:t>An example can be seen on…</w:t>
            </w:r>
          </w:p>
          <w:p w14:paraId="0798C571" w14:textId="146BBBF0" w:rsidR="000E2E7E" w:rsidRPr="00121BB2" w:rsidRDefault="000E2E7E" w:rsidP="00AE36BB">
            <w:pPr>
              <w:rPr>
                <w:b/>
                <w:bCs/>
                <w:color w:val="FFFFFF"/>
                <w:sz w:val="28"/>
                <w:szCs w:val="28"/>
                <w:lang w:val="cy-GB"/>
              </w:rPr>
            </w:pPr>
          </w:p>
        </w:tc>
      </w:tr>
      <w:tr w:rsidR="000E2E7E" w:rsidRPr="001B4AB4" w14:paraId="0EC7171C" w14:textId="77777777" w:rsidTr="000E2E7E">
        <w:trPr>
          <w:trHeight w:val="338"/>
        </w:trPr>
        <w:tc>
          <w:tcPr>
            <w:tcW w:w="3256" w:type="dxa"/>
          </w:tcPr>
          <w:p w14:paraId="5A1EA432" w14:textId="77777777" w:rsidR="00A81D8A" w:rsidRPr="00A81D8A" w:rsidRDefault="00A81D8A" w:rsidP="00A81D8A">
            <w:pPr>
              <w:pStyle w:val="p1"/>
              <w:rPr>
                <w:rFonts w:asciiTheme="minorHAnsi" w:hAnsiTheme="minorHAnsi"/>
                <w:sz w:val="24"/>
                <w:szCs w:val="24"/>
              </w:rPr>
            </w:pPr>
            <w:r w:rsidRPr="00A81D8A">
              <w:rPr>
                <w:rFonts w:asciiTheme="minorHAnsi" w:hAnsiTheme="minorHAnsi"/>
                <w:sz w:val="24"/>
                <w:szCs w:val="24"/>
              </w:rPr>
              <w:t>Endeavour to select a greater depth of appropriate peer-reviewed sources of research for your writing to aid academic support of your key points.”</w:t>
            </w:r>
          </w:p>
          <w:p w14:paraId="4DC5C8A2" w14:textId="77777777" w:rsidR="000E2E7E" w:rsidRDefault="000E2E7E" w:rsidP="00AE36BB">
            <w:pPr>
              <w:rPr>
                <w:lang w:val="cy-GB"/>
              </w:rPr>
            </w:pPr>
          </w:p>
          <w:p w14:paraId="18121FAC" w14:textId="77777777" w:rsidR="000E2E7E" w:rsidRPr="001B4AB4" w:rsidRDefault="000E2E7E" w:rsidP="00AE36BB">
            <w:pPr>
              <w:rPr>
                <w:lang w:val="cy-GB"/>
              </w:rPr>
            </w:pPr>
          </w:p>
        </w:tc>
        <w:tc>
          <w:tcPr>
            <w:tcW w:w="3118" w:type="dxa"/>
          </w:tcPr>
          <w:p w14:paraId="0A55C9ED" w14:textId="727E6318" w:rsidR="000E2E7E" w:rsidRPr="001B4AB4" w:rsidRDefault="00A81D8A" w:rsidP="00AE36BB">
            <w:pPr>
              <w:rPr>
                <w:lang w:val="cy-GB"/>
              </w:rPr>
            </w:pPr>
            <w:r>
              <w:rPr>
                <w:lang w:val="cy-GB"/>
              </w:rPr>
              <w:t>I have used a wider rnage of peer-reviwed sources.</w:t>
            </w:r>
          </w:p>
        </w:tc>
        <w:tc>
          <w:tcPr>
            <w:tcW w:w="2908" w:type="dxa"/>
          </w:tcPr>
          <w:p w14:paraId="183044AB" w14:textId="49198986" w:rsidR="000E2E7E" w:rsidRPr="001B4AB4" w:rsidRDefault="00A81D8A" w:rsidP="00AE36BB">
            <w:pPr>
              <w:rPr>
                <w:lang w:val="cy-GB"/>
              </w:rPr>
            </w:pPr>
            <w:r>
              <w:rPr>
                <w:lang w:val="cy-GB"/>
              </w:rPr>
              <w:t>An example is Vrichton &amp; McDaid who spoke about real classorom percpetions.</w:t>
            </w:r>
          </w:p>
        </w:tc>
      </w:tr>
      <w:tr w:rsidR="000E2E7E" w:rsidRPr="001B4AB4" w14:paraId="388E36FE" w14:textId="77777777" w:rsidTr="000E2E7E">
        <w:trPr>
          <w:trHeight w:val="338"/>
        </w:trPr>
        <w:tc>
          <w:tcPr>
            <w:tcW w:w="3256" w:type="dxa"/>
          </w:tcPr>
          <w:p w14:paraId="2740262D" w14:textId="77777777" w:rsidR="000E2E7E" w:rsidRPr="00A81D8A" w:rsidRDefault="000E2E7E" w:rsidP="00AE36BB">
            <w:pPr>
              <w:rPr>
                <w:sz w:val="24"/>
                <w:szCs w:val="24"/>
                <w:lang w:val="cy-GB"/>
              </w:rPr>
            </w:pPr>
          </w:p>
          <w:p w14:paraId="18E15262" w14:textId="77777777" w:rsidR="00A81D8A" w:rsidRPr="00A81D8A" w:rsidRDefault="00A81D8A" w:rsidP="00A81D8A">
            <w:pPr>
              <w:pStyle w:val="p1"/>
              <w:rPr>
                <w:rFonts w:asciiTheme="minorHAnsi" w:hAnsiTheme="minorHAnsi"/>
                <w:sz w:val="24"/>
                <w:szCs w:val="24"/>
              </w:rPr>
            </w:pPr>
            <w:r w:rsidRPr="00A81D8A">
              <w:rPr>
                <w:rFonts w:asciiTheme="minorHAnsi" w:hAnsiTheme="minorHAnsi"/>
                <w:sz w:val="24"/>
                <w:szCs w:val="24"/>
              </w:rPr>
              <w:t>“Continue to develop a critical approach throughout, offering the opposing view/ aspects to be cautious with and limitations whenever possible. Try to avoid the large descriptive summaries where possible.”</w:t>
            </w:r>
          </w:p>
          <w:p w14:paraId="06CE4F7D" w14:textId="77777777" w:rsidR="000E2E7E" w:rsidRPr="001B4AB4" w:rsidRDefault="000E2E7E" w:rsidP="00A81D8A">
            <w:pPr>
              <w:jc w:val="center"/>
              <w:rPr>
                <w:lang w:val="cy-GB"/>
              </w:rPr>
            </w:pPr>
          </w:p>
        </w:tc>
        <w:tc>
          <w:tcPr>
            <w:tcW w:w="3118" w:type="dxa"/>
          </w:tcPr>
          <w:p w14:paraId="33CC185F" w14:textId="67AA9881" w:rsidR="000E2E7E" w:rsidRPr="001B4AB4" w:rsidRDefault="00A81D8A" w:rsidP="00AE36BB">
            <w:pPr>
              <w:rPr>
                <w:lang w:val="cy-GB"/>
              </w:rPr>
            </w:pPr>
            <w:r>
              <w:rPr>
                <w:lang w:val="cy-GB"/>
              </w:rPr>
              <w:t xml:space="preserve">I questioned Success criteria and Leanring objecties </w:t>
            </w:r>
          </w:p>
        </w:tc>
        <w:tc>
          <w:tcPr>
            <w:tcW w:w="2908" w:type="dxa"/>
          </w:tcPr>
          <w:p w14:paraId="37CFC390" w14:textId="77777777" w:rsidR="000E2E7E" w:rsidRPr="001B4AB4" w:rsidRDefault="000E2E7E" w:rsidP="00AE36BB">
            <w:pPr>
              <w:rPr>
                <w:lang w:val="cy-GB"/>
              </w:rPr>
            </w:pPr>
          </w:p>
        </w:tc>
      </w:tr>
      <w:tr w:rsidR="000E2E7E" w:rsidRPr="001B4AB4" w14:paraId="05EE73CD" w14:textId="77777777" w:rsidTr="000E2E7E">
        <w:trPr>
          <w:trHeight w:val="338"/>
        </w:trPr>
        <w:tc>
          <w:tcPr>
            <w:tcW w:w="3256" w:type="dxa"/>
          </w:tcPr>
          <w:p w14:paraId="5C658833" w14:textId="77777777" w:rsidR="000E2E7E" w:rsidRDefault="000E2E7E" w:rsidP="00AE36BB">
            <w:pPr>
              <w:rPr>
                <w:lang w:val="cy-GB"/>
              </w:rPr>
            </w:pPr>
          </w:p>
          <w:p w14:paraId="6B4AD126" w14:textId="77777777" w:rsidR="00A81D8A" w:rsidRPr="00A81D8A" w:rsidRDefault="00A81D8A" w:rsidP="00A81D8A">
            <w:pPr>
              <w:pStyle w:val="p1"/>
              <w:rPr>
                <w:rFonts w:asciiTheme="minorHAnsi" w:hAnsiTheme="minorHAnsi"/>
                <w:sz w:val="24"/>
                <w:szCs w:val="24"/>
              </w:rPr>
            </w:pPr>
            <w:r w:rsidRPr="00A81D8A">
              <w:rPr>
                <w:rFonts w:asciiTheme="minorHAnsi" w:hAnsiTheme="minorHAnsi"/>
                <w:sz w:val="24"/>
                <w:szCs w:val="24"/>
              </w:rPr>
              <w:t>Further elaborate on the very good points identified with even greater critical reflection.”</w:t>
            </w:r>
          </w:p>
          <w:p w14:paraId="42E07348" w14:textId="77777777" w:rsidR="000E2E7E" w:rsidRPr="001B4AB4" w:rsidRDefault="000E2E7E" w:rsidP="00AE36BB">
            <w:pPr>
              <w:rPr>
                <w:lang w:val="cy-GB"/>
              </w:rPr>
            </w:pPr>
          </w:p>
        </w:tc>
        <w:tc>
          <w:tcPr>
            <w:tcW w:w="3118" w:type="dxa"/>
          </w:tcPr>
          <w:p w14:paraId="37B37629" w14:textId="09990C1F" w:rsidR="000E2E7E" w:rsidRPr="001B4AB4" w:rsidRDefault="00A81D8A" w:rsidP="00AE36BB">
            <w:pPr>
              <w:rPr>
                <w:lang w:val="cy-GB"/>
              </w:rPr>
            </w:pPr>
            <w:r>
              <w:rPr>
                <w:lang w:val="cy-GB"/>
              </w:rPr>
              <w:t xml:space="preserve">I have expanded on more of my key points </w:t>
            </w:r>
          </w:p>
        </w:tc>
        <w:tc>
          <w:tcPr>
            <w:tcW w:w="2908" w:type="dxa"/>
          </w:tcPr>
          <w:p w14:paraId="7AC8D709" w14:textId="27C4BFEA" w:rsidR="000E2E7E" w:rsidRPr="001B4AB4" w:rsidRDefault="00A81D8A" w:rsidP="00AE36BB">
            <w:pPr>
              <w:rPr>
                <w:lang w:val="cy-GB"/>
              </w:rPr>
            </w:pPr>
            <w:r>
              <w:rPr>
                <w:lang w:val="cy-GB"/>
              </w:rPr>
              <w:t xml:space="preserve">I asked </w:t>
            </w:r>
            <w:r w:rsidR="00F441E9">
              <w:rPr>
                <w:lang w:val="cy-GB"/>
              </w:rPr>
              <w:t xml:space="preserve">questions such as </w:t>
            </w:r>
            <w:r>
              <w:rPr>
                <w:lang w:val="cy-GB"/>
              </w:rPr>
              <w:t xml:space="preserve"> </w:t>
            </w:r>
            <w:r w:rsidR="00F441E9">
              <w:rPr>
                <w:lang w:val="cy-GB"/>
              </w:rPr>
              <w:t>“</w:t>
            </w:r>
            <w:r>
              <w:rPr>
                <w:lang w:val="cy-GB"/>
              </w:rPr>
              <w:t>why does this mean your leanring?</w:t>
            </w:r>
            <w:r w:rsidR="00F441E9">
              <w:rPr>
                <w:lang w:val="cy-GB"/>
              </w:rPr>
              <w:t>”</w:t>
            </w:r>
          </w:p>
        </w:tc>
      </w:tr>
    </w:tbl>
    <w:p w14:paraId="44B6B5EF" w14:textId="77777777" w:rsidR="000E2E7E" w:rsidRPr="000E2E7E" w:rsidRDefault="000E2E7E" w:rsidP="000E2E7E">
      <w:pPr>
        <w:rPr>
          <w:sz w:val="16"/>
          <w:szCs w:val="16"/>
          <w:lang w:val="cy-GB"/>
        </w:rPr>
      </w:pPr>
    </w:p>
    <w:p w14:paraId="4CF6C14B" w14:textId="77777777" w:rsidR="000E2E7E" w:rsidRDefault="000E2E7E" w:rsidP="000E2E7E">
      <w:pPr>
        <w:rPr>
          <w:sz w:val="16"/>
          <w:szCs w:val="16"/>
        </w:rPr>
      </w:pPr>
    </w:p>
    <w:p w14:paraId="316233A3" w14:textId="77777777" w:rsidR="000E2E7E" w:rsidRDefault="000E2E7E" w:rsidP="000E2E7E">
      <w:pPr>
        <w:rPr>
          <w:sz w:val="16"/>
          <w:szCs w:val="16"/>
        </w:rPr>
      </w:pPr>
    </w:p>
    <w:p w14:paraId="10B5BB2D" w14:textId="77777777" w:rsidR="00A81D8A" w:rsidRPr="00F441E9" w:rsidRDefault="00A81D8A" w:rsidP="00A81D8A">
      <w:pPr>
        <w:rPr>
          <w:rFonts w:ascii="Arial" w:hAnsi="Arial" w:cs="Arial"/>
          <w:u w:val="single"/>
        </w:rPr>
      </w:pPr>
      <w:r w:rsidRPr="00F441E9">
        <w:rPr>
          <w:rFonts w:ascii="Arial" w:hAnsi="Arial" w:cs="Arial"/>
          <w:u w:val="single"/>
        </w:rPr>
        <w:t>Exploring the perspective of year six students and teachers on how showing a clear learning objective and success criteria effects the learners, learning outcome.</w:t>
      </w:r>
    </w:p>
    <w:p w14:paraId="26DA5D87" w14:textId="77777777" w:rsidR="00A81D8A" w:rsidRPr="00F441E9" w:rsidRDefault="00A81D8A" w:rsidP="00A81D8A">
      <w:pPr>
        <w:rPr>
          <w:rFonts w:ascii="Arial" w:hAnsi="Arial" w:cs="Arial"/>
        </w:rPr>
      </w:pPr>
    </w:p>
    <w:p w14:paraId="2242D604" w14:textId="46A2F496" w:rsidR="00A81D8A" w:rsidRPr="00F441E9" w:rsidRDefault="00F441E9" w:rsidP="00A81D8A">
      <w:pPr>
        <w:pStyle w:val="NormalWeb"/>
        <w:rPr>
          <w:rFonts w:ascii="Arial" w:hAnsi="Arial" w:cs="Arial"/>
          <w:color w:val="000000"/>
        </w:rPr>
      </w:pPr>
      <w:r w:rsidRPr="00F441E9">
        <w:rPr>
          <w:rFonts w:ascii="Arial" w:hAnsi="Arial" w:cs="Arial"/>
          <w:color w:val="000000"/>
        </w:rPr>
        <w:t>Introduction</w:t>
      </w:r>
    </w:p>
    <w:p w14:paraId="58C3785B" w14:textId="77777777" w:rsidR="00F441E9" w:rsidRPr="00F441E9" w:rsidRDefault="00F441E9" w:rsidP="00F441E9">
      <w:pPr>
        <w:pStyle w:val="NormalWeb"/>
        <w:rPr>
          <w:rFonts w:ascii="Arial" w:hAnsi="Arial" w:cs="Arial"/>
          <w:color w:val="000000"/>
        </w:rPr>
      </w:pPr>
      <w:r w:rsidRPr="00F441E9">
        <w:rPr>
          <w:rFonts w:ascii="Arial" w:hAnsi="Arial" w:cs="Arial"/>
          <w:color w:val="000000"/>
        </w:rPr>
        <w:t>Assessment for Learning (</w:t>
      </w:r>
      <w:proofErr w:type="spellStart"/>
      <w:r w:rsidRPr="00F441E9">
        <w:rPr>
          <w:rFonts w:ascii="Arial" w:hAnsi="Arial" w:cs="Arial"/>
          <w:color w:val="000000"/>
        </w:rPr>
        <w:t>AfL</w:t>
      </w:r>
      <w:proofErr w:type="spellEnd"/>
      <w:r w:rsidRPr="00F441E9">
        <w:rPr>
          <w:rFonts w:ascii="Arial" w:hAnsi="Arial" w:cs="Arial"/>
          <w:color w:val="000000"/>
        </w:rPr>
        <w:t xml:space="preserve">) is widely recognised as a key strategy in promoting effective pupil progress. </w:t>
      </w:r>
      <w:proofErr w:type="spellStart"/>
      <w:r w:rsidRPr="00F441E9">
        <w:rPr>
          <w:rFonts w:ascii="Arial" w:hAnsi="Arial" w:cs="Arial"/>
          <w:color w:val="000000"/>
        </w:rPr>
        <w:t>AfL</w:t>
      </w:r>
      <w:proofErr w:type="spellEnd"/>
      <w:r w:rsidRPr="00F441E9">
        <w:rPr>
          <w:rFonts w:ascii="Arial" w:hAnsi="Arial" w:cs="Arial"/>
          <w:color w:val="000000"/>
        </w:rPr>
        <w:t xml:space="preserve"> encompasses a range of approaches, including self-assessment and peer assessment. This research, however, focuses specifically on the use of clear success criteria (SC) and learning objectives (LOs), which aim to help learners understand expectations and take ownership of their learning. Conducted in a Welsh primary school and aligned with the principles of the Curriculum for Wales, this study investigates the perspectives of Year 6 learners and their teachers on how clearly communicated LOs and SC influence engagement, understanding, and overall learning outcomes. By exploring both student and teacher perspectives, this research aims to identify key benefits, practical challenges, and implications for reflective classroom practice.</w:t>
      </w:r>
    </w:p>
    <w:p w14:paraId="03717E18" w14:textId="77777777" w:rsidR="00F441E9" w:rsidRPr="00F441E9" w:rsidRDefault="00F441E9" w:rsidP="00A81D8A">
      <w:pPr>
        <w:pStyle w:val="NormalWeb"/>
        <w:rPr>
          <w:rFonts w:ascii="Arial" w:hAnsi="Arial" w:cs="Arial"/>
          <w:color w:val="000000"/>
        </w:rPr>
      </w:pPr>
    </w:p>
    <w:p w14:paraId="518B4660" w14:textId="1624F6A1" w:rsidR="00F441E9" w:rsidRPr="00F441E9" w:rsidRDefault="00F441E9" w:rsidP="00A81D8A">
      <w:pPr>
        <w:pStyle w:val="NormalWeb"/>
        <w:rPr>
          <w:rFonts w:ascii="Arial" w:hAnsi="Arial" w:cs="Arial"/>
          <w:color w:val="000000"/>
        </w:rPr>
      </w:pPr>
      <w:r w:rsidRPr="00F441E9">
        <w:rPr>
          <w:rFonts w:ascii="Arial" w:hAnsi="Arial" w:cs="Arial"/>
          <w:color w:val="000000"/>
        </w:rPr>
        <w:t>Literature review</w:t>
      </w:r>
    </w:p>
    <w:p w14:paraId="26DC1AE8"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Many studies identify success criteria and learning objectives as central components of Assessment for Learning, designed to help pupils set learning goals, monitor their progress, and reflect on their learning. These strategies are widely endorsed across the educational literature as tools that can enhance metacognition, encourage learner autonomy, and support formative assessment practices (Black &amp; </w:t>
      </w:r>
      <w:proofErr w:type="spellStart"/>
      <w:r w:rsidRPr="00F441E9">
        <w:rPr>
          <w:rFonts w:ascii="Arial" w:hAnsi="Arial" w:cs="Arial"/>
          <w:sz w:val="24"/>
          <w:szCs w:val="24"/>
        </w:rPr>
        <w:t>Wiliam</w:t>
      </w:r>
      <w:proofErr w:type="spellEnd"/>
      <w:r w:rsidRPr="00F441E9">
        <w:rPr>
          <w:rFonts w:ascii="Arial" w:hAnsi="Arial" w:cs="Arial"/>
          <w:sz w:val="24"/>
          <w:szCs w:val="24"/>
        </w:rPr>
        <w:t>, 1998; Clarke, 2014; Hattie, 2009). However, despite the strong theoretical and policy-level endorsement of SC and LOs, their impact in real classroom settings relies heavily on how they are interpreted, communicated, and embedded in daily practice. Importantly, both teacher and pupil perceptions significantly shape their value and effectiveness, suggesting that implementation alone is not sufficient, therefore stating that contextual understanding is key.</w:t>
      </w:r>
    </w:p>
    <w:p w14:paraId="65010C39" w14:textId="77777777" w:rsidR="00F441E9" w:rsidRPr="00F441E9" w:rsidRDefault="00F441E9" w:rsidP="00F441E9">
      <w:pPr>
        <w:pStyle w:val="p2"/>
        <w:rPr>
          <w:rFonts w:ascii="Arial" w:hAnsi="Arial" w:cs="Arial"/>
          <w:sz w:val="24"/>
          <w:szCs w:val="24"/>
        </w:rPr>
      </w:pPr>
    </w:p>
    <w:p w14:paraId="743ECDA8"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Clear LOs and SC are frequently regarded as powerful tools for improving pupil motivation, engagement, and attainment. Hattie (2012), cited in Eagan (2023), found that success criteria can significantly boost achievement, with an effect size of 0.88, indicating a potentially transformative impact on learning outcomes when used effectively. These tools are designed to give pupils a clearer sense of what they are learning and what success looks like, contributing to a more purposeful and focused classroom environment. Snow (2022) further supports this by reporting that primary learners who understood the purpose of SC and LOs felt more confident, independent, and willing to take ownership of their learning.</w:t>
      </w:r>
    </w:p>
    <w:p w14:paraId="286495E7" w14:textId="77777777" w:rsidR="00F441E9" w:rsidRPr="00F441E9" w:rsidRDefault="00F441E9" w:rsidP="00F441E9">
      <w:pPr>
        <w:pStyle w:val="p2"/>
        <w:rPr>
          <w:rFonts w:ascii="Arial" w:hAnsi="Arial" w:cs="Arial"/>
          <w:sz w:val="24"/>
          <w:szCs w:val="24"/>
        </w:rPr>
      </w:pPr>
    </w:p>
    <w:p w14:paraId="35D779BD"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However, other studies suggest that the potential of these tools is not always realised in everyday practice. Crichton and McDaid (2016), for instance, observed that many pupils perceived SC and LOs as superficial tasks, for example routine features of a lesson’s opening, but rarely revisited or used to support reflection. In </w:t>
      </w:r>
      <w:r w:rsidRPr="00F441E9">
        <w:rPr>
          <w:rFonts w:ascii="Arial" w:hAnsi="Arial" w:cs="Arial"/>
          <w:sz w:val="24"/>
          <w:szCs w:val="24"/>
        </w:rPr>
        <w:lastRenderedPageBreak/>
        <w:t xml:space="preserve">such cases, the criteria often became a performative exercise, disconnected from the learning process. This finding aligns with concerns raised by </w:t>
      </w:r>
      <w:proofErr w:type="spellStart"/>
      <w:r w:rsidRPr="00F441E9">
        <w:rPr>
          <w:rFonts w:ascii="Arial" w:hAnsi="Arial" w:cs="Arial"/>
          <w:sz w:val="24"/>
          <w:szCs w:val="24"/>
        </w:rPr>
        <w:t>Wiliam</w:t>
      </w:r>
      <w:proofErr w:type="spellEnd"/>
      <w:r w:rsidRPr="00F441E9">
        <w:rPr>
          <w:rFonts w:ascii="Arial" w:hAnsi="Arial" w:cs="Arial"/>
          <w:sz w:val="24"/>
          <w:szCs w:val="24"/>
        </w:rPr>
        <w:t xml:space="preserve"> (2011), who emphasised that </w:t>
      </w:r>
      <w:proofErr w:type="spellStart"/>
      <w:r w:rsidRPr="00F441E9">
        <w:rPr>
          <w:rFonts w:ascii="Arial" w:hAnsi="Arial" w:cs="Arial"/>
          <w:sz w:val="24"/>
          <w:szCs w:val="24"/>
        </w:rPr>
        <w:t>AfL</w:t>
      </w:r>
      <w:proofErr w:type="spellEnd"/>
      <w:r w:rsidRPr="00F441E9">
        <w:rPr>
          <w:rFonts w:ascii="Arial" w:hAnsi="Arial" w:cs="Arial"/>
          <w:sz w:val="24"/>
          <w:szCs w:val="24"/>
        </w:rPr>
        <w:t xml:space="preserve"> must be embedded throughout the learning cycle rather than treated as a checklist at the start of a lesson. When SC and LOs are not revisited, or when pupils are not encouraged to engage with them meaningfully, their potential to encourage deep learning and critical thinking may be lost. These findings underscore the importance of investigating how Year 6 learners and their teachers perceive the use and clarity of SC and LOs in the flow of daily classroom interactions, not just in theory.</w:t>
      </w:r>
    </w:p>
    <w:p w14:paraId="266611B1" w14:textId="77777777" w:rsidR="00F441E9" w:rsidRPr="00F441E9" w:rsidRDefault="00F441E9" w:rsidP="00F441E9">
      <w:pPr>
        <w:pStyle w:val="p2"/>
        <w:rPr>
          <w:rFonts w:ascii="Arial" w:hAnsi="Arial" w:cs="Arial"/>
          <w:sz w:val="24"/>
          <w:szCs w:val="24"/>
        </w:rPr>
      </w:pPr>
    </w:p>
    <w:p w14:paraId="34C17876"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Equally important is the role of the teacher in shaping how SC and LOs are implemented and experienced. Teachers’ understanding, confidence, and training in using these tools meaningfully can greatly influence their classroom impact. Adesanya and Graham (2022), researching in South African classrooms, found that teachers often struggled to use SC and LOs in a way that truly supported formative assessment. However, professional development interventions such as MERLO were shown to enhance teacher clarity and confidence in applying these strategies. Similarly, Crichton and McDaid (2016) reported that UK teachers’ interpretations of SC and LOs were inconsistent, with some aligning more closely with policy mandates than with pedagogically sound practice. These inconsistencies are often compounded by systemic pressures such as time constraints, curriculum coverage demands, and insufficient professional learning. As such, while the theoretical benefits of </w:t>
      </w:r>
      <w:proofErr w:type="spellStart"/>
      <w:r w:rsidRPr="00F441E9">
        <w:rPr>
          <w:rFonts w:ascii="Arial" w:hAnsi="Arial" w:cs="Arial"/>
          <w:sz w:val="24"/>
          <w:szCs w:val="24"/>
        </w:rPr>
        <w:t>AfL</w:t>
      </w:r>
      <w:proofErr w:type="spellEnd"/>
      <w:r w:rsidRPr="00F441E9">
        <w:rPr>
          <w:rFonts w:ascii="Arial" w:hAnsi="Arial" w:cs="Arial"/>
          <w:sz w:val="24"/>
          <w:szCs w:val="24"/>
        </w:rPr>
        <w:t xml:space="preserve"> are widely accepted, the translation of these concepts into everyday practice is far more complex. This study aims to examine how Year 6 teachers interpret and use SC and LOs in their own classrooms, and whether their approaches align with pupils’ experiences and needs.</w:t>
      </w:r>
    </w:p>
    <w:p w14:paraId="7D371371" w14:textId="77777777" w:rsidR="00F441E9" w:rsidRPr="00F441E9" w:rsidRDefault="00F441E9" w:rsidP="00F441E9">
      <w:pPr>
        <w:pStyle w:val="p2"/>
        <w:rPr>
          <w:rFonts w:ascii="Arial" w:hAnsi="Arial" w:cs="Arial"/>
          <w:sz w:val="24"/>
          <w:szCs w:val="24"/>
        </w:rPr>
      </w:pPr>
    </w:p>
    <w:p w14:paraId="44F1C851"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Understanding pupil perspectives is vital in evaluating the real-world effectiveness of SC and LOs. Snow (2022) found that while many pupils benefited from the clarity these tools provided, others felt unsure of their purpose—particularly when explanations were unclear or inconsistent. Crichton and McDaid (2016) similarly noted that many pupils viewed SC and LOs as tasks to be written down, but not actively used or revisited during learning. Eagan (2023) warns that poorly explained or tokenistic SC can foster passive, compliant behaviours rather than independent, reflective learning. This highlights a clear gap in the literature: while much attention has been paid to the theoretical benefits of SC and LOs, there is comparatively less focus on how pupils </w:t>
      </w:r>
      <w:proofErr w:type="gramStart"/>
      <w:r w:rsidRPr="00F441E9">
        <w:rPr>
          <w:rFonts w:ascii="Arial" w:hAnsi="Arial" w:cs="Arial"/>
          <w:sz w:val="24"/>
          <w:szCs w:val="24"/>
        </w:rPr>
        <w:t>actually make</w:t>
      </w:r>
      <w:proofErr w:type="gramEnd"/>
      <w:r w:rsidRPr="00F441E9">
        <w:rPr>
          <w:rFonts w:ascii="Arial" w:hAnsi="Arial" w:cs="Arial"/>
          <w:sz w:val="24"/>
          <w:szCs w:val="24"/>
        </w:rPr>
        <w:t xml:space="preserve"> sense of these tools within the realities of their classroom experience. This research responds to that gap by exploring the interpretations and experiences of Year 6 learners, seeking to understand how these tools are perceived, applied, and potentially internalised in their everyday learning journeys.</w:t>
      </w:r>
    </w:p>
    <w:p w14:paraId="2553E4BB" w14:textId="77777777" w:rsidR="00F441E9" w:rsidRPr="00F441E9" w:rsidRDefault="00F441E9" w:rsidP="00A81D8A">
      <w:pPr>
        <w:pStyle w:val="NormalWeb"/>
        <w:rPr>
          <w:rFonts w:ascii="Arial" w:hAnsi="Arial" w:cs="Arial"/>
          <w:color w:val="000000"/>
        </w:rPr>
      </w:pPr>
    </w:p>
    <w:p w14:paraId="3324A611" w14:textId="5FA7D20D" w:rsidR="00F441E9" w:rsidRPr="00F441E9" w:rsidRDefault="00F441E9" w:rsidP="00A81D8A">
      <w:pPr>
        <w:pStyle w:val="NormalWeb"/>
        <w:rPr>
          <w:rFonts w:ascii="Arial" w:hAnsi="Arial" w:cs="Arial"/>
          <w:color w:val="000000"/>
        </w:rPr>
      </w:pPr>
      <w:r w:rsidRPr="00F441E9">
        <w:rPr>
          <w:rFonts w:ascii="Arial" w:hAnsi="Arial" w:cs="Arial"/>
          <w:color w:val="000000"/>
        </w:rPr>
        <w:t>Methodology</w:t>
      </w:r>
    </w:p>
    <w:p w14:paraId="39A50FE4" w14:textId="77777777" w:rsidR="00F441E9" w:rsidRPr="00F441E9" w:rsidRDefault="00F441E9" w:rsidP="00F441E9">
      <w:pPr>
        <w:pStyle w:val="NormalWeb"/>
        <w:rPr>
          <w:rFonts w:ascii="Arial" w:hAnsi="Arial" w:cs="Arial"/>
          <w:color w:val="000000"/>
        </w:rPr>
      </w:pPr>
      <w:r w:rsidRPr="00F441E9">
        <w:rPr>
          <w:rFonts w:ascii="Arial" w:hAnsi="Arial" w:cs="Arial"/>
          <w:color w:val="000000"/>
        </w:rPr>
        <w:t xml:space="preserve">The research was carried out in one mainstream primary school in Wales. Seventeen Year 6 pupils participated by completing questionnaires, and three small-group interviews were conducted with five pupils per group. These group interviews were designed to encourage informal, peer-supported discussions and allow for </w:t>
      </w:r>
      <w:r w:rsidRPr="00F441E9">
        <w:rPr>
          <w:rFonts w:ascii="Arial" w:hAnsi="Arial" w:cs="Arial"/>
          <w:color w:val="000000"/>
        </w:rPr>
        <w:lastRenderedPageBreak/>
        <w:t>diverse voices to emerge. Four teaching staff also completed a questionnaire, and one teacher provided additional insights through an asynchronous email interview due to scheduling constraints. Purposive sampling (</w:t>
      </w:r>
      <w:proofErr w:type="spellStart"/>
      <w:r w:rsidRPr="00F441E9">
        <w:rPr>
          <w:rFonts w:ascii="Arial" w:hAnsi="Arial" w:cs="Arial"/>
          <w:color w:val="000000"/>
        </w:rPr>
        <w:t>Etikan</w:t>
      </w:r>
      <w:proofErr w:type="spellEnd"/>
      <w:r w:rsidRPr="00F441E9">
        <w:rPr>
          <w:rFonts w:ascii="Arial" w:hAnsi="Arial" w:cs="Arial"/>
          <w:color w:val="000000"/>
        </w:rPr>
        <w:t xml:space="preserve"> et al., 2016) was used to ensure that all participants had direct and recent experience of using SC and LOs in the classroom. This type of sampling was appropriate given the study’s aim to generate insight from those directly involved, rather than aiming for statistical generalisability.</w:t>
      </w:r>
    </w:p>
    <w:p w14:paraId="0C5F5DF8" w14:textId="77777777" w:rsidR="00F441E9" w:rsidRPr="00F441E9" w:rsidRDefault="00F441E9" w:rsidP="00F441E9">
      <w:pPr>
        <w:pStyle w:val="NormalWeb"/>
        <w:rPr>
          <w:rFonts w:ascii="Arial" w:hAnsi="Arial" w:cs="Arial"/>
          <w:color w:val="000000"/>
        </w:rPr>
      </w:pPr>
      <w:r w:rsidRPr="00F441E9">
        <w:rPr>
          <w:rFonts w:ascii="Arial" w:hAnsi="Arial" w:cs="Arial"/>
          <w:color w:val="000000"/>
        </w:rPr>
        <w:t>Data collection combined questionnaires and semi-structured interviews, chosen for their flexibility and suitability for capturing both breadth and depth. Pupil and teacher questionnaires were created and delivered using Microsoft Forms, which offered an accessible and efficient way to collect data in an anonymous and user-friendly format. The questionnaires featured a mix of Likert-scale items and open-ended questions. Pupil questions explored how frequently they encountered SC and LOs, their clarity, and how helpful they found them in supporting learning. Teacher questionnaires, in turn, focused on confidence in using SC and LOs, strategies for implementation, and any challenges faced in practice.</w:t>
      </w:r>
    </w:p>
    <w:p w14:paraId="41A4B927" w14:textId="77777777" w:rsidR="00F441E9" w:rsidRPr="00F441E9" w:rsidRDefault="00F441E9" w:rsidP="00F441E9">
      <w:pPr>
        <w:pStyle w:val="NormalWeb"/>
        <w:rPr>
          <w:rFonts w:ascii="Arial" w:hAnsi="Arial" w:cs="Arial"/>
          <w:color w:val="000000"/>
        </w:rPr>
      </w:pPr>
      <w:r w:rsidRPr="00F441E9">
        <w:rPr>
          <w:rFonts w:ascii="Arial" w:hAnsi="Arial" w:cs="Arial"/>
          <w:color w:val="000000"/>
        </w:rPr>
        <w:t xml:space="preserve">Group interviews with pupils were guided by semi-structured prompts developed from the literature and questionnaire findings. This approach allowed for consistency in the topics explored while offering participants the freedom to introduce their own experiences and ideas. As </w:t>
      </w:r>
      <w:proofErr w:type="spellStart"/>
      <w:r w:rsidRPr="00F441E9">
        <w:rPr>
          <w:rFonts w:ascii="Arial" w:hAnsi="Arial" w:cs="Arial"/>
          <w:color w:val="000000"/>
        </w:rPr>
        <w:t>Kvale</w:t>
      </w:r>
      <w:proofErr w:type="spellEnd"/>
      <w:r w:rsidRPr="00F441E9">
        <w:rPr>
          <w:rFonts w:ascii="Arial" w:hAnsi="Arial" w:cs="Arial"/>
          <w:color w:val="000000"/>
        </w:rPr>
        <w:t xml:space="preserve"> (1996) notes, semi-structured interviews balance direction with openness, encouraging participants to share authentic perspectives in their own words. The interviews were conducted in a quiet, familiar setting within the school, helping to create a relaxed atmosphere and minimise power imbalances. Efforts were made to establish a respectful, non-judgmental space where pupils felt comfortable speaking honestly.</w:t>
      </w:r>
    </w:p>
    <w:p w14:paraId="675FE0A3" w14:textId="77777777" w:rsidR="00F441E9" w:rsidRPr="00F441E9" w:rsidRDefault="00F441E9" w:rsidP="00F441E9">
      <w:pPr>
        <w:pStyle w:val="NormalWeb"/>
        <w:rPr>
          <w:rFonts w:ascii="Arial" w:hAnsi="Arial" w:cs="Arial"/>
          <w:color w:val="000000"/>
        </w:rPr>
      </w:pPr>
      <w:r w:rsidRPr="00F441E9">
        <w:rPr>
          <w:rFonts w:ascii="Arial" w:hAnsi="Arial" w:cs="Arial"/>
          <w:color w:val="000000"/>
        </w:rPr>
        <w:t xml:space="preserve">The email interview with the participating teacher included open questions </w:t>
      </w:r>
      <w:proofErr w:type="gramStart"/>
      <w:r w:rsidRPr="00F441E9">
        <w:rPr>
          <w:rFonts w:ascii="Arial" w:hAnsi="Arial" w:cs="Arial"/>
          <w:color w:val="000000"/>
        </w:rPr>
        <w:t>similar to</w:t>
      </w:r>
      <w:proofErr w:type="gramEnd"/>
      <w:r w:rsidRPr="00F441E9">
        <w:rPr>
          <w:rFonts w:ascii="Arial" w:hAnsi="Arial" w:cs="Arial"/>
          <w:color w:val="000000"/>
        </w:rPr>
        <w:t xml:space="preserve"> those in the face-to-face discussions, focusing on how LOs and SC were introduced, explained, adapted, and revisited throughout lessons. While asynchronous formats lack the interactive flow of live interviews, they can be advantageous when time constraints or availability issues prevent in-person engagement (</w:t>
      </w:r>
      <w:proofErr w:type="spellStart"/>
      <w:r w:rsidRPr="00F441E9">
        <w:rPr>
          <w:rFonts w:ascii="Arial" w:hAnsi="Arial" w:cs="Arial"/>
          <w:color w:val="000000"/>
        </w:rPr>
        <w:t>Opdenakker</w:t>
      </w:r>
      <w:proofErr w:type="spellEnd"/>
      <w:r w:rsidRPr="00F441E9">
        <w:rPr>
          <w:rFonts w:ascii="Arial" w:hAnsi="Arial" w:cs="Arial"/>
          <w:color w:val="000000"/>
        </w:rPr>
        <w:t>, 2006).</w:t>
      </w:r>
    </w:p>
    <w:p w14:paraId="6439B464" w14:textId="77777777" w:rsidR="00F441E9" w:rsidRPr="00F441E9" w:rsidRDefault="00F441E9" w:rsidP="00F441E9">
      <w:pPr>
        <w:pStyle w:val="NormalWeb"/>
        <w:rPr>
          <w:rFonts w:ascii="Arial" w:hAnsi="Arial" w:cs="Arial"/>
          <w:color w:val="000000"/>
        </w:rPr>
      </w:pPr>
      <w:r w:rsidRPr="00F441E9">
        <w:rPr>
          <w:rFonts w:ascii="Arial" w:hAnsi="Arial" w:cs="Arial"/>
          <w:color w:val="000000"/>
        </w:rPr>
        <w:t>The research adhered closely to the ethical guidelines set out by the British Educational Research Association (BERA, 2024). Informed consent was obtained from all participating teachers, and parental consent and pupil assent were secured in advance of any data collection. Participation was entirely voluntary, and pseudonyms were used to protect participant anonymity. Given the researcher’s existing professional role within the school, particular care was taken to reduce bias and perceived power imbalances—especially during pupil interviews. Strategies included using neutral, open-ended questioning and clarifying that there were no “right” or “wrong” answers, following Robson’s (2011) advice for minimising influence in practitioner research.</w:t>
      </w:r>
    </w:p>
    <w:p w14:paraId="14CA3EBE" w14:textId="77777777" w:rsidR="00F441E9" w:rsidRPr="00F441E9" w:rsidRDefault="00F441E9" w:rsidP="00F441E9">
      <w:pPr>
        <w:pStyle w:val="NormalWeb"/>
        <w:rPr>
          <w:rFonts w:ascii="Arial" w:hAnsi="Arial" w:cs="Arial"/>
          <w:color w:val="000000"/>
        </w:rPr>
      </w:pPr>
      <w:r w:rsidRPr="00F441E9">
        <w:rPr>
          <w:rFonts w:ascii="Arial" w:hAnsi="Arial" w:cs="Arial"/>
          <w:color w:val="000000"/>
        </w:rPr>
        <w:t xml:space="preserve">Interview transcripts and open-ended questionnaire responses were analysed using thematic analysis, following Braun and Clarke’s (2006) six-phase approach. This involved familiarisation with the data, initial coding, theme development, and ongoing refinement to ensure themes were grounded in the data while remaining focused on the research questions. Codes were generated inductively to allow themes to </w:t>
      </w:r>
      <w:r w:rsidRPr="00F441E9">
        <w:rPr>
          <w:rFonts w:ascii="Arial" w:hAnsi="Arial" w:cs="Arial"/>
          <w:color w:val="000000"/>
        </w:rPr>
        <w:lastRenderedPageBreak/>
        <w:t>emerge naturally rather than being constrained by preconceived categories. Meanwhile, quantitative questionnaire data—such as Likert responses—were analysed descriptively using frequency counts and basic comparisons to highlight trends across participants (Field, 2013).</w:t>
      </w:r>
    </w:p>
    <w:p w14:paraId="2DD5AD68" w14:textId="77777777" w:rsidR="00F441E9" w:rsidRPr="00F441E9" w:rsidRDefault="00F441E9" w:rsidP="00F441E9">
      <w:pPr>
        <w:pStyle w:val="NormalWeb"/>
        <w:rPr>
          <w:rFonts w:ascii="Arial" w:hAnsi="Arial" w:cs="Arial"/>
          <w:color w:val="000000"/>
        </w:rPr>
      </w:pPr>
      <w:r w:rsidRPr="00F441E9">
        <w:rPr>
          <w:rFonts w:ascii="Arial" w:hAnsi="Arial" w:cs="Arial"/>
          <w:color w:val="000000"/>
        </w:rPr>
        <w:t>This combination of thematic and descriptive analysis enabled both depth and clarity, and supported triangulation—helping to validate findings by cross-checking themes across different data sources (Denzin &amp; Lincoln, 2011).</w:t>
      </w:r>
    </w:p>
    <w:p w14:paraId="796A32F6" w14:textId="27BD357D" w:rsidR="00F441E9" w:rsidRPr="00F441E9" w:rsidRDefault="00F441E9" w:rsidP="00F441E9">
      <w:pPr>
        <w:pStyle w:val="NormalWeb"/>
        <w:rPr>
          <w:rFonts w:ascii="Arial" w:hAnsi="Arial" w:cs="Arial"/>
          <w:color w:val="000000"/>
        </w:rPr>
      </w:pPr>
      <w:r w:rsidRPr="00F441E9">
        <w:rPr>
          <w:rFonts w:ascii="Arial" w:hAnsi="Arial" w:cs="Arial"/>
          <w:color w:val="000000"/>
        </w:rPr>
        <w:t xml:space="preserve">A key strength of this study lies in its inclusion of both pupil and teacher perspectives, allowing for comparison between classroom intentions and learner experiences. The use of group interviews supported dynamic discussions, while online questionnaires provided an efficient, accessible tool for gathering diverse data anonymously. The </w:t>
      </w:r>
      <w:r w:rsidRPr="00F441E9">
        <w:rPr>
          <w:rFonts w:ascii="Arial" w:hAnsi="Arial" w:cs="Arial"/>
          <w:color w:val="000000"/>
        </w:rPr>
        <w:t>mixed methods</w:t>
      </w:r>
      <w:r w:rsidRPr="00F441E9">
        <w:rPr>
          <w:rFonts w:ascii="Arial" w:hAnsi="Arial" w:cs="Arial"/>
          <w:color w:val="000000"/>
        </w:rPr>
        <w:t xml:space="preserve"> design further enhanced the credibility and richness of findings.</w:t>
      </w:r>
    </w:p>
    <w:p w14:paraId="4FC5A3F1" w14:textId="20B9CF82" w:rsidR="00F441E9" w:rsidRPr="00F441E9" w:rsidRDefault="00F441E9" w:rsidP="00A81D8A">
      <w:pPr>
        <w:pStyle w:val="NormalWeb"/>
        <w:rPr>
          <w:rFonts w:ascii="Arial" w:hAnsi="Arial" w:cs="Arial"/>
          <w:color w:val="000000"/>
        </w:rPr>
      </w:pPr>
      <w:r w:rsidRPr="00F441E9">
        <w:rPr>
          <w:rFonts w:ascii="Arial" w:hAnsi="Arial" w:cs="Arial"/>
          <w:color w:val="000000"/>
        </w:rPr>
        <w:t>However, the study does have limitations. Its small sample size and single-school setting limit the generalisability of results. The asynchronous nature of the teacher interview also restricted the opportunity to probe deeper into certain areas. Furthermore, the researcher’s dual role as insider may have influenced participant responses, despite conscious efforts to remain neutral and reflexive (Robson, 2011). Future studies could build on this work by extending the sample across multiple schools and including follow-up interviews to further explore emerging themes.</w:t>
      </w:r>
    </w:p>
    <w:p w14:paraId="0FE9CAF8" w14:textId="77777777" w:rsidR="00F441E9" w:rsidRPr="00F441E9" w:rsidRDefault="00F441E9" w:rsidP="00A81D8A">
      <w:pPr>
        <w:pStyle w:val="NormalWeb"/>
        <w:rPr>
          <w:rFonts w:ascii="Arial" w:hAnsi="Arial" w:cs="Arial"/>
          <w:color w:val="000000"/>
        </w:rPr>
      </w:pPr>
    </w:p>
    <w:p w14:paraId="30B441BD" w14:textId="2094C6C1" w:rsidR="00F441E9" w:rsidRPr="00F441E9" w:rsidRDefault="00F441E9" w:rsidP="00A81D8A">
      <w:pPr>
        <w:pStyle w:val="NormalWeb"/>
        <w:rPr>
          <w:rFonts w:ascii="Arial" w:hAnsi="Arial" w:cs="Arial"/>
          <w:color w:val="000000"/>
        </w:rPr>
      </w:pPr>
      <w:r w:rsidRPr="00F441E9">
        <w:rPr>
          <w:rFonts w:ascii="Arial" w:hAnsi="Arial" w:cs="Arial"/>
          <w:color w:val="000000"/>
        </w:rPr>
        <w:t>Findings</w:t>
      </w:r>
    </w:p>
    <w:p w14:paraId="4D95A231"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Findings from this small-scale study revealed that while Year 6 pupils were generally aware of success criteria (SC) and learning objectives (LOs), their engagement with these tools was often limited to the start of lessons. Many pupils described SC and LOs as routine features that were introduced by the teacher but not consistently revisited or used throughout the lesson. One pupil noted, </w:t>
      </w:r>
      <w:r w:rsidRPr="00F441E9">
        <w:rPr>
          <w:rFonts w:ascii="Arial" w:hAnsi="Arial" w:cs="Arial"/>
          <w:i/>
          <w:iCs/>
          <w:sz w:val="24"/>
          <w:szCs w:val="24"/>
        </w:rPr>
        <w:t>“Sometimes I don’t look at it again after the teacher reads it out,”</w:t>
      </w:r>
      <w:r w:rsidRPr="00F441E9">
        <w:rPr>
          <w:rFonts w:ascii="Arial" w:hAnsi="Arial" w:cs="Arial"/>
          <w:sz w:val="24"/>
          <w:szCs w:val="24"/>
        </w:rPr>
        <w:t xml:space="preserve"> echoing concerns raised by Crichton and McDaid (2016), who found that learners may view SC and LOs as superficial tasks when not actively embedded into learning processes. This suggests a disconnect between the presence of SC and LOs in lessons and their meaningful use as learning supports, reinforcing the need for purposeful integration.</w:t>
      </w:r>
    </w:p>
    <w:p w14:paraId="007C056D" w14:textId="77777777" w:rsidR="00F441E9" w:rsidRPr="00F441E9" w:rsidRDefault="00F441E9" w:rsidP="00F441E9">
      <w:pPr>
        <w:pStyle w:val="p2"/>
        <w:rPr>
          <w:rFonts w:ascii="Arial" w:hAnsi="Arial" w:cs="Arial"/>
          <w:sz w:val="24"/>
          <w:szCs w:val="24"/>
        </w:rPr>
      </w:pPr>
    </w:p>
    <w:p w14:paraId="30E8CEFC"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Despite this, some pupils demonstrated a more active relationship with SC and LOs. A small number referred to using checklists or </w:t>
      </w:r>
      <w:proofErr w:type="gramStart"/>
      <w:r w:rsidRPr="00F441E9">
        <w:rPr>
          <w:rFonts w:ascii="Arial" w:hAnsi="Arial" w:cs="Arial"/>
          <w:sz w:val="24"/>
          <w:szCs w:val="24"/>
        </w:rPr>
        <w:t>referring back</w:t>
      </w:r>
      <w:proofErr w:type="gramEnd"/>
      <w:r w:rsidRPr="00F441E9">
        <w:rPr>
          <w:rFonts w:ascii="Arial" w:hAnsi="Arial" w:cs="Arial"/>
          <w:sz w:val="24"/>
          <w:szCs w:val="24"/>
        </w:rPr>
        <w:t xml:space="preserve"> to the objectives when reviewing their work, indicating that when clarity and relevance are achieved, these tools can support self-regulation and reflection. This aligns with Hattie’s (2012) findings, cited in Eagan (2023), which suggest that clear success criteria can enhance metacognitive skills and learner independence. Pupils who reported understanding the purpose of the objectives also expressed increased motivation and confidence. As one pupil shared, </w:t>
      </w:r>
      <w:r w:rsidRPr="00F441E9">
        <w:rPr>
          <w:rFonts w:ascii="Arial" w:hAnsi="Arial" w:cs="Arial"/>
          <w:i/>
          <w:iCs/>
          <w:sz w:val="24"/>
          <w:szCs w:val="24"/>
        </w:rPr>
        <w:t>“It helps when I know why we’re learning something – it makes it more interesting.”</w:t>
      </w:r>
      <w:r w:rsidRPr="00F441E9">
        <w:rPr>
          <w:rFonts w:ascii="Arial" w:hAnsi="Arial" w:cs="Arial"/>
          <w:sz w:val="24"/>
          <w:szCs w:val="24"/>
        </w:rPr>
        <w:t xml:space="preserve"> These reflections echo Snow’s (2022) work, which found that learners are more likely to feel engaged and autonomous when the learning purpose is transparent and accessible.</w:t>
      </w:r>
    </w:p>
    <w:p w14:paraId="6E596FB7" w14:textId="77777777" w:rsidR="00F441E9" w:rsidRPr="00F441E9" w:rsidRDefault="00F441E9" w:rsidP="00F441E9">
      <w:pPr>
        <w:pStyle w:val="p2"/>
        <w:rPr>
          <w:rFonts w:ascii="Arial" w:hAnsi="Arial" w:cs="Arial"/>
          <w:sz w:val="24"/>
          <w:szCs w:val="24"/>
        </w:rPr>
      </w:pPr>
    </w:p>
    <w:p w14:paraId="781FA079"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Teacher data supported the idea that SC and LOs were a consistent feature of classroom practice. All four teachers reported using them regularly, with three stating that they made efforts to revisit the criteria mid-lesson or during plenary discussions. Two teachers highlighted the benefits of co-constructing success criteria with pupils, explaining that this approach promoted ownership and clearer understanding. One teacher noted, </w:t>
      </w:r>
      <w:r w:rsidRPr="00F441E9">
        <w:rPr>
          <w:rFonts w:ascii="Arial" w:hAnsi="Arial" w:cs="Arial"/>
          <w:i/>
          <w:iCs/>
          <w:sz w:val="24"/>
          <w:szCs w:val="24"/>
        </w:rPr>
        <w:t>“When we create it together, they’re more likely to use it.”</w:t>
      </w:r>
      <w:r w:rsidRPr="00F441E9">
        <w:rPr>
          <w:rFonts w:ascii="Arial" w:hAnsi="Arial" w:cs="Arial"/>
          <w:sz w:val="24"/>
          <w:szCs w:val="24"/>
        </w:rPr>
        <w:t xml:space="preserve"> This practice aligns with </w:t>
      </w:r>
      <w:proofErr w:type="spellStart"/>
      <w:r w:rsidRPr="00F441E9">
        <w:rPr>
          <w:rFonts w:ascii="Arial" w:hAnsi="Arial" w:cs="Arial"/>
          <w:sz w:val="24"/>
          <w:szCs w:val="24"/>
        </w:rPr>
        <w:t>AfL</w:t>
      </w:r>
      <w:proofErr w:type="spellEnd"/>
      <w:r w:rsidRPr="00F441E9">
        <w:rPr>
          <w:rFonts w:ascii="Arial" w:hAnsi="Arial" w:cs="Arial"/>
          <w:sz w:val="24"/>
          <w:szCs w:val="24"/>
        </w:rPr>
        <w:t xml:space="preserve"> principles and supports the argument that involving learners in the process builds a stronger connection between objectives and outcomes (</w:t>
      </w:r>
      <w:proofErr w:type="spellStart"/>
      <w:r w:rsidRPr="00F441E9">
        <w:rPr>
          <w:rFonts w:ascii="Arial" w:hAnsi="Arial" w:cs="Arial"/>
          <w:sz w:val="24"/>
          <w:szCs w:val="24"/>
        </w:rPr>
        <w:t>Wiliam</w:t>
      </w:r>
      <w:proofErr w:type="spellEnd"/>
      <w:r w:rsidRPr="00F441E9">
        <w:rPr>
          <w:rFonts w:ascii="Arial" w:hAnsi="Arial" w:cs="Arial"/>
          <w:sz w:val="24"/>
          <w:szCs w:val="24"/>
        </w:rPr>
        <w:t>, 2011).</w:t>
      </w:r>
    </w:p>
    <w:p w14:paraId="705C3412" w14:textId="77777777" w:rsidR="00F441E9" w:rsidRPr="00F441E9" w:rsidRDefault="00F441E9" w:rsidP="00F441E9">
      <w:pPr>
        <w:pStyle w:val="p2"/>
        <w:rPr>
          <w:rFonts w:ascii="Arial" w:hAnsi="Arial" w:cs="Arial"/>
          <w:sz w:val="24"/>
          <w:szCs w:val="24"/>
        </w:rPr>
      </w:pPr>
    </w:p>
    <w:p w14:paraId="1C4688F5"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However, the data also revealed variation in how SC and LOs were implemented. While some teachers described using pupil-friendly language and visual aids, others relied on pre-written, abstract objectives drawn directly from curriculum documents. Several highlighted challenges related to time pressures, curriculum coverage, and the difficulty of translating complex concepts into accessible language. These findings reflect those of Adesanya and Graham (2022), who found that without targeted training, teachers may struggle to implement </w:t>
      </w:r>
      <w:proofErr w:type="spellStart"/>
      <w:r w:rsidRPr="00F441E9">
        <w:rPr>
          <w:rFonts w:ascii="Arial" w:hAnsi="Arial" w:cs="Arial"/>
          <w:sz w:val="24"/>
          <w:szCs w:val="24"/>
        </w:rPr>
        <w:t>AfL</w:t>
      </w:r>
      <w:proofErr w:type="spellEnd"/>
      <w:r w:rsidRPr="00F441E9">
        <w:rPr>
          <w:rFonts w:ascii="Arial" w:hAnsi="Arial" w:cs="Arial"/>
          <w:sz w:val="24"/>
          <w:szCs w:val="24"/>
        </w:rPr>
        <w:t xml:space="preserve"> tools effectively. One teacher in the current study noted, </w:t>
      </w:r>
      <w:r w:rsidRPr="00F441E9">
        <w:rPr>
          <w:rFonts w:ascii="Arial" w:hAnsi="Arial" w:cs="Arial"/>
          <w:i/>
          <w:iCs/>
          <w:sz w:val="24"/>
          <w:szCs w:val="24"/>
        </w:rPr>
        <w:t>“Sometimes it’s just easier to write it myself and move on—it’s not ideal, but there’s not always time.”</w:t>
      </w:r>
      <w:r w:rsidRPr="00F441E9">
        <w:rPr>
          <w:rFonts w:ascii="Arial" w:hAnsi="Arial" w:cs="Arial"/>
          <w:sz w:val="24"/>
          <w:szCs w:val="24"/>
        </w:rPr>
        <w:t xml:space="preserve"> This tension between policy expectations and practical constraints reinforces the complexity of embedding </w:t>
      </w:r>
      <w:proofErr w:type="spellStart"/>
      <w:r w:rsidRPr="00F441E9">
        <w:rPr>
          <w:rFonts w:ascii="Arial" w:hAnsi="Arial" w:cs="Arial"/>
          <w:sz w:val="24"/>
          <w:szCs w:val="24"/>
        </w:rPr>
        <w:t>AfL</w:t>
      </w:r>
      <w:proofErr w:type="spellEnd"/>
      <w:r w:rsidRPr="00F441E9">
        <w:rPr>
          <w:rFonts w:ascii="Arial" w:hAnsi="Arial" w:cs="Arial"/>
          <w:sz w:val="24"/>
          <w:szCs w:val="24"/>
        </w:rPr>
        <w:t xml:space="preserve"> strategies meaningfully within real-world classrooms.</w:t>
      </w:r>
    </w:p>
    <w:p w14:paraId="0866AEC0" w14:textId="77777777" w:rsidR="00F441E9" w:rsidRPr="00F441E9" w:rsidRDefault="00F441E9" w:rsidP="00F441E9">
      <w:pPr>
        <w:pStyle w:val="p1"/>
        <w:rPr>
          <w:rFonts w:ascii="Arial" w:hAnsi="Arial" w:cs="Arial"/>
          <w:sz w:val="24"/>
          <w:szCs w:val="24"/>
        </w:rPr>
      </w:pPr>
    </w:p>
    <w:p w14:paraId="4C24FC47"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Overall, the study concludes that SC and LOs are valued by both pupils and teachers, but their effectiveness depends on how </w:t>
      </w:r>
      <w:proofErr w:type="gramStart"/>
      <w:r w:rsidRPr="00F441E9">
        <w:rPr>
          <w:rFonts w:ascii="Arial" w:hAnsi="Arial" w:cs="Arial"/>
          <w:sz w:val="24"/>
          <w:szCs w:val="24"/>
        </w:rPr>
        <w:t>clearly</w:t>
      </w:r>
      <w:proofErr w:type="gramEnd"/>
      <w:r w:rsidRPr="00F441E9">
        <w:rPr>
          <w:rFonts w:ascii="Arial" w:hAnsi="Arial" w:cs="Arial"/>
          <w:sz w:val="24"/>
          <w:szCs w:val="24"/>
        </w:rPr>
        <w:t xml:space="preserve"> they are communicated, how often they are revisited, and the extent to which learners are involved in their development and use. When pupils are passive recipients of objectives rather than active participants, the potential for enhanced metacognition, motivation, and independence is diminished. Conversely, when SC and LOs are integrated into the learning process—through co-construction, regular reference, and scaffolded use—they can support meaningful learning gains.</w:t>
      </w:r>
    </w:p>
    <w:p w14:paraId="41EF1C24" w14:textId="77777777" w:rsidR="00F441E9" w:rsidRPr="00F441E9" w:rsidRDefault="00F441E9" w:rsidP="00F441E9">
      <w:pPr>
        <w:pStyle w:val="p2"/>
        <w:rPr>
          <w:rFonts w:ascii="Arial" w:hAnsi="Arial" w:cs="Arial"/>
          <w:sz w:val="24"/>
          <w:szCs w:val="24"/>
        </w:rPr>
      </w:pPr>
    </w:p>
    <w:p w14:paraId="0D175D95" w14:textId="77777777" w:rsidR="00F441E9" w:rsidRPr="00F441E9" w:rsidRDefault="00F441E9" w:rsidP="00F441E9">
      <w:pPr>
        <w:pStyle w:val="p1"/>
        <w:rPr>
          <w:rFonts w:ascii="Arial" w:hAnsi="Arial" w:cs="Arial"/>
          <w:sz w:val="24"/>
          <w:szCs w:val="24"/>
        </w:rPr>
      </w:pPr>
      <w:proofErr w:type="gramStart"/>
      <w:r w:rsidRPr="00F441E9">
        <w:rPr>
          <w:rFonts w:ascii="Arial" w:hAnsi="Arial" w:cs="Arial"/>
          <w:sz w:val="24"/>
          <w:szCs w:val="24"/>
        </w:rPr>
        <w:t>In light of</w:t>
      </w:r>
      <w:proofErr w:type="gramEnd"/>
      <w:r w:rsidRPr="00F441E9">
        <w:rPr>
          <w:rFonts w:ascii="Arial" w:hAnsi="Arial" w:cs="Arial"/>
          <w:sz w:val="24"/>
          <w:szCs w:val="24"/>
        </w:rPr>
        <w:t xml:space="preserve"> these findings, several practical implications emerge. Firstly, teachers are encouraged to co-construct SC and LOs with pupils whenever possible. Even brief discussions at the start of a lesson can help clarify expectations and increase pupil engagement. Revisiting these tools during the lesson—either as part of guided work or plenary activities—can support self-assessment and metacognitive thinking, helping pupils track their own progress in relation to clear success criteria. This aligns with Clarke’s (2014) view that formative assessment should be woven throughout the lesson, not restricted to a single point in time.</w:t>
      </w:r>
    </w:p>
    <w:p w14:paraId="546DE210" w14:textId="77777777" w:rsidR="00F441E9" w:rsidRPr="00F441E9" w:rsidRDefault="00F441E9" w:rsidP="00F441E9">
      <w:pPr>
        <w:pStyle w:val="p2"/>
        <w:rPr>
          <w:rFonts w:ascii="Arial" w:hAnsi="Arial" w:cs="Arial"/>
          <w:sz w:val="24"/>
          <w:szCs w:val="24"/>
        </w:rPr>
      </w:pPr>
    </w:p>
    <w:p w14:paraId="16865DDA"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Secondly, adapting SC and LOs into </w:t>
      </w:r>
      <w:r w:rsidRPr="00F441E9">
        <w:rPr>
          <w:rFonts w:ascii="Arial" w:hAnsi="Arial" w:cs="Arial"/>
          <w:b/>
          <w:bCs/>
          <w:sz w:val="24"/>
          <w:szCs w:val="24"/>
        </w:rPr>
        <w:t>child-friendly language and visual formats</w:t>
      </w:r>
      <w:r w:rsidRPr="00F441E9">
        <w:rPr>
          <w:rFonts w:ascii="Arial" w:hAnsi="Arial" w:cs="Arial"/>
          <w:sz w:val="24"/>
          <w:szCs w:val="24"/>
        </w:rPr>
        <w:t xml:space="preserve"> can enhance accessibility, particularly for pupils with additional learning needs or those working below age-related expectations. Some pupils in the study expressed confusion about unfamiliar terms, suggesting that differentiated approaches may be necessary to ensure all learners can engage meaningfully with these tools.</w:t>
      </w:r>
    </w:p>
    <w:p w14:paraId="3BCB2619" w14:textId="77777777" w:rsidR="00F441E9" w:rsidRPr="00F441E9" w:rsidRDefault="00F441E9" w:rsidP="00F441E9">
      <w:pPr>
        <w:pStyle w:val="p2"/>
        <w:rPr>
          <w:rFonts w:ascii="Arial" w:hAnsi="Arial" w:cs="Arial"/>
          <w:sz w:val="24"/>
          <w:szCs w:val="24"/>
        </w:rPr>
      </w:pPr>
    </w:p>
    <w:p w14:paraId="7B8165DE"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At the school level, findings point to the potential value of professional development focused specifically on SC and LOs, including how to adapt and differentiate them across subjects and learner needs. Time for planning and collaboration among staff </w:t>
      </w:r>
      <w:r w:rsidRPr="00F441E9">
        <w:rPr>
          <w:rFonts w:ascii="Arial" w:hAnsi="Arial" w:cs="Arial"/>
          <w:sz w:val="24"/>
          <w:szCs w:val="24"/>
        </w:rPr>
        <w:lastRenderedPageBreak/>
        <w:t xml:space="preserve">could also support more consistent and effective </w:t>
      </w:r>
      <w:proofErr w:type="spellStart"/>
      <w:r w:rsidRPr="00F441E9">
        <w:rPr>
          <w:rFonts w:ascii="Arial" w:hAnsi="Arial" w:cs="Arial"/>
          <w:sz w:val="24"/>
          <w:szCs w:val="24"/>
        </w:rPr>
        <w:t>AfL</w:t>
      </w:r>
      <w:proofErr w:type="spellEnd"/>
      <w:r w:rsidRPr="00F441E9">
        <w:rPr>
          <w:rFonts w:ascii="Arial" w:hAnsi="Arial" w:cs="Arial"/>
          <w:sz w:val="24"/>
          <w:szCs w:val="24"/>
        </w:rPr>
        <w:t xml:space="preserve"> practice. As Adesanya and Graham (2022) demonstrated, structured training initiatives such as MERLO can build teacher confidence and lead to more meaningful use of assessment tools.</w:t>
      </w:r>
    </w:p>
    <w:p w14:paraId="2E2DFF38" w14:textId="77777777" w:rsidR="00F441E9" w:rsidRPr="00F441E9" w:rsidRDefault="00F441E9" w:rsidP="00F441E9">
      <w:pPr>
        <w:pStyle w:val="p2"/>
        <w:rPr>
          <w:rFonts w:ascii="Arial" w:hAnsi="Arial" w:cs="Arial"/>
          <w:sz w:val="24"/>
          <w:szCs w:val="24"/>
        </w:rPr>
      </w:pPr>
    </w:p>
    <w:p w14:paraId="35A4CDB4"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While this study provides useful insights, it is important to acknowledge its limitations. The small sample size and single-school focus mean that findings are not generalisable. Additionally, the use of a single asynchronous teacher interview restricted opportunities for follow-up and clarification. Nevertheless, the study offers a valuable snapshot of how SC and LOs are experienced by both learners and educators in a real-world classroom context.</w:t>
      </w:r>
    </w:p>
    <w:p w14:paraId="4C96B184" w14:textId="77777777" w:rsidR="00F441E9" w:rsidRPr="00F441E9" w:rsidRDefault="00F441E9" w:rsidP="00F441E9">
      <w:pPr>
        <w:pStyle w:val="p1"/>
        <w:rPr>
          <w:rFonts w:ascii="Arial" w:hAnsi="Arial" w:cs="Arial"/>
          <w:sz w:val="24"/>
          <w:szCs w:val="24"/>
        </w:rPr>
      </w:pPr>
    </w:p>
    <w:p w14:paraId="2D2A7E36" w14:textId="77777777" w:rsidR="000E2E7E" w:rsidRPr="00F441E9" w:rsidRDefault="000E2E7E" w:rsidP="000E2E7E">
      <w:pPr>
        <w:rPr>
          <w:rFonts w:ascii="Arial" w:hAnsi="Arial" w:cs="Arial"/>
        </w:rPr>
      </w:pPr>
    </w:p>
    <w:p w14:paraId="0651EF1E" w14:textId="77777777" w:rsidR="00F441E9" w:rsidRPr="00F441E9" w:rsidRDefault="00F441E9" w:rsidP="000E2E7E">
      <w:pPr>
        <w:rPr>
          <w:rFonts w:ascii="Arial" w:hAnsi="Arial" w:cs="Arial"/>
        </w:rPr>
      </w:pPr>
    </w:p>
    <w:p w14:paraId="43DE566A" w14:textId="65716DD6" w:rsidR="00F441E9" w:rsidRPr="00F441E9" w:rsidRDefault="00F441E9" w:rsidP="000E2E7E">
      <w:pPr>
        <w:rPr>
          <w:rFonts w:ascii="Arial" w:hAnsi="Arial" w:cs="Arial"/>
        </w:rPr>
      </w:pPr>
      <w:r w:rsidRPr="00F441E9">
        <w:rPr>
          <w:rFonts w:ascii="Arial" w:hAnsi="Arial" w:cs="Arial"/>
        </w:rPr>
        <w:t xml:space="preserve">Conclusion </w:t>
      </w:r>
    </w:p>
    <w:p w14:paraId="400115C3"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Further research might expand on this study by including a broader range of schools or year groups, allowing for comparison across different settings. A longitudinal study tracking pupil outcomes in relation to SC and LO use could also offer deeper insight into the long-term impact of these strategies on learner progress and independence. Additionally, exploring the perspectives of pupils with additional learning needs or English as an additional language may offer further understanding of how SC and LOs can be adapted to meet diverse learner profiles.</w:t>
      </w:r>
    </w:p>
    <w:p w14:paraId="04ACABE4" w14:textId="77777777" w:rsidR="00F441E9" w:rsidRPr="00F441E9" w:rsidRDefault="00F441E9" w:rsidP="00F441E9">
      <w:pPr>
        <w:pStyle w:val="p2"/>
        <w:rPr>
          <w:rFonts w:ascii="Arial" w:hAnsi="Arial" w:cs="Arial"/>
          <w:sz w:val="24"/>
          <w:szCs w:val="24"/>
        </w:rPr>
      </w:pPr>
    </w:p>
    <w:p w14:paraId="6F4AF955"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In conclusion, while SC and LOs are widely promoted as effective </w:t>
      </w:r>
      <w:proofErr w:type="spellStart"/>
      <w:r w:rsidRPr="00F441E9">
        <w:rPr>
          <w:rFonts w:ascii="Arial" w:hAnsi="Arial" w:cs="Arial"/>
          <w:sz w:val="24"/>
          <w:szCs w:val="24"/>
        </w:rPr>
        <w:t>AfL</w:t>
      </w:r>
      <w:proofErr w:type="spellEnd"/>
      <w:r w:rsidRPr="00F441E9">
        <w:rPr>
          <w:rFonts w:ascii="Arial" w:hAnsi="Arial" w:cs="Arial"/>
          <w:sz w:val="24"/>
          <w:szCs w:val="24"/>
        </w:rPr>
        <w:t xml:space="preserve"> tools, their success in practice relies on thoughtful implementation, ongoing reflection, and a commitment to learner inclusion. When used intentionally and collaboratively, they can play a powerful role in promoting ownership, motivation, and deeper learning.</w:t>
      </w:r>
    </w:p>
    <w:p w14:paraId="5CA19101" w14:textId="77777777" w:rsidR="00F441E9" w:rsidRPr="00F441E9" w:rsidRDefault="00F441E9" w:rsidP="000E2E7E">
      <w:pPr>
        <w:rPr>
          <w:rFonts w:ascii="Arial" w:hAnsi="Arial" w:cs="Arial"/>
        </w:rPr>
      </w:pPr>
    </w:p>
    <w:p w14:paraId="415EC2C0" w14:textId="77777777" w:rsidR="00A81D8A" w:rsidRPr="00F441E9" w:rsidRDefault="00A81D8A" w:rsidP="000E2E7E">
      <w:pPr>
        <w:rPr>
          <w:rFonts w:ascii="Arial" w:hAnsi="Arial" w:cs="Arial"/>
        </w:rPr>
      </w:pPr>
    </w:p>
    <w:p w14:paraId="2D71080C" w14:textId="77777777" w:rsidR="00A81D8A" w:rsidRPr="00F441E9" w:rsidRDefault="00A81D8A" w:rsidP="000E2E7E">
      <w:pPr>
        <w:rPr>
          <w:rFonts w:ascii="Arial" w:hAnsi="Arial" w:cs="Arial"/>
        </w:rPr>
      </w:pPr>
    </w:p>
    <w:p w14:paraId="315972BD" w14:textId="77777777" w:rsidR="00A81D8A" w:rsidRPr="00F441E9" w:rsidRDefault="00A81D8A" w:rsidP="000E2E7E">
      <w:pPr>
        <w:rPr>
          <w:rFonts w:ascii="Arial" w:hAnsi="Arial" w:cs="Arial"/>
        </w:rPr>
      </w:pPr>
    </w:p>
    <w:p w14:paraId="70CFFDA7" w14:textId="77777777" w:rsidR="00F441E9" w:rsidRDefault="00F441E9" w:rsidP="00A81D8A">
      <w:pPr>
        <w:rPr>
          <w:rFonts w:ascii="Arial" w:hAnsi="Arial" w:cs="Arial"/>
          <w:u w:val="single"/>
        </w:rPr>
      </w:pPr>
    </w:p>
    <w:p w14:paraId="09B15B4F" w14:textId="77777777" w:rsidR="00F441E9" w:rsidRDefault="00F441E9" w:rsidP="00A81D8A">
      <w:pPr>
        <w:rPr>
          <w:rFonts w:ascii="Arial" w:hAnsi="Arial" w:cs="Arial"/>
          <w:u w:val="single"/>
        </w:rPr>
      </w:pPr>
    </w:p>
    <w:p w14:paraId="06A75F05" w14:textId="77777777" w:rsidR="00F441E9" w:rsidRDefault="00F441E9" w:rsidP="00A81D8A">
      <w:pPr>
        <w:rPr>
          <w:rFonts w:ascii="Arial" w:hAnsi="Arial" w:cs="Arial"/>
          <w:u w:val="single"/>
        </w:rPr>
      </w:pPr>
    </w:p>
    <w:p w14:paraId="17324899" w14:textId="77777777" w:rsidR="00F441E9" w:rsidRDefault="00F441E9" w:rsidP="00A81D8A">
      <w:pPr>
        <w:rPr>
          <w:rFonts w:ascii="Arial" w:hAnsi="Arial" w:cs="Arial"/>
          <w:u w:val="single"/>
        </w:rPr>
      </w:pPr>
    </w:p>
    <w:p w14:paraId="4E6697AC" w14:textId="77777777" w:rsidR="00F441E9" w:rsidRDefault="00F441E9" w:rsidP="00A81D8A">
      <w:pPr>
        <w:rPr>
          <w:rFonts w:ascii="Arial" w:hAnsi="Arial" w:cs="Arial"/>
          <w:u w:val="single"/>
        </w:rPr>
      </w:pPr>
    </w:p>
    <w:p w14:paraId="2A811E76" w14:textId="77777777" w:rsidR="00F441E9" w:rsidRDefault="00F441E9" w:rsidP="00A81D8A">
      <w:pPr>
        <w:rPr>
          <w:rFonts w:ascii="Arial" w:hAnsi="Arial" w:cs="Arial"/>
          <w:u w:val="single"/>
        </w:rPr>
      </w:pPr>
    </w:p>
    <w:p w14:paraId="106EF904" w14:textId="77777777" w:rsidR="00F441E9" w:rsidRDefault="00F441E9" w:rsidP="00A81D8A">
      <w:pPr>
        <w:rPr>
          <w:rFonts w:ascii="Arial" w:hAnsi="Arial" w:cs="Arial"/>
          <w:u w:val="single"/>
        </w:rPr>
      </w:pPr>
    </w:p>
    <w:p w14:paraId="07B33190" w14:textId="77777777" w:rsidR="00F441E9" w:rsidRDefault="00F441E9" w:rsidP="00A81D8A">
      <w:pPr>
        <w:rPr>
          <w:rFonts w:ascii="Arial" w:hAnsi="Arial" w:cs="Arial"/>
          <w:u w:val="single"/>
        </w:rPr>
      </w:pPr>
    </w:p>
    <w:p w14:paraId="73B3D34B" w14:textId="77777777" w:rsidR="00F441E9" w:rsidRDefault="00F441E9" w:rsidP="00A81D8A">
      <w:pPr>
        <w:rPr>
          <w:rFonts w:ascii="Arial" w:hAnsi="Arial" w:cs="Arial"/>
          <w:u w:val="single"/>
        </w:rPr>
      </w:pPr>
    </w:p>
    <w:p w14:paraId="0F510AF4" w14:textId="0081194A" w:rsidR="00A81D8A" w:rsidRPr="00F441E9" w:rsidRDefault="00A81D8A" w:rsidP="00A81D8A">
      <w:pPr>
        <w:rPr>
          <w:rFonts w:ascii="Arial" w:hAnsi="Arial" w:cs="Arial"/>
          <w:u w:val="single"/>
        </w:rPr>
      </w:pPr>
      <w:r w:rsidRPr="00F441E9">
        <w:rPr>
          <w:rFonts w:ascii="Arial" w:hAnsi="Arial" w:cs="Arial"/>
          <w:u w:val="single"/>
        </w:rPr>
        <w:lastRenderedPageBreak/>
        <w:t>Reference list</w:t>
      </w:r>
    </w:p>
    <w:p w14:paraId="72CB268A"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Adesanya, O. and Graham, M., 2022. </w:t>
      </w:r>
      <w:r w:rsidRPr="00F441E9">
        <w:rPr>
          <w:rFonts w:ascii="Arial" w:hAnsi="Arial" w:cs="Arial"/>
          <w:i/>
          <w:iCs/>
          <w:sz w:val="24"/>
          <w:szCs w:val="24"/>
        </w:rPr>
        <w:t>Improving teacher clarity through success criteria: A South African case study</w:t>
      </w:r>
      <w:r w:rsidRPr="00F441E9">
        <w:rPr>
          <w:rFonts w:ascii="Arial" w:hAnsi="Arial" w:cs="Arial"/>
          <w:sz w:val="24"/>
          <w:szCs w:val="24"/>
        </w:rPr>
        <w:t xml:space="preserve">. </w:t>
      </w:r>
      <w:r w:rsidRPr="00F441E9">
        <w:rPr>
          <w:rFonts w:ascii="Arial" w:hAnsi="Arial" w:cs="Arial"/>
          <w:i/>
          <w:iCs/>
          <w:sz w:val="24"/>
          <w:szCs w:val="24"/>
        </w:rPr>
        <w:t>Journal of Educational Practice</w:t>
      </w:r>
      <w:r w:rsidRPr="00F441E9">
        <w:rPr>
          <w:rFonts w:ascii="Arial" w:hAnsi="Arial" w:cs="Arial"/>
          <w:sz w:val="24"/>
          <w:szCs w:val="24"/>
        </w:rPr>
        <w:t>, 15(2), pp.67–78.</w:t>
      </w:r>
    </w:p>
    <w:p w14:paraId="769270CB" w14:textId="77777777" w:rsidR="00F441E9" w:rsidRPr="00F441E9" w:rsidRDefault="00F441E9" w:rsidP="00F441E9">
      <w:pPr>
        <w:pStyle w:val="p2"/>
        <w:rPr>
          <w:rFonts w:ascii="Arial" w:hAnsi="Arial" w:cs="Arial"/>
          <w:sz w:val="24"/>
          <w:szCs w:val="24"/>
        </w:rPr>
      </w:pPr>
    </w:p>
    <w:p w14:paraId="6AFE14E7"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BERA, 2024. </w:t>
      </w:r>
      <w:r w:rsidRPr="00F441E9">
        <w:rPr>
          <w:rFonts w:ascii="Arial" w:hAnsi="Arial" w:cs="Arial"/>
          <w:i/>
          <w:iCs/>
          <w:sz w:val="24"/>
          <w:szCs w:val="24"/>
        </w:rPr>
        <w:t>Ethical Guidelines for Educational Research</w:t>
      </w:r>
      <w:r w:rsidRPr="00F441E9">
        <w:rPr>
          <w:rFonts w:ascii="Arial" w:hAnsi="Arial" w:cs="Arial"/>
          <w:sz w:val="24"/>
          <w:szCs w:val="24"/>
        </w:rPr>
        <w:t xml:space="preserve">. 5th ed. [online] British Educational Research Association. Available at: </w:t>
      </w:r>
      <w:hyperlink r:id="rId6" w:history="1">
        <w:r w:rsidRPr="00F441E9">
          <w:rPr>
            <w:rStyle w:val="Hyperlink"/>
            <w:rFonts w:ascii="Arial" w:eastAsiaTheme="majorEastAsia" w:hAnsi="Arial" w:cs="Arial"/>
            <w:sz w:val="24"/>
            <w:szCs w:val="24"/>
          </w:rPr>
          <w:t>https://www.bera.ac.uk/publication/ethical-guidelines-for-educational-research-2024</w:t>
        </w:r>
      </w:hyperlink>
      <w:r w:rsidRPr="00F441E9">
        <w:rPr>
          <w:rFonts w:ascii="Arial" w:hAnsi="Arial" w:cs="Arial"/>
          <w:sz w:val="24"/>
          <w:szCs w:val="24"/>
        </w:rPr>
        <w:t xml:space="preserve"> [Accessed 4 Apr. 2025].</w:t>
      </w:r>
    </w:p>
    <w:p w14:paraId="3074D72F" w14:textId="77777777" w:rsidR="00F441E9" w:rsidRPr="00F441E9" w:rsidRDefault="00F441E9" w:rsidP="00F441E9">
      <w:pPr>
        <w:pStyle w:val="p2"/>
        <w:rPr>
          <w:rFonts w:ascii="Arial" w:hAnsi="Arial" w:cs="Arial"/>
          <w:sz w:val="24"/>
          <w:szCs w:val="24"/>
        </w:rPr>
      </w:pPr>
    </w:p>
    <w:p w14:paraId="0D6FE3E5"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Black, P. and </w:t>
      </w:r>
      <w:proofErr w:type="spellStart"/>
      <w:r w:rsidRPr="00F441E9">
        <w:rPr>
          <w:rFonts w:ascii="Arial" w:hAnsi="Arial" w:cs="Arial"/>
          <w:sz w:val="24"/>
          <w:szCs w:val="24"/>
        </w:rPr>
        <w:t>Wiliam</w:t>
      </w:r>
      <w:proofErr w:type="spellEnd"/>
      <w:r w:rsidRPr="00F441E9">
        <w:rPr>
          <w:rFonts w:ascii="Arial" w:hAnsi="Arial" w:cs="Arial"/>
          <w:sz w:val="24"/>
          <w:szCs w:val="24"/>
        </w:rPr>
        <w:t xml:space="preserve">, D., 1998. </w:t>
      </w:r>
      <w:r w:rsidRPr="00F441E9">
        <w:rPr>
          <w:rFonts w:ascii="Arial" w:hAnsi="Arial" w:cs="Arial"/>
          <w:i/>
          <w:iCs/>
          <w:sz w:val="24"/>
          <w:szCs w:val="24"/>
        </w:rPr>
        <w:t>Inside the black box: Raising standards through classroom assessment</w:t>
      </w:r>
      <w:r w:rsidRPr="00F441E9">
        <w:rPr>
          <w:rFonts w:ascii="Arial" w:hAnsi="Arial" w:cs="Arial"/>
          <w:sz w:val="24"/>
          <w:szCs w:val="24"/>
        </w:rPr>
        <w:t>. London: GL Assessment.</w:t>
      </w:r>
    </w:p>
    <w:p w14:paraId="1886760D" w14:textId="77777777" w:rsidR="00F441E9" w:rsidRPr="00F441E9" w:rsidRDefault="00F441E9" w:rsidP="00F441E9">
      <w:pPr>
        <w:pStyle w:val="p2"/>
        <w:rPr>
          <w:rFonts w:ascii="Arial" w:hAnsi="Arial" w:cs="Arial"/>
          <w:sz w:val="24"/>
          <w:szCs w:val="24"/>
        </w:rPr>
      </w:pPr>
    </w:p>
    <w:p w14:paraId="796B8A7D"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Black, P. and </w:t>
      </w:r>
      <w:proofErr w:type="spellStart"/>
      <w:r w:rsidRPr="00F441E9">
        <w:rPr>
          <w:rFonts w:ascii="Arial" w:hAnsi="Arial" w:cs="Arial"/>
          <w:sz w:val="24"/>
          <w:szCs w:val="24"/>
        </w:rPr>
        <w:t>Wiliam</w:t>
      </w:r>
      <w:proofErr w:type="spellEnd"/>
      <w:r w:rsidRPr="00F441E9">
        <w:rPr>
          <w:rFonts w:ascii="Arial" w:hAnsi="Arial" w:cs="Arial"/>
          <w:sz w:val="24"/>
          <w:szCs w:val="24"/>
        </w:rPr>
        <w:t xml:space="preserve">, D., 2009. Developing the theory of formative assessment. </w:t>
      </w:r>
      <w:r w:rsidRPr="00F441E9">
        <w:rPr>
          <w:rFonts w:ascii="Arial" w:hAnsi="Arial" w:cs="Arial"/>
          <w:i/>
          <w:iCs/>
          <w:sz w:val="24"/>
          <w:szCs w:val="24"/>
        </w:rPr>
        <w:t>Educational Assessment, Evaluation and Accountability</w:t>
      </w:r>
      <w:r w:rsidRPr="00F441E9">
        <w:rPr>
          <w:rFonts w:ascii="Arial" w:hAnsi="Arial" w:cs="Arial"/>
          <w:sz w:val="24"/>
          <w:szCs w:val="24"/>
        </w:rPr>
        <w:t>, 21(1), pp.5–31.</w:t>
      </w:r>
    </w:p>
    <w:p w14:paraId="2DACDF56" w14:textId="77777777" w:rsidR="00F441E9" w:rsidRPr="00F441E9" w:rsidRDefault="00F441E9" w:rsidP="00F441E9">
      <w:pPr>
        <w:pStyle w:val="p2"/>
        <w:rPr>
          <w:rFonts w:ascii="Arial" w:hAnsi="Arial" w:cs="Arial"/>
          <w:sz w:val="24"/>
          <w:szCs w:val="24"/>
        </w:rPr>
      </w:pPr>
    </w:p>
    <w:p w14:paraId="5C00BEBB"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Braun, V. and Clarke, V., 2006. Using thematic analysis in psychology. </w:t>
      </w:r>
      <w:r w:rsidRPr="00F441E9">
        <w:rPr>
          <w:rFonts w:ascii="Arial" w:hAnsi="Arial" w:cs="Arial"/>
          <w:i/>
          <w:iCs/>
          <w:sz w:val="24"/>
          <w:szCs w:val="24"/>
        </w:rPr>
        <w:t>Qualitative Research in Psychology</w:t>
      </w:r>
      <w:r w:rsidRPr="00F441E9">
        <w:rPr>
          <w:rFonts w:ascii="Arial" w:hAnsi="Arial" w:cs="Arial"/>
          <w:sz w:val="24"/>
          <w:szCs w:val="24"/>
        </w:rPr>
        <w:t>, 3(2), pp.77–101.</w:t>
      </w:r>
    </w:p>
    <w:p w14:paraId="23A1F9A1" w14:textId="77777777" w:rsidR="00F441E9" w:rsidRPr="00F441E9" w:rsidRDefault="00F441E9" w:rsidP="00F441E9">
      <w:pPr>
        <w:pStyle w:val="p2"/>
        <w:rPr>
          <w:rFonts w:ascii="Arial" w:hAnsi="Arial" w:cs="Arial"/>
          <w:sz w:val="24"/>
          <w:szCs w:val="24"/>
        </w:rPr>
      </w:pPr>
    </w:p>
    <w:p w14:paraId="17F26C55"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Clarke, S., 2014. </w:t>
      </w:r>
      <w:r w:rsidRPr="00F441E9">
        <w:rPr>
          <w:rFonts w:ascii="Arial" w:hAnsi="Arial" w:cs="Arial"/>
          <w:i/>
          <w:iCs/>
          <w:sz w:val="24"/>
          <w:szCs w:val="24"/>
        </w:rPr>
        <w:t>Outstanding formative assessment: Culture and practice</w:t>
      </w:r>
      <w:r w:rsidRPr="00F441E9">
        <w:rPr>
          <w:rFonts w:ascii="Arial" w:hAnsi="Arial" w:cs="Arial"/>
          <w:sz w:val="24"/>
          <w:szCs w:val="24"/>
        </w:rPr>
        <w:t>. London: Hodder Education.</w:t>
      </w:r>
    </w:p>
    <w:p w14:paraId="4A32C05C" w14:textId="77777777" w:rsidR="00F441E9" w:rsidRPr="00F441E9" w:rsidRDefault="00F441E9" w:rsidP="00F441E9">
      <w:pPr>
        <w:pStyle w:val="p2"/>
        <w:rPr>
          <w:rFonts w:ascii="Arial" w:hAnsi="Arial" w:cs="Arial"/>
          <w:sz w:val="24"/>
          <w:szCs w:val="24"/>
        </w:rPr>
      </w:pPr>
    </w:p>
    <w:p w14:paraId="180A6E34"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Cohen, L., Manion, L. and Morrison, K., 2018. </w:t>
      </w:r>
      <w:r w:rsidRPr="00F441E9">
        <w:rPr>
          <w:rFonts w:ascii="Arial" w:hAnsi="Arial" w:cs="Arial"/>
          <w:i/>
          <w:iCs/>
          <w:sz w:val="24"/>
          <w:szCs w:val="24"/>
        </w:rPr>
        <w:t>Research methods in education</w:t>
      </w:r>
      <w:r w:rsidRPr="00F441E9">
        <w:rPr>
          <w:rFonts w:ascii="Arial" w:hAnsi="Arial" w:cs="Arial"/>
          <w:sz w:val="24"/>
          <w:szCs w:val="24"/>
        </w:rPr>
        <w:t>. 8th ed. London: Routledge.</w:t>
      </w:r>
    </w:p>
    <w:p w14:paraId="63328021" w14:textId="77777777" w:rsidR="00F441E9" w:rsidRPr="00F441E9" w:rsidRDefault="00F441E9" w:rsidP="00F441E9">
      <w:pPr>
        <w:pStyle w:val="p2"/>
        <w:rPr>
          <w:rFonts w:ascii="Arial" w:hAnsi="Arial" w:cs="Arial"/>
          <w:sz w:val="24"/>
          <w:szCs w:val="24"/>
        </w:rPr>
      </w:pPr>
    </w:p>
    <w:p w14:paraId="236A5785"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Crichton, H. and McDaid, A., 2016. Learning intentions and success criteria: Learners’ and teachers’ views. </w:t>
      </w:r>
      <w:r w:rsidRPr="00F441E9">
        <w:rPr>
          <w:rFonts w:ascii="Arial" w:hAnsi="Arial" w:cs="Arial"/>
          <w:i/>
          <w:iCs/>
          <w:sz w:val="24"/>
          <w:szCs w:val="24"/>
        </w:rPr>
        <w:t>The Curriculum Journal</w:t>
      </w:r>
      <w:r w:rsidRPr="00F441E9">
        <w:rPr>
          <w:rFonts w:ascii="Arial" w:hAnsi="Arial" w:cs="Arial"/>
          <w:sz w:val="24"/>
          <w:szCs w:val="24"/>
        </w:rPr>
        <w:t>, 27(2), pp.190–203.</w:t>
      </w:r>
    </w:p>
    <w:p w14:paraId="41AC4183" w14:textId="77777777" w:rsidR="00F441E9" w:rsidRPr="00F441E9" w:rsidRDefault="00F441E9" w:rsidP="00F441E9">
      <w:pPr>
        <w:pStyle w:val="p2"/>
        <w:rPr>
          <w:rFonts w:ascii="Arial" w:hAnsi="Arial" w:cs="Arial"/>
          <w:sz w:val="24"/>
          <w:szCs w:val="24"/>
        </w:rPr>
      </w:pPr>
    </w:p>
    <w:p w14:paraId="085A2146"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Denzin, N.K. and Lincoln, Y.S., 2011. </w:t>
      </w:r>
      <w:r w:rsidRPr="00F441E9">
        <w:rPr>
          <w:rFonts w:ascii="Arial" w:hAnsi="Arial" w:cs="Arial"/>
          <w:i/>
          <w:iCs/>
          <w:sz w:val="24"/>
          <w:szCs w:val="24"/>
        </w:rPr>
        <w:t>The SAGE handbook of qualitative research</w:t>
      </w:r>
      <w:r w:rsidRPr="00F441E9">
        <w:rPr>
          <w:rFonts w:ascii="Arial" w:hAnsi="Arial" w:cs="Arial"/>
          <w:sz w:val="24"/>
          <w:szCs w:val="24"/>
        </w:rPr>
        <w:t>. 4th ed. London: SAGE.</w:t>
      </w:r>
    </w:p>
    <w:p w14:paraId="04BB3660" w14:textId="77777777" w:rsidR="00F441E9" w:rsidRPr="00F441E9" w:rsidRDefault="00F441E9" w:rsidP="00F441E9">
      <w:pPr>
        <w:pStyle w:val="p2"/>
        <w:rPr>
          <w:rFonts w:ascii="Arial" w:hAnsi="Arial" w:cs="Arial"/>
          <w:sz w:val="24"/>
          <w:szCs w:val="24"/>
        </w:rPr>
      </w:pPr>
    </w:p>
    <w:p w14:paraId="1D21C057"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Eagan, L., 2023. Success criteria and learner agency in primary classrooms. </w:t>
      </w:r>
      <w:r w:rsidRPr="00F441E9">
        <w:rPr>
          <w:rFonts w:ascii="Arial" w:hAnsi="Arial" w:cs="Arial"/>
          <w:i/>
          <w:iCs/>
          <w:sz w:val="24"/>
          <w:szCs w:val="24"/>
        </w:rPr>
        <w:t>Educational Research Review</w:t>
      </w:r>
      <w:r w:rsidRPr="00F441E9">
        <w:rPr>
          <w:rFonts w:ascii="Arial" w:hAnsi="Arial" w:cs="Arial"/>
          <w:sz w:val="24"/>
          <w:szCs w:val="24"/>
        </w:rPr>
        <w:t>, 18(3), pp.112–127.</w:t>
      </w:r>
    </w:p>
    <w:p w14:paraId="32DC9DAD" w14:textId="77777777" w:rsidR="00F441E9" w:rsidRPr="00F441E9" w:rsidRDefault="00F441E9" w:rsidP="00F441E9">
      <w:pPr>
        <w:pStyle w:val="p2"/>
        <w:rPr>
          <w:rFonts w:ascii="Arial" w:hAnsi="Arial" w:cs="Arial"/>
          <w:sz w:val="24"/>
          <w:szCs w:val="24"/>
        </w:rPr>
      </w:pPr>
    </w:p>
    <w:p w14:paraId="5499C80B" w14:textId="77777777" w:rsidR="00F441E9" w:rsidRPr="00F441E9" w:rsidRDefault="00F441E9" w:rsidP="00F441E9">
      <w:pPr>
        <w:pStyle w:val="p1"/>
        <w:rPr>
          <w:rFonts w:ascii="Arial" w:hAnsi="Arial" w:cs="Arial"/>
          <w:sz w:val="24"/>
          <w:szCs w:val="24"/>
        </w:rPr>
      </w:pPr>
      <w:proofErr w:type="spellStart"/>
      <w:r w:rsidRPr="00F441E9">
        <w:rPr>
          <w:rFonts w:ascii="Arial" w:hAnsi="Arial" w:cs="Arial"/>
          <w:sz w:val="24"/>
          <w:szCs w:val="24"/>
        </w:rPr>
        <w:t>Etikan</w:t>
      </w:r>
      <w:proofErr w:type="spellEnd"/>
      <w:r w:rsidRPr="00F441E9">
        <w:rPr>
          <w:rFonts w:ascii="Arial" w:hAnsi="Arial" w:cs="Arial"/>
          <w:sz w:val="24"/>
          <w:szCs w:val="24"/>
        </w:rPr>
        <w:t xml:space="preserve">, I., Musa, S.A. and </w:t>
      </w:r>
      <w:proofErr w:type="spellStart"/>
      <w:r w:rsidRPr="00F441E9">
        <w:rPr>
          <w:rFonts w:ascii="Arial" w:hAnsi="Arial" w:cs="Arial"/>
          <w:sz w:val="24"/>
          <w:szCs w:val="24"/>
        </w:rPr>
        <w:t>Alkassim</w:t>
      </w:r>
      <w:proofErr w:type="spellEnd"/>
      <w:r w:rsidRPr="00F441E9">
        <w:rPr>
          <w:rFonts w:ascii="Arial" w:hAnsi="Arial" w:cs="Arial"/>
          <w:sz w:val="24"/>
          <w:szCs w:val="24"/>
        </w:rPr>
        <w:t xml:space="preserve">, R.S., 2016. Comparison of convenience sampling and purposive sampling. </w:t>
      </w:r>
      <w:r w:rsidRPr="00F441E9">
        <w:rPr>
          <w:rFonts w:ascii="Arial" w:hAnsi="Arial" w:cs="Arial"/>
          <w:i/>
          <w:iCs/>
          <w:sz w:val="24"/>
          <w:szCs w:val="24"/>
        </w:rPr>
        <w:t>American Journal of Theoretical and Applied Statistics</w:t>
      </w:r>
      <w:r w:rsidRPr="00F441E9">
        <w:rPr>
          <w:rFonts w:ascii="Arial" w:hAnsi="Arial" w:cs="Arial"/>
          <w:sz w:val="24"/>
          <w:szCs w:val="24"/>
        </w:rPr>
        <w:t>, 5(1), pp.1–4.</w:t>
      </w:r>
    </w:p>
    <w:p w14:paraId="2A9C31CD" w14:textId="77777777" w:rsidR="00F441E9" w:rsidRPr="00F441E9" w:rsidRDefault="00F441E9" w:rsidP="00F441E9">
      <w:pPr>
        <w:pStyle w:val="p2"/>
        <w:rPr>
          <w:rFonts w:ascii="Arial" w:hAnsi="Arial" w:cs="Arial"/>
          <w:sz w:val="24"/>
          <w:szCs w:val="24"/>
        </w:rPr>
      </w:pPr>
    </w:p>
    <w:p w14:paraId="452F5D37"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Field, A., 2013. </w:t>
      </w:r>
      <w:r w:rsidRPr="00F441E9">
        <w:rPr>
          <w:rFonts w:ascii="Arial" w:hAnsi="Arial" w:cs="Arial"/>
          <w:i/>
          <w:iCs/>
          <w:sz w:val="24"/>
          <w:szCs w:val="24"/>
        </w:rPr>
        <w:t>Discovering statistics using IBM SPSS statistics</w:t>
      </w:r>
      <w:r w:rsidRPr="00F441E9">
        <w:rPr>
          <w:rFonts w:ascii="Arial" w:hAnsi="Arial" w:cs="Arial"/>
          <w:sz w:val="24"/>
          <w:szCs w:val="24"/>
        </w:rPr>
        <w:t>. 4th ed. London: SAGE Publications.</w:t>
      </w:r>
    </w:p>
    <w:p w14:paraId="4517D55B" w14:textId="77777777" w:rsidR="00F441E9" w:rsidRPr="00F441E9" w:rsidRDefault="00F441E9" w:rsidP="00F441E9">
      <w:pPr>
        <w:pStyle w:val="p2"/>
        <w:rPr>
          <w:rFonts w:ascii="Arial" w:hAnsi="Arial" w:cs="Arial"/>
          <w:sz w:val="24"/>
          <w:szCs w:val="24"/>
        </w:rPr>
      </w:pPr>
    </w:p>
    <w:p w14:paraId="3E60DDC0"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Hattie, J., 2009. </w:t>
      </w:r>
      <w:r w:rsidRPr="00F441E9">
        <w:rPr>
          <w:rFonts w:ascii="Arial" w:hAnsi="Arial" w:cs="Arial"/>
          <w:i/>
          <w:iCs/>
          <w:sz w:val="24"/>
          <w:szCs w:val="24"/>
        </w:rPr>
        <w:t>Visible learning: A synthesis of over 800 meta-analyses relating to achievement</w:t>
      </w:r>
      <w:r w:rsidRPr="00F441E9">
        <w:rPr>
          <w:rFonts w:ascii="Arial" w:hAnsi="Arial" w:cs="Arial"/>
          <w:sz w:val="24"/>
          <w:szCs w:val="24"/>
        </w:rPr>
        <w:t>. London: Routledge.</w:t>
      </w:r>
    </w:p>
    <w:p w14:paraId="2527D27D" w14:textId="77777777" w:rsidR="00F441E9" w:rsidRPr="00F441E9" w:rsidRDefault="00F441E9" w:rsidP="00F441E9">
      <w:pPr>
        <w:pStyle w:val="p2"/>
        <w:rPr>
          <w:rFonts w:ascii="Arial" w:hAnsi="Arial" w:cs="Arial"/>
          <w:sz w:val="24"/>
          <w:szCs w:val="24"/>
        </w:rPr>
      </w:pPr>
    </w:p>
    <w:p w14:paraId="03C2C0AF"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Hattie, J., 2012. </w:t>
      </w:r>
      <w:r w:rsidRPr="00F441E9">
        <w:rPr>
          <w:rFonts w:ascii="Arial" w:hAnsi="Arial" w:cs="Arial"/>
          <w:i/>
          <w:iCs/>
          <w:sz w:val="24"/>
          <w:szCs w:val="24"/>
        </w:rPr>
        <w:t>Visible learning for teachers: Maximizing impact on learning</w:t>
      </w:r>
      <w:r w:rsidRPr="00F441E9">
        <w:rPr>
          <w:rFonts w:ascii="Arial" w:hAnsi="Arial" w:cs="Arial"/>
          <w:sz w:val="24"/>
          <w:szCs w:val="24"/>
        </w:rPr>
        <w:t>. London: Routledge.</w:t>
      </w:r>
    </w:p>
    <w:p w14:paraId="6166A0AF" w14:textId="77777777" w:rsidR="00F441E9" w:rsidRPr="00F441E9" w:rsidRDefault="00F441E9" w:rsidP="00F441E9">
      <w:pPr>
        <w:pStyle w:val="p2"/>
        <w:rPr>
          <w:rFonts w:ascii="Arial" w:hAnsi="Arial" w:cs="Arial"/>
          <w:sz w:val="24"/>
          <w:szCs w:val="24"/>
        </w:rPr>
      </w:pPr>
    </w:p>
    <w:p w14:paraId="392F52BC" w14:textId="77777777" w:rsidR="00F441E9" w:rsidRPr="00F441E9" w:rsidRDefault="00F441E9" w:rsidP="00F441E9">
      <w:pPr>
        <w:pStyle w:val="p1"/>
        <w:rPr>
          <w:rFonts w:ascii="Arial" w:hAnsi="Arial" w:cs="Arial"/>
          <w:sz w:val="24"/>
          <w:szCs w:val="24"/>
        </w:rPr>
      </w:pPr>
      <w:proofErr w:type="spellStart"/>
      <w:r w:rsidRPr="00F441E9">
        <w:rPr>
          <w:rFonts w:ascii="Arial" w:hAnsi="Arial" w:cs="Arial"/>
          <w:sz w:val="24"/>
          <w:szCs w:val="24"/>
        </w:rPr>
        <w:t>Kvale</w:t>
      </w:r>
      <w:proofErr w:type="spellEnd"/>
      <w:r w:rsidRPr="00F441E9">
        <w:rPr>
          <w:rFonts w:ascii="Arial" w:hAnsi="Arial" w:cs="Arial"/>
          <w:sz w:val="24"/>
          <w:szCs w:val="24"/>
        </w:rPr>
        <w:t xml:space="preserve">, S., 1996. </w:t>
      </w:r>
      <w:r w:rsidRPr="00F441E9">
        <w:rPr>
          <w:rFonts w:ascii="Arial" w:hAnsi="Arial" w:cs="Arial"/>
          <w:i/>
          <w:iCs/>
          <w:sz w:val="24"/>
          <w:szCs w:val="24"/>
        </w:rPr>
        <w:t>Interviews: An introduction to qualitative research interviewing</w:t>
      </w:r>
      <w:r w:rsidRPr="00F441E9">
        <w:rPr>
          <w:rFonts w:ascii="Arial" w:hAnsi="Arial" w:cs="Arial"/>
          <w:sz w:val="24"/>
          <w:szCs w:val="24"/>
        </w:rPr>
        <w:t>. London: SAGE.</w:t>
      </w:r>
    </w:p>
    <w:p w14:paraId="6785C51F" w14:textId="77777777" w:rsidR="00F441E9" w:rsidRPr="00F441E9" w:rsidRDefault="00F441E9" w:rsidP="00F441E9">
      <w:pPr>
        <w:pStyle w:val="p2"/>
        <w:rPr>
          <w:rFonts w:ascii="Arial" w:hAnsi="Arial" w:cs="Arial"/>
          <w:sz w:val="24"/>
          <w:szCs w:val="24"/>
        </w:rPr>
      </w:pPr>
    </w:p>
    <w:p w14:paraId="11E81367" w14:textId="77777777" w:rsidR="00F441E9" w:rsidRPr="00F441E9" w:rsidRDefault="00F441E9" w:rsidP="00F441E9">
      <w:pPr>
        <w:pStyle w:val="p1"/>
        <w:rPr>
          <w:rFonts w:ascii="Arial" w:hAnsi="Arial" w:cs="Arial"/>
          <w:sz w:val="24"/>
          <w:szCs w:val="24"/>
        </w:rPr>
      </w:pPr>
      <w:proofErr w:type="spellStart"/>
      <w:r w:rsidRPr="00F441E9">
        <w:rPr>
          <w:rFonts w:ascii="Arial" w:hAnsi="Arial" w:cs="Arial"/>
          <w:sz w:val="24"/>
          <w:szCs w:val="24"/>
        </w:rPr>
        <w:t>Opdenakker</w:t>
      </w:r>
      <w:proofErr w:type="spellEnd"/>
      <w:r w:rsidRPr="00F441E9">
        <w:rPr>
          <w:rFonts w:ascii="Arial" w:hAnsi="Arial" w:cs="Arial"/>
          <w:sz w:val="24"/>
          <w:szCs w:val="24"/>
        </w:rPr>
        <w:t xml:space="preserve">, R., 2006. Advantages and disadvantages of four interview techniques in qualitative research. </w:t>
      </w:r>
      <w:r w:rsidRPr="00F441E9">
        <w:rPr>
          <w:rFonts w:ascii="Arial" w:hAnsi="Arial" w:cs="Arial"/>
          <w:i/>
          <w:iCs/>
          <w:sz w:val="24"/>
          <w:szCs w:val="24"/>
        </w:rPr>
        <w:t>Forum: Qualitative Social Research</w:t>
      </w:r>
      <w:r w:rsidRPr="00F441E9">
        <w:rPr>
          <w:rFonts w:ascii="Arial" w:hAnsi="Arial" w:cs="Arial"/>
          <w:sz w:val="24"/>
          <w:szCs w:val="24"/>
        </w:rPr>
        <w:t>, 7(4), pp.1–13.</w:t>
      </w:r>
    </w:p>
    <w:p w14:paraId="0F3D016E" w14:textId="77777777" w:rsidR="00F441E9" w:rsidRPr="00F441E9" w:rsidRDefault="00F441E9" w:rsidP="00F441E9">
      <w:pPr>
        <w:pStyle w:val="p2"/>
        <w:rPr>
          <w:rFonts w:ascii="Arial" w:hAnsi="Arial" w:cs="Arial"/>
          <w:sz w:val="24"/>
          <w:szCs w:val="24"/>
        </w:rPr>
      </w:pPr>
    </w:p>
    <w:p w14:paraId="326C967A"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Oppenheim, A.N., 1992. </w:t>
      </w:r>
      <w:r w:rsidRPr="00F441E9">
        <w:rPr>
          <w:rFonts w:ascii="Arial" w:hAnsi="Arial" w:cs="Arial"/>
          <w:i/>
          <w:iCs/>
          <w:sz w:val="24"/>
          <w:szCs w:val="24"/>
        </w:rPr>
        <w:t>Questionnaire design, interviewing and attitude measurement</w:t>
      </w:r>
      <w:r w:rsidRPr="00F441E9">
        <w:rPr>
          <w:rFonts w:ascii="Arial" w:hAnsi="Arial" w:cs="Arial"/>
          <w:sz w:val="24"/>
          <w:szCs w:val="24"/>
        </w:rPr>
        <w:t>. London: Continuum.</w:t>
      </w:r>
    </w:p>
    <w:p w14:paraId="0AD5A509" w14:textId="77777777" w:rsidR="00F441E9" w:rsidRPr="00F441E9" w:rsidRDefault="00F441E9" w:rsidP="00F441E9">
      <w:pPr>
        <w:pStyle w:val="p2"/>
        <w:rPr>
          <w:rFonts w:ascii="Arial" w:hAnsi="Arial" w:cs="Arial"/>
          <w:sz w:val="24"/>
          <w:szCs w:val="24"/>
        </w:rPr>
      </w:pPr>
    </w:p>
    <w:p w14:paraId="4128EE29"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Robson, C., 2011. </w:t>
      </w:r>
      <w:r w:rsidRPr="00F441E9">
        <w:rPr>
          <w:rFonts w:ascii="Arial" w:hAnsi="Arial" w:cs="Arial"/>
          <w:i/>
          <w:iCs/>
          <w:sz w:val="24"/>
          <w:szCs w:val="24"/>
        </w:rPr>
        <w:t>Real world research: A resource for users of social research methods in applied settings</w:t>
      </w:r>
      <w:r w:rsidRPr="00F441E9">
        <w:rPr>
          <w:rFonts w:ascii="Arial" w:hAnsi="Arial" w:cs="Arial"/>
          <w:sz w:val="24"/>
          <w:szCs w:val="24"/>
        </w:rPr>
        <w:t>. 3rd ed. Chichester: Wiley.</w:t>
      </w:r>
    </w:p>
    <w:p w14:paraId="5A4574F5" w14:textId="77777777" w:rsidR="00F441E9" w:rsidRPr="00F441E9" w:rsidRDefault="00F441E9" w:rsidP="00F441E9">
      <w:pPr>
        <w:pStyle w:val="p2"/>
        <w:rPr>
          <w:rFonts w:ascii="Arial" w:hAnsi="Arial" w:cs="Arial"/>
          <w:sz w:val="24"/>
          <w:szCs w:val="24"/>
        </w:rPr>
      </w:pPr>
    </w:p>
    <w:p w14:paraId="35A4C195"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Snow, E., 2022. Pupil voice on learning objectives and success criteria. </w:t>
      </w:r>
      <w:r w:rsidRPr="00F441E9">
        <w:rPr>
          <w:rFonts w:ascii="Arial" w:hAnsi="Arial" w:cs="Arial"/>
          <w:i/>
          <w:iCs/>
          <w:sz w:val="24"/>
          <w:szCs w:val="24"/>
        </w:rPr>
        <w:t>Primary Education Insights</w:t>
      </w:r>
      <w:r w:rsidRPr="00F441E9">
        <w:rPr>
          <w:rFonts w:ascii="Arial" w:hAnsi="Arial" w:cs="Arial"/>
          <w:sz w:val="24"/>
          <w:szCs w:val="24"/>
        </w:rPr>
        <w:t>, 9(1), pp.23–36.</w:t>
      </w:r>
    </w:p>
    <w:p w14:paraId="0CA33E29" w14:textId="77777777" w:rsidR="00F441E9" w:rsidRPr="00F441E9" w:rsidRDefault="00F441E9" w:rsidP="00F441E9">
      <w:pPr>
        <w:pStyle w:val="p2"/>
        <w:rPr>
          <w:rFonts w:ascii="Arial" w:hAnsi="Arial" w:cs="Arial"/>
          <w:sz w:val="24"/>
          <w:szCs w:val="24"/>
        </w:rPr>
      </w:pPr>
    </w:p>
    <w:p w14:paraId="6D9453E1" w14:textId="77777777" w:rsidR="00F441E9" w:rsidRPr="00F441E9" w:rsidRDefault="00F441E9" w:rsidP="00F441E9">
      <w:pPr>
        <w:pStyle w:val="p1"/>
        <w:rPr>
          <w:rFonts w:ascii="Arial" w:hAnsi="Arial" w:cs="Arial"/>
          <w:sz w:val="24"/>
          <w:szCs w:val="24"/>
        </w:rPr>
      </w:pPr>
      <w:proofErr w:type="spellStart"/>
      <w:r w:rsidRPr="00F441E9">
        <w:rPr>
          <w:rFonts w:ascii="Arial" w:hAnsi="Arial" w:cs="Arial"/>
          <w:sz w:val="24"/>
          <w:szCs w:val="24"/>
        </w:rPr>
        <w:t>Wiliam</w:t>
      </w:r>
      <w:proofErr w:type="spellEnd"/>
      <w:r w:rsidRPr="00F441E9">
        <w:rPr>
          <w:rFonts w:ascii="Arial" w:hAnsi="Arial" w:cs="Arial"/>
          <w:sz w:val="24"/>
          <w:szCs w:val="24"/>
        </w:rPr>
        <w:t xml:space="preserve">, D., 2011. </w:t>
      </w:r>
      <w:r w:rsidRPr="00F441E9">
        <w:rPr>
          <w:rFonts w:ascii="Arial" w:hAnsi="Arial" w:cs="Arial"/>
          <w:i/>
          <w:iCs/>
          <w:sz w:val="24"/>
          <w:szCs w:val="24"/>
        </w:rPr>
        <w:t>Embedded formative assessment</w:t>
      </w:r>
      <w:r w:rsidRPr="00F441E9">
        <w:rPr>
          <w:rFonts w:ascii="Arial" w:hAnsi="Arial" w:cs="Arial"/>
          <w:sz w:val="24"/>
          <w:szCs w:val="24"/>
        </w:rPr>
        <w:t>. Bloomington, IN: Solution Tree Press.</w:t>
      </w:r>
    </w:p>
    <w:p w14:paraId="6E62C649" w14:textId="77777777" w:rsidR="00F441E9" w:rsidRPr="00F441E9" w:rsidRDefault="00F441E9" w:rsidP="00F441E9">
      <w:pPr>
        <w:pStyle w:val="p2"/>
        <w:rPr>
          <w:rFonts w:ascii="Arial" w:hAnsi="Arial" w:cs="Arial"/>
          <w:sz w:val="24"/>
          <w:szCs w:val="24"/>
        </w:rPr>
      </w:pPr>
    </w:p>
    <w:p w14:paraId="5E5DDFC5" w14:textId="77777777" w:rsidR="00F441E9" w:rsidRPr="00F441E9" w:rsidRDefault="00F441E9" w:rsidP="00F441E9">
      <w:pPr>
        <w:pStyle w:val="p1"/>
        <w:rPr>
          <w:rFonts w:ascii="Arial" w:hAnsi="Arial" w:cs="Arial"/>
          <w:sz w:val="24"/>
          <w:szCs w:val="24"/>
        </w:rPr>
      </w:pPr>
      <w:r w:rsidRPr="00F441E9">
        <w:rPr>
          <w:rFonts w:ascii="Arial" w:hAnsi="Arial" w:cs="Arial"/>
          <w:sz w:val="24"/>
          <w:szCs w:val="24"/>
        </w:rPr>
        <w:t xml:space="preserve">Yin, R.K., 2014. </w:t>
      </w:r>
      <w:r w:rsidRPr="00F441E9">
        <w:rPr>
          <w:rFonts w:ascii="Arial" w:hAnsi="Arial" w:cs="Arial"/>
          <w:i/>
          <w:iCs/>
          <w:sz w:val="24"/>
          <w:szCs w:val="24"/>
        </w:rPr>
        <w:t>Case study research: Design and methods</w:t>
      </w:r>
      <w:r w:rsidRPr="00F441E9">
        <w:rPr>
          <w:rFonts w:ascii="Arial" w:hAnsi="Arial" w:cs="Arial"/>
          <w:sz w:val="24"/>
          <w:szCs w:val="24"/>
        </w:rPr>
        <w:t>. 5th ed. London: SAGE Publications.</w:t>
      </w:r>
    </w:p>
    <w:p w14:paraId="331DDD47" w14:textId="77777777" w:rsidR="00A81D8A" w:rsidRPr="00F441E9" w:rsidRDefault="00A81D8A" w:rsidP="00A81D8A">
      <w:pPr>
        <w:rPr>
          <w:rFonts w:ascii="Arial" w:hAnsi="Arial" w:cs="Arial"/>
        </w:rPr>
      </w:pPr>
    </w:p>
    <w:p w14:paraId="24CAB366" w14:textId="77777777" w:rsidR="00A81D8A" w:rsidRPr="00F441E9" w:rsidRDefault="00A81D8A" w:rsidP="000E2E7E">
      <w:pPr>
        <w:rPr>
          <w:rFonts w:ascii="Arial" w:hAnsi="Arial" w:cs="Arial"/>
        </w:rPr>
      </w:pPr>
    </w:p>
    <w:p w14:paraId="6C017E2B" w14:textId="77777777" w:rsidR="00A81D8A" w:rsidRPr="00F441E9" w:rsidRDefault="00A81D8A" w:rsidP="000E2E7E">
      <w:pPr>
        <w:rPr>
          <w:rFonts w:ascii="Arial" w:hAnsi="Arial" w:cs="Arial"/>
        </w:rPr>
      </w:pPr>
    </w:p>
    <w:p w14:paraId="3D232C2D" w14:textId="77777777" w:rsidR="00A81D8A" w:rsidRPr="00F441E9" w:rsidRDefault="00A81D8A" w:rsidP="000E2E7E">
      <w:pPr>
        <w:rPr>
          <w:rFonts w:ascii="Arial" w:hAnsi="Arial" w:cs="Arial"/>
        </w:rPr>
      </w:pPr>
    </w:p>
    <w:p w14:paraId="6413DE7C" w14:textId="77777777" w:rsidR="000E2E7E" w:rsidRPr="00F441E9" w:rsidRDefault="000E2E7E" w:rsidP="000E2E7E">
      <w:pPr>
        <w:rPr>
          <w:rFonts w:ascii="Arial" w:hAnsi="Arial" w:cs="Arial"/>
        </w:rPr>
      </w:pPr>
    </w:p>
    <w:p w14:paraId="512734CD" w14:textId="77777777" w:rsidR="000E2E7E" w:rsidRPr="00F441E9" w:rsidRDefault="000E2E7E" w:rsidP="000E2E7E">
      <w:pPr>
        <w:rPr>
          <w:rFonts w:ascii="Arial" w:hAnsi="Arial" w:cs="Arial"/>
        </w:rPr>
      </w:pPr>
    </w:p>
    <w:p w14:paraId="1CD1FA79" w14:textId="1E826845" w:rsidR="000E2E7E" w:rsidRPr="00F441E9" w:rsidRDefault="000E2E7E">
      <w:pPr>
        <w:rPr>
          <w:rFonts w:ascii="Arial" w:hAnsi="Arial" w:cs="Arial"/>
        </w:rPr>
      </w:pPr>
    </w:p>
    <w:sectPr w:rsidR="000E2E7E" w:rsidRPr="00F441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1D3E83"/>
    <w:multiLevelType w:val="hybridMultilevel"/>
    <w:tmpl w:val="1700D658"/>
    <w:lvl w:ilvl="0" w:tplc="58F087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2787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E2E7E"/>
    <w:rsid w:val="00121BB2"/>
    <w:rsid w:val="001675AC"/>
    <w:rsid w:val="00191CFB"/>
    <w:rsid w:val="001E698E"/>
    <w:rsid w:val="00371AC6"/>
    <w:rsid w:val="00372668"/>
    <w:rsid w:val="003A7750"/>
    <w:rsid w:val="00403714"/>
    <w:rsid w:val="00504994"/>
    <w:rsid w:val="00510D18"/>
    <w:rsid w:val="00604703"/>
    <w:rsid w:val="00797506"/>
    <w:rsid w:val="008F0B48"/>
    <w:rsid w:val="00965B69"/>
    <w:rsid w:val="009D31A8"/>
    <w:rsid w:val="00A81D8A"/>
    <w:rsid w:val="00AB5565"/>
    <w:rsid w:val="00C0493E"/>
    <w:rsid w:val="00DF09B3"/>
    <w:rsid w:val="00E5184C"/>
    <w:rsid w:val="00F441E9"/>
    <w:rsid w:val="00F664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81D8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1">
    <w:name w:val="p1"/>
    <w:basedOn w:val="Normal"/>
    <w:rsid w:val="00A81D8A"/>
    <w:pPr>
      <w:spacing w:after="0" w:line="240" w:lineRule="auto"/>
    </w:pPr>
    <w:rPr>
      <w:rFonts w:ascii=".AppleSystemUIFont" w:eastAsia="Times New Roman" w:hAnsi=".AppleSystemUIFont" w:cs="Times New Roman"/>
      <w:color w:val="0E0E0E"/>
      <w:kern w:val="0"/>
      <w:sz w:val="21"/>
      <w:szCs w:val="21"/>
      <w:lang w:eastAsia="en-GB"/>
      <w14:ligatures w14:val="none"/>
    </w:rPr>
  </w:style>
  <w:style w:type="character" w:styleId="Hyperlink">
    <w:name w:val="Hyperlink"/>
    <w:basedOn w:val="DefaultParagraphFont"/>
    <w:uiPriority w:val="99"/>
    <w:unhideWhenUsed/>
    <w:rsid w:val="00A81D8A"/>
    <w:rPr>
      <w:color w:val="0000FF"/>
      <w:u w:val="single"/>
    </w:rPr>
  </w:style>
  <w:style w:type="paragraph" w:customStyle="1" w:styleId="p2">
    <w:name w:val="p2"/>
    <w:basedOn w:val="Normal"/>
    <w:rsid w:val="00A81D8A"/>
    <w:pPr>
      <w:spacing w:after="0" w:line="240" w:lineRule="auto"/>
    </w:pPr>
    <w:rPr>
      <w:rFonts w:ascii=".AppleSystemUIFont" w:eastAsia="Times New Roman" w:hAnsi=".AppleSystemUIFont" w:cs="Times New Roman"/>
      <w:color w:val="0E0E0E"/>
      <w:kern w:val="0"/>
      <w:sz w:val="21"/>
      <w:szCs w:val="21"/>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548027">
      <w:bodyDiv w:val="1"/>
      <w:marLeft w:val="0"/>
      <w:marRight w:val="0"/>
      <w:marTop w:val="0"/>
      <w:marBottom w:val="0"/>
      <w:divBdr>
        <w:top w:val="none" w:sz="0" w:space="0" w:color="auto"/>
        <w:left w:val="none" w:sz="0" w:space="0" w:color="auto"/>
        <w:bottom w:val="none" w:sz="0" w:space="0" w:color="auto"/>
        <w:right w:val="none" w:sz="0" w:space="0" w:color="auto"/>
      </w:divBdr>
    </w:div>
    <w:div w:id="733086556">
      <w:bodyDiv w:val="1"/>
      <w:marLeft w:val="0"/>
      <w:marRight w:val="0"/>
      <w:marTop w:val="0"/>
      <w:marBottom w:val="0"/>
      <w:divBdr>
        <w:top w:val="none" w:sz="0" w:space="0" w:color="auto"/>
        <w:left w:val="none" w:sz="0" w:space="0" w:color="auto"/>
        <w:bottom w:val="none" w:sz="0" w:space="0" w:color="auto"/>
        <w:right w:val="none" w:sz="0" w:space="0" w:color="auto"/>
      </w:divBdr>
    </w:div>
    <w:div w:id="1381594635">
      <w:bodyDiv w:val="1"/>
      <w:marLeft w:val="0"/>
      <w:marRight w:val="0"/>
      <w:marTop w:val="0"/>
      <w:marBottom w:val="0"/>
      <w:divBdr>
        <w:top w:val="none" w:sz="0" w:space="0" w:color="auto"/>
        <w:left w:val="none" w:sz="0" w:space="0" w:color="auto"/>
        <w:bottom w:val="none" w:sz="0" w:space="0" w:color="auto"/>
        <w:right w:val="none" w:sz="0" w:space="0" w:color="auto"/>
      </w:divBdr>
    </w:div>
    <w:div w:id="1793666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era.ac.uk/publication/ethical-guidelines-for-educational-research-2024"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3361</Words>
  <Characters>19161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Alex Jenkins (2205212)</cp:lastModifiedBy>
  <cp:revision>2</cp:revision>
  <dcterms:created xsi:type="dcterms:W3CDTF">2025-04-04T22:17:00Z</dcterms:created>
  <dcterms:modified xsi:type="dcterms:W3CDTF">2025-04-04T22:17:00Z</dcterms:modified>
</cp:coreProperties>
</file>