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012206" w14:textId="46F8A539" w:rsidR="00401807" w:rsidRDefault="00F01395">
      <w:r>
        <w:rPr>
          <w:u w:val="single"/>
        </w:rPr>
        <w:t>Attachment theory:</w:t>
      </w:r>
    </w:p>
    <w:p w14:paraId="4BE74DFA" w14:textId="51CFA2DB" w:rsidR="00F01395" w:rsidRDefault="00F01395"/>
    <w:p w14:paraId="25A781BA" w14:textId="2727FDEE" w:rsidR="00F01395" w:rsidRDefault="00F01395">
      <w:r>
        <w:t>In</w:t>
      </w:r>
      <w:r w:rsidR="005B134F">
        <w:t xml:space="preserve"> the studies of psychology and development</w:t>
      </w:r>
      <w:r>
        <w:t>, attachment theory is considered to be a key foundation in the overall development of a child.</w:t>
      </w:r>
      <w:r w:rsidR="005B134F">
        <w:t xml:space="preserve"> This is shown in the works of attachment theorists, such as Bowlby</w:t>
      </w:r>
      <w:r w:rsidR="000409EC">
        <w:t>’s ‘</w:t>
      </w:r>
      <w:r w:rsidR="000409EC">
        <w:rPr>
          <w:i/>
        </w:rPr>
        <w:t>The making and Breaking of affectional bonds’</w:t>
      </w:r>
      <w:r w:rsidR="000409EC">
        <w:t xml:space="preserve"> (1979)</w:t>
      </w:r>
      <w:r w:rsidR="005B134F">
        <w:t>, and</w:t>
      </w:r>
      <w:r w:rsidR="000409EC">
        <w:t xml:space="preserve"> that of</w:t>
      </w:r>
      <w:r w:rsidR="005B134F">
        <w:t xml:space="preserve"> other psychologists, such as Maslow</w:t>
      </w:r>
      <w:r w:rsidR="00FA6055">
        <w:t>’s renown ‘</w:t>
      </w:r>
      <w:r w:rsidR="00FA6055">
        <w:rPr>
          <w:i/>
        </w:rPr>
        <w:t>Hierarchy of needs’</w:t>
      </w:r>
      <w:r w:rsidR="00817123">
        <w:t xml:space="preserve"> (1943)</w:t>
      </w:r>
      <w:r w:rsidR="005B134F">
        <w:t>. Th</w:t>
      </w:r>
      <w:r w:rsidR="006301E1">
        <w:t>e nature, and timeline of attachment</w:t>
      </w:r>
      <w:r w:rsidR="005B134F">
        <w:t xml:space="preserve"> will be expanded upon in this essay. However, despite its importance to a person’s development, it is important to note that</w:t>
      </w:r>
      <w:r w:rsidR="000409EC">
        <w:t xml:space="preserve"> as with </w:t>
      </w:r>
      <w:r w:rsidR="006301E1">
        <w:t>all</w:t>
      </w:r>
      <w:r w:rsidR="000409EC">
        <w:t xml:space="preserve"> areas of development there are many potential barriers, the nature and impact of which will also be described later in the essay.</w:t>
      </w:r>
    </w:p>
    <w:p w14:paraId="21D1729E" w14:textId="1CB42F8E" w:rsidR="002A7C3C" w:rsidRDefault="002A7C3C">
      <w:r>
        <w:t>Maslow’s Hierarchy of needs, with its recognisable pyramidal structure, acts as a foundation stone in the field of measuring development. Despite having first been introduced in 1943, the hierarchy still remains relevant today</w:t>
      </w:r>
      <w:r w:rsidR="006301E1">
        <w:t>, being used in many facets of education and psychology</w:t>
      </w:r>
      <w:r>
        <w:t xml:space="preserve">. When one considers attachment, it could be considered to fall under the </w:t>
      </w:r>
      <w:r w:rsidR="00B218E3">
        <w:t>third level of the pyramid, which concerns love and belonging. Maslow states how “The central role of the parents and the normal family setup are indisputable”</w:t>
      </w:r>
      <w:r w:rsidR="007C388F">
        <w:t xml:space="preserve"> (Maslow</w:t>
      </w:r>
      <w:r w:rsidR="007C388F" w:rsidRPr="00930D49">
        <w:t>, 1943</w:t>
      </w:r>
      <w:r w:rsidR="009B16BD" w:rsidRPr="00930D49">
        <w:t>, pg. 377-378</w:t>
      </w:r>
      <w:r w:rsidR="007C388F" w:rsidRPr="00930D49">
        <w:t>),</w:t>
      </w:r>
      <w:r w:rsidR="007C388F">
        <w:t xml:space="preserve"> and in his article elucidates various ways in which a child who has this parental security will be more proficient in managing unfamiliar situations, and would only become scared in situations that would also be considered dangerous to an adult. In contrast to this, a child who did not have parental security would produce a strong negative emotional reaction to even something </w:t>
      </w:r>
      <w:r w:rsidR="00BB244E">
        <w:t>as simple as being confronted with an unfamiliar person, task</w:t>
      </w:r>
      <w:r w:rsidR="00A46E1F">
        <w:t>,</w:t>
      </w:r>
      <w:r w:rsidR="00BB244E">
        <w:t xml:space="preserve"> or item. Even though he does not directly refer to it as such, Maslow is in fact referring to what is now known to be secure and in-secure attachment.</w:t>
      </w:r>
      <w:r w:rsidR="00683658">
        <w:t xml:space="preserve"> Further to this, in his text, Maslow refers to an adult who has grown up with issues in attachment as still having </w:t>
      </w:r>
      <w:r w:rsidR="00B10D3C">
        <w:t>a childish outlook as he navigates the wider world</w:t>
      </w:r>
      <w:r w:rsidR="00683658">
        <w:t>. He goes on to speculate that in these ‘neurotic’ adults, perhaps their development has overlooked the basic childhood need of constant safety. Maslow refers to the ‘compulsive-obsessives’ and their struggle, through their obsessions and neuroticism, to produce an ideal environment in which, to refer back to Maslow’s description prior, there would be no unfamiliar situations, tasks, or items</w:t>
      </w:r>
      <w:r w:rsidR="00B10D3C">
        <w:t xml:space="preserve"> to cause said ‘compulsive-obsessive’ distress</w:t>
      </w:r>
      <w:r w:rsidR="00683658">
        <w:t>.</w:t>
      </w:r>
    </w:p>
    <w:p w14:paraId="7CDC841F" w14:textId="49C30B3B" w:rsidR="00877447" w:rsidRDefault="00A17D9D">
      <w:r>
        <w:t xml:space="preserve">John Bowlby is considered to be one of the first psychologists to truly introduce attachment theory as it exists today. His interpretation of attachment first started to appear in his study of the </w:t>
      </w:r>
      <w:r>
        <w:rPr>
          <w:i/>
        </w:rPr>
        <w:t xml:space="preserve">44 </w:t>
      </w:r>
      <w:r w:rsidRPr="00930D49">
        <w:rPr>
          <w:i/>
        </w:rPr>
        <w:t>juvenile thieves</w:t>
      </w:r>
      <w:r w:rsidRPr="00930D49">
        <w:t xml:space="preserve"> (1939). In this study Bowlby investigated the bond, or lack thereof which 44 juvenile thieves shared with their mother</w:t>
      </w:r>
      <w:r>
        <w:t>. He found that almost 40% of the juvenile thieves had spent a substantial amount of time away from their mothers in their formative years</w:t>
      </w:r>
      <w:r w:rsidR="0003237F">
        <w:t>. This, coupled with further investigation of a small group of the 44 who exhibited a lack of remorse and caring for their crimes, led Bowlby to theorise that this lack of early attachment to their mother caused these juveniles to become affectionless themselves. This leads on to Bowlby’s later works</w:t>
      </w:r>
      <w:r w:rsidR="00F11509">
        <w:t xml:space="preserve">, </w:t>
      </w:r>
      <w:r w:rsidR="007036B2">
        <w:t xml:space="preserve">where he outlines the basic criteria of an attachment bond. In </w:t>
      </w:r>
      <w:r w:rsidR="007036B2">
        <w:rPr>
          <w:i/>
        </w:rPr>
        <w:t xml:space="preserve">‘Effects on behaviour of disruption of an affectional </w:t>
      </w:r>
      <w:r w:rsidR="007036B2" w:rsidRPr="00F47F39">
        <w:rPr>
          <w:i/>
        </w:rPr>
        <w:t>bond’ (1967</w:t>
      </w:r>
      <w:r w:rsidR="007036B2">
        <w:rPr>
          <w:i/>
        </w:rPr>
        <w:t>)</w:t>
      </w:r>
      <w:r w:rsidR="007036B2">
        <w:t xml:space="preserve"> Bowlby describes how a the factor of proximity is the essential constant in any attachment, and how in the animal kingdom any attempt to prevent this proximity will often result in displays of aggression by one or both of the parties involved, for example, trying to remove a calf from its mother.</w:t>
      </w:r>
      <w:r w:rsidR="00A22028">
        <w:t xml:space="preserve"> Bowlby then goes on to describe how these bonds of affection can be referred to as emotional bonds, such as how “the threat of loss arouses anxiety and actual loss causes </w:t>
      </w:r>
      <w:r w:rsidR="00A22028" w:rsidRPr="00930D49">
        <w:t>sorrow” (Bowlby, 1967</w:t>
      </w:r>
      <w:r w:rsidR="00930D49" w:rsidRPr="00930D49">
        <w:t>, Pg. 69</w:t>
      </w:r>
      <w:r w:rsidR="00A22028" w:rsidRPr="00930D49">
        <w:t>). This</w:t>
      </w:r>
      <w:r w:rsidR="00A22028">
        <w:t xml:space="preserve"> could be the key reason as to why those of the 44 juvenile thieves who had no emotional attachment to their mother, did not themselves exhibit emotions.</w:t>
      </w:r>
      <w:r w:rsidR="0028605A">
        <w:t xml:space="preserve"> These cases of lack of a bond between the mother and child can be caused by some of the most common barriers to attachment, for example; the separation of a family, illness of the mother or child, or perhaps the mother needing to work. However, Bowlby does go on to highlight a more </w:t>
      </w:r>
      <w:r w:rsidR="0028605A">
        <w:lastRenderedPageBreak/>
        <w:t xml:space="preserve">sinister result of poor attachment. </w:t>
      </w:r>
      <w:r w:rsidR="0014692E">
        <w:t xml:space="preserve">Bowlby </w:t>
      </w:r>
      <w:r w:rsidR="0014692E" w:rsidRPr="007E1F1E">
        <w:t>references a study by Greer and Gunn (1966) which</w:t>
      </w:r>
      <w:r w:rsidR="0014692E">
        <w:t xml:space="preserve"> provides the statistic that of a group of 156 people who had attempted suicide, 49 had experienced parental loss before the age of 15. And of this 49, 26 had experienced said loss at ages 0-4, which is the key period for the formation of attachment. This further emphasises how poor attachment can have a large effect on a person later in life.</w:t>
      </w:r>
    </w:p>
    <w:p w14:paraId="0693ABA0" w14:textId="34BC03CC" w:rsidR="009A6A74" w:rsidRDefault="00877447">
      <w:r>
        <w:t xml:space="preserve">Bowlby’s idea of attachment was very much based around the principle of an all or nothing bond between the two parties, </w:t>
      </w:r>
      <w:r w:rsidRPr="007E1F1E">
        <w:t xml:space="preserve">in that one was either attached, or one was not. This was challenged by Mary Ainsworth’s </w:t>
      </w:r>
      <w:r w:rsidRPr="007E1F1E">
        <w:rPr>
          <w:i/>
        </w:rPr>
        <w:t>‘Strange Situation’</w:t>
      </w:r>
      <w:r w:rsidRPr="007E1F1E">
        <w:t xml:space="preserve"> (1982) experiment</w:t>
      </w:r>
      <w:r w:rsidR="006A601E" w:rsidRPr="007E1F1E">
        <w:t>. The results of this experiment led Ainsworth to speculate that in addition to secure attachment</w:t>
      </w:r>
      <w:r w:rsidR="006A601E">
        <w:t xml:space="preserve"> there were also in fact two forms of insecure attachment; resistant and avoidant. Ainsworth </w:t>
      </w:r>
      <w:r w:rsidR="00026ED2">
        <w:t>defines</w:t>
      </w:r>
      <w:r w:rsidR="006A601E">
        <w:t xml:space="preserve"> each of the forms of attachments using a set of </w:t>
      </w:r>
      <w:r w:rsidR="00026ED2">
        <w:t>four</w:t>
      </w:r>
      <w:r w:rsidR="006A601E">
        <w:t xml:space="preserve"> categories</w:t>
      </w:r>
      <w:r w:rsidR="00026ED2">
        <w:t>; separation anxiety – the reaction of the child upon the mother leaving, stranger anxiety</w:t>
      </w:r>
      <w:r w:rsidR="00725991">
        <w:t xml:space="preserve"> – the reaction of the child to a stranger being introduced</w:t>
      </w:r>
      <w:r w:rsidR="00026ED2">
        <w:t>, reunion behaviour</w:t>
      </w:r>
      <w:r w:rsidR="00725991">
        <w:t xml:space="preserve"> – The reaction when the mother returns</w:t>
      </w:r>
      <w:r w:rsidR="00026ED2">
        <w:t>, and any other observations.</w:t>
      </w:r>
      <w:r w:rsidR="00725991">
        <w:t xml:space="preserve"> 70% of the children in the experiment were securely attached, as shown by that they were mildly distressed when their mother left, were friendly to the stranger when their mother was present, and cautious when the mother was absent, they showed a positive reaction when their mother returned, and tended to explore by using their mother as a fixed</w:t>
      </w:r>
      <w:r w:rsidR="0088489E">
        <w:t xml:space="preserve">, safe, point to start from. Contrary to this, 15% of the children showed that they were non-securely attached: Resistant. This was shown by an extremely negative reaction upon the mother leaving, the child avoiding the stranger completely, a resistance or refusal of contact on the mothers return, and then child exploring less, whilst being more upset. The remaining 15% of children were shown to be </w:t>
      </w:r>
      <w:r w:rsidR="0088489E">
        <w:t xml:space="preserve">non-securely attached: </w:t>
      </w:r>
      <w:r w:rsidR="0088489E">
        <w:t>Avoidant. These children were not distressed at the mothers departure, had no strong acknowledgement of the stranger, again had little to no response to the mothers return, and if the child became upset, it could be consoled by either the mother or stranger.</w:t>
      </w:r>
      <w:r w:rsidR="00C70733">
        <w:t xml:space="preserve"> These forms of attachment would be present due to the presence of potential barriers in the key period of development. A child who was considered securely attached would likely come from a home where all of its needs were met, and the</w:t>
      </w:r>
      <w:r w:rsidR="00324AE6">
        <w:t>se</w:t>
      </w:r>
      <w:r w:rsidR="00C70733">
        <w:t xml:space="preserve"> c</w:t>
      </w:r>
      <w:r w:rsidR="00324AE6">
        <w:t>hildren often learn quickly that crying is not the most efficient way of attracting the attention of the caregiver</w:t>
      </w:r>
      <w:r w:rsidR="00653CA3">
        <w:t>. A child considered to be insecure: resistant, is likely to have had attention from the primary caregiver which may have been inconsistent. This may occur in relatively common situation such as if the primary caregiver is a single parent and cannot always be present</w:t>
      </w:r>
      <w:r w:rsidR="009A6A74">
        <w:t xml:space="preserve">.  Finally, children who is insecure: avoidant are most commonly from environments where the primary caregiver was not responsive to their needs at all. This results in the child learning they will not receive attention whether they cry or not, leading them to become ambivalent. </w:t>
      </w:r>
      <w:r w:rsidR="00721893">
        <w:t>As with any form of development, the failure to successfully develop attachment can greatly affect a child’s later life, to refer back to earlier in this essay, it could be speculated that the juvenile thieves that Bowlby refers to as cold and emotionless, are so due to being of the ‘insecure: avoidant’ attachment type, and that the ambivalence they may have shown towards their primary caregivers continued on into their adolescent lives also. Furthermore the ‘compulsive obsessives’ that Maslow refers to could be adults of who grew up in the category of ‘insecure: resistant’. This could be shown by that as a child they were resistant to the changes around them, and as they developed this reaction became a supressed sub-conscious response, thus leading to their unintentional overreaction to differing stimuli in their adult lives.</w:t>
      </w:r>
    </w:p>
    <w:p w14:paraId="3279A1C8" w14:textId="0B61043B" w:rsidR="00CB58F8" w:rsidRDefault="00FB1CA9">
      <w:r>
        <w:t xml:space="preserve">The development of attachment has been heavily investigated, and continues to be a topic of great interest, with there being many different viewpoints to consider. For example, in the animal kingdom, </w:t>
      </w:r>
      <w:r w:rsidR="00795EFE">
        <w:t xml:space="preserve">Lorenz and </w:t>
      </w:r>
      <w:r w:rsidR="00795EFE" w:rsidRPr="007E1F1E">
        <w:t>Hess (1958) showed that imprinting, the instantaneous forming of an attachment bond, can occur as soon as one hour</w:t>
      </w:r>
      <w:r w:rsidR="00795EFE">
        <w:t xml:space="preserve"> after the birth or hatching of an animal. However, their investigation also showed that the strongest responses occurred between the 12</w:t>
      </w:r>
      <w:r w:rsidR="00795EFE" w:rsidRPr="00795EFE">
        <w:rPr>
          <w:vertAlign w:val="superscript"/>
        </w:rPr>
        <w:t>th</w:t>
      </w:r>
      <w:r w:rsidR="00795EFE">
        <w:t xml:space="preserve"> and 17</w:t>
      </w:r>
      <w:r w:rsidR="00795EFE" w:rsidRPr="00795EFE">
        <w:rPr>
          <w:vertAlign w:val="superscript"/>
        </w:rPr>
        <w:t>th</w:t>
      </w:r>
      <w:r w:rsidR="00795EFE">
        <w:t xml:space="preserve"> </w:t>
      </w:r>
      <w:r w:rsidR="00795EFE">
        <w:lastRenderedPageBreak/>
        <w:t>hour of life, and an most cases, would not occur at all after the 32</w:t>
      </w:r>
      <w:r w:rsidR="00795EFE" w:rsidRPr="00795EFE">
        <w:rPr>
          <w:vertAlign w:val="superscript"/>
        </w:rPr>
        <w:t>nd</w:t>
      </w:r>
      <w:r w:rsidR="00795EFE">
        <w:t xml:space="preserve"> hour. This finding could be attributed to that in the animal kingdom, the key to survival is often to remain mobile, so being able to form this snap attachment would be essential for the survival of the newly born animal.</w:t>
      </w:r>
      <w:r w:rsidR="004B50A9">
        <w:t xml:space="preserve"> However, when one applies the same principles to the birth of a human child, the same need for mobility does not apply, and as such, the timescale over which a baby forms its first attachments is much longer. This is shown by Yarrow and Goodwin, where they </w:t>
      </w:r>
      <w:r w:rsidR="00CB58F8">
        <w:t>suggest that only 5% of children up to the age of three months would be affected by being removed from their primary caregiver, whereas from four months, this increases from 40% of children to almost 100% of children being affected at nine months old. This suggests that in humans, the major attachment bond is formed within the four</w:t>
      </w:r>
      <w:r w:rsidR="008F25EE">
        <w:t xml:space="preserve"> to </w:t>
      </w:r>
      <w:r w:rsidR="00877447">
        <w:t>nine month</w:t>
      </w:r>
      <w:r w:rsidR="00CB58F8">
        <w:t xml:space="preserve"> period, as opposed to in animals, where it occurs within 24 hours.</w:t>
      </w:r>
    </w:p>
    <w:p w14:paraId="37D1E12E" w14:textId="008A7C92" w:rsidR="008F25EE" w:rsidRDefault="008F25EE">
      <w:r>
        <w:t>In conclusion, the study and understanding or attachment theory has developed drastically over the last century</w:t>
      </w:r>
      <w:r w:rsidR="00103A6C">
        <w:t xml:space="preserve">, albeit through the medium of some studies that through the eyes of modern ethics would not be considered acceptable, Harlow’s use of monkeys for example. However, these experiments and studies have lead us to a greater understanding of how both humans and animals come to form attachment, what barriers they may face, and how any issues within this attachment may affect them as they got older. These issues, as indicated by Bowlby’s study of juvenile thieves, </w:t>
      </w:r>
      <w:r w:rsidR="00167D15">
        <w:t xml:space="preserve">including those who appeared cold and emotionless, </w:t>
      </w:r>
      <w:r w:rsidR="00103A6C">
        <w:t>and Maslow’s description of neurotic, compulsive obsessive</w:t>
      </w:r>
      <w:r w:rsidR="00167D15">
        <w:t xml:space="preserve"> </w:t>
      </w:r>
      <w:r w:rsidR="00103A6C">
        <w:t>adults, can be linked through the studies of Ainsworth back to the very foundations of how these people would have reacted to being introduced to a stranger in their formative months</w:t>
      </w:r>
      <w:r w:rsidR="00167D15">
        <w:t>.</w:t>
      </w:r>
      <w:r w:rsidR="00103A6C">
        <w:t xml:space="preserve"> </w:t>
      </w:r>
      <w:r w:rsidR="00167D15">
        <w:t>E</w:t>
      </w:r>
      <w:r w:rsidR="00103A6C">
        <w:t xml:space="preserve">ven before they were cognisant of their own needs and </w:t>
      </w:r>
      <w:r w:rsidR="00167D15">
        <w:t>actions, they would have been influenced within mere months of birth by those closest to them. For better or as shown in the examples provided, for worse</w:t>
      </w:r>
      <w:r w:rsidR="00103A6C">
        <w:t xml:space="preserve">. This </w:t>
      </w:r>
      <w:r w:rsidR="00167D15">
        <w:t xml:space="preserve">ultimately </w:t>
      </w:r>
      <w:r w:rsidR="00103A6C">
        <w:t xml:space="preserve">emphasises the fragility and </w:t>
      </w:r>
      <w:r w:rsidR="00167D15">
        <w:t>complexity of the development of the human temperament, and how despite it being one of the most common experiences in life, responding to a child’s needs is not as simple as it may seem.</w:t>
      </w:r>
    </w:p>
    <w:p w14:paraId="5BD99EDD" w14:textId="46B07C79" w:rsidR="00167D15" w:rsidRDefault="00167D15"/>
    <w:p w14:paraId="7BA3FA61" w14:textId="0BBA05E1" w:rsidR="00167D15" w:rsidRDefault="00167D15">
      <w:pPr>
        <w:rPr>
          <w:u w:val="single"/>
        </w:rPr>
      </w:pPr>
      <w:r>
        <w:rPr>
          <w:u w:val="single"/>
        </w:rPr>
        <w:t>Reference List:</w:t>
      </w:r>
    </w:p>
    <w:p w14:paraId="23006DC3" w14:textId="77777777" w:rsidR="007E1F1E" w:rsidRDefault="007E1F1E" w:rsidP="007E1F1E">
      <w:pPr>
        <w:pStyle w:val="ListParagraph"/>
        <w:numPr>
          <w:ilvl w:val="0"/>
          <w:numId w:val="1"/>
        </w:numPr>
        <w:rPr>
          <w:rFonts w:cstheme="minorHAnsi"/>
          <w:sz w:val="24"/>
        </w:rPr>
      </w:pPr>
      <w:r w:rsidRPr="00E251DE">
        <w:rPr>
          <w:rFonts w:cstheme="minorHAnsi"/>
          <w:sz w:val="24"/>
        </w:rPr>
        <w:t xml:space="preserve">Ainsworth, M. D. S., </w:t>
      </w:r>
      <w:r>
        <w:rPr>
          <w:rFonts w:cstheme="minorHAnsi"/>
          <w:sz w:val="24"/>
        </w:rPr>
        <w:t>(</w:t>
      </w:r>
      <w:r w:rsidRPr="00E251DE">
        <w:rPr>
          <w:rFonts w:cstheme="minorHAnsi"/>
          <w:sz w:val="24"/>
        </w:rPr>
        <w:t>1982</w:t>
      </w:r>
      <w:r>
        <w:rPr>
          <w:rFonts w:cstheme="minorHAnsi"/>
          <w:sz w:val="24"/>
        </w:rPr>
        <w:t>)</w:t>
      </w:r>
      <w:r w:rsidRPr="00E251DE">
        <w:rPr>
          <w:rFonts w:cstheme="minorHAnsi"/>
          <w:sz w:val="24"/>
        </w:rPr>
        <w:t>. Patterns of attachment: a psychological study of the strange situation. </w:t>
      </w:r>
      <w:r w:rsidRPr="00E251DE">
        <w:rPr>
          <w:rFonts w:cstheme="minorHAnsi"/>
          <w:i/>
          <w:iCs/>
          <w:sz w:val="24"/>
        </w:rPr>
        <w:t>Journal of Child Psychology &amp; Psychiatry &amp; Allied Disciplines.</w:t>
      </w:r>
      <w:r w:rsidRPr="00E251DE">
        <w:rPr>
          <w:rFonts w:cstheme="minorHAnsi"/>
          <w:sz w:val="24"/>
        </w:rPr>
        <w:t>, 23, pp.85–88.</w:t>
      </w:r>
    </w:p>
    <w:p w14:paraId="627F8683" w14:textId="77777777" w:rsidR="007E1F1E" w:rsidRPr="00A54509" w:rsidRDefault="007E1F1E" w:rsidP="007E1F1E">
      <w:pPr>
        <w:pStyle w:val="ListParagraph"/>
        <w:numPr>
          <w:ilvl w:val="0"/>
          <w:numId w:val="1"/>
        </w:numPr>
        <w:rPr>
          <w:rFonts w:cstheme="minorHAnsi"/>
          <w:sz w:val="24"/>
        </w:rPr>
      </w:pPr>
      <w:r>
        <w:rPr>
          <w:rFonts w:cstheme="minorHAnsi"/>
          <w:color w:val="222222"/>
          <w:szCs w:val="20"/>
          <w:shd w:val="clear" w:color="auto" w:fill="FFFFFF"/>
        </w:rPr>
        <w:t xml:space="preserve">Bowlby, J.  (1979) </w:t>
      </w:r>
      <w:r>
        <w:rPr>
          <w:rFonts w:cstheme="minorHAnsi"/>
          <w:i/>
          <w:color w:val="222222"/>
          <w:szCs w:val="20"/>
          <w:shd w:val="clear" w:color="auto" w:fill="FFFFFF"/>
        </w:rPr>
        <w:t>The making and breaking of affectional bonds</w:t>
      </w:r>
      <w:r>
        <w:rPr>
          <w:rFonts w:cstheme="minorHAnsi"/>
          <w:color w:val="222222"/>
          <w:szCs w:val="20"/>
          <w:shd w:val="clear" w:color="auto" w:fill="FFFFFF"/>
        </w:rPr>
        <w:t>, London, Tavistock Publications Ltd.</w:t>
      </w:r>
    </w:p>
    <w:p w14:paraId="51584407" w14:textId="77777777" w:rsidR="007E1F1E" w:rsidRPr="00A54509" w:rsidRDefault="007E1F1E" w:rsidP="007E1F1E">
      <w:pPr>
        <w:pStyle w:val="ListParagraph"/>
        <w:numPr>
          <w:ilvl w:val="0"/>
          <w:numId w:val="1"/>
        </w:numPr>
        <w:rPr>
          <w:rFonts w:cstheme="minorHAnsi"/>
          <w:sz w:val="24"/>
        </w:rPr>
      </w:pPr>
      <w:r w:rsidRPr="00B072C1">
        <w:rPr>
          <w:rFonts w:cstheme="minorHAnsi"/>
          <w:color w:val="222222"/>
          <w:szCs w:val="20"/>
          <w:shd w:val="clear" w:color="auto" w:fill="FFFFFF"/>
        </w:rPr>
        <w:t xml:space="preserve">Bowlby, J., </w:t>
      </w:r>
      <w:r>
        <w:rPr>
          <w:rFonts w:cstheme="minorHAnsi"/>
          <w:color w:val="222222"/>
          <w:szCs w:val="20"/>
          <w:shd w:val="clear" w:color="auto" w:fill="FFFFFF"/>
        </w:rPr>
        <w:t>(</w:t>
      </w:r>
      <w:r w:rsidRPr="00B072C1">
        <w:rPr>
          <w:rFonts w:cstheme="minorHAnsi"/>
          <w:color w:val="222222"/>
          <w:szCs w:val="20"/>
          <w:shd w:val="clear" w:color="auto" w:fill="FFFFFF"/>
        </w:rPr>
        <w:t>1944</w:t>
      </w:r>
      <w:r>
        <w:rPr>
          <w:rFonts w:cstheme="minorHAnsi"/>
          <w:color w:val="222222"/>
          <w:szCs w:val="20"/>
          <w:shd w:val="clear" w:color="auto" w:fill="FFFFFF"/>
        </w:rPr>
        <w:t>)</w:t>
      </w:r>
      <w:r w:rsidRPr="00B072C1">
        <w:rPr>
          <w:rFonts w:cstheme="minorHAnsi"/>
          <w:color w:val="222222"/>
          <w:szCs w:val="20"/>
          <w:shd w:val="clear" w:color="auto" w:fill="FFFFFF"/>
        </w:rPr>
        <w:t xml:space="preserve"> </w:t>
      </w:r>
      <w:r>
        <w:rPr>
          <w:rFonts w:cstheme="minorHAnsi"/>
          <w:color w:val="222222"/>
          <w:szCs w:val="20"/>
          <w:shd w:val="clear" w:color="auto" w:fill="FFFFFF"/>
        </w:rPr>
        <w:t>‘</w:t>
      </w:r>
      <w:r w:rsidRPr="00B072C1">
        <w:rPr>
          <w:rFonts w:cstheme="minorHAnsi"/>
          <w:color w:val="222222"/>
          <w:szCs w:val="20"/>
          <w:shd w:val="clear" w:color="auto" w:fill="FFFFFF"/>
        </w:rPr>
        <w:t>Forty-four juvenile thieves: their characters and home-life</w:t>
      </w:r>
      <w:r>
        <w:rPr>
          <w:rFonts w:cstheme="minorHAnsi"/>
          <w:color w:val="222222"/>
          <w:szCs w:val="20"/>
          <w:shd w:val="clear" w:color="auto" w:fill="FFFFFF"/>
        </w:rPr>
        <w:t>’</w:t>
      </w:r>
      <w:r w:rsidRPr="00B072C1">
        <w:rPr>
          <w:rFonts w:cstheme="minorHAnsi"/>
          <w:color w:val="222222"/>
          <w:szCs w:val="20"/>
          <w:shd w:val="clear" w:color="auto" w:fill="FFFFFF"/>
        </w:rPr>
        <w:t>. </w:t>
      </w:r>
      <w:r w:rsidRPr="00B072C1">
        <w:rPr>
          <w:rFonts w:cstheme="minorHAnsi"/>
          <w:i/>
          <w:iCs/>
          <w:color w:val="222222"/>
          <w:szCs w:val="20"/>
          <w:shd w:val="clear" w:color="auto" w:fill="FFFFFF"/>
        </w:rPr>
        <w:t>International Journal of Psychoanalysis</w:t>
      </w:r>
      <w:r w:rsidRPr="00B072C1">
        <w:rPr>
          <w:rFonts w:cstheme="minorHAnsi"/>
          <w:color w:val="222222"/>
          <w:szCs w:val="20"/>
          <w:shd w:val="clear" w:color="auto" w:fill="FFFFFF"/>
        </w:rPr>
        <w:t>, </w:t>
      </w:r>
      <w:r w:rsidRPr="00B072C1">
        <w:rPr>
          <w:rFonts w:cstheme="minorHAnsi"/>
          <w:i/>
          <w:iCs/>
          <w:color w:val="222222"/>
          <w:szCs w:val="20"/>
          <w:shd w:val="clear" w:color="auto" w:fill="FFFFFF"/>
        </w:rPr>
        <w:t>25</w:t>
      </w:r>
      <w:r w:rsidRPr="00B072C1">
        <w:rPr>
          <w:rFonts w:cstheme="minorHAnsi"/>
          <w:color w:val="222222"/>
          <w:szCs w:val="20"/>
          <w:shd w:val="clear" w:color="auto" w:fill="FFFFFF"/>
        </w:rPr>
        <w:t xml:space="preserve">, </w:t>
      </w:r>
      <w:r>
        <w:rPr>
          <w:rFonts w:cstheme="minorHAnsi"/>
          <w:color w:val="222222"/>
          <w:szCs w:val="20"/>
          <w:shd w:val="clear" w:color="auto" w:fill="FFFFFF"/>
        </w:rPr>
        <w:t>Pg</w:t>
      </w:r>
      <w:r w:rsidRPr="00B072C1">
        <w:rPr>
          <w:rFonts w:cstheme="minorHAnsi"/>
          <w:color w:val="222222"/>
          <w:szCs w:val="20"/>
          <w:shd w:val="clear" w:color="auto" w:fill="FFFFFF"/>
        </w:rPr>
        <w:t>.107-128.</w:t>
      </w:r>
    </w:p>
    <w:p w14:paraId="4236A4B9" w14:textId="77777777" w:rsidR="007E1F1E" w:rsidRDefault="007E1F1E" w:rsidP="007E1F1E">
      <w:pPr>
        <w:pStyle w:val="ListParagraph"/>
        <w:numPr>
          <w:ilvl w:val="0"/>
          <w:numId w:val="1"/>
        </w:numPr>
      </w:pPr>
      <w:r>
        <w:t xml:space="preserve">Greer, S. and Gunn, J. C. (1966) Attempted Suicides from Intact and Broken Parental Homes. </w:t>
      </w:r>
      <w:r>
        <w:rPr>
          <w:i/>
        </w:rPr>
        <w:t>British Medical Journal</w:t>
      </w:r>
      <w:r>
        <w:t>, 2, Pg. 1355-1357</w:t>
      </w:r>
    </w:p>
    <w:p w14:paraId="455A216D" w14:textId="77777777" w:rsidR="007E1F1E" w:rsidRPr="00B072C1" w:rsidRDefault="007E1F1E" w:rsidP="007E1F1E">
      <w:pPr>
        <w:pStyle w:val="ListParagraph"/>
        <w:numPr>
          <w:ilvl w:val="0"/>
          <w:numId w:val="1"/>
        </w:numPr>
        <w:rPr>
          <w:rFonts w:cstheme="minorHAnsi"/>
          <w:sz w:val="24"/>
        </w:rPr>
      </w:pPr>
      <w:r w:rsidRPr="00E251DE">
        <w:rPr>
          <w:rFonts w:cstheme="minorHAnsi"/>
          <w:sz w:val="24"/>
        </w:rPr>
        <w:t>Hess, E. H. (1958). Imprinting in animals. </w:t>
      </w:r>
      <w:r w:rsidRPr="00E251DE">
        <w:rPr>
          <w:rFonts w:cstheme="minorHAnsi"/>
          <w:i/>
          <w:iCs/>
          <w:sz w:val="24"/>
        </w:rPr>
        <w:t>Scientific American, 198(3)</w:t>
      </w:r>
      <w:r w:rsidRPr="00E251DE">
        <w:rPr>
          <w:rFonts w:cstheme="minorHAnsi"/>
          <w:sz w:val="24"/>
        </w:rPr>
        <w:t>,</w:t>
      </w:r>
      <w:r>
        <w:rPr>
          <w:rFonts w:cstheme="minorHAnsi"/>
          <w:sz w:val="24"/>
        </w:rPr>
        <w:t xml:space="preserve"> Pg.</w:t>
      </w:r>
      <w:r w:rsidRPr="00E251DE">
        <w:rPr>
          <w:rFonts w:cstheme="minorHAnsi"/>
          <w:sz w:val="24"/>
        </w:rPr>
        <w:t xml:space="preserve"> 81-90.</w:t>
      </w:r>
    </w:p>
    <w:p w14:paraId="2DC132BB" w14:textId="77777777" w:rsidR="007E1F1E" w:rsidRDefault="007E1F1E" w:rsidP="007E1F1E">
      <w:pPr>
        <w:pStyle w:val="ListParagraph"/>
        <w:numPr>
          <w:ilvl w:val="0"/>
          <w:numId w:val="1"/>
        </w:numPr>
      </w:pPr>
      <w:r>
        <w:t xml:space="preserve">Maslow, A. (1943) ‘A Theory of Human Motivation’, </w:t>
      </w:r>
      <w:r>
        <w:rPr>
          <w:i/>
        </w:rPr>
        <w:t>Psychological Review</w:t>
      </w:r>
      <w:r>
        <w:t>, 50, July, Pg. 370-396</w:t>
      </w:r>
    </w:p>
    <w:p w14:paraId="7A8031B9" w14:textId="77777777" w:rsidR="007E1F1E" w:rsidRPr="00167D15" w:rsidRDefault="007E1F1E">
      <w:bookmarkStart w:id="0" w:name="_GoBack"/>
      <w:bookmarkEnd w:id="0"/>
    </w:p>
    <w:sectPr w:rsidR="007E1F1E" w:rsidRPr="00167D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7D6A2F"/>
    <w:multiLevelType w:val="hybridMultilevel"/>
    <w:tmpl w:val="B9965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B2D"/>
    <w:rsid w:val="00026ED2"/>
    <w:rsid w:val="0003237F"/>
    <w:rsid w:val="000409EC"/>
    <w:rsid w:val="00070ACF"/>
    <w:rsid w:val="00103A6C"/>
    <w:rsid w:val="00121A41"/>
    <w:rsid w:val="0014692E"/>
    <w:rsid w:val="00167D15"/>
    <w:rsid w:val="0028605A"/>
    <w:rsid w:val="002A7C3C"/>
    <w:rsid w:val="00324AE6"/>
    <w:rsid w:val="00333E55"/>
    <w:rsid w:val="00342DC5"/>
    <w:rsid w:val="00401807"/>
    <w:rsid w:val="004B309E"/>
    <w:rsid w:val="004B50A9"/>
    <w:rsid w:val="005B134F"/>
    <w:rsid w:val="006301E1"/>
    <w:rsid w:val="00653CA3"/>
    <w:rsid w:val="00683658"/>
    <w:rsid w:val="006A601E"/>
    <w:rsid w:val="006E3869"/>
    <w:rsid w:val="007036B2"/>
    <w:rsid w:val="00721893"/>
    <w:rsid w:val="00725991"/>
    <w:rsid w:val="00795EFE"/>
    <w:rsid w:val="007C388F"/>
    <w:rsid w:val="007E1F1E"/>
    <w:rsid w:val="00817123"/>
    <w:rsid w:val="00826B2D"/>
    <w:rsid w:val="00877447"/>
    <w:rsid w:val="0088489E"/>
    <w:rsid w:val="008A1DC5"/>
    <w:rsid w:val="008C524C"/>
    <w:rsid w:val="008F25EE"/>
    <w:rsid w:val="00930D49"/>
    <w:rsid w:val="009A6A74"/>
    <w:rsid w:val="009B16BD"/>
    <w:rsid w:val="00A17D9D"/>
    <w:rsid w:val="00A22028"/>
    <w:rsid w:val="00A46E1F"/>
    <w:rsid w:val="00B10D3C"/>
    <w:rsid w:val="00B218E3"/>
    <w:rsid w:val="00BB244E"/>
    <w:rsid w:val="00C70733"/>
    <w:rsid w:val="00CB58F8"/>
    <w:rsid w:val="00D47812"/>
    <w:rsid w:val="00E5605B"/>
    <w:rsid w:val="00F01395"/>
    <w:rsid w:val="00F11509"/>
    <w:rsid w:val="00F47F39"/>
    <w:rsid w:val="00FA6055"/>
    <w:rsid w:val="00FB1CA9"/>
    <w:rsid w:val="00FF5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EC614"/>
  <w15:chartTrackingRefBased/>
  <w15:docId w15:val="{98175C8A-3E99-461A-9F60-37AF31838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1F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724</TotalTime>
  <Pages>3</Pages>
  <Words>1748</Words>
  <Characters>9969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Le Bas</dc:creator>
  <cp:keywords/>
  <dc:description/>
  <cp:lastModifiedBy>Will Le Bas</cp:lastModifiedBy>
  <cp:revision>13</cp:revision>
  <dcterms:created xsi:type="dcterms:W3CDTF">2019-05-17T11:00:00Z</dcterms:created>
  <dcterms:modified xsi:type="dcterms:W3CDTF">2019-05-20T18:49:00Z</dcterms:modified>
</cp:coreProperties>
</file>