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endnotes.xml" ContentType="application/vnd.openxmlformats-officedocument.wordprocessingml.endnotes+xml"/>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ackground w:color="ffffff"/>
  <w:body>
    <w:p w14:paraId="00000005">
      <w:pPr>
        <w:spacing w:before="200" w:after="200"/>
        <w:rPr>
          <w:b/>
          <w:bCs/>
          <w:sz w:val="28"/>
          <w:szCs w:val="28"/>
        </w:rPr>
      </w:pPr>
    </w:p>
    <w:p w14:paraId="00000006">
      <w:pPr>
        <w:spacing w:before="200" w:after="200"/>
        <w:jc w:val="left"/>
        <w:rPr>
          <w:b/>
          <w:bCs/>
        </w:rPr>
      </w:pPr>
    </w:p>
    <w:p w14:paraId="00000007">
      <w:pPr>
        <w:spacing w:before="200" w:after="200"/>
        <w:jc w:val="center"/>
        <w:rPr>
          <w:b/>
          <w:bCs/>
        </w:rPr>
      </w:pPr>
      <w:r>
        <w:rPr>
          <w:b/>
          <w:bCs/>
        </w:rPr>
        <w:drawing xmlns:mc="http://schemas.openxmlformats.org/markup-compatibility/2006">
          <wp:inline distT="0" distB="0" distL="0" distR="0">
            <wp:extent cx="1809750" cy="723900"/>
            <wp:effectExtent l="0" t="0" r="0" b="0"/>
            <wp:docPr id="27"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7.png"/>
                    <pic:cNvPicPr preferRelativeResize="0"/>
                  </pic:nvPicPr>
                  <pic:blipFill>
                    <a:blip r:embed="rId65"/>
                    <a:srcRect/>
                    <a:stretch>
                      <a:fillRect/>
                    </a:stretch>
                  </pic:blipFill>
                  <pic:spPr>
                    <a:xfrm>
                      <a:off x="0" y="0"/>
                      <a:ext cx="1809750" cy="723900"/>
                    </a:xfrm>
                    <a:prstGeom prst="rect">
                      <a:avLst/>
                    </a:prstGeom>
                  </pic:spPr>
                </pic:pic>
              </a:graphicData>
            </a:graphic>
          </wp:inline>
        </w:drawing>
      </w:r>
    </w:p>
    <w:p w14:paraId="00000008">
      <w:pPr>
        <w:spacing w:before="200" w:after="200"/>
        <w:jc w:val="center"/>
        <w:rPr>
          <w:b/>
          <w:bCs/>
          <w:sz w:val="28"/>
          <w:szCs w:val="28"/>
        </w:rPr>
      </w:pPr>
      <w:r>
        <w:rPr>
          <w:b/>
          <w:bCs/>
          <w:sz w:val="28"/>
          <w:szCs w:val="28"/>
        </w:rPr>
        <w:t>Programme: BA (Hons) Leadership and Management Skills in the Workplace</w:t>
      </w:r>
    </w:p>
    <w:p w14:paraId="00000009">
      <w:pPr>
        <w:spacing w:before="200" w:after="200"/>
        <w:jc w:val="center"/>
        <w:rPr>
          <w:b/>
          <w:bCs/>
          <w:sz w:val="28"/>
          <w:szCs w:val="28"/>
        </w:rPr>
      </w:pPr>
      <w:r>
        <w:rPr>
          <w:b/>
          <w:bCs/>
          <w:sz w:val="28"/>
          <w:szCs w:val="28"/>
        </w:rPr>
        <w:t>Module: Independent Project</w:t>
      </w:r>
    </w:p>
    <w:p w14:paraId="0000000A">
      <w:pPr>
        <w:spacing w:before="200" w:after="200"/>
        <w:jc w:val="center"/>
        <w:rPr>
          <w:b/>
          <w:bCs/>
          <w:sz w:val="28"/>
          <w:szCs w:val="28"/>
        </w:rPr>
      </w:pPr>
      <w:r>
        <w:rPr>
          <w:b/>
          <w:bCs/>
          <w:sz w:val="28"/>
          <w:szCs w:val="28"/>
        </w:rPr>
        <w:t>Module code: LCLM6005</w:t>
      </w:r>
    </w:p>
    <w:p w14:paraId="0000000B">
      <w:pPr>
        <w:spacing w:before="200" w:after="200"/>
        <w:jc w:val="center"/>
        <w:rPr>
          <w:b/>
          <w:bCs/>
          <w:sz w:val="28"/>
          <w:szCs w:val="28"/>
        </w:rPr>
      </w:pPr>
      <w:r>
        <w:rPr>
          <w:b/>
          <w:bCs/>
          <w:sz w:val="28"/>
          <w:szCs w:val="28"/>
        </w:rPr>
        <w:t>Topic: Sustainability Practices and Their Effect on Consumer Trust in UK Fashion Retail Industry</w:t>
      </w:r>
    </w:p>
    <w:p w14:paraId="0000000C">
      <w:pPr>
        <w:spacing w:before="200" w:after="200"/>
        <w:jc w:val="center"/>
        <w:rPr>
          <w:sz w:val="28"/>
          <w:szCs w:val="28"/>
        </w:rPr>
      </w:pPr>
      <w:r>
        <w:rPr>
          <w:sz w:val="28"/>
          <w:szCs w:val="28"/>
        </w:rPr>
        <w:t xml:space="preserve">Student Name: </w:t>
      </w:r>
      <w:r>
        <w:rPr>
          <w:sz w:val="28"/>
          <w:szCs w:val="28"/>
        </w:rPr>
        <w:t>Hirsova</w:t>
      </w:r>
      <w:r>
        <w:rPr>
          <w:sz w:val="28"/>
          <w:szCs w:val="28"/>
        </w:rPr>
        <w:t xml:space="preserve"> Livia</w:t>
      </w:r>
    </w:p>
    <w:p w14:paraId="0000000D">
      <w:pPr>
        <w:spacing w:before="200" w:after="200"/>
        <w:jc w:val="center"/>
        <w:rPr>
          <w:sz w:val="28"/>
          <w:szCs w:val="28"/>
        </w:rPr>
      </w:pPr>
      <w:r>
        <w:rPr>
          <w:sz w:val="28"/>
          <w:szCs w:val="28"/>
        </w:rPr>
        <w:t>Student ID: 2238099</w:t>
      </w:r>
    </w:p>
    <w:p w14:paraId="0000000E">
      <w:pPr>
        <w:spacing w:before="200" w:after="200"/>
        <w:jc w:val="center"/>
        <w:rPr>
          <w:sz w:val="28"/>
          <w:szCs w:val="28"/>
        </w:rPr>
      </w:pPr>
    </w:p>
    <w:p w14:paraId="0000000F">
      <w:pPr>
        <w:spacing w:before="200" w:after="200"/>
        <w:jc w:val="center"/>
        <w:rPr/>
      </w:pPr>
      <w:r>
        <w:rPr/>
        <w:br w:type="page"/>
      </w:r>
    </w:p>
    <w:p w14:paraId="00000010">
      <w:pPr>
        <w:spacing w:before="200" w:after="200"/>
        <w:jc w:val="center"/>
        <w:rPr>
          <w:b/>
          <w:bCs/>
          <w:sz w:val="28"/>
          <w:szCs w:val="28"/>
        </w:rPr>
      </w:pPr>
      <w:r>
        <w:rPr>
          <w:b/>
          <w:bCs/>
          <w:sz w:val="28"/>
          <w:szCs w:val="28"/>
        </w:rPr>
        <w:t>Abstract</w:t>
      </w:r>
    </w:p>
    <w:p w14:paraId="00000011">
      <w:pPr>
        <w:spacing w:before="200" w:after="200"/>
        <w:rPr/>
      </w:pPr>
      <w:r>
        <w:rPr>
          <w:b/>
          <w:bCs/>
        </w:rPr>
        <w:t>Introduction:</w:t>
      </w:r>
      <w:r>
        <w:t xml:space="preserve"> The introduction chapter has highlighted the research aim and objectives which have guided the research findings. The research background has discussed the importance of sustainable initiatives i</w:t>
      </w:r>
      <w:r>
        <w:t xml:space="preserve">n the UK fashion retail industry. Retailers need to maintain effective communication on sustainability to gain customer trust. The chapter has also discussed the scope and significance of this research. </w:t>
      </w:r>
    </w:p>
    <w:p w14:paraId="00000012">
      <w:pPr>
        <w:spacing w:before="200" w:after="200"/>
        <w:rPr/>
      </w:pPr>
      <w:r>
        <w:rPr>
          <w:b/>
          <w:bCs/>
        </w:rPr>
        <w:t xml:space="preserve">Literature review: </w:t>
      </w:r>
      <w:r>
        <w:t>The research study has focused on</w:t>
      </w:r>
      <w:r>
        <w:t xml:space="preserve"> the triple bottom line framework, stakeholder theory, legitimacy theory, signalling theory, Carroll’s pyramid of CSR, and corporate reputation theory. Sustainability communication has now become a focus of corporate strategy in the world of fashion. Simil</w:t>
      </w:r>
      <w:r>
        <w:t>arly, the UK consumer concern regarding environmental factors has risen considerably. The stakeholders, like consumers, regulators, investors, and advocacy groups, are important when it comes to the perception of sustainable communication in the fashion in</w:t>
      </w:r>
      <w:r>
        <w:t>dustry. A well-organised and evidence-based approach to communication is essential to ensure transparency in sustainability communication.</w:t>
      </w:r>
    </w:p>
    <w:p w14:paraId="00000013">
      <w:pPr>
        <w:spacing w:before="200" w:after="200"/>
        <w:rPr/>
      </w:pPr>
      <w:r>
        <w:rPr>
          <w:b/>
          <w:bCs/>
        </w:rPr>
        <w:t xml:space="preserve">Methodology: </w:t>
      </w:r>
      <w:r>
        <w:t>The research design adopted in this study is a mixed-method research design in order to know how the sus</w:t>
      </w:r>
      <w:r>
        <w:t>tainability practises and communication can influence consumer trust in the UK fashion retail industry. Chapter 3 explained the research design whereby the secondary thematic analysis and the primary survey research were used to explore the consumer percep</w:t>
      </w:r>
      <w:r>
        <w:t xml:space="preserve">tion and their behavioural responses. These are systematic data collection and analysis, aspects taken in the methodology to develop systematic data collection and analysis by incorporating literature coding and structured questionnaire design. </w:t>
      </w:r>
    </w:p>
    <w:p w14:paraId="00000014">
      <w:pPr>
        <w:spacing w:before="200" w:after="200"/>
        <w:rPr/>
      </w:pPr>
      <w:r>
        <w:rPr>
          <w:b/>
          <w:bCs/>
        </w:rPr>
        <w:t>Results an</w:t>
      </w:r>
      <w:r>
        <w:rPr>
          <w:b/>
          <w:bCs/>
        </w:rPr>
        <w:t xml:space="preserve">d Discussion: </w:t>
      </w:r>
      <w:r>
        <w:t>The results and findings, which were provided by Chapter 4, indicated that sustainability appears to be becoming relevant to consumers, and brand statements' credibility is still low. Transparency and associated green labels and honesty in co</w:t>
      </w:r>
      <w:r>
        <w:t xml:space="preserve">mmunication turned out to be significant as regards customer engagement and buying rate, whereas greenwashing was a reputational threat. </w:t>
      </w:r>
    </w:p>
    <w:p w14:paraId="00000015">
      <w:pPr>
        <w:spacing w:before="200" w:after="200"/>
        <w:rPr/>
      </w:pPr>
      <w:r>
        <w:rPr>
          <w:b/>
          <w:bCs/>
        </w:rPr>
        <w:t>Recommendations, Conclusions and Limitations of the research:</w:t>
      </w:r>
      <w:r>
        <w:t xml:space="preserve"> Chapter 5 provided recommendations, conclusions and limi</w:t>
      </w:r>
      <w:r>
        <w:t>tations of the research, indicating that transparency, confirmed communication, and access to sustainability are a strategic priority to retailers. Another learning that was realised by the chapter was the flaws of the approach taken and future research tr</w:t>
      </w:r>
      <w:r>
        <w:t>acks to gain more insight about the evolving consumer expectations as well as sustainability communication practises in the fashion industry.</w:t>
      </w:r>
    </w:p>
    <w:p w14:paraId="00000016">
      <w:pPr>
        <w:spacing w:before="200" w:after="200"/>
        <w:rPr/>
      </w:pPr>
    </w:p>
    <w:p w14:paraId="00000017">
      <w:pPr>
        <w:spacing w:before="200" w:after="200"/>
        <w:rPr>
          <w:b/>
          <w:bCs/>
          <w:sz w:val="28"/>
          <w:szCs w:val="28"/>
        </w:rPr>
      </w:pPr>
      <w:bookmarkStart w:id="0" w:name="_rxcj83qh57jy"/>
      <w:bookmarkEnd w:id="0"/>
      <w:r>
        <w:rPr/>
        <w:br w:type="page"/>
      </w:r>
    </w:p>
    <w:p w14:paraId="00000018">
      <w:pPr>
        <w:keepNext w:val="on"/>
        <w:keepLines w:val="on"/>
        <w:pBdr>
          <w:top w:val="nil" w:sz="4" w:space="0"/>
          <w:left w:val="nil" w:sz="4" w:space="0"/>
          <w:bottom w:val="nil" w:sz="4" w:space="0"/>
          <w:right w:val="nil" w:sz="4" w:space="0"/>
          <w:between w:val="nil" w:sz="4" w:space="0"/>
        </w:pBdr>
        <w:spacing w:before="200" w:after="200"/>
        <w:jc w:val="center"/>
        <w:rPr>
          <w:b/>
          <w:bCs/>
          <w:sz w:val="28"/>
          <w:szCs w:val="28"/>
        </w:rPr>
      </w:pPr>
      <w:r>
        <w:rPr>
          <w:b/>
          <w:bCs/>
          <w:sz w:val="28"/>
          <w:szCs w:val="28"/>
        </w:rPr>
        <w:t>Table of Contents</w:t>
      </w:r>
    </w:p>
    <w:p w14:paraId="00000019">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 TOC \h \u \z \t "Heading 1,1,Heading 2,2,Heading 3,3,"</w:instrText>
      </w:r>
      <w:r>
        <w:rPr>
          <w:color w:val="000000"/>
        </w:rPr>
        <w:fldChar w:fldCharType="separate"/>
      </w:r>
      <w:r>
        <w:rPr>
          <w:color w:val="000000"/>
        </w:rPr>
        <w:fldChar w:fldCharType="begin"/>
      </w:r>
      <w:r>
        <w:rPr>
          <w:color w:val="000000"/>
        </w:rPr>
        <w:instrText xml:space="preserve">HYPERLINK \l "_omjfcxob1xbc" </w:instrText>
      </w:r>
      <w:r>
        <w:rPr>
          <w:color w:val="000000"/>
        </w:rPr>
        <w:fldChar w:fldCharType="separate"/>
      </w:r>
      <w:r>
        <w:rPr>
          <w:color w:val="000000"/>
        </w:rPr>
        <w:t>CHAPTER 1: Introduction</w:t>
      </w:r>
      <w:r>
        <w:rPr>
          <w:color w:val="000000"/>
        </w:rPr>
        <w:tab/>
        <w:t>7</w:t>
      </w:r>
      <w:r>
        <w:rPr>
          <w:rFonts w:ascii="Arial" w:cs="Arial" w:eastAsia="Arial" w:hAnsi="Arial"/>
          <w:b/>
          <w:bCs/>
          <w:color w:val="000000"/>
          <w:sz w:val="22"/>
          <w:szCs w:val="22"/>
        </w:rPr>
        <w:fldChar w:fldCharType="end"/>
      </w:r>
    </w:p>
    <w:p w14:paraId="0000001A">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"_amcs32nlcnef" </w:instrText>
      </w:r>
      <w:r>
        <w:rPr>
          <w:color w:val="000000"/>
        </w:rPr>
        <w:fldChar w:fldCharType="separate"/>
      </w:r>
      <w:r>
        <w:rPr>
          <w:color w:val="000000"/>
        </w:rPr>
        <w:t>1.1 Introduction</w:t>
      </w:r>
      <w:r>
        <w:rPr>
          <w:color w:val="000000"/>
        </w:rPr>
        <w:tab/>
        <w:t>7</w:t>
      </w:r>
      <w:r>
        <w:rPr>
          <w:rFonts w:ascii="Arial" w:cs="Arial" w:eastAsia="Arial" w:hAnsi="Arial"/>
          <w:color w:val="000000"/>
          <w:sz w:val="22"/>
          <w:szCs w:val="22"/>
        </w:rPr>
        <w:fldChar w:fldCharType="end"/>
      </w:r>
    </w:p>
    <w:p w14:paraId="0000001B">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"_2t1w3zc7v6q" </w:instrText>
      </w:r>
      <w:r>
        <w:rPr>
          <w:color w:val="000000"/>
        </w:rPr>
        <w:fldChar w:fldCharType="separate"/>
      </w:r>
      <w:r>
        <w:rPr>
          <w:color w:val="000000"/>
        </w:rPr>
        <w:t>1.2 Research Background</w:t>
      </w:r>
      <w:r>
        <w:rPr>
          <w:color w:val="000000"/>
        </w:rPr>
        <w:tab/>
        <w:t>7</w:t>
      </w:r>
      <w:r>
        <w:rPr>
          <w:rFonts w:ascii="Arial" w:cs="Arial" w:eastAsia="Arial" w:hAnsi="Arial"/>
          <w:color w:val="000000"/>
          <w:sz w:val="22"/>
          <w:szCs w:val="22"/>
        </w:rPr>
        <w:fldChar w:fldCharType="end"/>
      </w:r>
    </w:p>
    <w:p w14:paraId="0000001C">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"_yx29b5uf1ag5" </w:instrText>
      </w:r>
      <w:r>
        <w:rPr>
          <w:color w:val="000000"/>
        </w:rPr>
        <w:fldChar w:fldCharType="separate"/>
      </w:r>
      <w:r>
        <w:rPr>
          <w:color w:val="000000"/>
        </w:rPr>
        <w:t>1.3 Research Problem</w:t>
      </w:r>
      <w:r>
        <w:rPr>
          <w:color w:val="000000"/>
        </w:rPr>
        <w:tab/>
        <w:t>8</w:t>
      </w:r>
      <w:r>
        <w:rPr>
          <w:rFonts w:ascii="Arial" w:cs="Arial" w:eastAsia="Arial" w:hAnsi="Arial"/>
          <w:color w:val="000000"/>
          <w:sz w:val="22"/>
          <w:szCs w:val="22"/>
        </w:rPr>
        <w:fldChar w:fldCharType="end"/>
      </w:r>
    </w:p>
    <w:p w14:paraId="0000001D">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"_qbappsst9xiz" </w:instrText>
      </w:r>
      <w:r>
        <w:rPr>
          <w:color w:val="000000"/>
        </w:rPr>
        <w:fldChar w:fldCharType="separate"/>
      </w:r>
      <w:r>
        <w:rPr>
          <w:color w:val="000000"/>
        </w:rPr>
        <w:t>1.4 Research Aim and Objectives</w:t>
      </w:r>
      <w:r>
        <w:rPr>
          <w:color w:val="000000"/>
        </w:rPr>
        <w:tab/>
        <w:t>9</w:t>
      </w:r>
      <w:r>
        <w:rPr>
          <w:rFonts w:ascii="Arial" w:cs="Arial" w:eastAsia="Arial" w:hAnsi="Arial"/>
          <w:color w:val="000000"/>
          <w:sz w:val="22"/>
          <w:szCs w:val="22"/>
        </w:rPr>
        <w:fldChar w:fldCharType="end"/>
      </w:r>
    </w:p>
    <w:p w14:paraId="0000001E">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"_yplbw2ixswki" </w:instrText>
      </w:r>
      <w:r>
        <w:rPr>
          <w:color w:val="000000"/>
        </w:rPr>
        <w:fldChar w:fldCharType="separate"/>
      </w:r>
      <w:r>
        <w:rPr>
          <w:color w:val="000000"/>
        </w:rPr>
        <w:t>1.5 Research Questions</w:t>
      </w:r>
      <w:r>
        <w:rPr>
          <w:color w:val="000000"/>
        </w:rPr>
        <w:tab/>
        <w:t>10</w:t>
      </w:r>
      <w:r>
        <w:rPr>
          <w:rFonts w:ascii="Arial" w:cs="Arial" w:eastAsia="Arial" w:hAnsi="Arial"/>
          <w:color w:val="000000"/>
          <w:sz w:val="22"/>
          <w:szCs w:val="22"/>
        </w:rPr>
        <w:fldChar w:fldCharType="end"/>
      </w:r>
    </w:p>
    <w:p w14:paraId="0000001F">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"_mw42qq98tbd0" </w:instrText>
      </w:r>
      <w:r>
        <w:rPr>
          <w:color w:val="000000"/>
        </w:rPr>
        <w:fldChar w:fldCharType="separate"/>
      </w:r>
      <w:r>
        <w:rPr>
          <w:color w:val="000000"/>
        </w:rPr>
        <w:t>1.6 Significance and Scope of the Research</w:t>
      </w:r>
      <w:r>
        <w:rPr>
          <w:color w:val="000000"/>
        </w:rPr>
        <w:tab/>
        <w:t>10</w:t>
      </w:r>
      <w:r>
        <w:rPr>
          <w:rFonts w:ascii="Arial" w:cs="Arial" w:eastAsia="Arial" w:hAnsi="Arial"/>
          <w:color w:val="000000"/>
          <w:sz w:val="22"/>
          <w:szCs w:val="22"/>
        </w:rPr>
        <w:fldChar w:fldCharType="end"/>
      </w:r>
    </w:p>
    <w:p w14:paraId="00000020">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"_xds7yt5kvvk8" </w:instrText>
      </w:r>
      <w:r>
        <w:rPr>
          <w:color w:val="000000"/>
        </w:rPr>
        <w:fldChar w:fldCharType="separate"/>
      </w:r>
      <w:r>
        <w:rPr>
          <w:color w:val="000000"/>
        </w:rPr>
        <w:t>1.7 Chapter Summary</w:t>
      </w:r>
      <w:r>
        <w:rPr>
          <w:color w:val="000000"/>
        </w:rPr>
        <w:tab/>
        <w:t>11</w:t>
      </w:r>
      <w:r>
        <w:rPr>
          <w:rFonts w:ascii="Arial" w:cs="Arial" w:eastAsia="Arial" w:hAnsi="Arial"/>
          <w:color w:val="000000"/>
          <w:sz w:val="22"/>
          <w:szCs w:val="22"/>
        </w:rPr>
        <w:fldChar w:fldCharType="end"/>
      </w:r>
    </w:p>
    <w:p w14:paraId="00000021">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"_u2rav1bmqcvi" </w:instrText>
      </w:r>
      <w:r>
        <w:rPr>
          <w:color w:val="000000"/>
        </w:rPr>
        <w:fldChar w:fldCharType="separate"/>
      </w:r>
      <w:r>
        <w:rPr>
          <w:color w:val="000000"/>
        </w:rPr>
        <w:t>CHAPTER 2: Literature Review</w:t>
      </w:r>
      <w:r>
        <w:rPr>
          <w:color w:val="000000"/>
        </w:rPr>
        <w:tab/>
        <w:t>12</w:t>
      </w:r>
      <w:r>
        <w:rPr>
          <w:rFonts w:ascii="Arial" w:cs="Arial" w:eastAsia="Arial" w:hAnsi="Arial"/>
          <w:b/>
          <w:bCs/>
          <w:color w:val="000000"/>
          <w:sz w:val="22"/>
          <w:szCs w:val="22"/>
        </w:rPr>
        <w:fldChar w:fldCharType="end"/>
      </w:r>
    </w:p>
    <w:p w14:paraId="00000022">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"_e0hhtvvzj5st" </w:instrText>
      </w:r>
      <w:r>
        <w:rPr>
          <w:color w:val="000000"/>
        </w:rPr>
        <w:fldChar w:fldCharType="separate"/>
      </w:r>
      <w:r>
        <w:rPr>
          <w:color w:val="000000"/>
        </w:rPr>
        <w:t>2.1 Introduction</w:t>
      </w:r>
      <w:r>
        <w:rPr>
          <w:color w:val="000000"/>
        </w:rPr>
        <w:tab/>
        <w:t>12</w:t>
      </w:r>
      <w:r>
        <w:rPr>
          <w:rFonts w:ascii="Arial" w:cs="Arial" w:eastAsia="Arial" w:hAnsi="Arial"/>
          <w:color w:val="000000"/>
          <w:sz w:val="22"/>
          <w:szCs w:val="22"/>
        </w:rPr>
        <w:fldChar w:fldCharType="end"/>
      </w:r>
    </w:p>
    <w:p w14:paraId="00000023">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"_er7v4imccmlq" </w:instrText>
      </w:r>
      <w:r>
        <w:rPr>
          <w:color w:val="000000"/>
        </w:rPr>
        <w:fldChar w:fldCharType="separate"/>
      </w:r>
      <w:r>
        <w:rPr>
          <w:color w:val="000000"/>
        </w:rPr>
        <w:t>2.2 Theoretical Frameworks</w:t>
      </w:r>
      <w:r>
        <w:rPr>
          <w:color w:val="000000"/>
        </w:rPr>
        <w:tab/>
        <w:t>12</w:t>
      </w:r>
      <w:r>
        <w:rPr>
          <w:rFonts w:ascii="Arial" w:cs="Arial" w:eastAsia="Arial" w:hAnsi="Arial"/>
          <w:color w:val="000000"/>
          <w:sz w:val="22"/>
          <w:szCs w:val="22"/>
        </w:rPr>
        <w:fldChar w:fldCharType="end"/>
      </w:r>
    </w:p>
    <w:p w14:paraId="00000024">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"_y67vh998qcw8" </w:instrText>
      </w:r>
      <w:r>
        <w:rPr>
          <w:color w:val="000000"/>
        </w:rPr>
        <w:fldChar w:fldCharType="separate"/>
      </w:r>
      <w:r>
        <w:rPr>
          <w:color w:val="000000"/>
        </w:rPr>
        <w:t>2.3 Conceptual Framework</w:t>
      </w:r>
      <w:r>
        <w:rPr>
          <w:color w:val="000000"/>
        </w:rPr>
        <w:tab/>
        <w:t>17</w:t>
      </w:r>
      <w:r>
        <w:rPr>
          <w:rFonts w:ascii="Arial" w:cs="Arial" w:eastAsia="Arial" w:hAnsi="Arial"/>
          <w:color w:val="000000"/>
          <w:sz w:val="22"/>
          <w:szCs w:val="22"/>
        </w:rPr>
        <w:fldChar w:fldCharType="end"/>
      </w:r>
    </w:p>
    <w:p w14:paraId="00000025">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"_4vucrl4nhkov" </w:instrText>
      </w:r>
      <w:r>
        <w:rPr>
          <w:color w:val="000000"/>
        </w:rPr>
        <w:fldChar w:fldCharType="separate"/>
      </w:r>
      <w:r>
        <w:rPr>
          <w:color w:val="000000"/>
        </w:rPr>
        <w:t>2.4 Thematic Analysis</w:t>
      </w:r>
      <w:r>
        <w:rPr>
          <w:color w:val="000000"/>
        </w:rPr>
        <w:tab/>
        <w:t>17</w:t>
      </w:r>
      <w:r>
        <w:rPr>
          <w:rFonts w:ascii="Arial" w:cs="Arial" w:eastAsia="Arial" w:hAnsi="Arial"/>
          <w:color w:val="000000"/>
          <w:sz w:val="22"/>
          <w:szCs w:val="22"/>
        </w:rPr>
        <w:fldChar w:fldCharType="end"/>
      </w:r>
    </w:p>
    <w:p w14:paraId="00000026">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"_5ei7hrg94o8h" </w:instrText>
      </w:r>
      <w:r>
        <w:rPr>
          <w:color w:val="000000"/>
        </w:rPr>
        <w:fldChar w:fldCharType="separate"/>
      </w:r>
      <w:r>
        <w:rPr>
          <w:color w:val="000000"/>
        </w:rPr>
        <w:t>2.5 Literature Gap</w:t>
      </w:r>
      <w:r>
        <w:rPr>
          <w:color w:val="000000"/>
        </w:rPr>
        <w:tab/>
        <w:t>21</w:t>
      </w:r>
      <w:r>
        <w:rPr>
          <w:rFonts w:ascii="Arial" w:cs="Arial" w:eastAsia="Arial" w:hAnsi="Arial"/>
          <w:color w:val="000000"/>
          <w:sz w:val="22"/>
          <w:szCs w:val="22"/>
        </w:rPr>
        <w:fldChar w:fldCharType="end"/>
      </w:r>
    </w:p>
    <w:p w14:paraId="00000027">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"_8j0235fpbebh" </w:instrText>
      </w:r>
      <w:r>
        <w:rPr>
          <w:color w:val="000000"/>
        </w:rPr>
        <w:fldChar w:fldCharType="separate"/>
      </w:r>
      <w:r>
        <w:rPr>
          <w:color w:val="000000"/>
        </w:rPr>
        <w:t>2.6 Summary</w:t>
      </w:r>
      <w:r>
        <w:rPr>
          <w:color w:val="000000"/>
        </w:rPr>
        <w:tab/>
        <w:t>21</w:t>
      </w:r>
      <w:r>
        <w:rPr>
          <w:rFonts w:ascii="Arial" w:cs="Arial" w:eastAsia="Arial" w:hAnsi="Arial"/>
          <w:color w:val="000000"/>
          <w:sz w:val="22"/>
          <w:szCs w:val="22"/>
        </w:rPr>
        <w:fldChar w:fldCharType="end"/>
      </w:r>
    </w:p>
    <w:p w14:paraId="00000028">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"_7eok9t1e41j7" </w:instrText>
      </w:r>
      <w:r>
        <w:rPr>
          <w:color w:val="000000"/>
        </w:rPr>
        <w:fldChar w:fldCharType="separate"/>
      </w:r>
      <w:r>
        <w:rPr>
          <w:color w:val="000000"/>
        </w:rPr>
        <w:t>CHAPTER 3: Methodology</w:t>
      </w:r>
      <w:r>
        <w:rPr>
          <w:color w:val="000000"/>
        </w:rPr>
        <w:tab/>
        <w:t>23</w:t>
      </w:r>
      <w:r>
        <w:rPr>
          <w:rFonts w:ascii="Arial" w:cs="Arial" w:eastAsia="Arial" w:hAnsi="Arial"/>
          <w:b/>
          <w:bCs/>
          <w:color w:val="000000"/>
          <w:sz w:val="22"/>
          <w:szCs w:val="22"/>
        </w:rPr>
        <w:fldChar w:fldCharType="end"/>
      </w:r>
    </w:p>
    <w:p w14:paraId="00000029">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"_dc9d40fnmzhz" </w:instrText>
      </w:r>
      <w:r>
        <w:rPr>
          <w:color w:val="000000"/>
        </w:rPr>
        <w:fldChar w:fldCharType="separate"/>
      </w:r>
      <w:r>
        <w:rPr>
          <w:color w:val="000000"/>
        </w:rPr>
        <w:t>3.1 Introduction</w:t>
      </w:r>
      <w:r>
        <w:rPr>
          <w:color w:val="000000"/>
        </w:rPr>
        <w:tab/>
        <w:t>23</w:t>
      </w:r>
      <w:r>
        <w:rPr>
          <w:rFonts w:ascii="Arial" w:cs="Arial" w:eastAsia="Arial" w:hAnsi="Arial"/>
          <w:color w:val="000000"/>
          <w:sz w:val="22"/>
          <w:szCs w:val="22"/>
        </w:rPr>
        <w:fldChar w:fldCharType="end"/>
      </w:r>
    </w:p>
    <w:p w14:paraId="0000002A">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"_nxuwqtkw1g27" </w:instrText>
      </w:r>
      <w:r>
        <w:rPr>
          <w:color w:val="000000"/>
        </w:rPr>
        <w:fldChar w:fldCharType="separate"/>
      </w:r>
      <w:r>
        <w:rPr>
          <w:color w:val="000000"/>
        </w:rPr>
        <w:t>3.2 Research Philosophy</w:t>
      </w:r>
      <w:r>
        <w:rPr>
          <w:color w:val="000000"/>
        </w:rPr>
        <w:tab/>
        <w:t>23</w:t>
      </w:r>
      <w:r>
        <w:rPr>
          <w:rFonts w:ascii="Arial" w:cs="Arial" w:eastAsia="Arial" w:hAnsi="Arial"/>
          <w:color w:val="000000"/>
          <w:sz w:val="22"/>
          <w:szCs w:val="22"/>
        </w:rPr>
        <w:fldChar w:fldCharType="end"/>
      </w:r>
    </w:p>
    <w:p w14:paraId="0000002B">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"_zcb4xgtc0dnd" </w:instrText>
      </w:r>
      <w:r>
        <w:rPr>
          <w:color w:val="000000"/>
        </w:rPr>
        <w:fldChar w:fldCharType="separate"/>
      </w:r>
      <w:r>
        <w:rPr>
          <w:color w:val="000000"/>
        </w:rPr>
        <w:t>3.3 Research approach</w:t>
      </w:r>
      <w:r>
        <w:rPr>
          <w:color w:val="000000"/>
        </w:rPr>
        <w:tab/>
        <w:t>24</w:t>
      </w:r>
      <w:r>
        <w:rPr>
          <w:rFonts w:ascii="Arial" w:cs="Arial" w:eastAsia="Arial" w:hAnsi="Arial"/>
          <w:color w:val="000000"/>
          <w:sz w:val="22"/>
          <w:szCs w:val="22"/>
        </w:rPr>
        <w:fldChar w:fldCharType="end"/>
      </w:r>
    </w:p>
    <w:p w14:paraId="0000002C">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"_nfdde7npn1s2" </w:instrText>
      </w:r>
      <w:r>
        <w:rPr>
          <w:color w:val="000000"/>
        </w:rPr>
        <w:fldChar w:fldCharType="separate"/>
      </w:r>
      <w:r>
        <w:rPr>
          <w:color w:val="000000"/>
        </w:rPr>
        <w:t>3.4 Research Method and Strategy</w:t>
      </w:r>
      <w:r>
        <w:rPr>
          <w:color w:val="000000"/>
        </w:rPr>
        <w:tab/>
        <w:t>25</w:t>
      </w:r>
      <w:r>
        <w:rPr>
          <w:rFonts w:ascii="Arial" w:cs="Arial" w:eastAsia="Arial" w:hAnsi="Arial"/>
          <w:color w:val="000000"/>
          <w:sz w:val="22"/>
          <w:szCs w:val="22"/>
        </w:rPr>
        <w:fldChar w:fldCharType="end"/>
      </w:r>
    </w:p>
    <w:p w14:paraId="0000002D">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"_92o79v1uyvho" </w:instrText>
      </w:r>
      <w:r>
        <w:rPr>
          <w:color w:val="000000"/>
        </w:rPr>
        <w:fldChar w:fldCharType="separate"/>
      </w:r>
      <w:r>
        <w:rPr>
          <w:color w:val="000000"/>
        </w:rPr>
        <w:t xml:space="preserve">3.5 </w:t>
      </w:r>
      <w:r>
        <w:rPr>
          <w:color w:val="000000"/>
        </w:rPr>
        <w:t>Data Collection</w:t>
      </w:r>
      <w:r>
        <w:rPr>
          <w:color w:val="000000"/>
        </w:rPr>
        <w:tab/>
        <w:t>25</w:t>
      </w:r>
      <w:r>
        <w:rPr>
          <w:rFonts w:ascii="Arial" w:cs="Arial" w:eastAsia="Arial" w:hAnsi="Arial"/>
          <w:color w:val="000000"/>
          <w:sz w:val="22"/>
          <w:szCs w:val="22"/>
        </w:rPr>
        <w:fldChar w:fldCharType="end"/>
      </w:r>
    </w:p>
    <w:p w14:paraId="0000002E">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"_8qp904po5cy6" </w:instrText>
      </w:r>
      <w:r>
        <w:rPr>
          <w:color w:val="000000"/>
        </w:rPr>
        <w:fldChar w:fldCharType="separate"/>
      </w:r>
      <w:r>
        <w:rPr>
          <w:color w:val="000000"/>
        </w:rPr>
        <w:t>3.6 Analysis of Data</w:t>
      </w:r>
      <w:r>
        <w:rPr>
          <w:color w:val="000000"/>
        </w:rPr>
        <w:tab/>
        <w:t>26</w:t>
      </w:r>
      <w:r>
        <w:rPr>
          <w:rFonts w:ascii="Arial" w:cs="Arial" w:eastAsia="Arial" w:hAnsi="Arial"/>
          <w:color w:val="000000"/>
          <w:sz w:val="22"/>
          <w:szCs w:val="22"/>
        </w:rPr>
        <w:fldChar w:fldCharType="end"/>
      </w:r>
    </w:p>
    <w:p w14:paraId="0000002F">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"_kj8h7i1vygqr" </w:instrText>
      </w:r>
      <w:r>
        <w:rPr>
          <w:color w:val="000000"/>
        </w:rPr>
        <w:fldChar w:fldCharType="separate"/>
      </w:r>
      <w:r>
        <w:rPr>
          <w:color w:val="000000"/>
        </w:rPr>
        <w:t>3.7 Ethical considerations</w:t>
      </w:r>
      <w:r>
        <w:rPr>
          <w:color w:val="000000"/>
        </w:rPr>
        <w:tab/>
        <w:t>26</w:t>
      </w:r>
      <w:r>
        <w:rPr>
          <w:rFonts w:ascii="Arial" w:cs="Arial" w:eastAsia="Arial" w:hAnsi="Arial"/>
          <w:color w:val="000000"/>
          <w:sz w:val="22"/>
          <w:szCs w:val="22"/>
        </w:rPr>
        <w:fldChar w:fldCharType="end"/>
      </w:r>
    </w:p>
    <w:p w14:paraId="00000030">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"_fzf3rdzf8oro" </w:instrText>
      </w:r>
      <w:r>
        <w:rPr>
          <w:color w:val="000000"/>
        </w:rPr>
        <w:fldChar w:fldCharType="separate"/>
      </w:r>
      <w:r>
        <w:rPr>
          <w:color w:val="000000"/>
        </w:rPr>
        <w:t>3.8 Summary</w:t>
      </w:r>
      <w:r>
        <w:rPr>
          <w:color w:val="000000"/>
        </w:rPr>
        <w:tab/>
        <w:t>27</w:t>
      </w:r>
      <w:r>
        <w:rPr>
          <w:rFonts w:ascii="Arial" w:cs="Arial" w:eastAsia="Arial" w:hAnsi="Arial"/>
          <w:color w:val="000000"/>
          <w:sz w:val="22"/>
          <w:szCs w:val="22"/>
        </w:rPr>
        <w:fldChar w:fldCharType="end"/>
      </w:r>
    </w:p>
    <w:p w14:paraId="00000031">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"_rscsnxyh85up" </w:instrText>
      </w:r>
      <w:r>
        <w:rPr>
          <w:color w:val="000000"/>
        </w:rPr>
        <w:fldChar w:fldCharType="separate"/>
      </w:r>
      <w:r>
        <w:rPr>
          <w:color w:val="000000"/>
        </w:rPr>
        <w:t>CHAPTER 4: Results and D</w:t>
      </w:r>
      <w:r>
        <w:rPr>
          <w:color w:val="000000"/>
        </w:rPr>
        <w:t>iscussion</w:t>
      </w:r>
      <w:r>
        <w:rPr>
          <w:color w:val="000000"/>
        </w:rPr>
        <w:tab/>
        <w:t>28</w:t>
      </w:r>
      <w:r>
        <w:rPr>
          <w:rFonts w:ascii="Arial" w:cs="Arial" w:eastAsia="Arial" w:hAnsi="Arial"/>
          <w:b/>
          <w:bCs/>
          <w:color w:val="000000"/>
          <w:sz w:val="22"/>
          <w:szCs w:val="22"/>
        </w:rPr>
        <w:fldChar w:fldCharType="end"/>
      </w:r>
    </w:p>
    <w:p w14:paraId="00000032">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"_dlk96skhzjzq" </w:instrText>
      </w:r>
      <w:r>
        <w:rPr>
          <w:color w:val="000000"/>
        </w:rPr>
        <w:fldChar w:fldCharType="separate"/>
      </w:r>
      <w:r>
        <w:rPr>
          <w:color w:val="000000"/>
        </w:rPr>
        <w:t>4.1 Introduction</w:t>
      </w:r>
      <w:r>
        <w:rPr>
          <w:color w:val="000000"/>
        </w:rPr>
        <w:tab/>
        <w:t>28</w:t>
      </w:r>
      <w:r>
        <w:rPr>
          <w:rFonts w:ascii="Arial" w:cs="Arial" w:eastAsia="Arial" w:hAnsi="Arial"/>
          <w:color w:val="000000"/>
          <w:sz w:val="22"/>
          <w:szCs w:val="22"/>
        </w:rPr>
        <w:fldChar w:fldCharType="end"/>
      </w:r>
    </w:p>
    <w:p w14:paraId="00000033">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"_f52wp30wm0x" </w:instrText>
      </w:r>
      <w:r>
        <w:rPr>
          <w:color w:val="000000"/>
        </w:rPr>
        <w:fldChar w:fldCharType="separate"/>
      </w:r>
      <w:r>
        <w:rPr>
          <w:color w:val="000000"/>
        </w:rPr>
        <w:t>4.2 Thematic Analysis (Secondary Method)</w:t>
      </w:r>
      <w:r>
        <w:rPr>
          <w:color w:val="000000"/>
        </w:rPr>
        <w:tab/>
        <w:t>28</w:t>
      </w:r>
      <w:r>
        <w:rPr>
          <w:rFonts w:ascii="Arial" w:cs="Arial" w:eastAsia="Arial" w:hAnsi="Arial"/>
          <w:color w:val="000000"/>
          <w:sz w:val="22"/>
          <w:szCs w:val="22"/>
        </w:rPr>
        <w:fldChar w:fldCharType="end"/>
      </w:r>
    </w:p>
    <w:p w14:paraId="00000034">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"_9c44o2rzjgv9" </w:instrText>
      </w:r>
      <w:r>
        <w:rPr>
          <w:color w:val="000000"/>
        </w:rPr>
        <w:fldChar w:fldCharType="separate"/>
      </w:r>
      <w:r>
        <w:rPr>
          <w:color w:val="000000"/>
        </w:rPr>
        <w:t>4.3 Analysis of Survey Results</w:t>
      </w:r>
      <w:r>
        <w:rPr>
          <w:color w:val="000000"/>
        </w:rPr>
        <w:tab/>
        <w:t>34</w:t>
      </w:r>
      <w:r>
        <w:rPr>
          <w:rFonts w:ascii="Arial" w:cs="Arial" w:eastAsia="Arial" w:hAnsi="Arial"/>
          <w:color w:val="000000"/>
          <w:sz w:val="22"/>
          <w:szCs w:val="22"/>
        </w:rPr>
        <w:fldChar w:fldCharType="end"/>
      </w:r>
    </w:p>
    <w:p w14:paraId="00000035">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"_xn4ulu6ep1g9" </w:instrText>
      </w:r>
      <w:r>
        <w:rPr>
          <w:color w:val="000000"/>
        </w:rPr>
        <w:fldChar w:fldCharType="separate"/>
      </w:r>
      <w:r>
        <w:rPr>
          <w:color w:val="000000"/>
        </w:rPr>
        <w:t>4.4 Discussion</w:t>
      </w:r>
      <w:r>
        <w:rPr>
          <w:color w:val="000000"/>
        </w:rPr>
        <w:tab/>
        <w:t>43</w:t>
      </w:r>
      <w:r>
        <w:rPr>
          <w:rFonts w:ascii="Arial" w:cs="Arial" w:eastAsia="Arial" w:hAnsi="Arial"/>
          <w:color w:val="000000"/>
          <w:sz w:val="22"/>
          <w:szCs w:val="22"/>
        </w:rPr>
        <w:fldChar w:fldCharType="end"/>
      </w:r>
    </w:p>
    <w:p w14:paraId="00000036">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"_xknk2lcbzmy3" </w:instrText>
      </w:r>
      <w:r>
        <w:rPr>
          <w:color w:val="000000"/>
        </w:rPr>
        <w:fldChar w:fldCharType="separate"/>
      </w:r>
      <w:r>
        <w:rPr>
          <w:color w:val="000000"/>
        </w:rPr>
        <w:t>4.5 Summary</w:t>
      </w:r>
      <w:r>
        <w:rPr>
          <w:color w:val="000000"/>
        </w:rPr>
        <w:tab/>
        <w:t>46</w:t>
      </w:r>
      <w:r>
        <w:rPr>
          <w:rFonts w:ascii="Arial" w:cs="Arial" w:eastAsia="Arial" w:hAnsi="Arial"/>
          <w:color w:val="000000"/>
          <w:sz w:val="22"/>
          <w:szCs w:val="22"/>
        </w:rPr>
        <w:fldChar w:fldCharType="end"/>
      </w:r>
    </w:p>
    <w:p w14:paraId="00000037">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"_t6a9uvco02r7" </w:instrText>
      </w:r>
      <w:r>
        <w:rPr>
          <w:color w:val="000000"/>
        </w:rPr>
        <w:fldChar w:fldCharType="separate"/>
      </w:r>
      <w:r>
        <w:rPr>
          <w:color w:val="000000"/>
        </w:rPr>
        <w:t>CHAPTER 5: Recommendations, Conclusion and limitations of the research</w:t>
      </w:r>
      <w:r>
        <w:rPr>
          <w:color w:val="000000"/>
        </w:rPr>
        <w:tab/>
        <w:t>47</w:t>
      </w:r>
      <w:r>
        <w:rPr>
          <w:rFonts w:ascii="Arial" w:cs="Arial" w:eastAsia="Arial" w:hAnsi="Arial"/>
          <w:b/>
          <w:bCs/>
          <w:color w:val="000000"/>
          <w:sz w:val="22"/>
          <w:szCs w:val="22"/>
        </w:rPr>
        <w:fldChar w:fldCharType="end"/>
      </w:r>
    </w:p>
    <w:p w14:paraId="00000038">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"_33qw3k2vaiym" </w:instrText>
      </w:r>
      <w:r>
        <w:rPr>
          <w:color w:val="000000"/>
        </w:rPr>
        <w:fldChar w:fldCharType="separate"/>
      </w:r>
      <w:r>
        <w:rPr>
          <w:color w:val="000000"/>
        </w:rPr>
        <w:t>5.1 Recommendations</w:t>
      </w:r>
      <w:r>
        <w:rPr>
          <w:color w:val="000000"/>
        </w:rPr>
        <w:tab/>
        <w:t>47</w:t>
      </w:r>
      <w:r>
        <w:rPr>
          <w:rFonts w:ascii="Arial" w:cs="Arial" w:eastAsia="Arial" w:hAnsi="Arial"/>
          <w:color w:val="000000"/>
          <w:sz w:val="22"/>
          <w:szCs w:val="22"/>
        </w:rPr>
        <w:fldChar w:fldCharType="end"/>
      </w:r>
    </w:p>
    <w:p w14:paraId="00000039">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"_98s3kphwhyt4" </w:instrText>
      </w:r>
      <w:r>
        <w:rPr>
          <w:color w:val="000000"/>
        </w:rPr>
        <w:fldChar w:fldCharType="separate"/>
      </w:r>
      <w:r>
        <w:rPr>
          <w:color w:val="000000"/>
        </w:rPr>
        <w:t>5.2 Conclusion</w:t>
      </w:r>
      <w:r>
        <w:rPr>
          <w:color w:val="000000"/>
        </w:rPr>
        <w:tab/>
        <w:t>48</w:t>
      </w:r>
      <w:r>
        <w:rPr>
          <w:rFonts w:ascii="Arial" w:cs="Arial" w:eastAsia="Arial" w:hAnsi="Arial"/>
          <w:color w:val="000000"/>
          <w:sz w:val="22"/>
          <w:szCs w:val="22"/>
        </w:rPr>
        <w:fldChar w:fldCharType="end"/>
      </w:r>
    </w:p>
    <w:p w14:paraId="0000003A">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"_5v5j94fiwfxh" </w:instrText>
      </w:r>
      <w:r>
        <w:rPr>
          <w:color w:val="000000"/>
        </w:rPr>
        <w:fldChar w:fldCharType="separate"/>
      </w:r>
      <w:r>
        <w:rPr>
          <w:color w:val="000000"/>
        </w:rPr>
        <w:t>5.3 Limitations</w:t>
      </w:r>
      <w:r>
        <w:rPr>
          <w:color w:val="000000"/>
        </w:rPr>
        <w:tab/>
        <w:t>49</w:t>
      </w:r>
      <w:r>
        <w:rPr>
          <w:rFonts w:ascii="Arial" w:cs="Arial" w:eastAsia="Arial" w:hAnsi="Arial"/>
          <w:color w:val="000000"/>
          <w:sz w:val="22"/>
          <w:szCs w:val="22"/>
        </w:rPr>
        <w:fldChar w:fldCharType="end"/>
      </w:r>
    </w:p>
    <w:p w14:paraId="0000003B">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"_mxpx1yp7mmlx" </w:instrText>
      </w:r>
      <w:r>
        <w:rPr>
          <w:color w:val="000000"/>
        </w:rPr>
        <w:fldChar w:fldCharType="separate"/>
      </w:r>
      <w:r>
        <w:rPr>
          <w:color w:val="000000"/>
        </w:rPr>
        <w:t>5.4 Future Scope</w:t>
      </w:r>
      <w:r>
        <w:rPr>
          <w:color w:val="000000"/>
        </w:rPr>
        <w:tab/>
        <w:t>50</w:t>
      </w:r>
      <w:r>
        <w:rPr>
          <w:rFonts w:ascii="Arial" w:cs="Arial" w:eastAsia="Arial" w:hAnsi="Arial"/>
          <w:color w:val="000000"/>
          <w:sz w:val="22"/>
          <w:szCs w:val="22"/>
        </w:rPr>
        <w:fldChar w:fldCharType="end"/>
      </w:r>
    </w:p>
    <w:p w14:paraId="0000003C">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"_nf154oannkjk" </w:instrText>
      </w:r>
      <w:r>
        <w:rPr>
          <w:color w:val="000000"/>
        </w:rPr>
        <w:fldChar w:fldCharType="separate"/>
      </w:r>
      <w:r>
        <w:rPr>
          <w:color w:val="000000"/>
        </w:rPr>
        <w:t>References</w:t>
      </w:r>
      <w:r>
        <w:rPr>
          <w:color w:val="000000"/>
        </w:rPr>
        <w:tab/>
        <w:t>50</w:t>
      </w:r>
      <w:r>
        <w:rPr>
          <w:rFonts w:ascii="Arial" w:cs="Arial" w:eastAsia="Arial" w:hAnsi="Arial"/>
          <w:b/>
          <w:bCs/>
          <w:color w:val="000000"/>
          <w:sz w:val="22"/>
          <w:szCs w:val="22"/>
        </w:rPr>
        <w:fldChar w:fldCharType="end"/>
      </w:r>
    </w:p>
    <w:p w14:paraId="0000003D">
      <w:pPr>
        <w:widowControl w:val="off"/>
        <w:tabs>
          <w:tab w:val="right" w:leader="dot" w:pos="12000"/>
        </w:tabs>
        <w:spacing w:before="200" w:after="200"/>
        <w:rPr>
          <w:rFonts w:ascii="Arial" w:cs="Arial" w:eastAsia="Arial" w:hAnsi="Arial"/>
          <w:b/>
          <w:bCs/>
          <w:color w:val="000000"/>
          <w:sz w:val="22"/>
          <w:szCs w:val="22"/>
        </w:rPr>
      </w:pPr>
      <w:r>
        <w:rPr>
          <w:color w:val="000000"/>
        </w:rPr>
        <w:fldChar w:fldCharType="begin"/>
      </w:r>
      <w:r>
        <w:rPr>
          <w:color w:val="000000"/>
        </w:rPr>
        <w:instrText xml:space="preserve">HYPERLINK \l "_ty0oqw3b9u8" </w:instrText>
      </w:r>
      <w:r>
        <w:rPr>
          <w:color w:val="000000"/>
        </w:rPr>
        <w:fldChar w:fldCharType="separate"/>
      </w:r>
      <w:r>
        <w:rPr>
          <w:color w:val="000000"/>
        </w:rPr>
        <w:t>Appendix</w:t>
      </w:r>
      <w:r>
        <w:rPr>
          <w:color w:val="000000"/>
        </w:rPr>
        <w:tab/>
        <w:t>57</w:t>
      </w:r>
      <w:r>
        <w:rPr>
          <w:rFonts w:ascii="Arial" w:cs="Arial" w:eastAsia="Arial" w:hAnsi="Arial"/>
          <w:b/>
          <w:bCs/>
          <w:color w:val="000000"/>
          <w:sz w:val="22"/>
          <w:szCs w:val="22"/>
        </w:rPr>
        <w:fldChar w:fldCharType="end"/>
      </w:r>
    </w:p>
    <w:p w14:paraId="0000003E">
      <w:pPr>
        <w:widowControl w:val="off"/>
        <w:tabs>
          <w:tab w:val="right" w:leader="dot" w:pos="12000"/>
        </w:tabs>
        <w:spacing w:before="200" w:after="200"/>
        <w:ind w:left="360"/>
        <w:rPr>
          <w:rFonts w:ascii="Arial" w:cs="Arial" w:eastAsia="Arial" w:hAnsi="Arial"/>
          <w:color w:val="000000"/>
          <w:sz w:val="22"/>
          <w:szCs w:val="22"/>
        </w:rPr>
      </w:pPr>
      <w:r>
        <w:rPr>
          <w:color w:val="000000"/>
        </w:rPr>
        <w:fldChar w:fldCharType="begin"/>
      </w:r>
      <w:r>
        <w:rPr>
          <w:color w:val="000000"/>
        </w:rPr>
        <w:instrText xml:space="preserve">HYPERLINK \l "_vm5jyd5s78em" </w:instrText>
      </w:r>
      <w:r>
        <w:rPr>
          <w:color w:val="000000"/>
        </w:rPr>
        <w:fldChar w:fldCharType="separate"/>
      </w:r>
      <w:r>
        <w:rPr>
          <w:color w:val="000000"/>
        </w:rPr>
        <w:t>Survey Questions</w:t>
      </w:r>
      <w:r>
        <w:rPr>
          <w:color w:val="000000"/>
        </w:rPr>
        <w:tab/>
        <w:t>57</w:t>
      </w:r>
      <w:r>
        <w:rPr>
          <w:rFonts w:ascii="Arial" w:cs="Arial" w:eastAsia="Arial" w:hAnsi="Arial"/>
          <w:color w:val="000000"/>
          <w:sz w:val="22"/>
          <w:szCs w:val="22"/>
        </w:rPr>
        <w:fldChar w:fldCharType="end"/>
      </w:r>
      <w:r>
        <w:rPr>
          <w:rFonts w:ascii="Arial" w:cs="Arial" w:eastAsia="Arial" w:hAnsi="Arial"/>
          <w:color w:val="000000"/>
          <w:sz w:val="22"/>
          <w:szCs w:val="22"/>
        </w:rPr>
        <w:fldChar w:fldCharType="end"/>
      </w:r>
    </w:p>
    <w:p w14:paraId="0000003F">
      <w:pPr>
        <w:spacing w:before="200" w:after="200"/>
        <w:rPr>
          <w:sz w:val="28"/>
          <w:szCs w:val="28"/>
        </w:rPr>
      </w:pPr>
      <w:r>
        <w:rPr/>
        <w:br w:type="page"/>
      </w:r>
    </w:p>
    <w:p w14:paraId="00000040">
      <w:pPr>
        <w:pStyle w:val="Heading1"/>
        <w:spacing w:before="200" w:after="200"/>
        <w:rPr/>
      </w:pPr>
      <w:bookmarkStart w:id="1" w:name="_omjfcxob1xbc"/>
      <w:bookmarkEnd w:id="1"/>
      <w:r>
        <w:t>C</w:t>
      </w:r>
      <w:r>
        <w:t>HAPTER 1: Introduction</w:t>
      </w:r>
    </w:p>
    <w:p w14:paraId="00000041">
      <w:pPr>
        <w:pStyle w:val="Heading2"/>
        <w:spacing w:before="200" w:after="200"/>
        <w:rPr/>
      </w:pPr>
      <w:bookmarkStart w:id="2" w:name="_amcs32nlcnef"/>
      <w:bookmarkEnd w:id="2"/>
      <w:r>
        <w:t>1</w:t>
      </w:r>
      <w:r>
        <w:t>.1 Introduction</w:t>
      </w:r>
    </w:p>
    <w:p w14:paraId="00000042">
      <w:pPr>
        <w:spacing w:before="200" w:after="200"/>
        <w:rPr/>
      </w:pPr>
      <w:r>
        <w:t>The aim of this chapter is to understand the research background and identify the research problems. The dissertation wheel evaluates the associated business risks with green hushing in the UK fashion retail industry. It will also develop the research aim,</w:t>
      </w:r>
      <w:r>
        <w:t xml:space="preserve"> objectives and questions which will be the foundation of the entire dissertation. The dissertation structure and significance of this paper will also be highlighted here. </w:t>
      </w:r>
    </w:p>
    <w:p w14:paraId="00000043">
      <w:pPr>
        <w:pStyle w:val="Heading2"/>
        <w:spacing w:before="200" w:after="200"/>
        <w:rPr/>
      </w:pPr>
      <w:bookmarkStart w:id="3" w:name="_2t1w3zc7v6q"/>
      <w:bookmarkEnd w:id="3"/>
      <w:r>
        <w:t>1</w:t>
      </w:r>
      <w:r>
        <w:t>.2 Research Background</w:t>
      </w:r>
    </w:p>
    <w:p w14:paraId="00000044">
      <w:pPr>
        <w:spacing w:before="200" w:after="200"/>
        <w:rPr/>
      </w:pPr>
      <w:r>
        <w:t>Sustainability has a strong impact on the UK retail sector,</w:t>
      </w:r>
      <w:r>
        <w:t xml:space="preserve"> which has transformed business practices, operations, marketing and customer-centred approaches. The ambitious net-zero goal for 2050 has been applied by the UK government, which has increased the demand for ethical products in the UK. It has also shifted</w:t>
      </w:r>
      <w:r>
        <w:t xml:space="preserve"> the UK fashion retail industry as 85% of UK retailers have implemented sustainability practices in their business operations. According to </w:t>
      </w:r>
      <w:r>
        <w:rPr>
          <w:highlight w:val="white"/>
        </w:rPr>
        <w:t>Mockutė</w:t>
      </w:r>
      <w:r>
        <w:rPr>
          <w:highlight w:val="white"/>
        </w:rPr>
        <w:t xml:space="preserve"> (2026)</w:t>
      </w:r>
      <w:r>
        <w:t>, ethical concern, changing customer demand and rising environmental awareness have a direct influence</w:t>
      </w:r>
      <w:r>
        <w:t xml:space="preserve"> on sustainability practices in the UK fashion industry. Unethical labour practices, textile waste, increasing carbon emissions, and other issues are the key challenges for fashion brands. However, many UK fashion retailers, including Burberry, ASOS and ot</w:t>
      </w:r>
      <w:r>
        <w:t>hers, have already implemented circular economy models to reduce wastage. They also use eco-friendly materials in production and packaging as well as enhance supply chain efficiency</w:t>
      </w:r>
      <w:r>
        <w:rPr>
          <w:highlight w:val="white"/>
        </w:rPr>
        <w:t xml:space="preserve"> (Postlethwaite </w:t>
      </w:r>
      <w:r>
        <w:rPr>
          <w:i/>
          <w:iCs/>
          <w:highlight w:val="white"/>
        </w:rPr>
        <w:t xml:space="preserve">et al., </w:t>
      </w:r>
      <w:r>
        <w:rPr>
          <w:highlight w:val="white"/>
        </w:rPr>
        <w:t>2025)</w:t>
      </w:r>
      <w:r>
        <w:t xml:space="preserve">. </w:t>
      </w:r>
    </w:p>
    <w:p w14:paraId="00000045">
      <w:pPr>
        <w:spacing w:before="200" w:after="200"/>
        <w:rPr/>
      </w:pPr>
      <w:r>
        <w:t>Businesses often face significant challenge</w:t>
      </w:r>
      <w:r>
        <w:t xml:space="preserve">s and hurdles to implement sustainable initiatives such as it increases the overall financial cost. High investment and infrastructure development costs, </w:t>
      </w:r>
      <w:r>
        <w:t xml:space="preserve">lack of skilled knowledge and organisational resistance can affect stakeholder relationships. </w:t>
      </w:r>
      <w:r>
        <w:rPr>
          <w:highlight w:val="white"/>
        </w:rPr>
        <w:t>Hilton (</w:t>
      </w:r>
      <w:r>
        <w:rPr>
          <w:highlight w:val="white"/>
        </w:rPr>
        <w:t>2025)</w:t>
      </w:r>
      <w:r>
        <w:t xml:space="preserve"> has highlighted that instead of greenwashing, businesses are performing </w:t>
      </w:r>
      <w:r>
        <w:t>greenhusing</w:t>
      </w:r>
      <w:r>
        <w:t xml:space="preserve"> which is basically becoming silent about sustainable approaches. The effectiveness of sustainable initiatives depends on transparency and the communication process wi</w:t>
      </w:r>
      <w:r>
        <w:t xml:space="preserve">th business stakeholders. Consumers and investors need to be informed about the sustainable choices as well as environment-friendly business practices. According to </w:t>
      </w:r>
      <w:r>
        <w:rPr>
          <w:highlight w:val="white"/>
        </w:rPr>
        <w:t>Botea-Muntean</w:t>
      </w:r>
      <w:r>
        <w:rPr>
          <w:highlight w:val="white"/>
        </w:rPr>
        <w:t xml:space="preserve"> and Constantinescu (2023)</w:t>
      </w:r>
      <w:r>
        <w:t xml:space="preserve">, </w:t>
      </w:r>
      <w:r>
        <w:t>greenhushing</w:t>
      </w:r>
      <w:r>
        <w:t xml:space="preserve"> is the denial or refusal of a busines</w:t>
      </w:r>
      <w:r>
        <w:t>s organisation to publicise its ESG information. Reports have highlighted that nearly 85% of investors prefer to invest in sustainable businesses and 81% of consumers prefer sustainable brands (</w:t>
      </w:r>
      <w:r>
        <w:rPr>
          <w:highlight w:val="white"/>
        </w:rPr>
        <w:t>Gatti</w:t>
      </w:r>
      <w:r>
        <w:rPr>
          <w:highlight w:val="white"/>
        </w:rPr>
        <w:t>, 2024)</w:t>
      </w:r>
      <w:r>
        <w:t>. The lack of communication about sustainable init</w:t>
      </w:r>
      <w:r>
        <w:t xml:space="preserve">iatives can affect stakeholder relationships. When companies deliberately under-communicate their sustainable achievements, it can create confusion and trust issues among stakeholders. </w:t>
      </w:r>
    </w:p>
    <w:p w14:paraId="00000046">
      <w:pPr>
        <w:pStyle w:val="Heading2"/>
        <w:spacing w:before="200" w:after="200"/>
        <w:rPr/>
      </w:pPr>
      <w:bookmarkStart w:id="4" w:name="_yx29b5uf1ag5"/>
      <w:bookmarkEnd w:id="4"/>
      <w:r>
        <w:t>1</w:t>
      </w:r>
      <w:r>
        <w:t>.3 Research Problem</w:t>
      </w:r>
    </w:p>
    <w:p w14:paraId="00000047">
      <w:pPr>
        <w:spacing w:before="200" w:after="200"/>
        <w:rPr/>
      </w:pPr>
      <w:r>
        <w:t>Many UK fashion retailers have implemented variou</w:t>
      </w:r>
      <w:r>
        <w:t>s sustainable strategies, such as Primark, Burberry, M&amp;S and ASOS. They have implemented a circular economy model to promote the use of recycled items. Ethical sourcing, reducing carbon footprint, eco-friendly packaging and other sustainable initiatives ca</w:t>
      </w:r>
      <w:r>
        <w:t>n highlight the social values of brands</w:t>
      </w:r>
      <w:r>
        <w:rPr>
          <w:highlight w:val="white"/>
        </w:rPr>
        <w:t xml:space="preserve"> (Connor-Crabb </w:t>
      </w:r>
      <w:r>
        <w:rPr>
          <w:i/>
          <w:iCs/>
          <w:highlight w:val="white"/>
        </w:rPr>
        <w:t xml:space="preserve">et al., </w:t>
      </w:r>
      <w:r>
        <w:rPr>
          <w:highlight w:val="white"/>
        </w:rPr>
        <w:t>2025)</w:t>
      </w:r>
      <w:r>
        <w:t>. Authentic and long-term sustainability commitment motivates customers to make repeat purchases. It also creates an emotional want, which can increase competitive advantages and profitabil</w:t>
      </w:r>
      <w:r>
        <w:t xml:space="preserve">ity for businesses. </w:t>
      </w:r>
    </w:p>
    <w:p w14:paraId="00000048">
      <w:pPr>
        <w:spacing w:before="200" w:after="200"/>
        <w:rPr/>
      </w:pPr>
      <w:r>
        <w:t xml:space="preserve">However, maintaining effective communication about this sustainable initiative is important to gain stakeholder trust. </w:t>
      </w:r>
      <w:r>
        <w:rPr>
          <w:highlight w:val="white"/>
        </w:rPr>
        <w:t>Gatti</w:t>
      </w:r>
      <w:r>
        <w:rPr>
          <w:highlight w:val="white"/>
        </w:rPr>
        <w:t xml:space="preserve"> (2024)</w:t>
      </w:r>
      <w:r>
        <w:t xml:space="preserve"> has highlighted that limited disclosure about sustainability </w:t>
      </w:r>
      <w:r>
        <w:t>information and initiatives can affect bra</w:t>
      </w:r>
      <w:r>
        <w:t>nd reputation and consumer trust. Lack of transparent communication can affect customer loyalty. Businesses need to maintain transparent reporting about sustainable initiatives and their performance as well as third party certificates to develop brand repu</w:t>
      </w:r>
      <w:r>
        <w:t xml:space="preserve">tation in the global market. </w:t>
      </w:r>
      <w:r>
        <w:t>Greenhusing</w:t>
      </w:r>
      <w:r>
        <w:t xml:space="preserve"> or avoiding clear communication also can increase the risk of greenwashing. Customers, investors, and shareholders can be misinterpreted by the business's financial reports. As per the view of </w:t>
      </w:r>
      <w:r>
        <w:rPr>
          <w:highlight w:val="white"/>
        </w:rPr>
        <w:t>Botea-Muntean</w:t>
      </w:r>
      <w:r>
        <w:rPr>
          <w:highlight w:val="white"/>
        </w:rPr>
        <w:t xml:space="preserve"> and Cons</w:t>
      </w:r>
      <w:r>
        <w:rPr>
          <w:highlight w:val="white"/>
        </w:rPr>
        <w:t>tantinescu (2023)</w:t>
      </w:r>
      <w:r>
        <w:t xml:space="preserve">, </w:t>
      </w:r>
      <w:r>
        <w:t>greenhusing</w:t>
      </w:r>
      <w:r>
        <w:t xml:space="preserve"> is a new concept that highlights the risk of poor communication. The key research problem in this dissertation is to understand different communication strategies in the UK fashion retail industry and their impact on stakehol</w:t>
      </w:r>
      <w:r>
        <w:t xml:space="preserve">der relationships. Understanding the concept of green </w:t>
      </w:r>
      <w:r>
        <w:t>husing</w:t>
      </w:r>
      <w:r>
        <w:t xml:space="preserve"> is important to develop practical communication approaches for businesses. </w:t>
      </w:r>
    </w:p>
    <w:p w14:paraId="00000049">
      <w:pPr>
        <w:pStyle w:val="Heading2"/>
        <w:spacing w:before="200" w:after="200"/>
        <w:rPr/>
      </w:pPr>
      <w:bookmarkStart w:id="5" w:name="_qbappsst9xiz"/>
      <w:bookmarkEnd w:id="5"/>
      <w:r>
        <w:t>1</w:t>
      </w:r>
      <w:r>
        <w:t xml:space="preserve">.4 Research Aim and Objectives </w:t>
      </w:r>
    </w:p>
    <w:p w14:paraId="0000004A">
      <w:pPr>
        <w:spacing w:before="200" w:after="200"/>
        <w:rPr/>
      </w:pPr>
      <w:r>
        <w:rPr>
          <w:b/>
          <w:bCs/>
        </w:rPr>
        <w:t>Aim</w:t>
      </w:r>
      <w:r>
        <w:t xml:space="preserve"> </w:t>
      </w:r>
    </w:p>
    <w:p w14:paraId="0000004B">
      <w:pPr>
        <w:numPr>
          <w:ilvl w:val="0"/>
          <w:numId w:val="3"/>
        </w:numPr>
        <w:spacing w:before="200" w:after="200"/>
        <w:rPr/>
      </w:pPr>
      <w:r>
        <w:t xml:space="preserve">To understand the potential business risks related to communicating sustainability practices and maintaining transparency to increase stakeholder trust. </w:t>
      </w:r>
    </w:p>
    <w:p w14:paraId="0000004C">
      <w:pPr>
        <w:spacing w:before="200" w:after="200"/>
        <w:rPr>
          <w:b/>
          <w:bCs/>
        </w:rPr>
      </w:pPr>
      <w:r>
        <w:rPr>
          <w:b/>
          <w:bCs/>
        </w:rPr>
        <w:t>Objectives</w:t>
      </w:r>
    </w:p>
    <w:p w14:paraId="0000004D">
      <w:pPr>
        <w:numPr>
          <w:ilvl w:val="0"/>
          <w:numId w:val="2"/>
        </w:numPr>
        <w:spacing w:before="200" w:after="200"/>
        <w:rPr/>
      </w:pPr>
      <w:r>
        <w:t xml:space="preserve">To demonstrate different communication strategies in the UK fashion retailers and </w:t>
      </w:r>
      <w:r>
        <w:t>greenhush</w:t>
      </w:r>
      <w:r>
        <w:t>ing</w:t>
      </w:r>
      <w:r>
        <w:t xml:space="preserve"> about their sustainability initiatives.</w:t>
      </w:r>
    </w:p>
    <w:p w14:paraId="0000004E">
      <w:pPr>
        <w:numPr>
          <w:ilvl w:val="0"/>
          <w:numId w:val="2"/>
        </w:numPr>
        <w:spacing w:before="200" w:after="200"/>
        <w:rPr/>
      </w:pPr>
      <w:r>
        <w:t xml:space="preserve">To identify stakeholder reaction and attitude towards sustainability-related communication. </w:t>
      </w:r>
    </w:p>
    <w:p w14:paraId="0000004F">
      <w:pPr>
        <w:numPr>
          <w:ilvl w:val="0"/>
          <w:numId w:val="2"/>
        </w:numPr>
        <w:spacing w:before="200" w:after="200"/>
        <w:rPr/>
      </w:pPr>
      <w:r>
        <w:t>To create practical approaches to implementing transparency in sustainability communication and business reputation for</w:t>
      </w:r>
      <w:r>
        <w:t xml:space="preserve"> UK fashion retailers while avoiding the negative impacts of non-disclosure.</w:t>
      </w:r>
    </w:p>
    <w:p w14:paraId="00000050">
      <w:pPr>
        <w:pStyle w:val="Heading2"/>
        <w:spacing w:before="200" w:after="200"/>
        <w:rPr/>
      </w:pPr>
      <w:bookmarkStart w:id="6" w:name="_yplbw2ixswki"/>
      <w:bookmarkEnd w:id="6"/>
      <w:r>
        <w:t>1</w:t>
      </w:r>
      <w:r>
        <w:t>.5 Research Questions</w:t>
      </w:r>
    </w:p>
    <w:p w14:paraId="00000051">
      <w:pPr>
        <w:numPr>
          <w:ilvl w:val="0"/>
          <w:numId w:val="1"/>
        </w:numPr>
        <w:spacing w:before="200" w:after="200"/>
        <w:rPr/>
      </w:pPr>
      <w:r>
        <w:t xml:space="preserve">What are the sustainable business practices of UK fashion retailers? </w:t>
      </w:r>
    </w:p>
    <w:p w14:paraId="00000052">
      <w:pPr>
        <w:numPr>
          <w:ilvl w:val="0"/>
          <w:numId w:val="1"/>
        </w:numPr>
        <w:spacing w:before="200" w:after="200"/>
        <w:rPr/>
      </w:pPr>
      <w:r>
        <w:t xml:space="preserve">What is the concept of green </w:t>
      </w:r>
      <w:r>
        <w:t>husing</w:t>
      </w:r>
      <w:r>
        <w:t xml:space="preserve"> regarding stakeholder engagement and trust? </w:t>
      </w:r>
    </w:p>
    <w:p w14:paraId="00000053">
      <w:pPr>
        <w:numPr>
          <w:ilvl w:val="0"/>
          <w:numId w:val="1"/>
        </w:numPr>
        <w:spacing w:before="200" w:after="200"/>
        <w:rPr/>
      </w:pPr>
      <w:r>
        <w:t xml:space="preserve">What </w:t>
      </w:r>
      <w:r>
        <w:t>can be actionable measurements for UK fashion retailers to reduce non-communicated potential reputation damage?</w:t>
      </w:r>
    </w:p>
    <w:p w14:paraId="00000054">
      <w:pPr>
        <w:pStyle w:val="Heading2"/>
        <w:spacing w:before="200" w:after="200"/>
        <w:rPr/>
      </w:pPr>
      <w:bookmarkStart w:id="7" w:name="_mw42qq98tbd0"/>
      <w:bookmarkEnd w:id="7"/>
      <w:r>
        <w:t>1</w:t>
      </w:r>
      <w:r>
        <w:t>.6 Significance and Scope of the Research</w:t>
      </w:r>
    </w:p>
    <w:p w14:paraId="00000055">
      <w:pPr>
        <w:spacing w:before="200" w:after="200"/>
        <w:rPr/>
      </w:pPr>
      <w:r>
        <w:t xml:space="preserve">The report will evaluate how sustainable communication strategies can develop consumer trust and how </w:t>
      </w:r>
      <w:r>
        <w:t>ineffective communication can create reputational damage for the UK fashion retail industry. The research findings will highlight current communication strategies in the UK fashion retail sector and highlight their effectiveness. The significance of this d</w:t>
      </w:r>
      <w:r>
        <w:t>issertation is to demonstrate how effective communication is a critical factor of business success and helps to develop consumer trust</w:t>
      </w:r>
      <w:r>
        <w:rPr>
          <w:highlight w:val="white"/>
        </w:rPr>
        <w:t xml:space="preserve"> (Connor-Crabb </w:t>
      </w:r>
      <w:r>
        <w:rPr>
          <w:i/>
          <w:iCs/>
          <w:highlight w:val="white"/>
        </w:rPr>
        <w:t xml:space="preserve">et al., </w:t>
      </w:r>
      <w:r>
        <w:rPr>
          <w:highlight w:val="white"/>
        </w:rPr>
        <w:t>2025)</w:t>
      </w:r>
      <w:r>
        <w:t>. According to the Triple Bottom Line Theory, three core pillars of sustainability are environ</w:t>
      </w:r>
      <w:r>
        <w:t>mental, economic, and social. The research will help to understand these three areas and can help businesses to make sustainable initiatives, considering these. Fashion industry retailers have implemented various communication strategies such as ethical ma</w:t>
      </w:r>
      <w:r>
        <w:t>rketing, eco-friendly product packaging, publishing sustainable reports and authentic storytelling to promote their sustainable initiatives (</w:t>
      </w:r>
      <w:r>
        <w:rPr>
          <w:highlight w:val="white"/>
        </w:rPr>
        <w:t>Gatti</w:t>
      </w:r>
      <w:r>
        <w:rPr>
          <w:highlight w:val="white"/>
        </w:rPr>
        <w:t>, 2024)</w:t>
      </w:r>
      <w:r>
        <w:t xml:space="preserve">. Third-party certificates and multi-channel marketing also have a vital impact on developing customer </w:t>
      </w:r>
      <w:r>
        <w:t xml:space="preserve">trust. The research is </w:t>
      </w:r>
      <w:r>
        <w:t xml:space="preserve">significant to understand the influence of sustainability communication on stakeholder relationships. It can help retailers to avoid reputational damage and regulatory compliance. </w:t>
      </w:r>
    </w:p>
    <w:p w14:paraId="00000056">
      <w:pPr>
        <w:spacing w:before="200" w:after="200"/>
        <w:rPr/>
      </w:pPr>
      <w:r>
        <w:t>The scope of this research is very high as the resea</w:t>
      </w:r>
      <w:r>
        <w:t>rch findings can help small and medium-sized fashion retailers to make more transparent communication strategies. Considering the research findings, future studies can also identify the role of technology in sustainability communication and stakeholder res</w:t>
      </w:r>
      <w:r>
        <w:t xml:space="preserve">ponse. The paper will highlight how different communication channels such as digital communication, marketing, and brand storytelling can impact customer mindset as well as create emotional bonds with them. </w:t>
      </w:r>
    </w:p>
    <w:p w14:paraId="00000057">
      <w:pPr>
        <w:pStyle w:val="Heading2"/>
        <w:spacing w:before="200" w:after="200"/>
        <w:rPr/>
      </w:pPr>
      <w:bookmarkStart w:id="8" w:name="_xds7yt5kvvk8"/>
      <w:bookmarkEnd w:id="8"/>
      <w:r>
        <w:t>1</w:t>
      </w:r>
      <w:r>
        <w:t>.7 Chapter Summary</w:t>
      </w:r>
    </w:p>
    <w:p w14:paraId="00000058">
      <w:pPr>
        <w:spacing w:before="200" w:after="200"/>
        <w:rPr>
          <w:highlight w:val="white"/>
        </w:rPr>
      </w:pPr>
      <w:r>
        <w:t>This chapter has created the</w:t>
      </w:r>
      <w:r>
        <w:t xml:space="preserve"> foundation of the overall dissertation by highlighting the research problem and research background. The research problem has highlighted why effective communication about sustainable initiatives is important to gain stakeholder trust and customer loyalty</w:t>
      </w:r>
      <w:r>
        <w:t xml:space="preserve">. This chapter has also included the research aim, objectives and questions which will guide the research findings. Therefore, the significance and the future scope of this research have been demonstrated here. </w:t>
      </w:r>
    </w:p>
    <w:p w14:paraId="00000059">
      <w:pPr>
        <w:pStyle w:val="Heading1"/>
        <w:spacing w:before="200" w:after="200"/>
        <w:rPr/>
      </w:pPr>
      <w:bookmarkStart w:id="9" w:name="_u2rav1bmqcvi"/>
      <w:bookmarkEnd w:id="9"/>
      <w:r>
        <w:t>C</w:t>
      </w:r>
      <w:r>
        <w:t>HAPTER 2: Literature Review</w:t>
      </w:r>
    </w:p>
    <w:p w14:paraId="0000005A">
      <w:pPr>
        <w:pStyle w:val="Heading2"/>
        <w:spacing w:before="200" w:after="200"/>
        <w:rPr/>
      </w:pPr>
      <w:bookmarkStart w:id="10" w:name="_e0hhtvvzj5st"/>
      <w:bookmarkEnd w:id="10"/>
      <w:r>
        <w:t>2</w:t>
      </w:r>
      <w:r>
        <w:t>.1 Introductio</w:t>
      </w:r>
      <w:r>
        <w:t xml:space="preserve">n </w:t>
      </w:r>
    </w:p>
    <w:p w14:paraId="0000005B">
      <w:pPr>
        <w:spacing w:before="200" w:after="200"/>
        <w:rPr/>
      </w:pPr>
      <w:r>
        <w:t>This chapter will review industry and academic literature related to CSR, sustainability communication, and green hushing within the UK fashion retail industry. This chapter will examine the key theoretical frameworks, such as Triple Bottom Line, Stakeh</w:t>
      </w:r>
      <w:r>
        <w:t xml:space="preserve">older Theory, Legitimacy Theory, Signalling Theory, Carroll’s Pyramid of CSR, and Corporate Reputation </w:t>
      </w:r>
      <w:r>
        <w:t>Theory. The theoretical framework, conceptual framework, and literature gap will be expressed in this chapter. This chapter will evaluate existing resear</w:t>
      </w:r>
      <w:r>
        <w:t xml:space="preserve">ch on how companies communicate sustainability, how stakeholders respond to disclosure, and practical approaches to implementing transparency. </w:t>
      </w:r>
    </w:p>
    <w:p w14:paraId="0000005C">
      <w:pPr>
        <w:pStyle w:val="Heading2"/>
        <w:spacing w:before="200" w:after="200"/>
        <w:rPr/>
      </w:pPr>
      <w:bookmarkStart w:id="11" w:name="_er7v4imccmlq"/>
      <w:bookmarkEnd w:id="11"/>
      <w:r>
        <w:t>2</w:t>
      </w:r>
      <w:r>
        <w:t xml:space="preserve">.2 Theoretical Frameworks </w:t>
      </w:r>
    </w:p>
    <w:p w14:paraId="0000005D">
      <w:pPr>
        <w:spacing w:before="200" w:after="200"/>
        <w:rPr/>
      </w:pPr>
      <w:r>
        <w:rPr>
          <w:b/>
          <w:bCs/>
          <w:i/>
          <w:iCs/>
        </w:rPr>
        <w:t xml:space="preserve">Triple Bottom Line (TBL) Framework: </w:t>
      </w:r>
      <w:r>
        <w:t xml:space="preserve">This framework focuses on three dimensions of business performance, including economic, social, and environmental. </w:t>
      </w:r>
      <w:r>
        <w:rPr>
          <w:highlight w:val="white"/>
        </w:rPr>
        <w:t xml:space="preserve">According to Nogueira </w:t>
      </w:r>
      <w:r>
        <w:rPr>
          <w:i/>
          <w:iCs/>
          <w:highlight w:val="white"/>
        </w:rPr>
        <w:t>et al</w:t>
      </w:r>
      <w:r>
        <w:rPr>
          <w:highlight w:val="white"/>
        </w:rPr>
        <w:t>. (2023),</w:t>
      </w:r>
      <w:r>
        <w:t xml:space="preserve"> organisations need to consider their impact on the planet and people to develop their competitiveness. T</w:t>
      </w:r>
      <w:r>
        <w:t>he UK fashion retail industry concentrates on implementing fair labour practices, developing proper waste management, and strengthening financial sustainability. It supports long-term company success by properly balancing social responsibility, economic ou</w:t>
      </w:r>
      <w:r>
        <w:t xml:space="preserve">tcomes, and environmental sustainability. </w:t>
      </w:r>
      <w:r>
        <w:rPr>
          <w:highlight w:val="white"/>
        </w:rPr>
        <w:t xml:space="preserve">Nogueira </w:t>
      </w:r>
      <w:r>
        <w:rPr>
          <w:i/>
          <w:iCs/>
          <w:highlight w:val="white"/>
        </w:rPr>
        <w:t>et al</w:t>
      </w:r>
      <w:r>
        <w:rPr>
          <w:highlight w:val="white"/>
        </w:rPr>
        <w:t xml:space="preserve">. (2023) stated that </w:t>
      </w:r>
      <w:r>
        <w:t>this framework is applied to maintain the corporate social responsibility of companies by considering the expectations of ESG (Environment, Social and Governance). As mentioned by</w:t>
      </w:r>
      <w:r>
        <w:t xml:space="preserve"> </w:t>
      </w:r>
      <w:r>
        <w:rPr>
          <w:highlight w:val="white"/>
        </w:rPr>
        <w:t xml:space="preserve">Mio </w:t>
      </w:r>
      <w:r>
        <w:rPr>
          <w:i/>
          <w:iCs/>
          <w:highlight w:val="white"/>
        </w:rPr>
        <w:t>et al</w:t>
      </w:r>
      <w:r>
        <w:rPr>
          <w:highlight w:val="white"/>
        </w:rPr>
        <w:t xml:space="preserve">. (2022), </w:t>
      </w:r>
      <w:r>
        <w:t xml:space="preserve">transparent sustainability practices help stakeholders to understand the performance of the company across all dimensions. However, the companies face issues in developing stakeholder awareness if they adopt green </w:t>
      </w:r>
      <w:r>
        <w:t>husing</w:t>
      </w:r>
      <w:r>
        <w:t xml:space="preserve"> and limit infor</w:t>
      </w:r>
      <w:r>
        <w:t xml:space="preserve">mation disclosure </w:t>
      </w:r>
      <w:r>
        <w:rPr>
          <w:highlight w:val="white"/>
        </w:rPr>
        <w:t xml:space="preserve">(Mio </w:t>
      </w:r>
      <w:r>
        <w:rPr>
          <w:i/>
          <w:iCs/>
          <w:highlight w:val="white"/>
        </w:rPr>
        <w:t>et al</w:t>
      </w:r>
      <w:r>
        <w:rPr>
          <w:highlight w:val="white"/>
        </w:rPr>
        <w:t>., 2022)</w:t>
      </w:r>
      <w:r>
        <w:t xml:space="preserve">. </w:t>
      </w:r>
    </w:p>
    <w:p w14:paraId="0000005E">
      <w:pPr>
        <w:spacing w:before="200" w:after="200"/>
        <w:jc w:val="center"/>
        <w:rPr/>
      </w:pPr>
      <w:r>
        <w:rPr/>
        <w:drawing xmlns:mc="http://schemas.openxmlformats.org/markup-compatibility/2006">
          <wp:inline distT="0" distB="0" distL="0" distR="0">
            <wp:extent cx="4686300" cy="4219575"/>
            <wp:effectExtent l="0" t="0" r="0" b="0"/>
            <wp:docPr id="2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3.png"/>
                    <pic:cNvPicPr preferRelativeResize="0"/>
                  </pic:nvPicPr>
                  <pic:blipFill>
                    <a:blip r:embed="rId66"/>
                    <a:srcRect/>
                    <a:stretch>
                      <a:fillRect/>
                    </a:stretch>
                  </pic:blipFill>
                  <pic:spPr>
                    <a:xfrm>
                      <a:off x="0" y="0"/>
                      <a:ext cx="4686300" cy="4219575"/>
                    </a:xfrm>
                    <a:prstGeom prst="rect">
                      <a:avLst/>
                    </a:prstGeom>
                  </pic:spPr>
                </pic:pic>
              </a:graphicData>
            </a:graphic>
          </wp:inline>
        </w:drawing>
      </w:r>
    </w:p>
    <w:p w14:paraId="0000005F">
      <w:pPr>
        <w:spacing w:before="200" w:after="200"/>
        <w:jc w:val="center"/>
        <w:rPr>
          <w:b/>
          <w:bCs/>
        </w:rPr>
      </w:pPr>
      <w:r>
        <w:rPr>
          <w:b/>
          <w:bCs/>
        </w:rPr>
        <w:t xml:space="preserve">Figure 1: Triple Bottom Line Framework </w:t>
      </w:r>
    </w:p>
    <w:p w14:paraId="00000060">
      <w:pPr>
        <w:spacing w:before="200" w:after="200"/>
        <w:jc w:val="center"/>
        <w:rPr>
          <w:highlight w:val="white"/>
        </w:rPr>
      </w:pPr>
      <w:r>
        <w:t>(Source: Author)</w:t>
      </w:r>
    </w:p>
    <w:p w14:paraId="00000061">
      <w:pPr>
        <w:spacing w:before="200" w:after="200"/>
        <w:rPr/>
      </w:pPr>
      <w:r>
        <w:rPr>
          <w:b/>
          <w:bCs/>
          <w:i/>
          <w:iCs/>
        </w:rPr>
        <w:t xml:space="preserve">Stakeholder Theory: </w:t>
      </w:r>
      <w:r>
        <w:t xml:space="preserve">According to this theory, organisations need to consider the expectations and interests of stakeholders rather than concentrating only on </w:t>
      </w:r>
      <w:r>
        <w:t xml:space="preserve">shareholders. </w:t>
      </w:r>
      <w:r>
        <w:rPr>
          <w:highlight w:val="white"/>
        </w:rPr>
        <w:t xml:space="preserve">According to </w:t>
      </w:r>
      <w:r>
        <w:rPr>
          <w:highlight w:val="white"/>
        </w:rPr>
        <w:t>Valentinov</w:t>
      </w:r>
      <w:r>
        <w:rPr>
          <w:highlight w:val="white"/>
        </w:rPr>
        <w:t xml:space="preserve"> (2023), </w:t>
      </w:r>
      <w:r>
        <w:t xml:space="preserve">customers, employees, investors, communities, and suppliers are the key stakeholders of the UK fashion retail industry. </w:t>
      </w:r>
      <w:r>
        <w:rPr>
          <w:highlight w:val="white"/>
        </w:rPr>
        <w:t xml:space="preserve">As mentioned by Mio </w:t>
      </w:r>
      <w:r>
        <w:rPr>
          <w:i/>
          <w:iCs/>
          <w:highlight w:val="white"/>
        </w:rPr>
        <w:t>et al</w:t>
      </w:r>
      <w:r>
        <w:rPr>
          <w:highlight w:val="white"/>
        </w:rPr>
        <w:t xml:space="preserve">. (2022), </w:t>
      </w:r>
      <w:r>
        <w:t>this theory states that long-term organisational succes</w:t>
      </w:r>
      <w:r>
        <w:t xml:space="preserve">s relies on maintaining strong stakeholder relationships. </w:t>
      </w:r>
      <w:r>
        <w:rPr>
          <w:highlight w:val="white"/>
        </w:rPr>
        <w:t>Valentinov</w:t>
      </w:r>
      <w:r>
        <w:rPr>
          <w:highlight w:val="white"/>
        </w:rPr>
        <w:t xml:space="preserve"> (2023) argued that t</w:t>
      </w:r>
      <w:r>
        <w:t>he lack of information disclosure about the sustainability business performance of the company weakens the stakeholder confidence and their engagement. The transparent</w:t>
      </w:r>
      <w:r>
        <w:t xml:space="preserve"> sustainability communication assists the UK fashion retail industry in strengthening stakeholder engagement. </w:t>
      </w:r>
      <w:r>
        <w:t>This theory is used to provide a strong foundation for companies to examine how sustainability communication affects stakeholder engagement.</w:t>
      </w:r>
    </w:p>
    <w:p w14:paraId="00000062">
      <w:pPr>
        <w:spacing w:before="200" w:after="200"/>
        <w:rPr>
          <w:b/>
          <w:bCs/>
          <w:i/>
          <w:iCs/>
        </w:rPr>
      </w:pPr>
      <w:r>
        <w:rPr>
          <w:b/>
          <w:bCs/>
          <w:i/>
          <w:iCs/>
        </w:rPr>
        <w:t xml:space="preserve">Signalling Theory: </w:t>
      </w:r>
      <w:r>
        <w:t>This theory highlights how companies communicate information to eliminate gaps between external perception and internal knowledge. Sustainability reports and ESG disclosures express the responsibility and ethical commitment of the compan</w:t>
      </w:r>
      <w:r>
        <w:t xml:space="preserve">y. According to </w:t>
      </w:r>
      <w:r>
        <w:t>Friske</w:t>
      </w:r>
      <w:r>
        <w:t xml:space="preserve"> </w:t>
      </w:r>
      <w:r>
        <w:rPr>
          <w:i/>
          <w:iCs/>
        </w:rPr>
        <w:t>et al</w:t>
      </w:r>
      <w:r>
        <w:t>. (2023), credible signals assist investors and customers in expressing positive judgments about the company. Sustainability communication signals a sustainable commitment of the UK fashion retail industry towards social, econom</w:t>
      </w:r>
      <w:r>
        <w:t xml:space="preserve">ic, and environmental standards. </w:t>
      </w:r>
      <w:r>
        <w:t>Friske</w:t>
      </w:r>
      <w:r>
        <w:t xml:space="preserve"> </w:t>
      </w:r>
      <w:r>
        <w:rPr>
          <w:i/>
          <w:iCs/>
        </w:rPr>
        <w:t>et al</w:t>
      </w:r>
      <w:r>
        <w:t xml:space="preserve">. (2023) stated that the implementation of green </w:t>
      </w:r>
      <w:r>
        <w:t>husing</w:t>
      </w:r>
      <w:r>
        <w:t xml:space="preserve"> practices weakens the signalling of the company towards sustainability commitment. </w:t>
      </w:r>
      <w:r>
        <w:rPr>
          <w:highlight w:val="white"/>
        </w:rPr>
        <w:t>Adeoye (2024) explained that</w:t>
      </w:r>
      <w:r>
        <w:t xml:space="preserve"> it increases uncertainty and reduces trust,</w:t>
      </w:r>
      <w:r>
        <w:t xml:space="preserve"> which leads to poor organisational outcomes. Hence, this theory is used by companies to develop effective signalling through transparency and accuracy. Measurable performance indicators and verified information disclosure develop the organisational credib</w:t>
      </w:r>
      <w:r>
        <w:t xml:space="preserve">ility. </w:t>
      </w:r>
    </w:p>
    <w:p w14:paraId="00000063">
      <w:pPr>
        <w:spacing w:before="200" w:after="200"/>
        <w:rPr>
          <w:b/>
          <w:bCs/>
          <w:i/>
          <w:iCs/>
        </w:rPr>
      </w:pPr>
      <w:r>
        <w:rPr>
          <w:b/>
          <w:bCs/>
          <w:i/>
          <w:iCs/>
        </w:rPr>
        <w:t xml:space="preserve">Legitimacy Theory: </w:t>
      </w:r>
      <w:r>
        <w:t xml:space="preserve">This theory states that companies need to operate their business based on social expectations and values in terms of developing their long-term growth. According to </w:t>
      </w:r>
      <w:r>
        <w:rPr>
          <w:highlight w:val="white"/>
        </w:rPr>
        <w:t xml:space="preserve">Adeoye (2024), </w:t>
      </w:r>
      <w:r>
        <w:t>organisations maintain legitimacy by aligning the</w:t>
      </w:r>
      <w:r>
        <w:t xml:space="preserve">ir communications and actions with societal norms. Stakeholders’ concern about sustainability has developed in the UK fashion industry. Hence, organisations need to develop their responsible behaviour and transparent reporting to maintain legitimacy. </w:t>
      </w:r>
      <w:r>
        <w:rPr>
          <w:highlight w:val="white"/>
        </w:rPr>
        <w:t>Adeoy</w:t>
      </w:r>
      <w:r>
        <w:rPr>
          <w:highlight w:val="white"/>
        </w:rPr>
        <w:t>e (2024) explained that</w:t>
      </w:r>
      <w:r>
        <w:t xml:space="preserve"> the legitimacy theory is used by organisations to develop sustainability communication in terms of developing their accountability. It helps the UK fashion retail industry to demonstrate public approval of sustainability and strengt</w:t>
      </w:r>
      <w:r>
        <w:t xml:space="preserve">hen customer trust over time. </w:t>
      </w:r>
    </w:p>
    <w:p w14:paraId="00000064">
      <w:pPr>
        <w:spacing w:before="200" w:after="200"/>
        <w:rPr/>
      </w:pPr>
      <w:r>
        <w:rPr>
          <w:b/>
          <w:bCs/>
          <w:i/>
          <w:iCs/>
        </w:rPr>
        <w:t xml:space="preserve">Carroll’s Pyramid of CSR: </w:t>
      </w:r>
      <w:r>
        <w:t>This model explains corporate responsibility at four levels, which are legal, ethical, economic, and philanthropic. This model expresses that business organisations need to maintain profitability, le</w:t>
      </w:r>
      <w:r>
        <w:t xml:space="preserve">gal frameworks, ethical business practices, and social responsibilities to attain long-term growth. According to </w:t>
      </w:r>
      <w:r>
        <w:rPr>
          <w:highlight w:val="white"/>
        </w:rPr>
        <w:t>Kusyk</w:t>
      </w:r>
      <w:r>
        <w:rPr>
          <w:highlight w:val="white"/>
        </w:rPr>
        <w:t xml:space="preserve"> </w:t>
      </w:r>
      <w:r>
        <w:rPr>
          <w:i/>
          <w:iCs/>
          <w:highlight w:val="white"/>
        </w:rPr>
        <w:t>et al</w:t>
      </w:r>
      <w:r>
        <w:rPr>
          <w:highlight w:val="white"/>
        </w:rPr>
        <w:t>. (2024</w:t>
      </w:r>
      <w:r>
        <w:t>), this includes sustainable sourcing, fair wages, and community engagement in the UK fashion retail industry. Transparent co</w:t>
      </w:r>
      <w:r>
        <w:t xml:space="preserve">mmunication of these responsibilities develops stakeholder trust and supports long-term business reputation. </w:t>
      </w:r>
      <w:r>
        <w:rPr>
          <w:highlight w:val="white"/>
        </w:rPr>
        <w:t>Kusyk</w:t>
      </w:r>
      <w:r>
        <w:rPr>
          <w:highlight w:val="white"/>
        </w:rPr>
        <w:t xml:space="preserve"> </w:t>
      </w:r>
      <w:r>
        <w:rPr>
          <w:i/>
          <w:iCs/>
          <w:highlight w:val="white"/>
        </w:rPr>
        <w:t>et al</w:t>
      </w:r>
      <w:r>
        <w:rPr>
          <w:highlight w:val="white"/>
        </w:rPr>
        <w:t>. (2024</w:t>
      </w:r>
      <w:r>
        <w:t>) explained that the model expresses that economic responsibility develops the organisational foundation as businesses need to be</w:t>
      </w:r>
      <w:r>
        <w:t xml:space="preserve"> profitable to sustain in the market. Legal responsibility helps companies to comply with regulations, and ethical responsibility helps companies to act fairly. According to </w:t>
      </w:r>
      <w:r>
        <w:rPr>
          <w:highlight w:val="white"/>
        </w:rPr>
        <w:t xml:space="preserve">Adeoye (2024), the </w:t>
      </w:r>
      <w:r>
        <w:t>philanthropic responsibility of the company focuses on voluntar</w:t>
      </w:r>
      <w:r>
        <w:t xml:space="preserve">y contributions to develop community well-being. This model supports the UK fashion industry to develop fair labour standards, responsible sourcing, community development and environmental protection contexts as a long-term business sustainability. </w:t>
      </w:r>
    </w:p>
    <w:p w14:paraId="00000065">
      <w:pPr>
        <w:spacing w:before="200" w:after="200"/>
        <w:jc w:val="center"/>
        <w:rPr/>
      </w:pPr>
      <w:r>
        <w:rPr/>
        <w:drawing xmlns:mc="http://schemas.openxmlformats.org/markup-compatibility/2006">
          <wp:inline distT="0" distB="0" distL="0" distR="0">
            <wp:extent cx="4872038" cy="3629025"/>
            <wp:effectExtent l="0" t="0" r="0" b="0"/>
            <wp:docPr id="29"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2.png"/>
                    <pic:cNvPicPr preferRelativeResize="0"/>
                  </pic:nvPicPr>
                  <pic:blipFill>
                    <a:blip r:embed="rId67"/>
                    <a:srcRect/>
                    <a:stretch>
                      <a:fillRect/>
                    </a:stretch>
                  </pic:blipFill>
                  <pic:spPr>
                    <a:xfrm>
                      <a:off x="0" y="0"/>
                      <a:ext cx="4872038" cy="3629025"/>
                    </a:xfrm>
                    <a:prstGeom prst="rect">
                      <a:avLst/>
                    </a:prstGeom>
                  </pic:spPr>
                </pic:pic>
              </a:graphicData>
            </a:graphic>
          </wp:inline>
        </w:drawing>
      </w:r>
    </w:p>
    <w:p w14:paraId="00000066">
      <w:pPr>
        <w:spacing w:before="200" w:after="200"/>
        <w:jc w:val="center"/>
        <w:rPr>
          <w:b/>
          <w:bCs/>
        </w:rPr>
      </w:pPr>
      <w:r>
        <w:rPr>
          <w:b/>
          <w:bCs/>
        </w:rPr>
        <w:t>Figu</w:t>
      </w:r>
      <w:r>
        <w:rPr>
          <w:b/>
          <w:bCs/>
        </w:rPr>
        <w:t>re 2: Carroll’s Pyramid of CSR</w:t>
      </w:r>
    </w:p>
    <w:p w14:paraId="00000067">
      <w:pPr>
        <w:spacing w:before="200" w:after="200"/>
        <w:jc w:val="center"/>
        <w:rPr/>
      </w:pPr>
      <w:r>
        <w:t xml:space="preserve">(Source: </w:t>
      </w:r>
      <w:r>
        <w:rPr>
          <w:highlight w:val="white"/>
        </w:rPr>
        <w:t>Kusyk</w:t>
      </w:r>
      <w:r>
        <w:rPr>
          <w:highlight w:val="white"/>
        </w:rPr>
        <w:t xml:space="preserve"> </w:t>
      </w:r>
      <w:r>
        <w:rPr>
          <w:i/>
          <w:iCs/>
          <w:highlight w:val="white"/>
        </w:rPr>
        <w:t>et al</w:t>
      </w:r>
      <w:r>
        <w:rPr>
          <w:highlight w:val="white"/>
        </w:rPr>
        <w:t>., 2024</w:t>
      </w:r>
      <w:r>
        <w:t>)</w:t>
      </w:r>
    </w:p>
    <w:p w14:paraId="00000068">
      <w:pPr>
        <w:spacing w:before="200" w:after="200"/>
        <w:rPr>
          <w:highlight w:val="white"/>
        </w:rPr>
      </w:pPr>
      <w:r>
        <w:rPr>
          <w:b/>
          <w:bCs/>
          <w:i/>
          <w:iCs/>
        </w:rPr>
        <w:t xml:space="preserve">Corporate Reputation Theory: </w:t>
      </w:r>
      <w:r>
        <w:t xml:space="preserve">This theory highlights how stakeholders develop collective perceptions about the company based on its previous actions, performance, and communication. </w:t>
      </w:r>
      <w:r>
        <w:rPr>
          <w:highlight w:val="white"/>
        </w:rPr>
        <w:t xml:space="preserve">According to Yan </w:t>
      </w:r>
      <w:r>
        <w:rPr>
          <w:i/>
          <w:iCs/>
          <w:highlight w:val="white"/>
        </w:rPr>
        <w:t>et al</w:t>
      </w:r>
      <w:r>
        <w:rPr>
          <w:highlight w:val="white"/>
        </w:rPr>
        <w:t xml:space="preserve">. (2022), </w:t>
      </w:r>
      <w:r>
        <w:t>consistent behaviour and credible information disclosure of the UK fashion retail industry develop their corporate reputation over time. According to the Corporate Reputation Theory, sustainability communication develops a c</w:t>
      </w:r>
      <w:r>
        <w:t xml:space="preserve">ompetitive advantage for the company and strengthens consumer trust. </w:t>
      </w:r>
      <w:r>
        <w:rPr>
          <w:highlight w:val="white"/>
        </w:rPr>
        <w:t xml:space="preserve">Yan </w:t>
      </w:r>
      <w:r>
        <w:rPr>
          <w:i/>
          <w:iCs/>
          <w:highlight w:val="white"/>
        </w:rPr>
        <w:t>et al</w:t>
      </w:r>
      <w:r>
        <w:rPr>
          <w:highlight w:val="white"/>
        </w:rPr>
        <w:t xml:space="preserve">. (2022) argued that </w:t>
      </w:r>
      <w:r>
        <w:t>inconsistent messaging and weak information disclosure damage corporate credibility and reduce consumer trust. The corporate reputation of the UK fashion ret</w:t>
      </w:r>
      <w:r>
        <w:t xml:space="preserve">ailers is directly connected with transparency and ethical business performance. </w:t>
      </w:r>
    </w:p>
    <w:p w14:paraId="00000069">
      <w:pPr>
        <w:pStyle w:val="Heading2"/>
        <w:spacing w:before="200" w:after="200"/>
        <w:rPr/>
      </w:pPr>
      <w:bookmarkStart w:id="12" w:name="_y67vh998qcw8"/>
      <w:bookmarkEnd w:id="12"/>
      <w:r>
        <w:t>2</w:t>
      </w:r>
      <w:r>
        <w:t>.3 Conceptual Framework</w:t>
      </w:r>
    </w:p>
    <w:p w14:paraId="0000006A">
      <w:pPr>
        <w:spacing w:before="200" w:after="200"/>
        <w:jc w:val="center"/>
        <w:rPr/>
      </w:pPr>
      <w:r>
        <w:rPr/>
        <w:drawing xmlns:mc="http://schemas.openxmlformats.org/markup-compatibility/2006">
          <wp:inline distT="0" distB="0" distL="0" distR="0">
            <wp:extent cx="4686300" cy="2762250"/>
            <wp:effectExtent l="0" t="0" r="0" b="0"/>
            <wp:docPr id="30"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5.png"/>
                    <pic:cNvPicPr preferRelativeResize="0"/>
                  </pic:nvPicPr>
                  <pic:blipFill>
                    <a:blip r:embed="rId68"/>
                    <a:srcRect/>
                    <a:stretch>
                      <a:fillRect/>
                    </a:stretch>
                  </pic:blipFill>
                  <pic:spPr>
                    <a:xfrm>
                      <a:off x="0" y="0"/>
                      <a:ext cx="4686300" cy="2762250"/>
                    </a:xfrm>
                    <a:prstGeom prst="rect">
                      <a:avLst/>
                    </a:prstGeom>
                  </pic:spPr>
                </pic:pic>
              </a:graphicData>
            </a:graphic>
          </wp:inline>
        </w:drawing>
      </w:r>
    </w:p>
    <w:p w14:paraId="0000006B">
      <w:pPr>
        <w:spacing w:before="200" w:after="200"/>
        <w:jc w:val="center"/>
        <w:rPr>
          <w:b/>
          <w:bCs/>
        </w:rPr>
      </w:pPr>
      <w:r>
        <w:rPr>
          <w:b/>
          <w:bCs/>
        </w:rPr>
        <w:t xml:space="preserve">Figure 3: Conceptual Framework </w:t>
      </w:r>
    </w:p>
    <w:p w14:paraId="0000006C">
      <w:pPr>
        <w:spacing w:before="200" w:after="200"/>
        <w:jc w:val="center"/>
        <w:rPr/>
      </w:pPr>
      <w:r>
        <w:t>(Source: Author)</w:t>
      </w:r>
    </w:p>
    <w:p w14:paraId="0000006D">
      <w:pPr>
        <w:pStyle w:val="Heading2"/>
        <w:spacing w:before="200" w:after="200"/>
        <w:rPr/>
      </w:pPr>
      <w:bookmarkStart w:id="13" w:name="_4vucrl4nhkov"/>
      <w:bookmarkEnd w:id="13"/>
      <w:r>
        <w:t>2</w:t>
      </w:r>
      <w:r>
        <w:t xml:space="preserve">.4 Thematic Analysis </w:t>
      </w:r>
    </w:p>
    <w:p w14:paraId="0000006E">
      <w:pPr>
        <w:spacing w:before="200" w:after="200"/>
        <w:rPr>
          <w:b/>
          <w:bCs/>
          <w:i/>
          <w:iCs/>
        </w:rPr>
      </w:pPr>
      <w:r>
        <w:rPr>
          <w:b/>
          <w:bCs/>
          <w:i/>
          <w:iCs/>
        </w:rPr>
        <w:t xml:space="preserve">Different communication strategies in the UK fashion retailers and </w:t>
      </w:r>
      <w:r>
        <w:rPr>
          <w:b/>
          <w:bCs/>
          <w:i/>
          <w:iCs/>
        </w:rPr>
        <w:t>greenhus</w:t>
      </w:r>
      <w:r>
        <w:rPr>
          <w:b/>
          <w:bCs/>
          <w:i/>
          <w:iCs/>
        </w:rPr>
        <w:t>hing</w:t>
      </w:r>
      <w:r>
        <w:rPr>
          <w:b/>
          <w:bCs/>
          <w:i/>
          <w:iCs/>
        </w:rPr>
        <w:t xml:space="preserve"> about their sustainability initiatives.</w:t>
      </w:r>
    </w:p>
    <w:p w14:paraId="0000006F">
      <w:pPr>
        <w:spacing w:before="200" w:after="200"/>
        <w:rPr/>
      </w:pPr>
      <w:r>
        <w:t>Sustainability communication has now become a focus of corporate strategy in the world of fashion. Similarly, the UK consumer concern regarding environmental factors has risen considerably. Historically, firms u</w:t>
      </w:r>
      <w:r>
        <w:t>sed sustainability marketing and corporate social responsibility reporting to show support for ethical and environmental practices. However, with growing criticism of inflated or false sustainability claims often called greenwashing, some retailers are tur</w:t>
      </w:r>
      <w:r>
        <w:t xml:space="preserve">ning to a more conservative way of communicating called </w:t>
      </w:r>
      <w:r>
        <w:t>greenhushing</w:t>
      </w:r>
      <w:r>
        <w:t xml:space="preserve">. According to Lee </w:t>
      </w:r>
      <w:r>
        <w:rPr>
          <w:i/>
          <w:iCs/>
        </w:rPr>
        <w:t xml:space="preserve">et al. </w:t>
      </w:r>
      <w:r>
        <w:t xml:space="preserve">(2024), </w:t>
      </w:r>
      <w:r>
        <w:t>greenhushing</w:t>
      </w:r>
      <w:r>
        <w:t xml:space="preserve"> can be defined as the intentional under-reporting or under-disclosure of </w:t>
      </w:r>
      <w:r>
        <w:t>sustainability initiatives to prevent regulatory emission, reputatio</w:t>
      </w:r>
      <w:r>
        <w:t xml:space="preserve">nal, or greenwashing charges. The European Commission states that about 53% of environmental claims by businesses in Europe were ambiguous, deceptive, or unproven (Hu </w:t>
      </w:r>
      <w:r>
        <w:rPr>
          <w:i/>
          <w:iCs/>
        </w:rPr>
        <w:t>et al.,</w:t>
      </w:r>
      <w:r>
        <w:t xml:space="preserve"> 2023). This further increased regulatory control. Several fashion retailers have </w:t>
      </w:r>
      <w:r>
        <w:t>been hesitant to report sustainability programs without thorough checks.</w:t>
      </w:r>
    </w:p>
    <w:p w14:paraId="00000070">
      <w:pPr>
        <w:spacing w:before="200" w:after="200"/>
        <w:rPr/>
      </w:pPr>
      <w:r>
        <w:t xml:space="preserve">Communication strategies have also been dictated by the regulatory environment in the UK. The UK Competition and Markets Authority also established the Green Claims Code that obliges </w:t>
      </w:r>
      <w:r>
        <w:t xml:space="preserve">businesses to make truthful, clear, and evidence-based environmental claims in 2021 (Hu </w:t>
      </w:r>
      <w:r>
        <w:rPr>
          <w:i/>
          <w:iCs/>
        </w:rPr>
        <w:t>et al.,</w:t>
      </w:r>
      <w:r>
        <w:t xml:space="preserve"> 2023). This regulatory framework has forced fashion retailers to review their communication practices on sustainability. Rather than promoting sustainability in</w:t>
      </w:r>
      <w:r>
        <w:t xml:space="preserve"> general, most companies have narrowed down their communication to verifiable measures of supply chain transparency, carbon emissions, and the use of recycled materials. Meanwhile, the fashion industry is a major polluter. According to a study, the fashion</w:t>
      </w:r>
      <w:r>
        <w:t xml:space="preserve"> industry generates more than 92 million tonnes of textile waste each year around the globe, and it generates about 10% of all carbon emissions in the world (</w:t>
      </w:r>
      <w:r>
        <w:t>Costantini</w:t>
      </w:r>
      <w:r>
        <w:t xml:space="preserve"> and </w:t>
      </w:r>
      <w:r>
        <w:t>Costantini</w:t>
      </w:r>
      <w:r>
        <w:t>, 2022). Consequently, the pressure on retailers to be greener is growing</w:t>
      </w:r>
      <w:r>
        <w:t xml:space="preserve">, without the ability to be misleading. As a result, businesses have taken different approaches, such as elaborate reporting on sustainability, selective disclosure, or limited publicity. According to the scholars, </w:t>
      </w:r>
      <w:r>
        <w:t>greenhushing</w:t>
      </w:r>
      <w:r>
        <w:t xml:space="preserve"> is an aspect of risk strateg</w:t>
      </w:r>
      <w:r>
        <w:t>ic management and not the absence of commitment to sustainability (</w:t>
      </w:r>
      <w:r>
        <w:t>Çetiner</w:t>
      </w:r>
      <w:r>
        <w:t xml:space="preserve"> and </w:t>
      </w:r>
      <w:r>
        <w:t>Tunca</w:t>
      </w:r>
      <w:r>
        <w:t>, 2022). However, critics state that too much silence can make the industry less transparent and stifled in achieving sustainable collective progress.</w:t>
      </w:r>
    </w:p>
    <w:p w14:paraId="00000071">
      <w:pPr>
        <w:spacing w:before="200" w:after="200"/>
        <w:rPr>
          <w:b/>
          <w:bCs/>
          <w:i/>
          <w:iCs/>
        </w:rPr>
      </w:pPr>
      <w:r>
        <w:rPr>
          <w:b/>
          <w:bCs/>
          <w:i/>
          <w:iCs/>
        </w:rPr>
        <w:t xml:space="preserve">Stakeholder reaction </w:t>
      </w:r>
      <w:r>
        <w:rPr>
          <w:b/>
          <w:bCs/>
          <w:i/>
          <w:iCs/>
        </w:rPr>
        <w:t xml:space="preserve">and attitude towards sustainability-related communication. </w:t>
      </w:r>
    </w:p>
    <w:p w14:paraId="00000072">
      <w:pPr>
        <w:spacing w:before="200" w:after="200"/>
        <w:rPr/>
      </w:pPr>
      <w:r>
        <w:t xml:space="preserve">The stakeholders, like consumers, regulators, investors, and advocacy groups, are important when it comes to the perception of sustainable communication in the fashion industry. According to Lee </w:t>
      </w:r>
      <w:r>
        <w:rPr>
          <w:i/>
          <w:iCs/>
        </w:rPr>
        <w:t>e</w:t>
      </w:r>
      <w:r>
        <w:rPr>
          <w:i/>
          <w:iCs/>
        </w:rPr>
        <w:t xml:space="preserve">t al. </w:t>
      </w:r>
      <w:r>
        <w:t xml:space="preserve">(2024), their perception of sustainability communication affects corporate reputation, trust, and buying behaviour. Consumers are demanding that fashion brands give them clear information regarding environmental and ethical practices. A survey shows </w:t>
      </w:r>
      <w:r>
        <w:t xml:space="preserve">that 73% of consumers are willing to transform their consumption patterns to be more environmentally friendly (Lee </w:t>
      </w:r>
      <w:r>
        <w:rPr>
          <w:i/>
          <w:iCs/>
        </w:rPr>
        <w:t>et al.,</w:t>
      </w:r>
      <w:r>
        <w:t xml:space="preserve"> 2024). Younger demographics like Generation Z show their preference for sustainable brands significantly. Jung</w:t>
      </w:r>
      <w:r>
        <w:rPr>
          <w:i/>
          <w:iCs/>
        </w:rPr>
        <w:t xml:space="preserve"> et al.</w:t>
      </w:r>
      <w:r>
        <w:t xml:space="preserve"> (2024) state th</w:t>
      </w:r>
      <w:r>
        <w:t>at this change has motivated retailers in the UK fashion market to incorporate sustainability stories in brand identity. Nevertheless, certain consumers mistrust greenwashing due to the increase in scandals. Studies indicate that consumers feel cheated whe</w:t>
      </w:r>
      <w:r>
        <w:t>n companies make unspecific environmental assertions, which weakens brand trust (</w:t>
      </w:r>
      <w:r>
        <w:t>Costantini</w:t>
      </w:r>
      <w:r>
        <w:t xml:space="preserve"> and </w:t>
      </w:r>
      <w:r>
        <w:t>Costantini</w:t>
      </w:r>
      <w:r>
        <w:t>, 2022). As a result, certain retailers decide to reduce communication until claims have been confirmed.</w:t>
      </w:r>
    </w:p>
    <w:p w14:paraId="00000073">
      <w:pPr>
        <w:spacing w:before="200" w:after="200"/>
        <w:rPr/>
      </w:pPr>
      <w:r>
        <w:t>Sustainability communication strategies are a</w:t>
      </w:r>
      <w:r>
        <w:t xml:space="preserve">lso affected by investors. Environmental, social, and governance (ESG) indicators are a significant inclusion in investment decision-making. Increasingly, institutional investors require transparent disclosure on supply chain management, carbon emissions, </w:t>
      </w:r>
      <w:r>
        <w:t xml:space="preserve">and labour practices. According to </w:t>
      </w:r>
      <w:r>
        <w:t>Blazkova</w:t>
      </w:r>
      <w:r>
        <w:t xml:space="preserve"> </w:t>
      </w:r>
      <w:r>
        <w:rPr>
          <w:i/>
          <w:iCs/>
        </w:rPr>
        <w:t>et al.</w:t>
      </w:r>
      <w:r>
        <w:t xml:space="preserve"> (2025), ESG-aligned investments represent more than 100 trillion dollars in assets under management across the globe. This means that investors take corporate sustainability performance seriously. Stakehol</w:t>
      </w:r>
      <w:r>
        <w:t>ders' attitudes are also influenced by regulatory authorities and interest groups. The Changing Markets Foundation has criticized fashion brands, stating that their sustainability marketing is deceptive, with examples of environmental claims not being supp</w:t>
      </w:r>
      <w:r>
        <w:t xml:space="preserve">orted. This publicity raises reputational risk </w:t>
      </w:r>
      <w:r>
        <w:t xml:space="preserve">on the side of retailers and leads to the development of </w:t>
      </w:r>
      <w:r>
        <w:t>greenhushing</w:t>
      </w:r>
      <w:r>
        <w:t xml:space="preserve"> as a counter-attack communicative tool.</w:t>
      </w:r>
    </w:p>
    <w:p w14:paraId="00000074">
      <w:pPr>
        <w:spacing w:before="200" w:after="200"/>
        <w:rPr>
          <w:b/>
          <w:bCs/>
          <w:i/>
          <w:iCs/>
        </w:rPr>
      </w:pPr>
      <w:r>
        <w:rPr>
          <w:b/>
          <w:bCs/>
          <w:i/>
          <w:iCs/>
        </w:rPr>
        <w:t>Practical approaches to implementing transparency in sustainability communication and business repu</w:t>
      </w:r>
      <w:r>
        <w:rPr>
          <w:b/>
          <w:bCs/>
          <w:i/>
          <w:iCs/>
        </w:rPr>
        <w:t>tation for UK fashion retailers while avoiding the negative impacts of non-disclosure.</w:t>
      </w:r>
    </w:p>
    <w:p w14:paraId="00000075">
      <w:pPr>
        <w:spacing w:before="200" w:after="200"/>
        <w:rPr/>
      </w:pPr>
      <w:r>
        <w:t xml:space="preserve">A well-organised and evidence-based approach to communication is essential to ensure transparency in sustainability communication without the dangers of greenwashing or </w:t>
      </w:r>
      <w:r>
        <w:t>greenhushing</w:t>
      </w:r>
      <w:r>
        <w:t>. Academic and industrial literature has suggested a number of practical solutions to overcome this challenge. The most common recommendation is standardised sustainability reporting frameworks. The Global Reporting Initiative offers internatio</w:t>
      </w:r>
      <w:r>
        <w:t xml:space="preserve">nally accepted principles that help companies to report environmental and social performance in a uniform and quantifiable way (Jung </w:t>
      </w:r>
      <w:r>
        <w:rPr>
          <w:i/>
          <w:iCs/>
        </w:rPr>
        <w:t>et al.,</w:t>
      </w:r>
      <w:r>
        <w:t xml:space="preserve"> 2024). Standardised reporting decreases ambiguity and improves credibility due to the ability of the stakeholders. </w:t>
      </w:r>
      <w:r>
        <w:t>This helps to compare sustainability performance among companies.</w:t>
      </w:r>
    </w:p>
    <w:p w14:paraId="00000076">
      <w:pPr>
        <w:spacing w:before="200" w:after="200"/>
        <w:rPr/>
      </w:pPr>
      <w:r>
        <w:t>Similarly, the Science Based Targets campaign urges businesses to establish quantifiable carbon emission reduction goals aligned with climate science. Companies can show seriousness to susta</w:t>
      </w:r>
      <w:r>
        <w:t xml:space="preserve">inability and reduce the chances of misleading statements by reporting confirmed targets and progress. Studies have shown that companies implementing science-based targets enjoy increased stakeholder confidence and enhanced corporate image. According to </w:t>
      </w:r>
      <w:r>
        <w:t>Bl</w:t>
      </w:r>
      <w:r>
        <w:t>azkova</w:t>
      </w:r>
      <w:r>
        <w:t xml:space="preserve"> </w:t>
      </w:r>
      <w:r>
        <w:rPr>
          <w:i/>
          <w:iCs/>
        </w:rPr>
        <w:t>et al.</w:t>
      </w:r>
      <w:r>
        <w:t xml:space="preserve"> (2025), another important strategy of fashion </w:t>
      </w:r>
      <w:r>
        <w:t>retailers</w:t>
      </w:r>
      <w:r>
        <w:t xml:space="preserve"> is supply chain transparency. A significant part of environmental and social effects is caused by the manufacturing and sourcing processes, reporting supplier information and labour cond</w:t>
      </w:r>
      <w:r>
        <w:t xml:space="preserve">itions; all these can enhance responsibility. The industry has </w:t>
      </w:r>
      <w:r>
        <w:t xml:space="preserve">also created initiatives like the Sustainable Apparel Coalition that have designed frameworks like the </w:t>
      </w:r>
      <w:r>
        <w:t>Higg</w:t>
      </w:r>
      <w:r>
        <w:t xml:space="preserve"> Index to assess the environmental performance of supply chains.</w:t>
      </w:r>
    </w:p>
    <w:p w14:paraId="00000077">
      <w:pPr>
        <w:spacing w:before="200" w:after="200"/>
        <w:rPr/>
      </w:pPr>
      <w:r>
        <w:t>The organisations can</w:t>
      </w:r>
      <w:r>
        <w:t xml:space="preserve"> also achieve credibility by clear and balanced communication. Companies are communicating more progress, challenges, and limitations instead of portraying sustainability as an attained objective. Such a strategy is more realistic when it comes to narratin</w:t>
      </w:r>
      <w:r>
        <w:t>g the sustainability transformation and minimises the chances of being accused of exaggeration. Studies have shown that stakeholders would react better if companies recognise both the successes and the areas of improvement (</w:t>
      </w:r>
      <w:r>
        <w:t>Blazkova</w:t>
      </w:r>
      <w:r>
        <w:t xml:space="preserve"> </w:t>
      </w:r>
      <w:r>
        <w:rPr>
          <w:i/>
          <w:iCs/>
        </w:rPr>
        <w:t>et al.,</w:t>
      </w:r>
      <w:r>
        <w:t xml:space="preserve"> 2025). Lastly, </w:t>
      </w:r>
      <w:r>
        <w:t>cooperation in the fashion business can promote integrity and collaborative development. Partnerships between retailers, NGOs, and regulators facilitate common standards and knowledge sharing. These coordination efforts foster accountability and facilitate</w:t>
      </w:r>
      <w:r>
        <w:t xml:space="preserve"> the creation of industry sustainability standards.</w:t>
      </w:r>
    </w:p>
    <w:p w14:paraId="00000078">
      <w:pPr>
        <w:pStyle w:val="Heading2"/>
        <w:spacing w:before="200" w:after="200"/>
        <w:rPr/>
      </w:pPr>
      <w:bookmarkStart w:id="14" w:name="_5ei7hrg94o8h"/>
      <w:bookmarkEnd w:id="14"/>
      <w:r>
        <w:t>2</w:t>
      </w:r>
      <w:r>
        <w:t xml:space="preserve">.5 Literature Gap </w:t>
      </w:r>
    </w:p>
    <w:p w14:paraId="00000079">
      <w:pPr>
        <w:spacing w:before="200" w:after="200"/>
        <w:rPr/>
      </w:pPr>
      <w:r>
        <w:t xml:space="preserve">The existing literature has examined sustainability disclosure and </w:t>
      </w:r>
      <w:r>
        <w:t>greenhushing</w:t>
      </w:r>
      <w:r>
        <w:t>, but limited research concentrates on sustainability disclosure and consumer trust in the UK fashion ret</w:t>
      </w:r>
      <w:r>
        <w:t>ail industry (</w:t>
      </w:r>
      <w:r>
        <w:t>Blazkova</w:t>
      </w:r>
      <w:r>
        <w:t xml:space="preserve"> </w:t>
      </w:r>
      <w:r>
        <w:rPr>
          <w:i/>
          <w:iCs/>
        </w:rPr>
        <w:t>et al.,</w:t>
      </w:r>
      <w:r>
        <w:t xml:space="preserve"> 2025). Few empirical research studies have analysed the strategic reasons for implementing sustainability initiatives. There is insufficient exploration of reputation management and sustainability standards in current academi</w:t>
      </w:r>
      <w:r>
        <w:t xml:space="preserve">c research. </w:t>
      </w:r>
    </w:p>
    <w:p w14:paraId="0000007A">
      <w:pPr>
        <w:pStyle w:val="Heading2"/>
        <w:spacing w:before="200" w:after="200"/>
        <w:rPr/>
      </w:pPr>
      <w:bookmarkStart w:id="15" w:name="_8j0235fpbebh"/>
      <w:bookmarkEnd w:id="15"/>
      <w:r>
        <w:t>2</w:t>
      </w:r>
      <w:r>
        <w:t xml:space="preserve">.6 Summary </w:t>
      </w:r>
    </w:p>
    <w:p w14:paraId="0000007B">
      <w:pPr>
        <w:spacing w:before="200" w:after="200"/>
        <w:rPr/>
      </w:pPr>
      <w:bookmarkStart w:id="16" w:name="_6fj01ch62t7b"/>
      <w:bookmarkEnd w:id="16"/>
      <w:r>
        <w:t>T</w:t>
      </w:r>
      <w:r>
        <w:t>his chapter has enlightened the significance of transparent sustainability communication in developing corporate reputation and stakeholder trust. The theoretical frameworks have focused on the Triple Bottom Line framework, stake</w:t>
      </w:r>
      <w:r>
        <w:t xml:space="preserve">holder theory, legitimacy theory, signalling theory, Carroll’s pyramid of CSR, and corporate reputation theory. Previous research studies have </w:t>
      </w:r>
      <w:r>
        <w:t>expressed that credible disclosure develops a competitive advantage, whereas limited communication leads to reput</w:t>
      </w:r>
      <w:r>
        <w:t xml:space="preserve">ational risks. The literature gap has been explored in this chapter with the conceptual framework. </w:t>
      </w:r>
    </w:p>
    <w:p w14:paraId="0000007C">
      <w:pPr>
        <w:spacing w:before="200" w:after="200"/>
        <w:rPr/>
      </w:pPr>
      <w:bookmarkStart w:id="17" w:name="_emhpx6yoz5jy"/>
      <w:bookmarkEnd w:id="17"/>
      <w:r>
        <w:rPr/>
        <w:br w:type="page"/>
      </w:r>
    </w:p>
    <w:p w14:paraId="0000007D">
      <w:pPr>
        <w:pStyle w:val="Heading1"/>
        <w:spacing w:before="200" w:after="200"/>
        <w:rPr/>
      </w:pPr>
      <w:bookmarkStart w:id="18" w:name="_7eok9t1e41j7"/>
      <w:bookmarkEnd w:id="18"/>
      <w:r>
        <w:t>C</w:t>
      </w:r>
      <w:r>
        <w:t xml:space="preserve">HAPTER 3: Methodology </w:t>
      </w:r>
    </w:p>
    <w:p w14:paraId="0000007E">
      <w:pPr>
        <w:pStyle w:val="Heading2"/>
        <w:spacing w:before="200" w:after="200"/>
        <w:rPr/>
      </w:pPr>
      <w:bookmarkStart w:id="19" w:name="_dc9d40fnmzhz"/>
      <w:bookmarkEnd w:id="19"/>
      <w:r>
        <w:t>3</w:t>
      </w:r>
      <w:r>
        <w:t xml:space="preserve">.1 Introduction </w:t>
      </w:r>
    </w:p>
    <w:p w14:paraId="0000007F">
      <w:pPr>
        <w:spacing w:before="200" w:after="200"/>
        <w:rPr/>
      </w:pPr>
      <w:r>
        <w:t xml:space="preserve">The chapter presents the methodology of the research that has been adopted in analysing the sustainability practise and its influence on consumer trust in the retail fashion industry in the UK. In the analysis of the response of stakeholders to greenhouse </w:t>
      </w:r>
      <w:r>
        <w:t>practises, the research will aim to get an insight into the potential business risk associated with sustainability communication and transparency. The chapter discusses the research philosophy, research approach, research method and strategy, data collecti</w:t>
      </w:r>
      <w:r>
        <w:t>on processes, data analysis methods, ethical considerations, limitations, and lastly provides a conclusion as to how the approach to the methodology design. The type of selected mixed-method approach was made with the aim of offering a detailed understandi</w:t>
      </w:r>
      <w:r>
        <w:t>ng of not only the theoretical perspectives but also the sentiments of the stakeholders.</w:t>
      </w:r>
    </w:p>
    <w:p w14:paraId="00000080">
      <w:pPr>
        <w:pStyle w:val="Heading2"/>
        <w:spacing w:before="200" w:after="200"/>
        <w:rPr/>
      </w:pPr>
      <w:bookmarkStart w:id="20" w:name="_nxuwqtkw1g27"/>
      <w:bookmarkEnd w:id="20"/>
      <w:r>
        <w:t>3</w:t>
      </w:r>
      <w:r>
        <w:t xml:space="preserve">.2 Research Philosophy </w:t>
      </w:r>
    </w:p>
    <w:p w14:paraId="00000081">
      <w:pPr>
        <w:spacing w:before="200" w:after="200"/>
        <w:rPr/>
      </w:pPr>
      <w:r>
        <w:t>The philosophy of research may be referred to as the assumptions that are applied in the process of producing and perceiving knowledge in a st</w:t>
      </w:r>
      <w:r>
        <w:t>udy. According to Saunders, Lewis, and Thornhill (2019), research philosophy shapes the decisions that are connected to the methodology because it determines how researchers view reality and how to construct the knowledge. The study is based on the philoso</w:t>
      </w:r>
      <w:r>
        <w:t xml:space="preserve">phy of positivism that emphasises the practical consequences and resolution of the problems by integrating various methods of research. This research would be best suited to positivism because sustainability communication is a measurable behaviour, and so </w:t>
      </w:r>
      <w:r>
        <w:t>is consumer trust, both tied to behaviours coupled with perceptions. Pandey and Pandey (2021) state that pragmatic research allows the freedom of selecting methods which prove most appropriate to the research question.</w:t>
      </w:r>
    </w:p>
    <w:p w14:paraId="00000082">
      <w:pPr>
        <w:spacing w:before="200" w:after="200"/>
        <w:jc w:val="center"/>
        <w:rPr/>
      </w:pPr>
      <w:r>
        <w:rPr/>
        <w:drawing xmlns:mc="http://schemas.openxmlformats.org/markup-compatibility/2006">
          <wp:inline distT="0" distB="0" distL="0" distR="0">
            <wp:extent cx="5243513" cy="3343424"/>
            <wp:effectExtent l="0" t="0" r="0" b="0"/>
            <wp:docPr id="31"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6.png"/>
                    <pic:cNvPicPr preferRelativeResize="0"/>
                  </pic:nvPicPr>
                  <pic:blipFill>
                    <a:blip r:embed="rId69"/>
                    <a:srcRect l="961" t="1622" r="1442" b="1379"/>
                    <a:stretch/>
                  </pic:blipFill>
                  <pic:spPr>
                    <a:xfrm>
                      <a:off x="0" y="0"/>
                      <a:ext cx="5243513" cy="3343424"/>
                    </a:xfrm>
                    <a:prstGeom prst="rect">
                      <a:avLst/>
                    </a:prstGeom>
                  </pic:spPr>
                </pic:pic>
              </a:graphicData>
            </a:graphic>
          </wp:inline>
        </w:drawing>
      </w:r>
    </w:p>
    <w:p w14:paraId="00000083">
      <w:pPr>
        <w:spacing w:before="200" w:after="200"/>
        <w:jc w:val="center"/>
        <w:rPr>
          <w:b/>
          <w:bCs/>
        </w:rPr>
      </w:pPr>
      <w:r>
        <w:rPr>
          <w:b/>
          <w:bCs/>
        </w:rPr>
        <w:t>Figure 4: Research Onion</w:t>
      </w:r>
    </w:p>
    <w:p w14:paraId="00000084">
      <w:pPr>
        <w:spacing w:before="200" w:after="200"/>
        <w:jc w:val="center"/>
        <w:rPr/>
      </w:pPr>
      <w:r>
        <w:t>(Source: S</w:t>
      </w:r>
      <w:r>
        <w:t>aunders et al., 2019)</w:t>
      </w:r>
    </w:p>
    <w:p w14:paraId="00000085">
      <w:pPr>
        <w:pStyle w:val="Heading2"/>
        <w:spacing w:before="200" w:after="200"/>
        <w:rPr/>
      </w:pPr>
      <w:bookmarkStart w:id="21" w:name="_zcb4xgtc0dnd"/>
      <w:bookmarkEnd w:id="21"/>
      <w:r>
        <w:t>3</w:t>
      </w:r>
      <w:r>
        <w:t>.3 Research approach</w:t>
      </w:r>
    </w:p>
    <w:p w14:paraId="00000086">
      <w:pPr>
        <w:spacing w:before="200" w:after="200"/>
        <w:rPr/>
      </w:pPr>
      <w:r>
        <w:t>The research adopts a deductive approach to study, which involves the development of a study based on the available theories and then conducting empirical research regarding the same. To Saunders et al. (2019), d</w:t>
      </w:r>
      <w:r>
        <w:t>eduction presupposes the collection and analysis of data occurring due to theoretical implications. The first one was the analysis of the secondary literature aimed at understanding the sustainability communication practises in the context of the fashion r</w:t>
      </w:r>
      <w:r>
        <w:t>etail industry and their potential effects on the credibility of the stakeholders. Then the data about the primary survey was collected to test the hypothesis whether the attitudes of the stakeholders will be aligned with the theoretical hypotheses. The de</w:t>
      </w:r>
      <w:r>
        <w:t xml:space="preserve">ductive approach will ensure the logical </w:t>
      </w:r>
      <w:r>
        <w:t>consistency of the research objectives with the empirical data and will be applicable to confirm the viable perspectives of academia in a contemporary industry setting.</w:t>
      </w:r>
    </w:p>
    <w:p w14:paraId="00000087">
      <w:pPr>
        <w:pStyle w:val="Heading2"/>
        <w:spacing w:before="200" w:after="200"/>
        <w:rPr/>
      </w:pPr>
      <w:bookmarkStart w:id="22" w:name="_nfdde7npn1s2"/>
      <w:bookmarkEnd w:id="22"/>
      <w:r>
        <w:t>3</w:t>
      </w:r>
      <w:r>
        <w:t>.4 Research Method and Strategy</w:t>
      </w:r>
    </w:p>
    <w:p w14:paraId="00000088">
      <w:pPr>
        <w:spacing w:before="200" w:after="200"/>
        <w:rPr/>
      </w:pPr>
      <w:r>
        <w:t>To take one s</w:t>
      </w:r>
      <w:r>
        <w:t>tep further in the research, the mixed research design was used in order to enhance the credibility and the richness of the research. Mixed-method research is a research method which combines both quantitative and qualitative elements with the aim of provi</w:t>
      </w:r>
      <w:r>
        <w:t xml:space="preserve">ding a more elaborate explanation of research issues. In his article, </w:t>
      </w:r>
      <w:r>
        <w:t>Nanthagopan</w:t>
      </w:r>
      <w:r>
        <w:t xml:space="preserve"> (2021) underlines that mixed-method research strengthens the validity of research since it can be possible to triangulate the results. The research plan suggests both the sec</w:t>
      </w:r>
      <w:r>
        <w:t xml:space="preserve">ondary research, characterised by the bibliographical review and the primary one, characterised by the structured survey. Bibliographical reviews are regarded as a research methodology by </w:t>
      </w:r>
      <w:r>
        <w:t>Ocaña</w:t>
      </w:r>
      <w:r>
        <w:t xml:space="preserve">-Fernandez and </w:t>
      </w:r>
      <w:r>
        <w:t>Fuster-Guillena</w:t>
      </w:r>
      <w:r>
        <w:t xml:space="preserve"> (2021), who claim that they synt</w:t>
      </w:r>
      <w:r>
        <w:t>hesise the existing knowledge and make some conceptual associations between the studies.</w:t>
      </w:r>
    </w:p>
    <w:p w14:paraId="00000089">
      <w:pPr>
        <w:spacing w:before="200" w:after="200"/>
        <w:rPr/>
      </w:pPr>
      <w:r>
        <w:t>The independence of the survey strategy selected is due to the possibility of gathering standardised answers from a relatively large number of participants within a re</w:t>
      </w:r>
      <w:r>
        <w:t>latively short time. The approach assists in measuring the customer perceptions in sustainability as communication practises in the fashion retail sector.</w:t>
      </w:r>
    </w:p>
    <w:p w14:paraId="0000008A">
      <w:pPr>
        <w:pStyle w:val="Heading2"/>
        <w:spacing w:before="200" w:after="200"/>
        <w:rPr/>
      </w:pPr>
      <w:bookmarkStart w:id="23" w:name="_92o79v1uyvho"/>
      <w:bookmarkEnd w:id="23"/>
      <w:r>
        <w:t>3</w:t>
      </w:r>
      <w:r>
        <w:t>.5 Data Collection</w:t>
      </w:r>
    </w:p>
    <w:p w14:paraId="0000008B">
      <w:pPr>
        <w:spacing w:before="200" w:after="200"/>
        <w:rPr/>
      </w:pPr>
      <w:r>
        <w:t>The data were collected using secondary and primary data in order to be methodolo</w:t>
      </w:r>
      <w:r>
        <w:t>gically comprehensive. Secondary data were obtained through the methodological studies and academic publications that were found in the reference framework. The process of stakeholder trust, the sustainability practices, and communication issues were ident</w:t>
      </w:r>
      <w:r>
        <w:t xml:space="preserve">ified through the literature review. </w:t>
      </w:r>
      <w:r>
        <w:t xml:space="preserve">Based on the research design, </w:t>
      </w:r>
      <w:r>
        <w:t>Taherdoost</w:t>
      </w:r>
      <w:r>
        <w:t xml:space="preserve"> (2021) argues that secondary data helps to establish both theoretical and methodological advice.</w:t>
      </w:r>
    </w:p>
    <w:p w14:paraId="0000008C">
      <w:pPr>
        <w:spacing w:before="200" w:after="200"/>
        <w:rPr/>
      </w:pPr>
      <w:r>
        <w:t>Primary data collection was conducted through an online survey that was conducted</w:t>
      </w:r>
      <w:r>
        <w:t xml:space="preserve"> with the assistance of Google Forms. The survey was targeted at 25 respondents who were supposedly fashion consumers who were aware of shopping for retail clothing products. Nguyen et al. (2021) argue that stratified sampling is the most effective way of </w:t>
      </w:r>
      <w:r>
        <w:t>maximising the accuracy of the results, as all groups of persons will be included in the sampling plan.</w:t>
      </w:r>
    </w:p>
    <w:p w14:paraId="0000008D">
      <w:pPr>
        <w:pStyle w:val="Heading2"/>
        <w:spacing w:before="200" w:after="200"/>
        <w:rPr/>
      </w:pPr>
      <w:bookmarkStart w:id="24" w:name="_8qp904po5cy6"/>
      <w:bookmarkEnd w:id="24"/>
      <w:r>
        <w:t>3</w:t>
      </w:r>
      <w:r>
        <w:t>.6 Analysis of Data</w:t>
      </w:r>
    </w:p>
    <w:p w14:paraId="0000008E">
      <w:pPr>
        <w:spacing w:before="200" w:after="200"/>
        <w:rPr/>
      </w:pPr>
      <w:r>
        <w:t>The analytical methods used in the analysis of the data collected entailed the quantitative and qualitative data analysis processes</w:t>
      </w:r>
      <w:r>
        <w:t>. Survey responses were analysed by using descriptive statistical analysis, i.e., frequency distribution and percentage comparison. Saunders et al. (2019) argue that descriptive statistics can be used to analyse the structured survey data since they need t</w:t>
      </w:r>
      <w:r>
        <w:t>o clearly see the pattern and trend of behaviour through this aggregation.</w:t>
      </w:r>
    </w:p>
    <w:p w14:paraId="0000008F">
      <w:pPr>
        <w:spacing w:before="200" w:after="200"/>
        <w:rPr/>
      </w:pPr>
      <w:r>
        <w:t>They methodically analysed some of their secondary data through thematic interpretation of literature in order to establish common themes with respect to sustainability communicatio</w:t>
      </w:r>
      <w:r>
        <w:t>n, transparency risks and stakeholder trust. The synthesis of bibliography made it possible to bring the theoretical knowledge together with the empirical findings and to explain the findings within a more comprehensive academic context (</w:t>
      </w:r>
      <w:r>
        <w:t>Ocaña</w:t>
      </w:r>
      <w:r>
        <w:t>-Fernández an</w:t>
      </w:r>
      <w:r>
        <w:t xml:space="preserve">d </w:t>
      </w:r>
      <w:r>
        <w:t>Fuster-Guillén</w:t>
      </w:r>
      <w:r>
        <w:t xml:space="preserve">, 2021). </w:t>
      </w:r>
    </w:p>
    <w:p w14:paraId="00000090">
      <w:pPr>
        <w:pStyle w:val="Heading2"/>
        <w:spacing w:before="200" w:after="200"/>
        <w:rPr/>
      </w:pPr>
      <w:bookmarkStart w:id="25" w:name="_kj8h7i1vygqr"/>
      <w:bookmarkEnd w:id="25"/>
      <w:r>
        <w:t>3</w:t>
      </w:r>
      <w:r>
        <w:t>.7 Ethical considerations</w:t>
      </w:r>
    </w:p>
    <w:p w14:paraId="00000091">
      <w:pPr>
        <w:spacing w:before="200" w:after="200"/>
        <w:rPr/>
      </w:pPr>
      <w:r>
        <w:t xml:space="preserve">During the process of conducting the research, the ethics were followed in order to safeguard the participants and give credibility to the research. There was no form of pressuring the respondents </w:t>
      </w:r>
      <w:r>
        <w:t>to par</w:t>
      </w:r>
      <w:r>
        <w:t>ticipate in the survey, and they were informed of the intended purpose of the research prior to giving consent. No distinguishing and identifiable information was being collected, and anonymity and confidentiality were guaranteed.</w:t>
      </w:r>
    </w:p>
    <w:p w14:paraId="00000092">
      <w:pPr>
        <w:spacing w:before="200" w:after="200"/>
        <w:rPr/>
      </w:pPr>
      <w:r>
        <w:t>Taherdoost</w:t>
      </w:r>
      <w:r>
        <w:t xml:space="preserve"> (2021) argues </w:t>
      </w:r>
      <w:r>
        <w:t>that the management of ethical data is also fundamental in guaranteeing that there exists trust between the researcher and the subjects. Information gathered was not utilised in forms other than academics, and information was stored in a secure location to</w:t>
      </w:r>
      <w:r>
        <w:t xml:space="preserve"> prevent unauthorised access or misuse. The good academic ethics of the study </w:t>
      </w:r>
      <w:r>
        <w:t>were in compliance with</w:t>
      </w:r>
      <w:r>
        <w:t xml:space="preserve"> transparency, honesty and good management of data.</w:t>
      </w:r>
    </w:p>
    <w:p w14:paraId="00000093">
      <w:pPr>
        <w:pStyle w:val="Heading2"/>
        <w:spacing w:before="200" w:after="200"/>
        <w:rPr/>
      </w:pPr>
      <w:bookmarkStart w:id="26" w:name="_fzf3rdzf8oro"/>
      <w:bookmarkEnd w:id="26"/>
      <w:r>
        <w:t>3</w:t>
      </w:r>
      <w:r>
        <w:t xml:space="preserve">.8 Summary </w:t>
      </w:r>
    </w:p>
    <w:p w14:paraId="00000094">
      <w:pPr>
        <w:spacing w:before="200" w:after="200"/>
        <w:rPr/>
      </w:pPr>
      <w:r>
        <w:t xml:space="preserve">This chapter brought into the limelight the methodology used in the research study in the </w:t>
      </w:r>
      <w:r>
        <w:t>exploration of the sustainability practises in the UK fashion retail industry and consumer trust. It relied on pragmatic philosophy, a deductive research approach and a mixed approaches design where they principally included surveying along with the resear</w:t>
      </w:r>
      <w:r>
        <w:t xml:space="preserve">ch as the bibliographical review. The study objectives were related well to data collection and analysis processes and were done in a manner that was ethically acceptable. </w:t>
      </w:r>
    </w:p>
    <w:p w14:paraId="00000095">
      <w:pPr>
        <w:spacing w:before="200" w:after="200"/>
        <w:rPr/>
      </w:pPr>
      <w:r>
        <w:rPr/>
        <w:br w:type="page"/>
      </w:r>
    </w:p>
    <w:p w14:paraId="00000096">
      <w:pPr>
        <w:pStyle w:val="Heading1"/>
        <w:spacing w:before="200" w:after="200"/>
        <w:rPr/>
      </w:pPr>
      <w:bookmarkStart w:id="27" w:name="_rscsnxyh85up"/>
      <w:bookmarkEnd w:id="27"/>
      <w:r>
        <w:t>C</w:t>
      </w:r>
      <w:r>
        <w:t xml:space="preserve">HAPTER 4: Results and Discussion </w:t>
      </w:r>
    </w:p>
    <w:p w14:paraId="00000097">
      <w:pPr>
        <w:pStyle w:val="Heading2"/>
        <w:spacing w:before="200" w:after="200"/>
        <w:rPr/>
      </w:pPr>
      <w:bookmarkStart w:id="28" w:name="_dlk96skhzjzq"/>
      <w:bookmarkEnd w:id="28"/>
      <w:r>
        <w:t>4</w:t>
      </w:r>
      <w:r>
        <w:t>.1 Introduction</w:t>
      </w:r>
    </w:p>
    <w:p w14:paraId="00000098">
      <w:pPr>
        <w:spacing w:before="200" w:after="200"/>
        <w:rPr/>
      </w:pPr>
      <w:r>
        <w:t>The chapter discloses the results and findings of the secondary and primary research methods that were used to determine sustainability practises and their effects on consumer trust in the UK fashion retail industry. The information obtained in the literat</w:t>
      </w:r>
      <w:r>
        <w:t>ure analysis is used to perform thematic analysis, and the findings of the empirical research in the form of a consumer survey are integrated into this analysis. The current chapter is aimed at discussing the role of sustainability communication, transpare</w:t>
      </w:r>
      <w:r>
        <w:t>ncy and greenwashing practices in the perception of the stakeholders and their impact on their affective buying behaviour. These two types of research will provide the most frequently used conceptual themes in the academic literature. Primary research will</w:t>
      </w:r>
      <w:r>
        <w:t xml:space="preserve"> evaluate the attitudes toward sustainability communication among consumers. When the two findings are combined, a complete picture of business risks and opportunities that accompany sustainability transparency is obtained.</w:t>
      </w:r>
    </w:p>
    <w:p w14:paraId="00000099">
      <w:pPr>
        <w:pStyle w:val="Heading2"/>
        <w:spacing w:before="200" w:after="200"/>
        <w:rPr/>
      </w:pPr>
      <w:bookmarkStart w:id="29" w:name="_f52wp30wm0x"/>
      <w:bookmarkEnd w:id="29"/>
      <w:r>
        <w:t>4</w:t>
      </w:r>
      <w:r>
        <w:t>.2 Thematic Analysis (Secondary</w:t>
      </w:r>
      <w:r>
        <w:t xml:space="preserve"> Method)</w:t>
      </w:r>
    </w:p>
    <w:tbl>
      <w:tblPr>
        <w:tblStyle w:val="A"/>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3120"/>
        <w:gridCol w:w="3120"/>
        <w:gridCol w:w="3120"/>
      </w:tblGrid>
      <w:tr>
        <w:trPr/>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A">
            <w:pPr>
              <w:spacing w:before="200" w:after="200"/>
              <w:jc w:val="center"/>
              <w:rPr/>
            </w:pPr>
            <w:r>
              <w:rPr>
                <w:b/>
                <w:bCs/>
              </w:rPr>
              <w:t>Themes</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B">
            <w:pPr>
              <w:spacing w:before="200" w:after="200"/>
              <w:jc w:val="center"/>
              <w:rPr/>
            </w:pPr>
            <w:r>
              <w:rPr>
                <w:b/>
                <w:bCs/>
              </w:rPr>
              <w:t>Codes</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C">
            <w:pPr>
              <w:spacing w:before="200" w:after="200"/>
              <w:jc w:val="center"/>
              <w:rPr/>
            </w:pPr>
            <w:r>
              <w:rPr>
                <w:b/>
                <w:bCs/>
              </w:rPr>
              <w:t>Subcodes</w:t>
            </w:r>
          </w:p>
        </w:tc>
      </w:tr>
      <w:tr>
        <w:trPr/>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D">
            <w:pPr>
              <w:spacing w:before="200" w:after="200"/>
              <w:rPr/>
            </w:pPr>
            <w:r>
              <w:rPr>
                <w:b/>
                <w:bCs/>
              </w:rPr>
              <w:t>Theme 1: Sustainability Practices in UK Fashion Retail</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E">
            <w:pPr>
              <w:spacing w:before="200" w:after="200"/>
              <w:rPr/>
            </w:pPr>
            <w:r>
              <w:t>Environmental responsibility, ethical sourcing, circular fashion</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F">
            <w:pPr>
              <w:spacing w:before="200" w:after="200"/>
              <w:rPr/>
            </w:pPr>
            <w:r>
              <w:t>Carbon reduction, sustainable materials, recycling initiatives</w:t>
            </w:r>
          </w:p>
        </w:tc>
      </w:tr>
      <w:tr>
        <w:trPr/>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0">
            <w:pPr>
              <w:spacing w:before="200" w:after="200"/>
              <w:rPr/>
            </w:pPr>
            <w:r>
              <w:rPr>
                <w:b/>
                <w:bCs/>
              </w:rPr>
              <w:t>Theme 2: Sustainability Communication St</w:t>
            </w:r>
            <w:r>
              <w:rPr>
                <w:b/>
                <w:bCs/>
              </w:rPr>
              <w:t>rategies</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1">
            <w:pPr>
              <w:spacing w:before="200" w:after="200"/>
              <w:rPr/>
            </w:pPr>
            <w:r>
              <w:t>Transparency, disclosure methods, reporting practices</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2">
            <w:pPr>
              <w:spacing w:before="200" w:after="200"/>
              <w:rPr/>
            </w:pPr>
            <w:r>
              <w:t>Sustainability reports, eco-labels, digital communication</w:t>
            </w:r>
          </w:p>
        </w:tc>
      </w:tr>
      <w:tr>
        <w:trPr/>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3">
            <w:pPr>
              <w:spacing w:before="200" w:after="200"/>
              <w:rPr/>
            </w:pPr>
            <w:r>
              <w:rPr>
                <w:b/>
                <w:bCs/>
              </w:rPr>
              <w:t xml:space="preserve">Theme 3: </w:t>
            </w:r>
            <w:r>
              <w:rPr>
                <w:b/>
                <w:bCs/>
              </w:rPr>
              <w:t>Greenhushing</w:t>
            </w:r>
            <w:r>
              <w:rPr>
                <w:b/>
                <w:bCs/>
              </w:rPr>
              <w:t xml:space="preserve"> and Communication Risks</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4">
            <w:pPr>
              <w:spacing w:before="200" w:after="200"/>
              <w:rPr/>
            </w:pPr>
            <w:r>
              <w:t>Under-communication, fear of criticism, reputational risk</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5">
            <w:pPr>
              <w:spacing w:before="200" w:after="200"/>
              <w:rPr/>
            </w:pPr>
            <w:r>
              <w:t>Legal concerns, consumer scepticism, misinformation avoidance</w:t>
            </w:r>
          </w:p>
        </w:tc>
      </w:tr>
      <w:tr>
        <w:trPr/>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6">
            <w:pPr>
              <w:spacing w:before="200" w:after="200"/>
              <w:rPr/>
            </w:pPr>
            <w:r>
              <w:rPr>
                <w:b/>
                <w:bCs/>
              </w:rPr>
              <w:t>Theme 4: Stakeholder Trust and Engagement</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7">
            <w:pPr>
              <w:spacing w:before="200" w:after="200"/>
              <w:rPr/>
            </w:pPr>
            <w:r>
              <w:t>Consumer perception, credibility, behavioural response</w:t>
            </w:r>
          </w:p>
        </w:tc>
        <w:tc>
          <w:tcPr>
            <w:cnfStyle w:val="000000000000"/>
            <w:tcW w:w="31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8">
            <w:pPr>
              <w:spacing w:before="200" w:after="200"/>
              <w:rPr/>
            </w:pPr>
            <w:r>
              <w:t>Trust formation, purchase intention, brand loyalty</w:t>
            </w:r>
          </w:p>
        </w:tc>
      </w:tr>
    </w:tbl>
    <w:p w14:paraId="000000A9">
      <w:pPr>
        <w:spacing w:before="200" w:after="200"/>
        <w:jc w:val="center"/>
        <w:rPr>
          <w:b/>
          <w:bCs/>
        </w:rPr>
      </w:pPr>
      <w:r>
        <w:rPr>
          <w:b/>
          <w:bCs/>
        </w:rPr>
        <w:t>Table 1: Thematic Analysis Table</w:t>
      </w:r>
    </w:p>
    <w:p w14:paraId="000000AA">
      <w:pPr>
        <w:spacing w:before="200" w:after="200"/>
        <w:jc w:val="center"/>
        <w:rPr/>
      </w:pPr>
      <w:r>
        <w:t>(Source: Self-Developed)</w:t>
      </w:r>
    </w:p>
    <w:p w14:paraId="000000AB">
      <w:pPr>
        <w:spacing w:before="200" w:after="200"/>
        <w:rPr>
          <w:b/>
          <w:bCs/>
          <w:i/>
          <w:iCs/>
        </w:rPr>
      </w:pPr>
      <w:r>
        <w:rPr>
          <w:b/>
          <w:bCs/>
          <w:i/>
          <w:iCs/>
        </w:rPr>
        <w:t>Theme 1: Sustainability Practices in UK Fashion Retail</w:t>
      </w:r>
    </w:p>
    <w:p w14:paraId="000000AC">
      <w:pPr>
        <w:spacing w:before="200" w:after="200"/>
        <w:rPr/>
      </w:pPr>
      <w:r>
        <w:t>To implement sustainability practices has been a strategic agenda, the fashion retail industry in the UK has decided to embrace the sustainability practises to address the requ</w:t>
      </w:r>
      <w:r>
        <w:t>irements of the environmental pressures, regulatory demands, and transformed customer values in the past five years. It has been discovered that sustainability is increasingly gaining momentum in terms of environmental compliance in addition to ethical sou</w:t>
      </w:r>
      <w:r>
        <w:t xml:space="preserve">rcing, responsible manufacturing and sustainable supply-chain management. According to Hasan and </w:t>
      </w:r>
      <w:r>
        <w:t>Shehun</w:t>
      </w:r>
      <w:r>
        <w:t xml:space="preserve"> (2022), the global apparel retailers are integrating the suggested sustainable supply-chain management aimed at mitigating the negative impact on the en</w:t>
      </w:r>
      <w:r>
        <w:t>vironment and increasing operational accountability.</w:t>
      </w:r>
    </w:p>
    <w:p w14:paraId="000000AD">
      <w:pPr>
        <w:spacing w:before="200" w:after="200"/>
        <w:rPr/>
      </w:pPr>
      <w:r>
        <w:t>The transition to a more environmentally friendly practise is reflective of the trend that the industry is experiencing towards becoming more environmentally concerned. As Abbate et al. (2024) remark, th</w:t>
      </w:r>
      <w:r>
        <w:t>e repositioning of the textile and apparel organisations towards circular production systems, where the most important issues are material recycling, reuse, and lifecycle, is becoming a departure from the old and linear model of production. The changes out</w:t>
      </w:r>
      <w:r>
        <w:t>lined above are a pointer that sustainability is currently becoming a business practise and not a peripheral marketing strategy.</w:t>
      </w:r>
    </w:p>
    <w:p w14:paraId="000000AE">
      <w:pPr>
        <w:spacing w:before="200" w:after="200"/>
        <w:rPr/>
      </w:pPr>
      <w:r>
        <w:t>The process of sustainability adoption has a positive impact on consumer engagement as well, according to UK-oriented research.</w:t>
      </w:r>
      <w:r>
        <w:t xml:space="preserve"> According to </w:t>
      </w:r>
      <w:r>
        <w:t>Mascarenhas</w:t>
      </w:r>
      <w:r>
        <w:t xml:space="preserve"> (2025), online fashion retailers in the UK that have managed to convert their operational strategies to sustainable operations have better interactions with customers and a positive attitude towards the brand. However, it is being</w:t>
      </w:r>
      <w:r>
        <w:t xml:space="preserve"> implemented not across the industry. The majority of the retailers are undertaking partial efforts to sustainability that do not entail a wholesome change of their production systems; there is an imbalance between the goals of sustainability and the outco</w:t>
      </w:r>
      <w:r>
        <w:t>me.</w:t>
      </w:r>
    </w:p>
    <w:p w14:paraId="000000AF">
      <w:pPr>
        <w:spacing w:before="200" w:after="200"/>
        <w:rPr/>
      </w:pPr>
      <w:r>
        <w:t xml:space="preserve">This difference introduces scepticism among consumers. As noted by </w:t>
      </w:r>
      <w:r>
        <w:t>Papadopoulou</w:t>
      </w:r>
      <w:r>
        <w:t xml:space="preserve"> et al. (2022), consumers are increasingly becoming aware of the topic of sustainability, a topic that leaves them questioning whether fashion brands are actually exercising</w:t>
      </w:r>
      <w:r>
        <w:t xml:space="preserve"> sustainability in an ethical manner or merely talking about it. Consequently, the legitimate operational change is in conformity with sustaining credibility. Moreover, sustainability practises are also related directly to long-term competitiveness. The st</w:t>
      </w:r>
      <w:r>
        <w:t>akeholders not only increase organisational legitimacy through the sustainable sourcing and production, but also make it environmentally friendly. Therefore, the sustainability practises may be considered as an environmental responsibility tool and a reput</w:t>
      </w:r>
      <w:r>
        <w:t>ation management strategic tool.</w:t>
      </w:r>
    </w:p>
    <w:p w14:paraId="000000B0">
      <w:pPr>
        <w:spacing w:before="200" w:after="200"/>
        <w:rPr>
          <w:b/>
          <w:bCs/>
          <w:i/>
          <w:iCs/>
        </w:rPr>
      </w:pPr>
      <w:r>
        <w:rPr>
          <w:b/>
          <w:bCs/>
          <w:i/>
          <w:iCs/>
        </w:rPr>
        <w:t>Theme 2: Sustainability Communication Strategies</w:t>
      </w:r>
    </w:p>
    <w:p w14:paraId="000000B1">
      <w:pPr>
        <w:spacing w:before="200" w:after="200"/>
        <w:rPr/>
      </w:pPr>
      <w:r>
        <w:t>One of the necessary themes has become the communication strategies, which influence the attitude towards the sustainability work of consumers. Sustainability communication i</w:t>
      </w:r>
      <w:r>
        <w:t>s organisational efforts to communicate with the environment and social activities through reporting, content of a marketing strategy, certifications and online platforms. The communication problem is put under the scope of the attainment of the eventual s</w:t>
      </w:r>
      <w:r>
        <w:t>ustainability of the operations in the confidence of the concerned parties.</w:t>
      </w:r>
    </w:p>
    <w:p w14:paraId="000000B2">
      <w:pPr>
        <w:spacing w:before="200" w:after="200"/>
        <w:rPr/>
      </w:pPr>
      <w:r>
        <w:t xml:space="preserve">As demonstrated by </w:t>
      </w:r>
      <w:r>
        <w:t>Soe</w:t>
      </w:r>
      <w:r>
        <w:t xml:space="preserve"> and Datta (2024), corporate social responsibility based on communication matters majorly in consumer purchase intention in the UK fashion industry. Open repo</w:t>
      </w:r>
      <w:r>
        <w:t xml:space="preserve">rting also gives individuals the opportunity to make judgments on brand legitimacy and the seeming ambiguity of the sustainability assertions. Similarly, </w:t>
      </w:r>
      <w:r>
        <w:t>Forenges</w:t>
      </w:r>
      <w:r>
        <w:t xml:space="preserve"> and </w:t>
      </w:r>
      <w:r>
        <w:t>Sieling</w:t>
      </w:r>
      <w:r>
        <w:t xml:space="preserve"> (2023) state that when going green, transparency is among the primary factors of </w:t>
      </w:r>
      <w:r>
        <w:t>green trust because articulated communication improves the integrity of the perceived organisation upon transition. Digital platforms are increasingly defining sustainability. The brands can use the websites and social media to share their sustainability s</w:t>
      </w:r>
      <w:r>
        <w:t>tories, which are easily digestible. Nevertheless, Badhwar et al. (2024) warn that, in case the sustainability communications align with the overly broad advertisements that consumers are not always able to interpret as a greenwashing practise, but the fac</w:t>
      </w:r>
      <w:r>
        <w:t>ts are not clear, or they cannot be checked.</w:t>
      </w:r>
    </w:p>
    <w:p w14:paraId="000000B3">
      <w:pPr>
        <w:spacing w:before="200" w:after="200"/>
        <w:rPr/>
      </w:pPr>
      <w:r>
        <w:t>The third-party certifications and sustainability reports are also important in terms of enhancing credibility. The independent validation is presented by the validated reports and helps consumers to distinguish</w:t>
      </w:r>
      <w:r>
        <w:t xml:space="preserve"> the actual sustainability activities from the marketing communications. </w:t>
      </w:r>
      <w:r>
        <w:t>Fobiri</w:t>
      </w:r>
      <w:r>
        <w:t xml:space="preserve"> et al. (2026) further mention that regular and substantive communication, as opposed to hopeful </w:t>
      </w:r>
      <w:r>
        <w:t>branding messages, should form the core strategies of trust-building. Another si</w:t>
      </w:r>
      <w:r>
        <w:t xml:space="preserve">gnificant feature presented in the literature is having a communication balance. A very technical sustainability report may render them less accessible, and the simplified piece of promotional material may lead to a lack of authenticity. The communication </w:t>
      </w:r>
      <w:r>
        <w:t>should therefore be straightforward, sincere and continuous contact with the stakeholders rather than a single contact with them.</w:t>
      </w:r>
    </w:p>
    <w:p w14:paraId="000000B4">
      <w:pPr>
        <w:spacing w:before="200" w:after="200"/>
        <w:rPr>
          <w:b/>
          <w:bCs/>
          <w:i/>
          <w:iCs/>
        </w:rPr>
      </w:pPr>
      <w:r>
        <w:rPr>
          <w:b/>
          <w:bCs/>
          <w:i/>
          <w:iCs/>
        </w:rPr>
        <w:t xml:space="preserve">Theme 3: </w:t>
      </w:r>
      <w:r>
        <w:rPr>
          <w:b/>
          <w:bCs/>
          <w:i/>
          <w:iCs/>
        </w:rPr>
        <w:t>Greenhushing</w:t>
      </w:r>
      <w:r>
        <w:rPr>
          <w:b/>
          <w:bCs/>
          <w:i/>
          <w:iCs/>
        </w:rPr>
        <w:t xml:space="preserve"> and Communication Risks</w:t>
      </w:r>
    </w:p>
    <w:p w14:paraId="000000B5">
      <w:pPr>
        <w:spacing w:before="200" w:after="200"/>
        <w:rPr/>
      </w:pPr>
      <w:r>
        <w:t xml:space="preserve">One of the recent trends in the construction of sustainability communication is </w:t>
      </w:r>
      <w:r>
        <w:t>greenhushing</w:t>
      </w:r>
      <w:r>
        <w:t xml:space="preserve">, which can be defined as the situation under which organisations consciously withhold or avoid talking about sustainability activities. This is one of the popular </w:t>
      </w:r>
      <w:r>
        <w:t>strategies adopted because there is a fear of being attacked, they will be regulated, and they may be charged as a greenwashed company.</w:t>
      </w:r>
    </w:p>
    <w:p w14:paraId="000000B6">
      <w:pPr>
        <w:spacing w:before="200" w:after="200"/>
        <w:rPr/>
      </w:pPr>
      <w:r>
        <w:t>Badhwar et al. (2024) argue that the growing social awareness about greenwashing has put increasing pressure on the sust</w:t>
      </w:r>
      <w:r>
        <w:t xml:space="preserve">ainability claims, including the fact that some companies have decreased communication. The presence of unintended reputational outcomes of </w:t>
      </w:r>
      <w:r>
        <w:t>greenhushing</w:t>
      </w:r>
      <w:r>
        <w:t xml:space="preserve"> may have been considered as an unwanted consequence of the silence applied by the organisations as a ri</w:t>
      </w:r>
      <w:r>
        <w:t>sk-management tool, but thematic-based research has shown that such practise does have such undesired outcomes. However, Rastogi et al (2025) state that the credibility of the ESG performance depends on the availability and transparency of information. Whe</w:t>
      </w:r>
      <w:r>
        <w:t>re sustainability information has not been reported or has been reported sparingly, an assumption of poor performance can be made by consumers. Consequently, attempts to practise a reputational risk reduction may affect the stakeholder scepticism in a nega</w:t>
      </w:r>
      <w:r>
        <w:t>tive way.</w:t>
      </w:r>
    </w:p>
    <w:p w14:paraId="000000B7">
      <w:pPr>
        <w:spacing w:before="200" w:after="200"/>
        <w:rPr/>
      </w:pPr>
      <w:r>
        <w:t xml:space="preserve">There is also greenwashing, and this is an indicator of organisational lack of clarity in reporting imperfect sustainability progress. Sustainability changes can result in companies that are in transit, making them feel scared to declare partial </w:t>
      </w:r>
      <w:r>
        <w:t xml:space="preserve">achievements. However, as </w:t>
      </w:r>
      <w:r>
        <w:t>Hur</w:t>
      </w:r>
      <w:r>
        <w:t xml:space="preserve"> and Faragher-Siddall (2022) note, the demands of younger consumers in the United Kingdom become stricter regarding honesty in the aspects of success and difficulties, and that is why being more open than closed may be more eff</w:t>
      </w:r>
      <w:r>
        <w:t>icient. In addition, the reduced disclosure results in an information imbalance between organisations on the one hand and the stakeholders on the other hand. The absence of good sustainability information leaves consumers without credible information on et</w:t>
      </w:r>
      <w:r>
        <w:t>hical performance, and this erodes the relationship of trust. An opinion emerges that greenwashing then is a short-term defensive mechanism, which may lead to weakening stakeholder engagement in the long term.</w:t>
      </w:r>
    </w:p>
    <w:p w14:paraId="000000B8">
      <w:pPr>
        <w:spacing w:before="200" w:after="200"/>
        <w:rPr>
          <w:b/>
          <w:bCs/>
          <w:i/>
          <w:iCs/>
        </w:rPr>
      </w:pPr>
      <w:r>
        <w:rPr>
          <w:b/>
          <w:bCs/>
          <w:i/>
          <w:iCs/>
        </w:rPr>
        <w:t>Theme 4: Stakeholder Trust and Engagement</w:t>
      </w:r>
    </w:p>
    <w:p w14:paraId="000000B9">
      <w:pPr>
        <w:spacing w:before="200" w:after="200"/>
        <w:rPr/>
      </w:pPr>
      <w:r>
        <w:t xml:space="preserve">The </w:t>
      </w:r>
      <w:r>
        <w:t xml:space="preserve">main outcome of sustainability practise and communication strategy is the trust of the stakeholders. In the case where trust is established, the relevant parties develop a feeling of continuity between the organisational behaviour and espoused values. </w:t>
      </w:r>
      <w:r>
        <w:t>Fobi</w:t>
      </w:r>
      <w:r>
        <w:t>ri</w:t>
      </w:r>
      <w:r>
        <w:t xml:space="preserve"> et al. (2026) claim that transparency, accountability, and authenticity are the driving forces behind consumer confidence in a sustainable fashion market.</w:t>
      </w:r>
    </w:p>
    <w:p w14:paraId="000000BA">
      <w:pPr>
        <w:spacing w:before="200" w:after="200"/>
        <w:rPr/>
      </w:pPr>
      <w:r>
        <w:t>Empirical evidence has established that the sustainability programmes indeed are significant in co</w:t>
      </w:r>
      <w:r>
        <w:t>nsumer loyalty and consumer behaviour intention. The Sarfraz et al. (2025) examination confirms that sustainable practises contribute positively to consumer loyalty in the UK fast fashion market and most importantly, when the purported sustainability is pe</w:t>
      </w:r>
      <w:r>
        <w:t xml:space="preserve">rceived as being true. Rastogi et al. (2025) also report that ESG transparency enhances consumer trust and relationship with </w:t>
      </w:r>
      <w:r>
        <w:t>brands in the long run. This means that sustainability communication directly impacts the behavioural response rather than brand pe</w:t>
      </w:r>
      <w:r>
        <w:t>rception, with the consumer being increasingly more grounded in morality when making a buying decision.</w:t>
      </w:r>
    </w:p>
    <w:p w14:paraId="000000BB">
      <w:pPr>
        <w:spacing w:before="200" w:after="200"/>
        <w:rPr/>
      </w:pPr>
      <w:r>
        <w:t>However, there is also an attitude-behaviour gap in the literature. According to Ronda (2024), the high levels of sustainability issues have been raised</w:t>
      </w:r>
      <w:r>
        <w:t xml:space="preserve"> so far by consumers, but the purchase behaviour in reality does not always reflect the intention to make an ethical decision due to the price elasticity and convenience. This restates the importance of good communication in reducing uncertainty and encour</w:t>
      </w:r>
      <w:r>
        <w:t xml:space="preserve">aging ethical consumption. The engagement is particularly critical regarding the aspect of authenticity. Consumers have accepted a response, which is positive to companies faced with challenges in the area of sustainability, along with success, since such </w:t>
      </w:r>
      <w:r>
        <w:t>candour implies that the companies are responsible. Accordingly, the extent of stakeholder trust may be concluded, not only in the sustainable accomplishment, but also in the transparent principles of communication that would show the good intentions of or</w:t>
      </w:r>
      <w:r>
        <w:t>ganisations.</w:t>
      </w:r>
    </w:p>
    <w:p w14:paraId="000000BC">
      <w:pPr>
        <w:pStyle w:val="Heading2"/>
        <w:spacing w:before="200" w:after="200"/>
        <w:rPr/>
      </w:pPr>
      <w:bookmarkStart w:id="30" w:name="_9c44o2rzjgv9"/>
      <w:bookmarkEnd w:id="30"/>
      <w:r>
        <w:t>4</w:t>
      </w:r>
      <w:r>
        <w:t>.3 Analysis of Survey Results</w:t>
      </w:r>
    </w:p>
    <w:p w14:paraId="000000BD">
      <w:pPr>
        <w:spacing w:before="200" w:after="200"/>
        <w:rPr>
          <w:b/>
          <w:bCs/>
          <w:i/>
          <w:iCs/>
        </w:rPr>
      </w:pPr>
      <w:r>
        <w:rPr>
          <w:b/>
          <w:bCs/>
          <w:i/>
          <w:iCs/>
        </w:rPr>
        <w:t>Q1. Importance of Sustainability When Purchasing Fashion Products</w:t>
      </w:r>
    </w:p>
    <w:tbl>
      <w:tblPr>
        <w:tblStyle w:val="A0"/>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E">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F">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0">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1">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2">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3">
            <w:pPr>
              <w:spacing w:before="200" w:after="200"/>
              <w:rPr/>
            </w:pPr>
            <w:r>
              <w:t>Very important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4">
            <w:pPr>
              <w:spacing w:before="200" w:after="200"/>
              <w:rPr/>
            </w:pPr>
            <w:r>
              <w:t>36%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5">
            <w:pPr>
              <w:spacing w:before="200" w:after="200"/>
              <w:rPr/>
            </w:pPr>
            <w:r>
              <w:t>9</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6">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7">
            <w:pPr>
              <w:spacing w:before="200" w:after="200"/>
              <w:rPr/>
            </w:pPr>
            <w:r>
              <w:t>Moderately important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8">
            <w:pPr>
              <w:spacing w:before="200" w:after="200"/>
              <w:rPr/>
            </w:pPr>
            <w:r>
              <w:t>44%</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9">
            <w:pPr>
              <w:spacing w:before="200" w:after="200"/>
              <w:rPr/>
            </w:pPr>
            <w:r>
              <w:t>11</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A">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B">
            <w:pPr>
              <w:spacing w:before="200" w:after="200"/>
              <w:rPr/>
            </w:pPr>
            <w:r>
              <w:t>Not important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C">
            <w:pPr>
              <w:spacing w:before="200" w:after="200"/>
              <w:rPr/>
            </w:pPr>
            <w:r>
              <w:t>20%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D">
            <w:pPr>
              <w:spacing w:before="200" w:after="200"/>
              <w:rPr/>
            </w:pPr>
            <w:r>
              <w:t>5</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E">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F">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0">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1">
            <w:pPr>
              <w:spacing w:before="200" w:after="200"/>
              <w:rPr/>
            </w:pPr>
            <w:r>
              <w:rPr>
                <w:b/>
                <w:bCs/>
              </w:rPr>
              <w:t>25</w:t>
            </w:r>
          </w:p>
        </w:tc>
      </w:tr>
    </w:tbl>
    <w:p w14:paraId="000000D2">
      <w:pPr>
        <w:spacing w:before="200" w:after="200"/>
        <w:rPr/>
      </w:pPr>
      <w:r>
        <w:t>The first question was examining the importance of sustainability in the consumer buying behaviour within the UK fashion retail setup. The results reveal that sustainability plays a significant, but not the only, role in consumer behaviour. The fact that t</w:t>
      </w:r>
      <w:r>
        <w:t xml:space="preserve">hree-quarters of the respondents (56 out of 80) responded that sustainability is very or moderately relevant during a purchase of fashion products is an indication that the issue of environment and ethical issues is now part of the consumer consciousness. </w:t>
      </w:r>
      <w:r>
        <w:t>However, the extent of significance of sustainability was greatest among the 36 per cent of the respondents who identified sustainability as important in the sense that, as much as sustainability contributes to the decision-making process, it is not necess</w:t>
      </w:r>
      <w:r>
        <w:t xml:space="preserve">arily the driving force behind the purchase behaviour. </w:t>
      </w:r>
    </w:p>
    <w:p w14:paraId="000000D3">
      <w:pPr>
        <w:spacing w:before="200" w:after="200"/>
        <w:rPr/>
      </w:pPr>
      <w:r>
        <w:t xml:space="preserve">The styles, convenience, quality, and even price </w:t>
      </w:r>
      <w:r>
        <w:t>are</w:t>
      </w:r>
      <w:r>
        <w:t xml:space="preserve"> all still viewed as some of the conventional factors which influence the consumption of fashion. The remaining 20 per cent of the participants who </w:t>
      </w:r>
      <w:r>
        <w:t xml:space="preserve">considered sustainability to not be significant cite the fact that they believe in the perpetuation of traditional consumption patterns involving the participants who are either interested in price or fashion, but not in morality. </w:t>
      </w:r>
    </w:p>
    <w:p w14:paraId="000000D4">
      <w:pPr>
        <w:spacing w:before="200" w:after="200"/>
        <w:rPr>
          <w:b/>
          <w:bCs/>
          <w:i/>
          <w:iCs/>
        </w:rPr>
      </w:pPr>
      <w:r>
        <w:rPr>
          <w:b/>
          <w:bCs/>
          <w:i/>
          <w:iCs/>
        </w:rPr>
        <w:t>Q2. Trust in Sustainabil</w:t>
      </w:r>
      <w:r>
        <w:rPr>
          <w:b/>
          <w:bCs/>
          <w:i/>
          <w:iCs/>
        </w:rPr>
        <w:t>ity Claims Made by UK Fashion Retailers</w:t>
      </w:r>
    </w:p>
    <w:tbl>
      <w:tblPr>
        <w:tblStyle w:val="A1"/>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5">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6">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7">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8">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9">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A">
            <w:pPr>
              <w:spacing w:before="200" w:after="200"/>
              <w:rPr/>
            </w:pPr>
            <w:r>
              <w:t>Highly trust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B">
            <w:pPr>
              <w:spacing w:before="200" w:after="200"/>
              <w:rPr/>
            </w:pPr>
            <w:r>
              <w:t>28%</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C">
            <w:pPr>
              <w:spacing w:before="200" w:after="200"/>
              <w:rPr/>
            </w:pPr>
            <w:r>
              <w:t>7</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D">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E">
            <w:pPr>
              <w:spacing w:before="200" w:after="200"/>
              <w:rPr/>
            </w:pPr>
            <w:r>
              <w:t>Somewhat trust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F">
            <w:pPr>
              <w:spacing w:before="200" w:after="200"/>
              <w:rPr/>
            </w:pPr>
            <w:r>
              <w:t>56%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0">
            <w:pPr>
              <w:spacing w:before="200" w:after="200"/>
              <w:rPr/>
            </w:pPr>
            <w:r>
              <w:t>14</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1">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2">
            <w:pPr>
              <w:spacing w:before="200" w:after="200"/>
              <w:rPr/>
            </w:pPr>
            <w:r>
              <w:t>Do not trust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3">
            <w:pPr>
              <w:spacing w:before="200" w:after="200"/>
              <w:rPr/>
            </w:pPr>
            <w:r>
              <w:t>16%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4">
            <w:pPr>
              <w:spacing w:before="200" w:after="200"/>
              <w:rPr/>
            </w:pPr>
            <w:r>
              <w:t>4</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5">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6">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7">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8">
            <w:pPr>
              <w:spacing w:before="200" w:after="200"/>
              <w:rPr/>
            </w:pPr>
            <w:r>
              <w:rPr>
                <w:b/>
                <w:bCs/>
              </w:rPr>
              <w:t>25</w:t>
            </w:r>
          </w:p>
        </w:tc>
      </w:tr>
    </w:tbl>
    <w:p w14:paraId="000000E9">
      <w:pPr>
        <w:spacing w:before="200" w:after="200"/>
        <w:rPr/>
      </w:pPr>
      <w:r>
        <w:t>The second question established the consumer trust in the claims of sustainability that are made by fashion brands. The findings show moderate and serious levels of trust. Though a great majority of 56 per cent of the people surveyed claimed to have some t</w:t>
      </w:r>
      <w:r>
        <w:t>rust in sustainability claims, just a quarter of them claimed to have high confidence in brand communications. This is the sign of such a discrepancy that consumers remain unsure and may be sceptical about the authenticity of sustainability communications.</w:t>
      </w:r>
      <w:r>
        <w:t xml:space="preserve"> This caution is arguably a reflection of increased awareness of society of the events that transpire in the fashion industry in the context of greenwashing, whereby the statement of sustainability has been found wanting or unsubstantiated by facts. The co</w:t>
      </w:r>
      <w:r>
        <w:t xml:space="preserve">nsideration that 16% out of the respondents who reported a lack of trust in sustainability statements is a serious reputational risk to such fashion retailers since the lack of trust can affect the brand credibility and intent to buy. </w:t>
      </w:r>
    </w:p>
    <w:p w14:paraId="000000EA">
      <w:pPr>
        <w:spacing w:before="200" w:after="200"/>
        <w:rPr>
          <w:b/>
          <w:bCs/>
          <w:i/>
          <w:iCs/>
        </w:rPr>
      </w:pPr>
      <w:r>
        <w:rPr>
          <w:b/>
          <w:bCs/>
          <w:i/>
          <w:iCs/>
        </w:rPr>
        <w:t>Q3. Frequency of Che</w:t>
      </w:r>
      <w:r>
        <w:rPr>
          <w:b/>
          <w:bCs/>
          <w:i/>
          <w:iCs/>
        </w:rPr>
        <w:t>cking Sustainability Information Before Buying Clothing</w:t>
      </w:r>
    </w:p>
    <w:tbl>
      <w:tblPr>
        <w:tblStyle w:val="A2"/>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B">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C">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D">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E">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EF">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0">
            <w:pPr>
              <w:spacing w:before="200" w:after="200"/>
              <w:rPr/>
            </w:pPr>
            <w:r>
              <w:t>Always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1">
            <w:pPr>
              <w:spacing w:before="200" w:after="200"/>
              <w:rPr/>
            </w:pPr>
            <w:r>
              <w:t>20%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2">
            <w:pPr>
              <w:spacing w:before="200" w:after="200"/>
              <w:rPr/>
            </w:pPr>
            <w:r>
              <w:t>5</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3">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4">
            <w:pPr>
              <w:spacing w:before="200" w:after="200"/>
              <w:rPr/>
            </w:pPr>
            <w:r>
              <w:t>Sometimes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5">
            <w:pPr>
              <w:spacing w:before="200" w:after="200"/>
              <w:rPr/>
            </w:pPr>
            <w:r>
              <w:t>68%</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6">
            <w:pPr>
              <w:spacing w:before="200" w:after="200"/>
              <w:rPr/>
            </w:pPr>
            <w:r>
              <w:t>17</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7">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8">
            <w:pPr>
              <w:spacing w:before="200" w:after="200"/>
              <w:rPr/>
            </w:pPr>
            <w:r>
              <w:t>Never</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9">
            <w:pPr>
              <w:spacing w:before="200" w:after="200"/>
              <w:rPr/>
            </w:pPr>
            <w:r>
              <w:t>12%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A">
            <w:pPr>
              <w:spacing w:before="200" w:after="200"/>
              <w:rPr/>
            </w:pPr>
            <w:r>
              <w:t>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B">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C">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D">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FE">
            <w:pPr>
              <w:spacing w:before="200" w:after="200"/>
              <w:rPr/>
            </w:pPr>
            <w:r>
              <w:rPr>
                <w:b/>
                <w:bCs/>
              </w:rPr>
              <w:t>25</w:t>
            </w:r>
          </w:p>
        </w:tc>
      </w:tr>
    </w:tbl>
    <w:p w14:paraId="000000FF">
      <w:pPr>
        <w:spacing w:before="200" w:after="200"/>
        <w:rPr/>
      </w:pPr>
      <w:r>
        <w:t>The third question dealt with the frequency of accessing the sustainability information before making the purchase choice by consumers. The results are that consumer behaviour in regard to sustainability information does exist, albeit unevenly. The majorit</w:t>
      </w:r>
      <w:r>
        <w:t>y of the respondents (68 per cent) responded that they occasionally read sustainability information, which demonstrates that they are not ethically engaged in consumption behaviour but rather situationally engaged. They have merely indicated that 20 per ce</w:t>
      </w:r>
      <w:r>
        <w:t xml:space="preserve">nt will scrutinise the sustainability data first, they have bought the product, and this could mean that their proactive sustainability analysis is presently being undertaken in a limited segment of the extremely aware category of customers. </w:t>
      </w:r>
    </w:p>
    <w:p w14:paraId="00000100">
      <w:pPr>
        <w:spacing w:before="200" w:after="200"/>
        <w:rPr>
          <w:b/>
          <w:bCs/>
          <w:i/>
          <w:iCs/>
        </w:rPr>
      </w:pPr>
      <w:r>
        <w:rPr>
          <w:b/>
          <w:bCs/>
          <w:i/>
          <w:iCs/>
        </w:rPr>
        <w:t>Q4. Type of S</w:t>
      </w:r>
      <w:r>
        <w:rPr>
          <w:b/>
          <w:bCs/>
          <w:i/>
          <w:iCs/>
        </w:rPr>
        <w:t>ustainability Communication That Builds the Most Trust</w:t>
      </w:r>
    </w:p>
    <w:tbl>
      <w:tblPr>
        <w:tblStyle w:val="A3"/>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1">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2">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3">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4">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5">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6">
            <w:pPr>
              <w:spacing w:before="200" w:after="200"/>
              <w:rPr/>
            </w:pPr>
            <w:r>
              <w:t>Transparent sustainability reports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7">
            <w:pPr>
              <w:spacing w:before="200" w:after="200"/>
              <w:rPr/>
            </w:pPr>
            <w:r>
              <w:t>32%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8">
            <w:pPr>
              <w:spacing w:before="200" w:after="200"/>
              <w:rPr/>
            </w:pPr>
            <w:r>
              <w:t>8</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9">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A">
            <w:pPr>
              <w:spacing w:before="200" w:after="200"/>
              <w:rPr/>
            </w:pPr>
            <w:r>
              <w:t>Eco-labels or certifications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B">
            <w:pPr>
              <w:spacing w:before="200" w:after="200"/>
              <w:rPr/>
            </w:pPr>
            <w:r>
              <w:t>52%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C">
            <w:pPr>
              <w:spacing w:before="200" w:after="200"/>
              <w:rPr/>
            </w:pPr>
            <w:r>
              <w:t>13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D">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E">
            <w:pPr>
              <w:spacing w:before="200" w:after="200"/>
              <w:rPr/>
            </w:pPr>
            <w:r>
              <w:t>Brand advertising campaigns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0F">
            <w:pPr>
              <w:spacing w:before="200" w:after="200"/>
              <w:rPr/>
            </w:pPr>
            <w:r>
              <w:t>16%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0">
            <w:pPr>
              <w:spacing w:before="200" w:after="200"/>
              <w:rPr/>
            </w:pPr>
            <w:r>
              <w:t>4</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1">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2">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3">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4">
            <w:pPr>
              <w:spacing w:before="200" w:after="200"/>
              <w:rPr/>
            </w:pPr>
            <w:r>
              <w:rPr>
                <w:b/>
                <w:bCs/>
              </w:rPr>
              <w:t>25</w:t>
            </w:r>
          </w:p>
        </w:tc>
      </w:tr>
    </w:tbl>
    <w:p w14:paraId="00000115">
      <w:pPr>
        <w:spacing w:before="200" w:after="200"/>
        <w:rPr/>
      </w:pPr>
      <w:r>
        <w:t>The fourth question evaluated which sustainability communication strategy is the most effective in raising consumer trust. The results indicate that there is a specific tendency towards communication strategies that are checked separately. The eco-labels a</w:t>
      </w:r>
      <w:r>
        <w:t>nd certifications were the most credible form of communication that was identified by the researchers as the one chosen by half of the respondents, which implies that the third-party authentication lowers the cynicism level significantly. The fact that cer</w:t>
      </w:r>
      <w:r>
        <w:t>tifications are available provides objective assurance because a message is sent that the claims of sustainability have already been checked by people who are outsourced, and this enhances the perceived credibility. Transparent sustainability reports turne</w:t>
      </w:r>
      <w:r>
        <w:t xml:space="preserve">d </w:t>
      </w:r>
      <w:r>
        <w:t xml:space="preserve">out to be the most chosen by the participants (32 per cent), which means that consumers would value transparent information disclosure and responsibility so long as the information they require is reported in a readable manner. </w:t>
      </w:r>
    </w:p>
    <w:p w14:paraId="00000116">
      <w:pPr>
        <w:spacing w:before="200" w:after="200"/>
        <w:rPr>
          <w:b/>
          <w:bCs/>
          <w:i/>
          <w:iCs/>
        </w:rPr>
      </w:pPr>
      <w:r>
        <w:rPr>
          <w:b/>
          <w:bCs/>
          <w:i/>
          <w:iCs/>
        </w:rPr>
        <w:t>Q5. Reaction to Limited Sustainability Information</w:t>
      </w:r>
    </w:p>
    <w:tbl>
      <w:tblPr>
        <w:tblStyle w:val="A4"/>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7">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8">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9">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A">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B">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C">
            <w:pPr>
              <w:spacing w:before="200" w:after="200"/>
              <w:rPr/>
            </w:pPr>
            <w:r>
              <w:t>My trust decreases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D">
            <w:pPr>
              <w:spacing w:before="200" w:after="200"/>
              <w:rPr/>
            </w:pPr>
            <w:r>
              <w:t>32%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E">
            <w:pPr>
              <w:spacing w:before="200" w:after="200"/>
              <w:rPr/>
            </w:pPr>
            <w:r>
              <w:t>8</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1F">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0">
            <w:pPr>
              <w:spacing w:before="200" w:after="200"/>
              <w:rPr/>
            </w:pPr>
            <w:r>
              <w:t>It does not affect my opinion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1">
            <w:pPr>
              <w:spacing w:before="200" w:after="200"/>
              <w:rPr/>
            </w:pPr>
            <w:r>
              <w:t>52%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2">
            <w:pPr>
              <w:spacing w:before="200" w:after="200"/>
              <w:rPr/>
            </w:pPr>
            <w:r>
              <w:t>13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3">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4">
            <w:pPr>
              <w:spacing w:before="200" w:after="200"/>
              <w:rPr/>
            </w:pPr>
            <w:r>
              <w:t>I am unsure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5">
            <w:pPr>
              <w:spacing w:before="200" w:after="200"/>
              <w:rPr/>
            </w:pPr>
            <w:r>
              <w:t>16%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6">
            <w:pPr>
              <w:spacing w:before="200" w:after="200"/>
              <w:rPr/>
            </w:pPr>
            <w:r>
              <w:t>4</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7">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8">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9">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A">
            <w:pPr>
              <w:spacing w:before="200" w:after="200"/>
              <w:rPr/>
            </w:pPr>
            <w:r>
              <w:rPr>
                <w:b/>
                <w:bCs/>
              </w:rPr>
              <w:t>25</w:t>
            </w:r>
          </w:p>
        </w:tc>
      </w:tr>
    </w:tbl>
    <w:p w14:paraId="0000012B">
      <w:pPr>
        <w:spacing w:before="200" w:after="200"/>
        <w:rPr/>
      </w:pPr>
      <w:r>
        <w:t>The fifth question covered consumer response as the brands are able to publish restricted sustainability disclosure. The outcome shows both favourable and unfavourable responses of consumers, but reveals that the likelihood of reputational risks can be fac</w:t>
      </w:r>
      <w:r>
        <w:t>ed in non-disclosure. More than one-third of the respondents answered that their trust dwindled when the news about sustainability was small, which confirmed that the absence of transparency can damage a brand's reputation. However, 52 per cent of the resp</w:t>
      </w:r>
      <w:r>
        <w:t xml:space="preserve">ondents replied that this lack of knowledge will not </w:t>
      </w:r>
      <w:r>
        <w:t>affect their decision, meaning that, regardless of the fact that some consumers will not be eager to evaluate the transparency of sustainability when they are making a purchasing decision. This finding i</w:t>
      </w:r>
      <w:r>
        <w:t xml:space="preserve">s an expression of consumer attitude multiplicity, whereby there is a consciousness accompanied by the automatic behavioural connotations. </w:t>
      </w:r>
    </w:p>
    <w:p w14:paraId="0000012C">
      <w:pPr>
        <w:spacing w:before="200" w:after="200"/>
        <w:rPr>
          <w:b/>
          <w:bCs/>
          <w:i/>
          <w:iCs/>
        </w:rPr>
      </w:pPr>
      <w:r>
        <w:rPr>
          <w:b/>
          <w:bCs/>
          <w:i/>
          <w:iCs/>
        </w:rPr>
        <w:t>Q6. Opinion on Communicating Both Sustainability Achievements and Challenges</w:t>
      </w:r>
    </w:p>
    <w:tbl>
      <w:tblPr>
        <w:tblStyle w:val="A5"/>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D">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E">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2F">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0">
            <w:pPr>
              <w:spacing w:before="200" w:after="200"/>
              <w:jc w:val="center"/>
              <w:rPr/>
            </w:pPr>
            <w:r>
              <w:rPr>
                <w:b/>
                <w:bCs/>
              </w:rPr>
              <w:t>Number of Pa</w:t>
            </w:r>
            <w:r>
              <w:rPr>
                <w:b/>
                <w:bCs/>
              </w:rPr>
              <w:t>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1">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2">
            <w:pPr>
              <w:spacing w:before="200" w:after="200"/>
              <w:rPr/>
            </w:pPr>
            <w:r>
              <w:t>Yes</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3">
            <w:pPr>
              <w:spacing w:before="200" w:after="200"/>
              <w:rPr/>
            </w:pPr>
            <w:r>
              <w:t>36%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4">
            <w:pPr>
              <w:spacing w:before="200" w:after="200"/>
              <w:rPr/>
            </w:pPr>
            <w:r>
              <w:t>9</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5">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6">
            <w:pPr>
              <w:spacing w:before="200" w:after="200"/>
              <w:rPr/>
            </w:pPr>
            <w:r>
              <w:t>Maybe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7">
            <w:pPr>
              <w:spacing w:before="200" w:after="200"/>
              <w:rPr/>
            </w:pPr>
            <w:r>
              <w:t>52%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8">
            <w:pPr>
              <w:spacing w:before="200" w:after="200"/>
              <w:rPr/>
            </w:pPr>
            <w:r>
              <w:t>13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9">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A">
            <w:pPr>
              <w:spacing w:before="200" w:after="200"/>
              <w:rPr/>
            </w:pPr>
            <w:r>
              <w:t>No</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B">
            <w:pPr>
              <w:spacing w:before="200" w:after="200"/>
              <w:rPr/>
            </w:pPr>
            <w:r>
              <w:t>12%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C">
            <w:pPr>
              <w:spacing w:before="200" w:after="200"/>
              <w:rPr/>
            </w:pPr>
            <w:r>
              <w:t>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D">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E">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3F">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0">
            <w:pPr>
              <w:spacing w:before="200" w:after="200"/>
              <w:rPr/>
            </w:pPr>
            <w:r>
              <w:rPr>
                <w:b/>
                <w:bCs/>
              </w:rPr>
              <w:t>25</w:t>
            </w:r>
          </w:p>
        </w:tc>
      </w:tr>
    </w:tbl>
    <w:p w14:paraId="00000141">
      <w:pPr>
        <w:spacing w:before="200" w:after="200"/>
        <w:rPr/>
      </w:pPr>
      <w:r>
        <w:t xml:space="preserve">The sixth question explored the consumer expectation regarding the honest and balanced sustainability directing, including the release of their attainments as well as challenges. The majority of the respondents were receptive to transparency. Though again </w:t>
      </w:r>
      <w:r>
        <w:t xml:space="preserve">36% had a clear sign of being driven to open communication, 52% of them selected maybe, meaning they will be open to communicating information as long as it is communicated in a good manner and appears credible. </w:t>
      </w:r>
      <w:r>
        <w:t>Only a quarter of them (12) perceived non-tr</w:t>
      </w:r>
      <w:r>
        <w:t xml:space="preserve">ansparent disclosure, which implies that there were fewer objections towards the truthfulness of sustainability reporting. </w:t>
      </w:r>
    </w:p>
    <w:p w14:paraId="00000142">
      <w:pPr>
        <w:spacing w:before="200" w:after="200"/>
        <w:rPr/>
      </w:pPr>
      <w:r>
        <w:t>The results indicate that authenticity is emerging as a significant factor for customers rather than perfection. Rather than presumi</w:t>
      </w:r>
      <w:r>
        <w:t xml:space="preserve">ng the effective functioning of brands regarding sustainability, participants appear to be satisfied with ongoing improvement processes in the event that organisations are embodied by realism and honesty in regard to the present state and limitations. </w:t>
      </w:r>
    </w:p>
    <w:p w14:paraId="00000143">
      <w:pPr>
        <w:spacing w:before="200" w:after="200"/>
        <w:rPr>
          <w:b/>
          <w:bCs/>
          <w:i/>
          <w:iCs/>
        </w:rPr>
      </w:pPr>
      <w:r>
        <w:rPr>
          <w:b/>
          <w:bCs/>
          <w:i/>
          <w:iCs/>
        </w:rPr>
        <w:t>Q7.</w:t>
      </w:r>
      <w:r>
        <w:rPr>
          <w:b/>
          <w:bCs/>
          <w:i/>
          <w:iCs/>
        </w:rPr>
        <w:t xml:space="preserve"> Awareness of Greenwashing or Reduced Sustainability Communication</w:t>
      </w:r>
    </w:p>
    <w:tbl>
      <w:tblPr>
        <w:tblStyle w:val="A6"/>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4">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5">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6">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7">
            <w:pPr>
              <w:spacing w:before="200" w:after="200"/>
              <w:jc w:val="center"/>
              <w:rPr/>
            </w:pPr>
            <w:r>
              <w:rPr>
                <w:b/>
                <w:bCs/>
              </w:rPr>
              <w:t>Number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8">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9">
            <w:pPr>
              <w:spacing w:before="200" w:after="200"/>
              <w:rPr/>
            </w:pPr>
            <w:r>
              <w:t>Fully aware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A">
            <w:pPr>
              <w:spacing w:before="200" w:after="200"/>
              <w:rPr/>
            </w:pPr>
            <w:r>
              <w:t>32%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B">
            <w:pPr>
              <w:spacing w:before="200" w:after="200"/>
              <w:rPr/>
            </w:pPr>
            <w:r>
              <w:t>8</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C">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D">
            <w:pPr>
              <w:spacing w:before="200" w:after="200"/>
              <w:rPr/>
            </w:pPr>
            <w:r>
              <w:t>Slightly aware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E">
            <w:pPr>
              <w:spacing w:before="200" w:after="200"/>
              <w:rPr/>
            </w:pPr>
            <w:r>
              <w:t>56%</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4F">
            <w:pPr>
              <w:spacing w:before="200" w:after="200"/>
              <w:rPr/>
            </w:pPr>
            <w:r>
              <w:t>14</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0">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1">
            <w:pPr>
              <w:spacing w:before="200" w:after="200"/>
              <w:rPr/>
            </w:pPr>
            <w:r>
              <w:t>Not aware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2">
            <w:pPr>
              <w:spacing w:before="200" w:after="200"/>
              <w:rPr/>
            </w:pPr>
            <w:r>
              <w:t>12%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3">
            <w:pPr>
              <w:spacing w:before="200" w:after="200"/>
              <w:rPr/>
            </w:pPr>
            <w:r>
              <w:t>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4">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5">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6">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7">
            <w:pPr>
              <w:spacing w:before="200" w:after="200"/>
              <w:rPr/>
            </w:pPr>
            <w:r>
              <w:rPr>
                <w:b/>
                <w:bCs/>
              </w:rPr>
              <w:t>25</w:t>
            </w:r>
          </w:p>
        </w:tc>
      </w:tr>
    </w:tbl>
    <w:p w14:paraId="00000158">
      <w:pPr>
        <w:spacing w:before="200" w:after="200"/>
        <w:rPr/>
      </w:pPr>
      <w:r>
        <w:t>The seventh question was a measurement of consumer awareness of the brands that do not discuss sustainability in a typical way, the phenomenon that is also referred to as greenwashing. The results demonstrate that the respondents are moderately aware of th</w:t>
      </w:r>
      <w:r>
        <w:t xml:space="preserve">e issues. The majority of the </w:t>
      </w:r>
      <w:r>
        <w:t xml:space="preserve">respondents (56 per cent) mentioned that they had slight knowledge about the practise of </w:t>
      </w:r>
      <w:r>
        <w:t>greenhousing</w:t>
      </w:r>
      <w:r>
        <w:t>, with 32 per cent of the respondents saying that they were fully aware. It will mean that the sustainability communication a</w:t>
      </w:r>
      <w:r>
        <w:t xml:space="preserve">rguments will be more visible in the mainstream narrative, in particular, in the media discourse of sustainability and ethical fashion. </w:t>
      </w:r>
    </w:p>
    <w:p w14:paraId="00000159">
      <w:pPr>
        <w:spacing w:before="200" w:after="200"/>
        <w:rPr>
          <w:b/>
          <w:bCs/>
          <w:i/>
          <w:iCs/>
        </w:rPr>
      </w:pPr>
      <w:r>
        <w:rPr>
          <w:b/>
          <w:bCs/>
          <w:i/>
          <w:iCs/>
        </w:rPr>
        <w:t>Q8. Influence of Transparent Sustainability Communication on Future Purchasing Decisions</w:t>
      </w:r>
    </w:p>
    <w:tbl>
      <w:tblPr>
        <w:tblStyle w:val="A7"/>
        <w:tblW w:w="0" w:type="auto"/>
        <w:tblInd w:w="0" w:type="dxa"/>
        <w:tblBorders>
          <w:top w:val="nil" w:sz="4" w:space="0"/>
          <w:left w:val="nil" w:sz="4" w:space="0"/>
          <w:bottom w:val="nil" w:sz="4" w:space="0"/>
          <w:right w:val="nil" w:sz="4" w:space="0"/>
          <w:insideH w:val="nil" w:sz="4" w:space="0"/>
          <w:insideV w:val="nil" w:sz="4" w:space="0"/>
        </w:tblBorders>
        <w:tblLayout w:type="fixed"/>
        <w:tblLook w:val="0600"/>
      </w:tblPr>
      <w:tblGrid>
        <w:gridCol w:w="2340"/>
        <w:gridCol w:w="2340"/>
        <w:gridCol w:w="2340"/>
        <w:gridCol w:w="2340"/>
      </w:tblGrid>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A">
            <w:pPr>
              <w:spacing w:before="200" w:after="200"/>
              <w:jc w:val="center"/>
              <w:rPr/>
            </w:pPr>
            <w:r>
              <w:rPr>
                <w:b/>
                <w:bCs/>
              </w:rPr>
              <w:t>Option</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B">
            <w:pPr>
              <w:spacing w:before="200" w:after="200"/>
              <w:jc w:val="center"/>
              <w:rPr/>
            </w:pPr>
            <w:r>
              <w:rPr>
                <w:b/>
                <w:bCs/>
              </w:rPr>
              <w:t>Response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C">
            <w:pPr>
              <w:spacing w:before="200" w:after="200"/>
              <w:jc w:val="center"/>
              <w:rPr/>
            </w:pPr>
            <w:r>
              <w:rPr>
                <w:b/>
                <w:bCs/>
              </w:rPr>
              <w:t>Percentage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D">
            <w:pPr>
              <w:spacing w:before="200" w:after="200"/>
              <w:jc w:val="center"/>
              <w:rPr/>
            </w:pPr>
            <w:r>
              <w:rPr>
                <w:b/>
                <w:bCs/>
              </w:rPr>
              <w:t>Num</w:t>
            </w:r>
            <w:r>
              <w:rPr>
                <w:b/>
                <w:bCs/>
              </w:rPr>
              <w:t>ber of Participants</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E">
            <w:pPr>
              <w:spacing w:before="200" w:after="200"/>
              <w:rPr/>
            </w:pPr>
            <w:r>
              <w:t>A</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5F">
            <w:pPr>
              <w:spacing w:before="200" w:after="200"/>
              <w:rPr/>
            </w:pPr>
            <w:r>
              <w:t>Yes, strongly influence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0">
            <w:pPr>
              <w:spacing w:before="200" w:after="200"/>
              <w:rPr/>
            </w:pPr>
            <w:r>
              <w:t>52%</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1">
            <w:pPr>
              <w:spacing w:before="200" w:after="200"/>
              <w:rPr/>
            </w:pPr>
            <w:r>
              <w:t>13</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2">
            <w:pPr>
              <w:spacing w:before="200" w:after="200"/>
              <w:rPr/>
            </w:pPr>
            <w:r>
              <w:t>B</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3">
            <w:pPr>
              <w:spacing w:before="200" w:after="200"/>
              <w:rPr/>
            </w:pPr>
            <w:r>
              <w:t>Influence somewhat</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4">
            <w:pPr>
              <w:spacing w:before="200" w:after="200"/>
              <w:rPr/>
            </w:pPr>
            <w:r>
              <w:t>44%</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5">
            <w:pPr>
              <w:spacing w:before="200" w:after="200"/>
              <w:rPr/>
            </w:pPr>
            <w:r>
              <w:t>11</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6">
            <w:pPr>
              <w:spacing w:before="200" w:after="200"/>
              <w:rPr/>
            </w:pPr>
            <w:r>
              <w:t>C</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7">
            <w:pPr>
              <w:spacing w:before="200" w:after="200"/>
              <w:rPr/>
            </w:pPr>
            <w:r>
              <w:t>No influence</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8">
            <w:pPr>
              <w:spacing w:before="200" w:after="200"/>
              <w:rPr/>
            </w:pPr>
            <w:r>
              <w:t>4%</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9">
            <w:pPr>
              <w:spacing w:before="200" w:after="200"/>
              <w:rPr/>
            </w:pPr>
            <w:r>
              <w:t>1</w:t>
            </w:r>
          </w:p>
        </w:tc>
      </w:tr>
      <w:tr>
        <w:trPr/>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A">
            <w:pPr>
              <w:spacing w:before="200" w:after="200"/>
              <w:rPr/>
            </w:pPr>
            <w:r>
              <w:rPr>
                <w:b/>
                <w:bCs/>
              </w:rPr>
              <w:t>Total</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B">
            <w:pPr>
              <w:spacing w:before="200" w:after="200"/>
              <w:rPr/>
            </w:pP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C">
            <w:pPr>
              <w:spacing w:before="200" w:after="200"/>
              <w:rPr/>
            </w:pPr>
            <w:r>
              <w:rPr>
                <w:b/>
                <w:bCs/>
              </w:rPr>
              <w:t>100%</w:t>
            </w:r>
          </w:p>
        </w:tc>
        <w:tc>
          <w:tcPr>
            <w:cnfStyle w:val="000000000000"/>
            <w:tcW w:w="23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16D">
            <w:pPr>
              <w:spacing w:before="200" w:after="200"/>
              <w:rPr/>
            </w:pPr>
            <w:r>
              <w:rPr>
                <w:b/>
                <w:bCs/>
              </w:rPr>
              <w:t>25</w:t>
            </w:r>
          </w:p>
        </w:tc>
      </w:tr>
    </w:tbl>
    <w:p w14:paraId="0000016E">
      <w:pPr>
        <w:spacing w:before="200" w:after="200"/>
        <w:rPr/>
      </w:pPr>
      <w:r>
        <w:t>The eighth question was a measure of the effect of transparent sustainability communication on consumer purchasing behaviour. The findings indicate that the buying intention and transparency have a positive correlation. The majority of 96 per cent of the r</w:t>
      </w:r>
      <w:r>
        <w:t xml:space="preserve">espondents indicated that clear communication on sustainability would have an intensely or moderately damaging influence on their buying behaviour. Transparency was important in determining consumer behaviour, as </w:t>
      </w:r>
      <w:r>
        <w:t>participation in the study revealed that on</w:t>
      </w:r>
      <w:r>
        <w:t>ly one respondent said that it did not have any influence. These findings suggest that sustainability communication is not merely informational, but it is also a strategic variable that affects consumer loyalty and brand preference. It appears that transpa</w:t>
      </w:r>
      <w:r>
        <w:t xml:space="preserve">rency makes the process less ambiguous and more reliable, and more likely to lead to ethical buying decisions. </w:t>
      </w:r>
    </w:p>
    <w:p w14:paraId="0000016F">
      <w:pPr>
        <w:spacing w:before="200" w:after="200"/>
        <w:rPr/>
      </w:pPr>
      <w:r>
        <w:t>The business relevance of transparency and responsibility in the case of fashion retailers is pointed out by this observation. Through communica</w:t>
      </w:r>
      <w:r>
        <w:t>tion, competitive advantage can be achieved simply by virtue of the alignment of organisational values with the evolving consumer expectations, which ultimately comes in handy in creating long-term relationships and brand credibility.</w:t>
      </w:r>
    </w:p>
    <w:p w14:paraId="00000170">
      <w:pPr>
        <w:pStyle w:val="Heading2"/>
        <w:spacing w:before="200" w:after="200"/>
        <w:rPr/>
      </w:pPr>
      <w:bookmarkStart w:id="31" w:name="_xn4ulu6ep1g9"/>
      <w:bookmarkEnd w:id="31"/>
      <w:r>
        <w:t>4</w:t>
      </w:r>
      <w:r>
        <w:t xml:space="preserve">.4 Discussion </w:t>
      </w:r>
    </w:p>
    <w:p w14:paraId="00000171">
      <w:pPr>
        <w:spacing w:before="200" w:after="200"/>
        <w:rPr/>
      </w:pPr>
      <w:r>
        <w:t>The s</w:t>
      </w:r>
      <w:r>
        <w:t>tudy conclusions demonstrate that the UK fashion retailing industry is most likely to be interconnected in terms of the concept of sustainability practises, transparency in communication and trust to stakeholders. Thematic results are added to the discussi</w:t>
      </w:r>
      <w:r>
        <w:t>on as well as the goals of the research, exploring the impact of the sustainability communication on consumer attitude and organisational reputation. The analysis confirms that, firstly, sustainability practises ceased to be the side effects or the appendi</w:t>
      </w:r>
      <w:r>
        <w:t xml:space="preserve">x of the strategy of the fashion retail operations. And following the presentation by Hasan and </w:t>
      </w:r>
      <w:r>
        <w:t>Shehun</w:t>
      </w:r>
      <w:r>
        <w:t xml:space="preserve"> (2022), the introduction of a sustainable supply chain is a crucial step towards a responsible system of production. According to thematic results, indiv</w:t>
      </w:r>
      <w:r>
        <w:t xml:space="preserve">iduals are viewing the brands in terms of ethical performance more and more, which validates the thesis of </w:t>
      </w:r>
      <w:r>
        <w:t>Mascarenhas</w:t>
      </w:r>
      <w:r>
        <w:t xml:space="preserve"> (2025), who argued that with the introduction of the concept of sustainability, the interaction with customers is enhanced.</w:t>
      </w:r>
    </w:p>
    <w:p w14:paraId="00000172">
      <w:pPr>
        <w:spacing w:before="200" w:after="200"/>
        <w:rPr/>
      </w:pPr>
      <w:r>
        <w:t xml:space="preserve">However, the </w:t>
      </w:r>
      <w:r>
        <w:t>implementation gaps in the industry also exist to a large extent, as the research defines. Change in operations is also gradual, even though the retailers communicate the desire to be sustainable. As expressed by Abbate et al. (2024), such incongruity is p</w:t>
      </w:r>
      <w:r>
        <w:t>ortrayed as one of the most critical issues in the industry where sustainability assurances are larger than real outcomes. This uncertainty can result in reputational risk, whereby buyers are increasingly becoming sustainability conscious and are also seek</w:t>
      </w:r>
      <w:r>
        <w:t xml:space="preserve">ing a visible reaction. Thus, even though communication is an intervening variable between practise and perception of organisations, it is imperative. The findings coincide with those of </w:t>
      </w:r>
      <w:r>
        <w:t>Soe</w:t>
      </w:r>
      <w:r>
        <w:t xml:space="preserve"> and Datta (2024), who demonstrate that the effect of the communic</w:t>
      </w:r>
      <w:r>
        <w:t>ation of CSR on purchase intention is high. This can be attributed to the fact that with clear reporting, this implies less guesswork, and the consumers can easily convert the sustainability claims into reasonable indicators and not marketing culture.</w:t>
      </w:r>
    </w:p>
    <w:p w14:paraId="00000173">
      <w:pPr>
        <w:spacing w:before="200" w:after="200"/>
        <w:rPr/>
      </w:pPr>
      <w:r>
        <w:t>In t</w:t>
      </w:r>
      <w:r>
        <w:t>he meantime, the communication strategies must be moderate regarding accessibility and authenticity. The sustainability communication of advertisements, complemented by no evidence, leads to a stronger scepticism, which also matches the findings offered by</w:t>
      </w:r>
      <w:r>
        <w:t xml:space="preserve"> Badhwar et al. (2024) on the topic of greenwashing. The consumers appear extremely cynical towards exaggerated claims of sustainability, which suggests that good intentions can be more effective in creating a sense of trust than honesty. </w:t>
      </w:r>
      <w:r>
        <w:t>Greenhushing</w:t>
      </w:r>
      <w:r>
        <w:t xml:space="preserve"> is o</w:t>
      </w:r>
      <w:r>
        <w:t>ne of the lessons that have been identified as important in this study. Whilst the organisations are able to reduce communication on sustainability to an acceptable degree to achieve a certain level of latitude, the use of thematic analysis demonstrates th</w:t>
      </w:r>
      <w:r>
        <w:t>at silence is confusing to the stakeholders. Rastogi et al. (2025) argue that transparency is the basis of the formation of an ESG trust, and therefore, less disclosure may have an unwanted adverse effect on the credibility.</w:t>
      </w:r>
    </w:p>
    <w:p w14:paraId="00000174">
      <w:pPr>
        <w:spacing w:before="200" w:after="200"/>
        <w:rPr/>
      </w:pPr>
      <w:r>
        <w:t>The discovery above is linked d</w:t>
      </w:r>
      <w:r>
        <w:t>irectly with the aim of the research, as it is concerned with the business risks involved in sustainability communication. Greenwashing is a paradox; organisations have attempted to lessen reputational risk and, as a result, have significant information ga</w:t>
      </w:r>
      <w:r>
        <w:t xml:space="preserve">ps that fuel consumer distrust. </w:t>
      </w:r>
      <w:r>
        <w:t>Hur</w:t>
      </w:r>
      <w:r>
        <w:t xml:space="preserve"> and Faragher-Siddall (2022) also prove that younger consumers in the UK value openness and accountability, which contributes to the lack of perfection in the sustainability performance. The other significant area of disc</w:t>
      </w:r>
      <w:r>
        <w:t>ussion is the question of the trust of the stakeholders as a response to the correspondence between the action and communication. As demonstrated by Sarfraz et al. (2025), in the event of a sense of authenticity, sustainable practises will increase loyalty</w:t>
      </w:r>
      <w:r>
        <w:t xml:space="preserve"> among consumers. Thematic findings endorse the concept that trust is not generated through the folds of sustainability claims but apprehended resemblance between organisational behaviours and communication.</w:t>
      </w:r>
    </w:p>
    <w:p w14:paraId="00000175">
      <w:pPr>
        <w:spacing w:before="200" w:after="200"/>
        <w:rPr/>
      </w:pPr>
      <w:r>
        <w:t>The other serious outcome of the study is the pe</w:t>
      </w:r>
      <w:r>
        <w:t>rpetuation of the attitude-behaviour gap as reported by Ronda (2024). Although the sustainability preferences are high, the customers continue purchasing products according to their prices and convenience. It also means that the de-complicating the informa</w:t>
      </w:r>
      <w:r>
        <w:t>tion provided by the sustainability communication must address the real, practical consumer benefits to be made in order to convert the ethical attitudes into behaviour change. As regards managerial implications, the findings point to transparency being ge</w:t>
      </w:r>
      <w:r>
        <w:t xml:space="preserve">ared towards an opportunity rather than a reputation-related threat. </w:t>
      </w:r>
      <w:r>
        <w:t>Fobiri</w:t>
      </w:r>
      <w:r>
        <w:t xml:space="preserve"> et al. (2026) guess that the trust-building tools are premised on the transparency and participation of the stakeholders in the long term. Once fashion retailers display both succe</w:t>
      </w:r>
      <w:r>
        <w:t>sses and weaknesses in the open markets, they might enhance credibility and conjunctive exclusivity in the competitive markets.</w:t>
      </w:r>
    </w:p>
    <w:p w14:paraId="00000176">
      <w:pPr>
        <w:spacing w:before="200" w:after="200"/>
        <w:rPr/>
      </w:pPr>
      <w:r>
        <w:t>Besides, sustainability communication should not be an episodic process. Customers are increasingly requiring networked communic</w:t>
      </w:r>
      <w:r>
        <w:t xml:space="preserve">ation that exhibits learning and improvement of the </w:t>
      </w:r>
      <w:r>
        <w:t>organisation. This practise reduces the tenets of performative sustainability and long-term relationship development improvement. Overall, the discussion has indicated that the sustainability practises th</w:t>
      </w:r>
      <w:r>
        <w:t>at lack proper communication cannot be sufficient to build trust. On the same note, there may be an abhorrence of operational tangible change, and this may be linked to the danger of losing reputation in a situation of communication. The most effective one</w:t>
      </w:r>
      <w:r>
        <w:t xml:space="preserve"> is setting the implementation of sustainability, transparency, and stakeholder engagement.</w:t>
      </w:r>
    </w:p>
    <w:p w14:paraId="00000177">
      <w:pPr>
        <w:pStyle w:val="Heading2"/>
        <w:spacing w:before="200" w:after="200"/>
        <w:rPr/>
      </w:pPr>
      <w:bookmarkStart w:id="32" w:name="_xknk2lcbzmy3"/>
      <w:bookmarkEnd w:id="32"/>
      <w:r>
        <w:t>4</w:t>
      </w:r>
      <w:r>
        <w:t>.5 Summary</w:t>
      </w:r>
    </w:p>
    <w:p w14:paraId="00000178">
      <w:pPr>
        <w:spacing w:before="200" w:after="200"/>
        <w:rPr/>
      </w:pPr>
      <w:r>
        <w:t>This chapter adopted both the secondary thematic analysis and primary survey research that examined the issue of sustainability communication in the UK fashion industry of retailing. The thematic analysis depicts that four themes may also be identified, wh</w:t>
      </w:r>
      <w:r>
        <w:t>ich are sustainability practises, communication strategies, greenhouse gas risks and stakeholder trust. The data collected in the surveys supported these themes because it showed that the level of consumer trust was medium, with a preference towards verifi</w:t>
      </w:r>
      <w:r>
        <w:t>ed sustainability communication, and the effectiveness of transparency on the buying behaviour. The synthesis of the primary and secondary data is a comprehensive piece of evidence to establish the credibility of the concise and authentic delivery of susta</w:t>
      </w:r>
      <w:r>
        <w:t>inability as paramount to maintaining consumer confidence and reducing the reputational threats. The following chapter will discuss these findings in relation to the existing theory and will come up with practical recommendations.</w:t>
      </w:r>
    </w:p>
    <w:p w14:paraId="00000179">
      <w:pPr>
        <w:spacing w:before="200" w:after="200"/>
        <w:rPr/>
      </w:pPr>
      <w:r>
        <w:rPr/>
        <w:br w:type="page"/>
      </w:r>
    </w:p>
    <w:p w14:paraId="0000017A">
      <w:pPr>
        <w:pStyle w:val="Heading1"/>
        <w:spacing w:before="200" w:after="200"/>
        <w:rPr/>
      </w:pPr>
      <w:bookmarkStart w:id="33" w:name="_t6a9uvco02r7"/>
      <w:bookmarkEnd w:id="33"/>
      <w:r>
        <w:t>C</w:t>
      </w:r>
      <w:r>
        <w:t>HAPTER 5: Recommendati</w:t>
      </w:r>
      <w:r>
        <w:t>ons, Conclusion and limitations of the research</w:t>
      </w:r>
    </w:p>
    <w:p w14:paraId="0000017B">
      <w:pPr>
        <w:pStyle w:val="Heading2"/>
        <w:spacing w:before="200" w:after="200"/>
        <w:rPr/>
      </w:pPr>
      <w:bookmarkStart w:id="34" w:name="_33qw3k2vaiym"/>
      <w:bookmarkEnd w:id="34"/>
      <w:r>
        <w:t>5</w:t>
      </w:r>
      <w:r>
        <w:t>.1 Recommendations</w:t>
      </w:r>
    </w:p>
    <w:p w14:paraId="0000017C">
      <w:pPr>
        <w:spacing w:before="200" w:after="200"/>
        <w:rPr/>
      </w:pPr>
      <w:r>
        <w:t>Depending on the end of the secondary thematic analysis and primary survey conclusion, several useful suggestions will be given to the UK fashion retailers who desire to achieve consumer c</w:t>
      </w:r>
      <w:r>
        <w:t>onfidence in their items by communicating their sustainability. First, retailers believe that sustainability is a marketing trend that the company must cease emphasising transparency as the key communication tool. The study indicates that customers are sen</w:t>
      </w:r>
      <w:r>
        <w:t xml:space="preserve">sitive to truth-telling and should desire that possible challenges encountered to be spoken about. Therefore, considering that sustainability in plans is supposed to be attained, and the communication of measurements, updated on the progress, restrictions </w:t>
      </w:r>
      <w:r>
        <w:t>would provide a more believable brand.</w:t>
      </w:r>
    </w:p>
    <w:p w14:paraId="0000017D">
      <w:pPr>
        <w:spacing w:before="200" w:after="200"/>
        <w:rPr/>
      </w:pPr>
      <w:r>
        <w:t>Second, the research highlights third-party checking systems, such as certifications and eco-labels. Independently established sustainability statements will be more convincing among consumers than the more establishe</w:t>
      </w:r>
      <w:r>
        <w:t>d promotional statements. Retailers are therefore encouraged to collaborate with reputed certification bodies and put known sustainability initiatives in the packaging of commodities and on web pages. The plan will contribute to the reduction of scepticism</w:t>
      </w:r>
      <w:r>
        <w:t xml:space="preserve"> and the eradication of the concerns of greenwashing.</w:t>
      </w:r>
    </w:p>
    <w:p w14:paraId="0000017E">
      <w:pPr>
        <w:spacing w:before="200" w:after="200"/>
        <w:rPr/>
      </w:pPr>
      <w:r>
        <w:t>The other recommendation is that the sustainability information should be simplified for the consumers. The findings of the survey indicate that the proportion of consumers who regularly access the sust</w:t>
      </w:r>
      <w:r>
        <w:t>ainability information is below that of those who lack the information, which in turn makes one suppose that there are obstacles to it, whether they are access or complexity. Retailers should also issue briefs on sustainability, graphical aids, and simplif</w:t>
      </w:r>
      <w:r>
        <w:t>ied templates for reporting so that consumers can make informed decisions with minimal time when making a purchase.</w:t>
      </w:r>
    </w:p>
    <w:p w14:paraId="0000017F">
      <w:pPr>
        <w:pStyle w:val="Heading2"/>
        <w:spacing w:before="200" w:after="200"/>
        <w:rPr/>
      </w:pPr>
      <w:bookmarkStart w:id="35" w:name="_98s3kphwhyt4"/>
      <w:bookmarkEnd w:id="35"/>
      <w:r>
        <w:t>5</w:t>
      </w:r>
      <w:r>
        <w:t>.2 Conclusion</w:t>
      </w:r>
    </w:p>
    <w:p w14:paraId="00000180">
      <w:pPr>
        <w:spacing w:before="200" w:after="200"/>
        <w:rPr/>
      </w:pPr>
      <w:r>
        <w:t>The aim of the study was to take into consideration the practice of sustainability and its effect on consumer trust in the UK</w:t>
      </w:r>
      <w:r>
        <w:t xml:space="preserve"> fashion retailing industry, with a special emphasis on transparency, communication strategies, and so-called greenwashing. The findings indicate that sustainability has taken the strength of influencing the consumer in his/her buying decision-making, even</w:t>
      </w:r>
      <w:r>
        <w:t xml:space="preserve"> though it does not necessarily prevail over the traditional factors applied in consumer purchase price and style. The population is increasingly turning ethical with regard to the fashion stores, although they do not ascribe absolute and unreligious confi</w:t>
      </w:r>
      <w:r>
        <w:t>dence to their sustainability declarations. The article confirms that one of the tools used in the improvement of consumer confidence is transparency. The thematic and survey analyses reveal that consumers would desire verifiable and evidence-based communi</w:t>
      </w:r>
      <w:r>
        <w:t>cations, particularly certifications and transparent reporting. More positive views are treated to veritable communication, e.g. revealing of obstacles, ongoing unfreezing effort, etc., as compared to idealistic sustainability reports. These findings point</w:t>
      </w:r>
      <w:r>
        <w:t xml:space="preserve"> to the fact that the needs of consumers are shifting towards authenticity and not perfection.</w:t>
      </w:r>
    </w:p>
    <w:p w14:paraId="00000181">
      <w:pPr>
        <w:spacing w:before="200" w:after="200"/>
        <w:rPr/>
      </w:pPr>
      <w:r>
        <w:t>In addition, the study reveals the growing use of knowledge in greenwashing in the fashion industry. Owing to the increased information received by consumers, si</w:t>
      </w:r>
      <w:r>
        <w:t>lence and low disclosure can be troubled by reputational risks, such as exaggerated sustainability reports. As can then be seen, transparency is not just an ethical requirement, but also a strategic one in business. On the whole, the research culminates in</w:t>
      </w:r>
      <w:r>
        <w:t xml:space="preserve"> the discovery of the effect of sustainability communication on the trust and purchase behaviour of the stakeholders. The findings indicate the essence of balance, credibility and access to communication on sustainability. The fashion retailers in the UK t</w:t>
      </w:r>
      <w:r>
        <w:t>hat implement the idea of transparency into their practises of efficient communication are more likely to raise the level of consumer confidence and safeguard the brand image in the long run.</w:t>
      </w:r>
    </w:p>
    <w:p w14:paraId="00000182">
      <w:pPr>
        <w:pStyle w:val="Heading2"/>
        <w:spacing w:before="200" w:after="200"/>
        <w:rPr/>
      </w:pPr>
      <w:bookmarkStart w:id="36" w:name="_5v5j94fiwfxh"/>
      <w:bookmarkEnd w:id="36"/>
      <w:r>
        <w:t>5</w:t>
      </w:r>
      <w:r>
        <w:t>.3 Limitations</w:t>
      </w:r>
    </w:p>
    <w:p w14:paraId="00000183">
      <w:pPr>
        <w:spacing w:before="200" w:after="200"/>
        <w:rPr/>
      </w:pPr>
      <w:r>
        <w:t>This research has several limitations that shoul</w:t>
      </w:r>
      <w:r>
        <w:t>d be considered as much as the value that can be acquired. One of the factors is the limitation that relates to the primary research, and it touches on the sample size. The survey has only involved 50 individuals, and this restricts the extent to which the</w:t>
      </w:r>
      <w:r>
        <w:t xml:space="preserve">y can be generalised to the larger population of consumers within the UK. Perhaps, the sustainability orientations of consumers can be rather varied in terms of the demographic factors such as age and the level of income, the background of the culture and </w:t>
      </w:r>
      <w:r>
        <w:t>the purchasing habits that were not examined in detail in this paper. The other weakness is associated with the self-reported data. The real purchasing behaviour is not through an actual conduct of surveys, but their articulated attitudes provided in the s</w:t>
      </w:r>
      <w:r>
        <w:t>urvey. Social desirability bias is likely to make the consumers manifest positive attitudes towards sustainability, yet in reality, their actual purchasing behaviour may still be guided by price and convenience.</w:t>
      </w:r>
    </w:p>
    <w:p w14:paraId="00000184">
      <w:pPr>
        <w:spacing w:before="200" w:after="200"/>
        <w:rPr/>
      </w:pPr>
      <w:r>
        <w:t xml:space="preserve">The secondary literature was crucial in the </w:t>
      </w:r>
      <w:r>
        <w:t>research application with regard to thematic analysis. Although academic literature provides some form of theoretical gravity, it does not necessarily have the capability of capturing the dynamism and practices in the industry, and the most recent practise</w:t>
      </w:r>
      <w:r>
        <w:t>s used by organisations in the fashion industry. This was also limited by time to conduct the qualitative interviews with the professionals in the industry, which would lead to a greater understanding of the corporate decision-making regarding sustainabili</w:t>
      </w:r>
      <w:r>
        <w:t>ty communication. Finally, the study by the researchers is very compact in its focus on the UK fashion retail business, which limits the potential to generalise the results to other geographic markets or retail industries. Sustainability environment and re</w:t>
      </w:r>
      <w:r>
        <w:t>gulatory worlds vary in position across borders, and consequently, the results cannot be generalised.</w:t>
      </w:r>
    </w:p>
    <w:p w14:paraId="00000185">
      <w:pPr>
        <w:pStyle w:val="Heading2"/>
        <w:spacing w:before="200" w:after="200"/>
        <w:rPr/>
      </w:pPr>
      <w:bookmarkStart w:id="37" w:name="_mxpx1yp7mmlx"/>
      <w:bookmarkEnd w:id="37"/>
      <w:r>
        <w:t>5</w:t>
      </w:r>
      <w:r>
        <w:t>.4 Future Scope</w:t>
      </w:r>
    </w:p>
    <w:p w14:paraId="00000186">
      <w:pPr>
        <w:spacing w:before="200" w:after="200"/>
        <w:rPr/>
      </w:pPr>
      <w:r>
        <w:t>The future research can be conducted in several meaningful ways in the study. A bigger scale quantitative study that considers the variou</w:t>
      </w:r>
      <w:r>
        <w:t>s demographic groups that lie across the various regions of the UK would have provided more representative information with regard to the consumer attitudes and behaviour. It would also be more beneficial to carry out a c</w:t>
      </w:r>
      <w:bookmarkStart w:id="38" w:name="_GoBack"/>
      <w:bookmarkEnd w:id="38"/>
      <w:r>
        <w:t>o</w:t>
      </w:r>
      <w:r>
        <w:t xml:space="preserve">mparative examination between the </w:t>
      </w:r>
      <w:r>
        <w:t>two age groups or the two income groups in issues related to priorities on sustainability by consumers in different segments.</w:t>
      </w:r>
    </w:p>
    <w:p w14:paraId="00000187">
      <w:pPr>
        <w:spacing w:before="200" w:after="200"/>
        <w:rPr/>
      </w:pPr>
      <w:r>
        <w:t xml:space="preserve">The future studies may also include the so-called qualitative technique (interviews or focus groups with the professionals in the </w:t>
      </w:r>
      <w:r>
        <w:t>fashion industry, the sustainability managers, marketing professionals, etc.).  The second prospective potential area of study is a longitudinal research on the fluctuating consumer trust over the years, in which sustainability regulation, media coverage a</w:t>
      </w:r>
      <w:r>
        <w:t>nd environmental consciousness are still being adopted. Observation of change in behaviour rather than attitude alone would provide more plausible results on the success of the sustainability communication campaign in the medium term.</w:t>
      </w:r>
    </w:p>
    <w:p w14:paraId="00000188">
      <w:pPr>
        <w:spacing w:before="200" w:after="200"/>
        <w:rPr/>
      </w:pPr>
    </w:p>
    <w:p w14:paraId="00000189">
      <w:pPr>
        <w:pStyle w:val="Heading1"/>
        <w:spacing w:before="200" w:after="200"/>
        <w:rPr>
          <w:color w:val="ff0000"/>
        </w:rPr>
      </w:pPr>
      <w:bookmarkStart w:id="39" w:name="_nf154oannkjk"/>
      <w:bookmarkEnd w:id="39"/>
      <w:r>
        <w:rPr/>
        <w:br w:type="page"/>
      </w:r>
      <w:r>
        <w:t>References</w:t>
      </w:r>
    </w:p>
    <w:p w14:paraId="0000018A">
      <w:pPr>
        <w:spacing w:before="200" w:after="200"/>
        <w:rPr>
          <w:color w:val="222222"/>
          <w:highlight w:val="white"/>
        </w:rPr>
      </w:pPr>
      <w:r>
        <w:rPr>
          <w:color w:val="222222"/>
          <w:highlight w:val="white"/>
        </w:rPr>
        <w:t xml:space="preserve">Abbate, S., </w:t>
      </w:r>
      <w:r>
        <w:rPr>
          <w:color w:val="222222"/>
          <w:highlight w:val="white"/>
        </w:rPr>
        <w:t>Centobelli</w:t>
      </w:r>
      <w:r>
        <w:rPr>
          <w:color w:val="222222"/>
          <w:highlight w:val="white"/>
        </w:rPr>
        <w:t xml:space="preserve">, P., </w:t>
      </w:r>
      <w:r>
        <w:rPr>
          <w:color w:val="222222"/>
          <w:highlight w:val="white"/>
        </w:rPr>
        <w:t>Cerchione</w:t>
      </w:r>
      <w:r>
        <w:rPr>
          <w:color w:val="222222"/>
          <w:highlight w:val="white"/>
        </w:rPr>
        <w:t xml:space="preserve">, R., Nadeem, S. P., and Riccio, E. (2024). Sustainability trends and gaps in the textile, apparel and fashion industries: S. Abbate et al. </w:t>
      </w:r>
      <w:r>
        <w:rPr>
          <w:i/>
          <w:iCs/>
          <w:color w:val="222222"/>
          <w:highlight w:val="white"/>
        </w:rPr>
        <w:t>Environment, development and sustainability</w:t>
      </w:r>
      <w:r>
        <w:rPr>
          <w:color w:val="222222"/>
          <w:highlight w:val="white"/>
        </w:rPr>
        <w:t xml:space="preserve">, </w:t>
      </w:r>
      <w:r>
        <w:rPr>
          <w:i/>
          <w:iCs/>
          <w:color w:val="222222"/>
          <w:highlight w:val="white"/>
        </w:rPr>
        <w:t>26</w:t>
      </w:r>
      <w:r>
        <w:rPr>
          <w:color w:val="222222"/>
          <w:highlight w:val="white"/>
        </w:rPr>
        <w:t xml:space="preserve">(2), pp.2837-2864. </w:t>
      </w:r>
      <w:r>
        <w:rPr>
          <w:color w:val="1155cc"/>
          <w:highlight w:val="white"/>
          <w:u w:val="single"/>
        </w:rPr>
        <w:fldChar w:fldCharType="begin"/>
      </w:r>
      <w:r>
        <w:rPr>
          <w:color w:val="1155cc"/>
          <w:highlight w:val="white"/>
          <w:u w:val="single"/>
        </w:rPr>
        <w:instrText xml:space="preserve">HYPERLINK "https://link.springer.com/article/10.1007/s10668-022-02887-2" </w:instrText>
      </w:r>
      <w:r>
        <w:rPr>
          <w:color w:val="1155cc"/>
          <w:highlight w:val="white"/>
          <w:u w:val="single"/>
        </w:rPr>
        <w:fldChar w:fldCharType="separate"/>
      </w:r>
      <w:r>
        <w:rPr>
          <w:color w:val="1155cc"/>
          <w:highlight w:val="white"/>
          <w:u w:val="single"/>
        </w:rPr>
        <w:t>https://link.springer.com/article/10.1007/s10668-022-02887-2</w:t>
      </w:r>
      <w:r>
        <w:rPr>
          <w:color w:val="222222"/>
          <w:highlight w:val="white"/>
        </w:rPr>
        <w:fldChar w:fldCharType="end"/>
      </w:r>
      <w:r>
        <w:rPr>
          <w:color w:val="222222"/>
          <w:highlight w:val="white"/>
        </w:rPr>
        <w:t xml:space="preserve"> </w:t>
      </w:r>
    </w:p>
    <w:p w14:paraId="0000018B">
      <w:pPr>
        <w:spacing w:before="200" w:after="200"/>
        <w:rPr>
          <w:color w:val="222222"/>
          <w:highlight w:val="white"/>
        </w:rPr>
      </w:pPr>
      <w:r>
        <w:rPr>
          <w:color w:val="222222"/>
          <w:highlight w:val="white"/>
        </w:rPr>
        <w:t xml:space="preserve">Adeoye, S., (2024). A critical review of the application of the legitimacy theory to corporate social responsibility. </w:t>
      </w:r>
      <w:r>
        <w:rPr>
          <w:i/>
          <w:iCs/>
          <w:color w:val="222222"/>
          <w:highlight w:val="white"/>
        </w:rPr>
        <w:t>International Journal of Managerial Studies and Research</w:t>
      </w:r>
      <w:r>
        <w:rPr>
          <w:color w:val="222222"/>
          <w:highlight w:val="white"/>
        </w:rPr>
        <w:t>.</w:t>
      </w:r>
    </w:p>
    <w:p w14:paraId="0000018C">
      <w:pPr>
        <w:spacing w:before="200" w:after="200"/>
        <w:rPr>
          <w:color w:val="222222"/>
          <w:highlight w:val="white"/>
        </w:rPr>
      </w:pPr>
      <w:r>
        <w:rPr>
          <w:color w:val="222222"/>
          <w:highlight w:val="white"/>
        </w:rPr>
        <w:t xml:space="preserve">Badhwar, A., Islam, S., Tan, C. S. L., Panwar, T., Wigley, S., and Nayak, R. (2024). </w:t>
      </w:r>
      <w:r>
        <w:rPr>
          <w:color w:val="222222"/>
          <w:highlight w:val="white"/>
        </w:rPr>
        <w:t>Unraveling</w:t>
      </w:r>
      <w:r>
        <w:rPr>
          <w:color w:val="222222"/>
          <w:highlight w:val="white"/>
        </w:rPr>
        <w:t xml:space="preserve"> green marketing and greenwashing: A systematic review in the context of the fashion and textiles industry. </w:t>
      </w:r>
      <w:r>
        <w:rPr>
          <w:i/>
          <w:iCs/>
          <w:color w:val="222222"/>
          <w:highlight w:val="white"/>
        </w:rPr>
        <w:t>Sustainability</w:t>
      </w:r>
      <w:r>
        <w:rPr>
          <w:color w:val="222222"/>
          <w:highlight w:val="white"/>
        </w:rPr>
        <w:t xml:space="preserve">, </w:t>
      </w:r>
      <w:r>
        <w:rPr>
          <w:i/>
          <w:iCs/>
          <w:color w:val="222222"/>
          <w:highlight w:val="white"/>
        </w:rPr>
        <w:t>16</w:t>
      </w:r>
      <w:r>
        <w:rPr>
          <w:color w:val="222222"/>
          <w:highlight w:val="white"/>
        </w:rPr>
        <w:t xml:space="preserve">(7), 2738. </w:t>
      </w:r>
      <w:r>
        <w:rPr>
          <w:color w:val="1155cc"/>
          <w:highlight w:val="white"/>
          <w:u w:val="single"/>
        </w:rPr>
        <w:fldChar w:fldCharType="begin"/>
      </w:r>
      <w:r>
        <w:rPr>
          <w:color w:val="1155cc"/>
          <w:highlight w:val="white"/>
          <w:u w:val="single"/>
        </w:rPr>
        <w:instrText xml:space="preserve">HYPERLINK "https://www.mdpi.com/2071-1050/16/7/2738" </w:instrText>
      </w:r>
      <w:r>
        <w:rPr>
          <w:color w:val="1155cc"/>
          <w:highlight w:val="white"/>
          <w:u w:val="single"/>
        </w:rPr>
        <w:fldChar w:fldCharType="separate"/>
      </w:r>
      <w:r>
        <w:rPr>
          <w:color w:val="1155cc"/>
          <w:highlight w:val="white"/>
          <w:u w:val="single"/>
        </w:rPr>
        <w:t>https://www.mdpi.com/2071-1050/16/7/2738</w:t>
      </w:r>
      <w:r>
        <w:rPr>
          <w:color w:val="222222"/>
          <w:highlight w:val="white"/>
        </w:rPr>
        <w:fldChar w:fldCharType="end"/>
      </w:r>
      <w:r>
        <w:rPr>
          <w:color w:val="222222"/>
          <w:highlight w:val="white"/>
        </w:rPr>
        <w:t xml:space="preserve"> </w:t>
      </w:r>
    </w:p>
    <w:p w14:paraId="0000018D">
      <w:pPr>
        <w:spacing w:before="200" w:after="200"/>
        <w:rPr/>
      </w:pPr>
      <w:r>
        <w:rPr>
          <w:highlight w:val="white"/>
        </w:rPr>
        <w:t>Blazkova</w:t>
      </w:r>
      <w:r>
        <w:rPr>
          <w:highlight w:val="white"/>
        </w:rPr>
        <w:t xml:space="preserve">, T., Pedersen, E.R.G. and Andersen, K.R.R., (2025). Sentiments and sustainability: stakeholder perceptions of sustainable fashion on social media. </w:t>
      </w:r>
      <w:r>
        <w:rPr>
          <w:i/>
          <w:iCs/>
          <w:highlight w:val="white"/>
        </w:rPr>
        <w:t>Journal of Fashion Marketing and Management: An International Journal</w:t>
      </w:r>
      <w:r>
        <w:rPr>
          <w:highlight w:val="white"/>
        </w:rPr>
        <w:t xml:space="preserve">, </w:t>
      </w:r>
      <w:r>
        <w:rPr>
          <w:i/>
          <w:iCs/>
          <w:highlight w:val="white"/>
        </w:rPr>
        <w:t>29</w:t>
      </w:r>
      <w:r>
        <w:rPr>
          <w:highlight w:val="white"/>
        </w:rPr>
        <w:t>(4), pp.585-604.</w:t>
      </w:r>
    </w:p>
    <w:p w14:paraId="0000018E">
      <w:pPr>
        <w:spacing w:before="200" w:after="200"/>
        <w:rPr>
          <w:color w:val="222222"/>
          <w:highlight w:val="white"/>
        </w:rPr>
      </w:pPr>
      <w:r>
        <w:rPr>
          <w:highlight w:val="white"/>
        </w:rPr>
        <w:t>Botea-Muntean</w:t>
      </w:r>
      <w:r>
        <w:rPr>
          <w:highlight w:val="white"/>
        </w:rPr>
        <w:t xml:space="preserve">, D.R. and Constantinescu, R., (2023). GREENWASHING AND GREEN HUSHING. AN INTERNET OF THINGS APPROACH TO SUCH STRATEGIES. </w:t>
      </w:r>
      <w:r>
        <w:rPr>
          <w:i/>
          <w:iCs/>
          <w:highlight w:val="white"/>
        </w:rPr>
        <w:t>Romanian Economic and Business Review</w:t>
      </w:r>
      <w:r>
        <w:rPr>
          <w:highlight w:val="white"/>
        </w:rPr>
        <w:t xml:space="preserve">, </w:t>
      </w:r>
      <w:r>
        <w:rPr>
          <w:i/>
          <w:iCs/>
          <w:highlight w:val="white"/>
        </w:rPr>
        <w:t>18</w:t>
      </w:r>
      <w:r>
        <w:rPr>
          <w:highlight w:val="white"/>
        </w:rPr>
        <w:t>(4), pp.7-20.</w:t>
      </w:r>
    </w:p>
    <w:p w14:paraId="0000018F">
      <w:pPr>
        <w:widowControl w:val="off"/>
        <w:spacing w:before="200" w:after="200"/>
        <w:rPr>
          <w:highlight w:val="white"/>
        </w:rPr>
      </w:pPr>
      <w:r>
        <w:rPr>
          <w:highlight w:val="white"/>
        </w:rPr>
        <w:t>Çetiner</w:t>
      </w:r>
      <w:r>
        <w:rPr>
          <w:highlight w:val="white"/>
        </w:rPr>
        <w:t xml:space="preserve">, M. and </w:t>
      </w:r>
      <w:r>
        <w:rPr>
          <w:highlight w:val="white"/>
        </w:rPr>
        <w:t>Tunca</w:t>
      </w:r>
      <w:r>
        <w:rPr>
          <w:highlight w:val="white"/>
        </w:rPr>
        <w:t xml:space="preserve">, M.Z., (2022). A literature review on sustainable fashion marketing. </w:t>
      </w:r>
      <w:r>
        <w:rPr>
          <w:i/>
          <w:iCs/>
          <w:highlight w:val="white"/>
        </w:rPr>
        <w:t>Süleyman</w:t>
      </w:r>
      <w:r>
        <w:rPr>
          <w:i/>
          <w:iCs/>
          <w:highlight w:val="white"/>
        </w:rPr>
        <w:t xml:space="preserve"> </w:t>
      </w:r>
      <w:r>
        <w:rPr>
          <w:i/>
          <w:iCs/>
          <w:highlight w:val="white"/>
        </w:rPr>
        <w:t>Demirel</w:t>
      </w:r>
      <w:r>
        <w:rPr>
          <w:i/>
          <w:iCs/>
          <w:highlight w:val="white"/>
        </w:rPr>
        <w:t xml:space="preserve"> </w:t>
      </w:r>
      <w:r>
        <w:rPr>
          <w:i/>
          <w:iCs/>
          <w:highlight w:val="white"/>
        </w:rPr>
        <w:t>Üniversitesi</w:t>
      </w:r>
      <w:r>
        <w:rPr>
          <w:i/>
          <w:iCs/>
          <w:highlight w:val="white"/>
        </w:rPr>
        <w:t xml:space="preserve"> </w:t>
      </w:r>
      <w:r>
        <w:rPr>
          <w:i/>
          <w:iCs/>
          <w:highlight w:val="white"/>
        </w:rPr>
        <w:t>İktisadi</w:t>
      </w:r>
      <w:r>
        <w:rPr>
          <w:i/>
          <w:iCs/>
          <w:highlight w:val="white"/>
        </w:rPr>
        <w:t xml:space="preserve"> </w:t>
      </w:r>
      <w:r>
        <w:rPr>
          <w:i/>
          <w:iCs/>
          <w:highlight w:val="white"/>
        </w:rPr>
        <w:t>ve</w:t>
      </w:r>
      <w:r>
        <w:rPr>
          <w:i/>
          <w:iCs/>
          <w:highlight w:val="white"/>
        </w:rPr>
        <w:t xml:space="preserve"> </w:t>
      </w:r>
      <w:r>
        <w:rPr>
          <w:i/>
          <w:iCs/>
          <w:highlight w:val="white"/>
        </w:rPr>
        <w:t>İdari</w:t>
      </w:r>
      <w:r>
        <w:rPr>
          <w:i/>
          <w:iCs/>
          <w:highlight w:val="white"/>
        </w:rPr>
        <w:t xml:space="preserve"> </w:t>
      </w:r>
      <w:r>
        <w:rPr>
          <w:i/>
          <w:iCs/>
          <w:highlight w:val="white"/>
        </w:rPr>
        <w:t>Bilimler</w:t>
      </w:r>
      <w:r>
        <w:rPr>
          <w:i/>
          <w:iCs/>
          <w:highlight w:val="white"/>
        </w:rPr>
        <w:t xml:space="preserve"> </w:t>
      </w:r>
      <w:r>
        <w:rPr>
          <w:i/>
          <w:iCs/>
          <w:highlight w:val="white"/>
        </w:rPr>
        <w:t>Fakültesi</w:t>
      </w:r>
      <w:r>
        <w:rPr>
          <w:i/>
          <w:iCs/>
          <w:highlight w:val="white"/>
        </w:rPr>
        <w:t xml:space="preserve"> </w:t>
      </w:r>
      <w:r>
        <w:rPr>
          <w:i/>
          <w:iCs/>
          <w:highlight w:val="white"/>
        </w:rPr>
        <w:t>Dergisi</w:t>
      </w:r>
      <w:r>
        <w:rPr>
          <w:highlight w:val="white"/>
        </w:rPr>
        <w:t xml:space="preserve">, </w:t>
      </w:r>
      <w:r>
        <w:rPr>
          <w:i/>
          <w:iCs/>
          <w:highlight w:val="white"/>
        </w:rPr>
        <w:t>27</w:t>
      </w:r>
      <w:r>
        <w:rPr>
          <w:highlight w:val="white"/>
        </w:rPr>
        <w:t>(2), pp.391-315.</w:t>
      </w:r>
    </w:p>
    <w:p w14:paraId="00000190">
      <w:pPr>
        <w:spacing w:before="200" w:after="200"/>
        <w:rPr>
          <w:highlight w:val="white"/>
        </w:rPr>
      </w:pPr>
      <w:r>
        <w:rPr>
          <w:highlight w:val="white"/>
        </w:rPr>
        <w:t xml:space="preserve">Connor-Crabb, A., Bulman, S., Bunyan, C., Guo, Y., Hulme, A., </w:t>
      </w:r>
      <w:r>
        <w:rPr>
          <w:highlight w:val="white"/>
        </w:rPr>
        <w:t>Rainton</w:t>
      </w:r>
      <w:r>
        <w:rPr>
          <w:highlight w:val="white"/>
        </w:rPr>
        <w:t>, S., Solomon, L. and Toms, S., (2025). Sustainable and Circular Practices in the UK Fashion and Textile Industry.</w:t>
      </w:r>
    </w:p>
    <w:p w14:paraId="00000191">
      <w:pPr>
        <w:widowControl w:val="off"/>
        <w:spacing w:before="200" w:after="200"/>
        <w:rPr>
          <w:highlight w:val="white"/>
        </w:rPr>
      </w:pPr>
      <w:r>
        <w:rPr>
          <w:highlight w:val="white"/>
        </w:rPr>
        <w:t>Costantini</w:t>
      </w:r>
      <w:r>
        <w:rPr>
          <w:highlight w:val="white"/>
        </w:rPr>
        <w:t xml:space="preserve">, J. and </w:t>
      </w:r>
      <w:r>
        <w:rPr>
          <w:highlight w:val="white"/>
        </w:rPr>
        <w:t>Costantini</w:t>
      </w:r>
      <w:r>
        <w:rPr>
          <w:highlight w:val="white"/>
        </w:rPr>
        <w:t xml:space="preserve">, K., (2022). Communications on sustainability in the apparel industry: readability of information on sustainability on Apparel Brands’ Web Sites in the United Kingdom. </w:t>
      </w:r>
      <w:r>
        <w:rPr>
          <w:i/>
          <w:iCs/>
          <w:highlight w:val="white"/>
        </w:rPr>
        <w:t>Sustainability</w:t>
      </w:r>
      <w:r>
        <w:rPr>
          <w:highlight w:val="white"/>
        </w:rPr>
        <w:t xml:space="preserve">, </w:t>
      </w:r>
      <w:r>
        <w:rPr>
          <w:i/>
          <w:iCs/>
          <w:highlight w:val="white"/>
        </w:rPr>
        <w:t>14</w:t>
      </w:r>
      <w:r>
        <w:rPr>
          <w:highlight w:val="white"/>
        </w:rPr>
        <w:t>(20), p.13257.</w:t>
      </w:r>
    </w:p>
    <w:p w14:paraId="00000192">
      <w:pPr>
        <w:spacing w:before="200" w:after="200"/>
        <w:rPr>
          <w:color w:val="222222"/>
          <w:highlight w:val="white"/>
        </w:rPr>
      </w:pPr>
      <w:r>
        <w:rPr>
          <w:color w:val="222222"/>
          <w:highlight w:val="white"/>
        </w:rPr>
        <w:t>Fobiri</w:t>
      </w:r>
      <w:r>
        <w:rPr>
          <w:color w:val="222222"/>
          <w:highlight w:val="white"/>
        </w:rPr>
        <w:t xml:space="preserve">, G. K., </w:t>
      </w:r>
      <w:r>
        <w:rPr>
          <w:color w:val="222222"/>
          <w:highlight w:val="white"/>
        </w:rPr>
        <w:t>Seidu</w:t>
      </w:r>
      <w:r>
        <w:rPr>
          <w:color w:val="222222"/>
          <w:highlight w:val="white"/>
        </w:rPr>
        <w:t xml:space="preserve">, R. K., </w:t>
      </w:r>
      <w:r>
        <w:rPr>
          <w:color w:val="222222"/>
          <w:highlight w:val="white"/>
        </w:rPr>
        <w:t>Kansanba</w:t>
      </w:r>
      <w:r>
        <w:rPr>
          <w:color w:val="222222"/>
          <w:highlight w:val="white"/>
        </w:rPr>
        <w:t xml:space="preserve">, R. F., and </w:t>
      </w:r>
      <w:r>
        <w:rPr>
          <w:color w:val="222222"/>
          <w:highlight w:val="white"/>
        </w:rPr>
        <w:t>Eghan</w:t>
      </w:r>
      <w:r>
        <w:rPr>
          <w:color w:val="222222"/>
          <w:highlight w:val="white"/>
        </w:rPr>
        <w:t xml:space="preserve">, B. (2026). Strategic Approaches to Building Consumer Trust for Sustainable Fashion. In </w:t>
      </w:r>
      <w:r>
        <w:rPr>
          <w:i/>
          <w:iCs/>
          <w:color w:val="222222"/>
          <w:highlight w:val="white"/>
        </w:rPr>
        <w:t xml:space="preserve">Green </w:t>
      </w:r>
      <w:r>
        <w:rPr>
          <w:i/>
          <w:iCs/>
          <w:color w:val="222222"/>
          <w:highlight w:val="white"/>
        </w:rPr>
        <w:t>To</w:t>
      </w:r>
      <w:r>
        <w:rPr>
          <w:i/>
          <w:iCs/>
          <w:color w:val="222222"/>
          <w:highlight w:val="white"/>
        </w:rPr>
        <w:t xml:space="preserve"> Gold: Marketing Strategies for a Sustainable Future</w:t>
      </w:r>
      <w:r>
        <w:rPr>
          <w:color w:val="222222"/>
          <w:highlight w:val="white"/>
        </w:rPr>
        <w:t xml:space="preserve"> (pp. 151-166). Cham: Springer Nature Switzerland. </w:t>
      </w:r>
      <w:r>
        <w:rPr>
          <w:color w:val="1155cc"/>
          <w:highlight w:val="white"/>
          <w:u w:val="single"/>
        </w:rPr>
        <w:fldChar w:fldCharType="begin"/>
      </w:r>
      <w:r>
        <w:rPr>
          <w:color w:val="1155cc"/>
          <w:highlight w:val="white"/>
          <w:u w:val="single"/>
        </w:rPr>
        <w:instrText xml:space="preserve">HYPERLINK "https://link.springer.com/chapter/10.1007/978-3-032-10212-6_8" </w:instrText>
      </w:r>
      <w:r>
        <w:rPr>
          <w:color w:val="1155cc"/>
          <w:highlight w:val="white"/>
          <w:u w:val="single"/>
        </w:rPr>
        <w:fldChar w:fldCharType="separate"/>
      </w:r>
      <w:r>
        <w:rPr>
          <w:color w:val="1155cc"/>
          <w:highlight w:val="white"/>
          <w:u w:val="single"/>
        </w:rPr>
        <w:t>https://link.springer.com/chapter/10.1007/978-3-032-10212-6_8</w:t>
      </w:r>
      <w:r>
        <w:rPr>
          <w:color w:val="222222"/>
          <w:highlight w:val="white"/>
        </w:rPr>
        <w:fldChar w:fldCharType="end"/>
      </w:r>
    </w:p>
    <w:p w14:paraId="00000193">
      <w:pPr>
        <w:spacing w:before="200" w:after="200"/>
        <w:rPr>
          <w:color w:val="222222"/>
          <w:highlight w:val="white"/>
        </w:rPr>
      </w:pPr>
      <w:r>
        <w:rPr>
          <w:color w:val="222222"/>
          <w:highlight w:val="white"/>
        </w:rPr>
        <w:t>Förnges</w:t>
      </w:r>
      <w:r>
        <w:rPr>
          <w:color w:val="222222"/>
          <w:highlight w:val="white"/>
        </w:rPr>
        <w:t xml:space="preserve">, J., and </w:t>
      </w:r>
      <w:r>
        <w:rPr>
          <w:color w:val="222222"/>
          <w:highlight w:val="white"/>
        </w:rPr>
        <w:t>Sieling</w:t>
      </w:r>
      <w:r>
        <w:rPr>
          <w:color w:val="222222"/>
          <w:highlight w:val="white"/>
        </w:rPr>
        <w:t xml:space="preserve">, B. (2023). Implementing CSR in fashion companies: Increasing green trust during the transformation process towards sustainable development: An exploratory analysis on the influencing factors of green trust in the fashion sector. </w:t>
      </w:r>
      <w:r>
        <w:rPr>
          <w:color w:val="1155cc"/>
          <w:highlight w:val="white"/>
          <w:u w:val="single"/>
        </w:rPr>
        <w:fldChar w:fldCharType="begin"/>
      </w:r>
      <w:r>
        <w:rPr>
          <w:color w:val="1155cc"/>
          <w:highlight w:val="white"/>
          <w:u w:val="single"/>
        </w:rPr>
        <w:instrText xml:space="preserve">HYPERLINK "https://www.diva-portal.org/smash/record.jsf?pid=diva2:1777657" </w:instrText>
      </w:r>
      <w:r>
        <w:rPr>
          <w:color w:val="1155cc"/>
          <w:highlight w:val="white"/>
          <w:u w:val="single"/>
        </w:rPr>
        <w:fldChar w:fldCharType="separate"/>
      </w:r>
      <w:r>
        <w:rPr>
          <w:color w:val="1155cc"/>
          <w:highlight w:val="white"/>
          <w:u w:val="single"/>
        </w:rPr>
        <w:t>https://www.diva-portal.org/smash/record.jsf?pid=diva2:1777657</w:t>
      </w:r>
      <w:r>
        <w:rPr>
          <w:color w:val="222222"/>
          <w:highlight w:val="white"/>
        </w:rPr>
        <w:fldChar w:fldCharType="end"/>
      </w:r>
      <w:r>
        <w:rPr>
          <w:color w:val="222222"/>
          <w:highlight w:val="white"/>
        </w:rPr>
        <w:t xml:space="preserve"> </w:t>
      </w:r>
    </w:p>
    <w:p w14:paraId="00000194">
      <w:pPr>
        <w:spacing w:before="200" w:after="200"/>
        <w:rPr>
          <w:color w:val="222222"/>
          <w:highlight w:val="white"/>
        </w:rPr>
      </w:pPr>
      <w:r>
        <w:rPr>
          <w:color w:val="222222"/>
          <w:highlight w:val="white"/>
        </w:rPr>
        <w:t>Friske</w:t>
      </w:r>
      <w:r>
        <w:rPr>
          <w:color w:val="222222"/>
          <w:highlight w:val="white"/>
        </w:rPr>
        <w:t xml:space="preserve">, W., </w:t>
      </w:r>
      <w:r>
        <w:rPr>
          <w:color w:val="222222"/>
          <w:highlight w:val="white"/>
        </w:rPr>
        <w:t>Hoelscher</w:t>
      </w:r>
      <w:r>
        <w:rPr>
          <w:color w:val="222222"/>
          <w:highlight w:val="white"/>
        </w:rPr>
        <w:t xml:space="preserve">, S.A. and </w:t>
      </w:r>
      <w:r>
        <w:rPr>
          <w:color w:val="222222"/>
          <w:highlight w:val="white"/>
        </w:rPr>
        <w:t>Nikolov</w:t>
      </w:r>
      <w:r>
        <w:rPr>
          <w:color w:val="222222"/>
          <w:highlight w:val="white"/>
        </w:rPr>
        <w:t xml:space="preserve">, A.N., (2023). The impact of voluntary sustainability reporting on firm value: Insights from </w:t>
      </w:r>
      <w:r>
        <w:rPr>
          <w:color w:val="222222"/>
          <w:highlight w:val="white"/>
        </w:rPr>
        <w:t>signaling</w:t>
      </w:r>
      <w:r>
        <w:rPr>
          <w:color w:val="222222"/>
          <w:highlight w:val="white"/>
        </w:rPr>
        <w:t xml:space="preserve"> theory. </w:t>
      </w:r>
      <w:r>
        <w:rPr>
          <w:i/>
          <w:iCs/>
          <w:color w:val="222222"/>
          <w:highlight w:val="white"/>
        </w:rPr>
        <w:t>Journal of the Academy of Marketing Science</w:t>
      </w:r>
      <w:r>
        <w:rPr>
          <w:color w:val="222222"/>
          <w:highlight w:val="white"/>
        </w:rPr>
        <w:t xml:space="preserve">, </w:t>
      </w:r>
      <w:r>
        <w:rPr>
          <w:i/>
          <w:iCs/>
          <w:color w:val="222222"/>
          <w:highlight w:val="white"/>
        </w:rPr>
        <w:t>51</w:t>
      </w:r>
      <w:r>
        <w:rPr>
          <w:color w:val="222222"/>
          <w:highlight w:val="white"/>
        </w:rPr>
        <w:t>(2), pp.372-392.</w:t>
      </w:r>
    </w:p>
    <w:p w14:paraId="00000195">
      <w:pPr>
        <w:spacing w:before="200" w:after="200"/>
        <w:rPr>
          <w:highlight w:val="white"/>
        </w:rPr>
      </w:pPr>
      <w:r>
        <w:rPr>
          <w:highlight w:val="white"/>
        </w:rPr>
        <w:t>Gatti</w:t>
      </w:r>
      <w:r>
        <w:rPr>
          <w:highlight w:val="white"/>
        </w:rPr>
        <w:t xml:space="preserve">, L., (2024). </w:t>
      </w:r>
      <w:r>
        <w:rPr>
          <w:highlight w:val="white"/>
        </w:rPr>
        <w:t>Greenhushing</w:t>
      </w:r>
      <w:r>
        <w:rPr>
          <w:highlight w:val="white"/>
        </w:rPr>
        <w:t xml:space="preserve">: A systematic literature review. In </w:t>
      </w:r>
      <w:r>
        <w:rPr>
          <w:i/>
          <w:iCs/>
          <w:highlight w:val="white"/>
        </w:rPr>
        <w:t>MIC 2024: Next Generation Challenges: Innovation, Regeneration and Inclusion, Proceedings of the Joint International Conference, Trento, Italy, 5–8 June 2024</w:t>
      </w:r>
      <w:r>
        <w:rPr>
          <w:highlight w:val="white"/>
        </w:rPr>
        <w:t xml:space="preserve">. Koper, Slovenia: University of </w:t>
      </w:r>
      <w:r>
        <w:rPr>
          <w:highlight w:val="white"/>
        </w:rPr>
        <w:t>Primorska</w:t>
      </w:r>
      <w:r>
        <w:rPr>
          <w:highlight w:val="white"/>
        </w:rPr>
        <w:t xml:space="preserve"> Press.</w:t>
      </w:r>
    </w:p>
    <w:p w14:paraId="00000196">
      <w:pPr>
        <w:spacing w:before="200" w:after="200"/>
        <w:rPr>
          <w:color w:val="222222"/>
          <w:highlight w:val="white"/>
        </w:rPr>
      </w:pPr>
      <w:r>
        <w:rPr>
          <w:color w:val="222222"/>
          <w:highlight w:val="white"/>
        </w:rPr>
        <w:t xml:space="preserve">Hasan, M. M., and </w:t>
      </w:r>
      <w:r>
        <w:rPr>
          <w:color w:val="222222"/>
          <w:highlight w:val="white"/>
        </w:rPr>
        <w:t>Shehun</w:t>
      </w:r>
      <w:r>
        <w:rPr>
          <w:color w:val="222222"/>
          <w:highlight w:val="white"/>
        </w:rPr>
        <w:t xml:space="preserve">, M. T. F. (2022). IMPLEMENTING SUSTAINABLE SUPPLY CHAIN PRACTICES IN GLOBAL APPAREL RETAIL: A SYSTEMATIC REVIEW OF CURRENT TRENDS. </w:t>
      </w:r>
      <w:r>
        <w:rPr>
          <w:i/>
          <w:iCs/>
          <w:color w:val="222222"/>
          <w:highlight w:val="white"/>
        </w:rPr>
        <w:t>ASRC Procedia: Global Perspectives in Science and Scholarship</w:t>
      </w:r>
      <w:r>
        <w:rPr>
          <w:color w:val="222222"/>
          <w:highlight w:val="white"/>
        </w:rPr>
        <w:t xml:space="preserve">, </w:t>
      </w:r>
      <w:r>
        <w:rPr>
          <w:i/>
          <w:iCs/>
          <w:color w:val="222222"/>
          <w:highlight w:val="white"/>
        </w:rPr>
        <w:t>2</w:t>
      </w:r>
      <w:r>
        <w:rPr>
          <w:color w:val="222222"/>
          <w:highlight w:val="white"/>
        </w:rPr>
        <w:t xml:space="preserve">(1), pp.332-363. </w:t>
      </w:r>
      <w:r>
        <w:rPr>
          <w:color w:val="1155cc"/>
          <w:highlight w:val="white"/>
          <w:u w:val="single"/>
        </w:rPr>
        <w:fldChar w:fldCharType="begin"/>
      </w:r>
      <w:r>
        <w:rPr>
          <w:color w:val="1155cc"/>
          <w:highlight w:val="white"/>
          <w:u w:val="single"/>
        </w:rPr>
        <w:instrText xml:space="preserve">HYPERLINK "https://global.asrcconference.com/index.php/asrc/article/view/64" </w:instrText>
      </w:r>
      <w:r>
        <w:rPr>
          <w:color w:val="1155cc"/>
          <w:highlight w:val="white"/>
          <w:u w:val="single"/>
        </w:rPr>
        <w:fldChar w:fldCharType="separate"/>
      </w:r>
      <w:r>
        <w:rPr>
          <w:color w:val="1155cc"/>
          <w:highlight w:val="white"/>
          <w:u w:val="single"/>
        </w:rPr>
        <w:t>https://global.asrcconference.com/index.php/asrc/article/view/64</w:t>
      </w:r>
      <w:r>
        <w:rPr>
          <w:color w:val="222222"/>
          <w:highlight w:val="white"/>
        </w:rPr>
        <w:fldChar w:fldCharType="end"/>
      </w:r>
    </w:p>
    <w:p w14:paraId="00000197">
      <w:pPr>
        <w:spacing w:before="200" w:after="200"/>
        <w:rPr/>
      </w:pPr>
      <w:r>
        <w:rPr>
          <w:highlight w:val="white"/>
        </w:rPr>
        <w:t xml:space="preserve">Hilton, J. (2025). </w:t>
      </w:r>
      <w:r>
        <w:rPr>
          <w:i/>
          <w:iCs/>
          <w:highlight w:val="white"/>
        </w:rPr>
        <w:t xml:space="preserve">Greenwash and </w:t>
      </w:r>
      <w:r>
        <w:rPr>
          <w:i/>
          <w:iCs/>
          <w:highlight w:val="white"/>
        </w:rPr>
        <w:t>Greenhush</w:t>
      </w:r>
      <w:r>
        <w:rPr>
          <w:i/>
          <w:iCs/>
          <w:highlight w:val="white"/>
        </w:rPr>
        <w:t xml:space="preserve">: Applications of </w:t>
      </w:r>
      <w:r>
        <w:rPr>
          <w:i/>
          <w:iCs/>
          <w:highlight w:val="white"/>
        </w:rPr>
        <w:t>Signaling</w:t>
      </w:r>
      <w:r>
        <w:rPr>
          <w:i/>
          <w:iCs/>
          <w:highlight w:val="white"/>
        </w:rPr>
        <w:t xml:space="preserve"> to Corporate Sustainability Communication</w:t>
      </w:r>
      <w:r>
        <w:rPr>
          <w:highlight w:val="white"/>
        </w:rPr>
        <w:t xml:space="preserve"> (Doctoral dissertation, Wayne State University).</w:t>
      </w:r>
    </w:p>
    <w:p w14:paraId="00000198">
      <w:pPr>
        <w:widowControl w:val="off"/>
        <w:spacing w:before="200" w:after="200"/>
        <w:rPr>
          <w:highlight w:val="white"/>
        </w:rPr>
      </w:pPr>
      <w:r>
        <w:rPr>
          <w:highlight w:val="white"/>
        </w:rPr>
        <w:t xml:space="preserve">Hu, D., Rahman, O. and Fung, B.C., (2023). A systematic literature review of fashion, sustainability, and consumption using a mixed methods approach. </w:t>
      </w:r>
      <w:r>
        <w:rPr>
          <w:i/>
          <w:iCs/>
          <w:highlight w:val="white"/>
        </w:rPr>
        <w:t>Sustainability</w:t>
      </w:r>
      <w:r>
        <w:rPr>
          <w:highlight w:val="white"/>
        </w:rPr>
        <w:t xml:space="preserve">, </w:t>
      </w:r>
      <w:r>
        <w:rPr>
          <w:i/>
          <w:iCs/>
          <w:highlight w:val="white"/>
        </w:rPr>
        <w:t>15</w:t>
      </w:r>
      <w:r>
        <w:rPr>
          <w:highlight w:val="white"/>
        </w:rPr>
        <w:t>(16), p.12213.</w:t>
      </w:r>
    </w:p>
    <w:p w14:paraId="00000199">
      <w:pPr>
        <w:spacing w:before="200" w:after="200"/>
        <w:rPr>
          <w:color w:val="222222"/>
          <w:highlight w:val="white"/>
        </w:rPr>
      </w:pPr>
      <w:r>
        <w:rPr>
          <w:color w:val="222222"/>
          <w:highlight w:val="white"/>
        </w:rPr>
        <w:t>Hur</w:t>
      </w:r>
      <w:r>
        <w:rPr>
          <w:color w:val="222222"/>
          <w:highlight w:val="white"/>
        </w:rPr>
        <w:t xml:space="preserve">, E., and Faragher-Siddall, E. (2022). Young consumer perspectives on government policy interventions for sustainable fashion consumption in the UK. </w:t>
      </w:r>
      <w:r>
        <w:rPr>
          <w:i/>
          <w:iCs/>
          <w:color w:val="222222"/>
          <w:highlight w:val="white"/>
        </w:rPr>
        <w:t>Fashion Practice</w:t>
      </w:r>
      <w:r>
        <w:rPr>
          <w:color w:val="222222"/>
          <w:highlight w:val="white"/>
        </w:rPr>
        <w:t xml:space="preserve">, </w:t>
      </w:r>
      <w:r>
        <w:rPr>
          <w:i/>
          <w:iCs/>
          <w:color w:val="222222"/>
          <w:highlight w:val="white"/>
        </w:rPr>
        <w:t>14</w:t>
      </w:r>
      <w:r>
        <w:rPr>
          <w:color w:val="222222"/>
          <w:highlight w:val="white"/>
        </w:rPr>
        <w:t xml:space="preserve">(3), pp.405-427. </w:t>
      </w:r>
      <w:r>
        <w:rPr>
          <w:color w:val="1155cc"/>
          <w:highlight w:val="white"/>
          <w:u w:val="single"/>
        </w:rPr>
        <w:fldChar w:fldCharType="begin"/>
      </w:r>
      <w:r>
        <w:rPr>
          <w:color w:val="1155cc"/>
          <w:highlight w:val="white"/>
          <w:u w:val="single"/>
        </w:rPr>
        <w:instrText xml:space="preserve">HYPERLINK "https://www.tandfonline.com/doi/abs/10.1080/17569370.2022.2125149" </w:instrText>
      </w:r>
      <w:r>
        <w:rPr>
          <w:color w:val="1155cc"/>
          <w:highlight w:val="white"/>
          <w:u w:val="single"/>
        </w:rPr>
        <w:fldChar w:fldCharType="separate"/>
      </w:r>
      <w:r>
        <w:rPr>
          <w:color w:val="1155cc"/>
          <w:highlight w:val="white"/>
          <w:u w:val="single"/>
        </w:rPr>
        <w:t>https://www.tandfonline.com/doi/abs/10.1080/17569370.2022.2125149</w:t>
      </w:r>
      <w:r>
        <w:rPr>
          <w:color w:val="222222"/>
          <w:highlight w:val="white"/>
        </w:rPr>
        <w:fldChar w:fldCharType="end"/>
      </w:r>
    </w:p>
    <w:p w14:paraId="0000019A">
      <w:pPr>
        <w:widowControl w:val="off"/>
        <w:spacing w:before="200" w:after="200"/>
        <w:rPr>
          <w:highlight w:val="white"/>
        </w:rPr>
      </w:pPr>
      <w:r>
        <w:rPr>
          <w:highlight w:val="white"/>
        </w:rPr>
        <w:t xml:space="preserve">Jung, H.J., Tian, X. and Oh, K.W., (2024). Sustainable threads: </w:t>
      </w:r>
      <w:r>
        <w:rPr>
          <w:highlight w:val="white"/>
        </w:rPr>
        <w:t>analyzing</w:t>
      </w:r>
      <w:r>
        <w:rPr>
          <w:highlight w:val="white"/>
        </w:rPr>
        <w:t xml:space="preserve"> the impact of corporate social performance, CSR message authenticity and information transparency on purchase intentions. </w:t>
      </w:r>
      <w:r>
        <w:rPr>
          <w:i/>
          <w:iCs/>
          <w:highlight w:val="white"/>
        </w:rPr>
        <w:t>Fashion and Textiles</w:t>
      </w:r>
      <w:r>
        <w:rPr>
          <w:highlight w:val="white"/>
        </w:rPr>
        <w:t xml:space="preserve">, </w:t>
      </w:r>
      <w:r>
        <w:rPr>
          <w:i/>
          <w:iCs/>
          <w:highlight w:val="white"/>
        </w:rPr>
        <w:t>11</w:t>
      </w:r>
      <w:r>
        <w:rPr>
          <w:highlight w:val="white"/>
        </w:rPr>
        <w:t>(1), p.12.</w:t>
      </w:r>
    </w:p>
    <w:p w14:paraId="0000019B">
      <w:pPr>
        <w:spacing w:before="200" w:after="200"/>
        <w:rPr>
          <w:color w:val="222222"/>
          <w:highlight w:val="white"/>
        </w:rPr>
      </w:pPr>
      <w:r>
        <w:rPr>
          <w:color w:val="222222"/>
          <w:highlight w:val="white"/>
        </w:rPr>
        <w:t>Kusyk</w:t>
      </w:r>
      <w:r>
        <w:rPr>
          <w:color w:val="222222"/>
          <w:highlight w:val="white"/>
        </w:rPr>
        <w:t xml:space="preserve">, S.M., Schwartz, M. and Lozano, J.M., (2024). Excavating the Corporate Social Responsibility Pyramid. In </w:t>
      </w:r>
      <w:r>
        <w:rPr>
          <w:i/>
          <w:iCs/>
          <w:color w:val="222222"/>
          <w:highlight w:val="white"/>
        </w:rPr>
        <w:t>Academy of Management Proceedings</w:t>
      </w:r>
      <w:r>
        <w:rPr>
          <w:color w:val="222222"/>
          <w:highlight w:val="white"/>
        </w:rPr>
        <w:t xml:space="preserve"> (Vol. 2024, No. 1, p. 21405). Valhalla, NY 10595: Academy of Management.</w:t>
      </w:r>
    </w:p>
    <w:p w14:paraId="0000019C">
      <w:pPr>
        <w:widowControl w:val="off"/>
        <w:spacing w:before="200" w:after="200"/>
        <w:rPr>
          <w:highlight w:val="white"/>
        </w:rPr>
      </w:pPr>
      <w:r>
        <w:rPr>
          <w:highlight w:val="white"/>
        </w:rPr>
        <w:t xml:space="preserve">Lee, Z., Gordon-Wilson, S., Davies, I. and </w:t>
      </w:r>
      <w:r>
        <w:rPr>
          <w:highlight w:val="white"/>
        </w:rPr>
        <w:t>Pring</w:t>
      </w:r>
      <w:r>
        <w:rPr>
          <w:highlight w:val="white"/>
        </w:rPr>
        <w:t xml:space="preserve">, C., (2024). Communicating about sustainability in fashion: a construal level theory approach. </w:t>
      </w:r>
      <w:r>
        <w:rPr>
          <w:i/>
          <w:iCs/>
          <w:highlight w:val="white"/>
        </w:rPr>
        <w:t>European Journal of Marketing</w:t>
      </w:r>
      <w:r>
        <w:rPr>
          <w:highlight w:val="white"/>
        </w:rPr>
        <w:t xml:space="preserve">, </w:t>
      </w:r>
      <w:r>
        <w:rPr>
          <w:i/>
          <w:iCs/>
          <w:highlight w:val="white"/>
        </w:rPr>
        <w:t>58</w:t>
      </w:r>
      <w:r>
        <w:rPr>
          <w:highlight w:val="white"/>
        </w:rPr>
        <w:t>(1), pp.313-341.</w:t>
      </w:r>
    </w:p>
    <w:p w14:paraId="0000019D">
      <w:pPr>
        <w:spacing w:before="200" w:after="200"/>
        <w:rPr>
          <w:color w:val="222222"/>
          <w:highlight w:val="white"/>
        </w:rPr>
      </w:pPr>
      <w:r>
        <w:rPr>
          <w:color w:val="222222"/>
          <w:highlight w:val="white"/>
        </w:rPr>
        <w:t>Mascarenhas</w:t>
      </w:r>
      <w:r>
        <w:rPr>
          <w:color w:val="222222"/>
          <w:highlight w:val="white"/>
        </w:rPr>
        <w:t xml:space="preserve">, T. T. (2025). Are United Kingdom online fashion retailers sufficiently implementing green or sustainable practices to ensure environmental protection and increase customer </w:t>
      </w:r>
      <w:r>
        <w:rPr>
          <w:color w:val="222222"/>
          <w:highlight w:val="white"/>
        </w:rPr>
        <w:t>engagement?.</w:t>
      </w:r>
      <w:r>
        <w:rPr>
          <w:color w:val="222222"/>
          <w:highlight w:val="white"/>
        </w:rPr>
        <w:t xml:space="preserve"> </w:t>
      </w:r>
      <w:r>
        <w:rPr>
          <w:color w:val="1155cc"/>
          <w:highlight w:val="white"/>
          <w:u w:val="single"/>
        </w:rPr>
        <w:fldChar w:fldCharType="begin"/>
      </w:r>
      <w:r>
        <w:rPr>
          <w:color w:val="1155cc"/>
          <w:highlight w:val="white"/>
          <w:u w:val="single"/>
        </w:rPr>
        <w:instrText xml:space="preserve">HYPERLINK "https://norma.ncirl.ie/id/eprint/8482" </w:instrText>
      </w:r>
      <w:r>
        <w:rPr>
          <w:color w:val="1155cc"/>
          <w:highlight w:val="white"/>
          <w:u w:val="single"/>
        </w:rPr>
        <w:fldChar w:fldCharType="separate"/>
      </w:r>
      <w:r>
        <w:rPr>
          <w:color w:val="1155cc"/>
          <w:highlight w:val="white"/>
          <w:u w:val="single"/>
        </w:rPr>
        <w:t>https://norma.ncirl.ie/id/eprint/8482</w:t>
      </w:r>
      <w:r>
        <w:rPr>
          <w:color w:val="222222"/>
          <w:highlight w:val="white"/>
        </w:rPr>
        <w:fldChar w:fldCharType="end"/>
      </w:r>
    </w:p>
    <w:p w14:paraId="0000019E">
      <w:pPr>
        <w:spacing w:before="200" w:after="200"/>
        <w:rPr>
          <w:color w:val="222222"/>
          <w:highlight w:val="white"/>
        </w:rPr>
      </w:pPr>
      <w:r>
        <w:rPr>
          <w:color w:val="222222"/>
          <w:highlight w:val="white"/>
        </w:rPr>
        <w:t xml:space="preserve">Mio, C., </w:t>
      </w:r>
      <w:r>
        <w:rPr>
          <w:color w:val="222222"/>
          <w:highlight w:val="white"/>
        </w:rPr>
        <w:t>Costantini</w:t>
      </w:r>
      <w:r>
        <w:rPr>
          <w:color w:val="222222"/>
          <w:highlight w:val="white"/>
        </w:rPr>
        <w:t xml:space="preserve">, A. and Panfilo, S., (2022). Performance measurement tools for sustainable business: A systematic literature review on the sustainability balanced scorecard use. </w:t>
      </w:r>
      <w:r>
        <w:rPr>
          <w:i/>
          <w:iCs/>
          <w:color w:val="222222"/>
          <w:highlight w:val="white"/>
        </w:rPr>
        <w:t>Corporate social responsibility and environmental management</w:t>
      </w:r>
      <w:r>
        <w:rPr>
          <w:color w:val="222222"/>
          <w:highlight w:val="white"/>
        </w:rPr>
        <w:t xml:space="preserve">, </w:t>
      </w:r>
      <w:r>
        <w:rPr>
          <w:i/>
          <w:iCs/>
          <w:color w:val="222222"/>
          <w:highlight w:val="white"/>
        </w:rPr>
        <w:t>29</w:t>
      </w:r>
      <w:r>
        <w:rPr>
          <w:color w:val="222222"/>
          <w:highlight w:val="white"/>
        </w:rPr>
        <w:t>(2), pp.367-384.</w:t>
      </w:r>
    </w:p>
    <w:p w14:paraId="0000019F">
      <w:pPr>
        <w:spacing w:before="200" w:after="200"/>
        <w:rPr>
          <w:highlight w:val="white"/>
        </w:rPr>
      </w:pPr>
      <w:r>
        <w:rPr>
          <w:highlight w:val="white"/>
        </w:rPr>
        <w:t>Mockutė</w:t>
      </w:r>
      <w:r>
        <w:rPr>
          <w:highlight w:val="white"/>
        </w:rPr>
        <w:t xml:space="preserve">, E. (2026). </w:t>
      </w:r>
      <w:r>
        <w:rPr>
          <w:i/>
          <w:iCs/>
          <w:highlight w:val="white"/>
        </w:rPr>
        <w:t>Impression management in sustainability reporting: reducing greenwashing through regulatory change</w:t>
      </w:r>
      <w:r>
        <w:rPr>
          <w:highlight w:val="white"/>
        </w:rPr>
        <w:t xml:space="preserve"> (Doctoral dissertation, ISM </w:t>
      </w:r>
      <w:r>
        <w:rPr>
          <w:highlight w:val="white"/>
        </w:rPr>
        <w:t>Vadybos</w:t>
      </w:r>
      <w:r>
        <w:rPr>
          <w:highlight w:val="white"/>
        </w:rPr>
        <w:t xml:space="preserve"> </w:t>
      </w:r>
      <w:r>
        <w:rPr>
          <w:highlight w:val="white"/>
        </w:rPr>
        <w:t>ir</w:t>
      </w:r>
      <w:r>
        <w:rPr>
          <w:highlight w:val="white"/>
        </w:rPr>
        <w:t xml:space="preserve"> </w:t>
      </w:r>
      <w:r>
        <w:rPr>
          <w:highlight w:val="white"/>
        </w:rPr>
        <w:t>ekonomikos</w:t>
      </w:r>
      <w:r>
        <w:rPr>
          <w:highlight w:val="white"/>
        </w:rPr>
        <w:t xml:space="preserve"> </w:t>
      </w:r>
      <w:r>
        <w:rPr>
          <w:highlight w:val="white"/>
        </w:rPr>
        <w:t>universitetas</w:t>
      </w:r>
      <w:r>
        <w:rPr>
          <w:highlight w:val="white"/>
        </w:rPr>
        <w:t>.).</w:t>
      </w:r>
    </w:p>
    <w:p w14:paraId="000001A0">
      <w:pPr>
        <w:spacing w:before="200" w:after="200"/>
        <w:rPr/>
      </w:pPr>
      <w:r>
        <w:rPr>
          <w:color w:val="222222"/>
          <w:highlight w:val="white"/>
        </w:rPr>
        <w:t>Nanthagopan</w:t>
      </w:r>
      <w:r>
        <w:rPr>
          <w:color w:val="222222"/>
          <w:highlight w:val="white"/>
        </w:rPr>
        <w:t xml:space="preserve">, Y., (2021). Review and comparison of multi-method and mixed-method applications in research studies. </w:t>
      </w:r>
      <w:r>
        <w:rPr>
          <w:i/>
          <w:iCs/>
          <w:color w:val="222222"/>
          <w:highlight w:val="white"/>
        </w:rPr>
        <w:t>Journal of Advanced Research</w:t>
      </w:r>
      <w:r>
        <w:rPr>
          <w:color w:val="222222"/>
          <w:highlight w:val="white"/>
        </w:rPr>
        <w:t>, </w:t>
      </w:r>
      <w:r>
        <w:rPr>
          <w:i/>
          <w:iCs/>
          <w:color w:val="222222"/>
          <w:highlight w:val="white"/>
        </w:rPr>
        <w:t>2</w:t>
      </w:r>
      <w:r>
        <w:rPr>
          <w:color w:val="222222"/>
          <w:highlight w:val="white"/>
        </w:rPr>
        <w:t xml:space="preserve">(3), pp.55-78. </w:t>
      </w:r>
      <w:r>
        <w:rPr>
          <w:color w:val="0000ff"/>
          <w:highlight w:val="white"/>
          <w:u w:val="single"/>
        </w:rPr>
        <w:fldChar w:fldCharType="begin"/>
      </w:r>
      <w:r>
        <w:rPr>
          <w:color w:val="0000ff"/>
          <w:highlight w:val="white"/>
          <w:u w:val="single"/>
        </w:rPr>
        <w:instrText xml:space="preserve">HYPERLINK "https://bibliotekanauki.pl/articles/2083237.pdf" </w:instrText>
      </w:r>
      <w:r>
        <w:rPr>
          <w:color w:val="0000ff"/>
          <w:highlight w:val="white"/>
          <w:u w:val="single"/>
        </w:rPr>
        <w:fldChar w:fldCharType="separate"/>
      </w:r>
      <w:r>
        <w:rPr>
          <w:color w:val="0000ff"/>
          <w:highlight w:val="white"/>
          <w:u w:val="single"/>
        </w:rPr>
        <w:t>https://bibliotekanauki.pl/articles/2083237.pdf</w:t>
      </w:r>
      <w:r>
        <w:fldChar w:fldCharType="end"/>
      </w:r>
    </w:p>
    <w:p w14:paraId="000001A1">
      <w:pPr>
        <w:spacing w:before="200" w:after="200"/>
        <w:rPr/>
      </w:pPr>
      <w:r>
        <w:rPr>
          <w:color w:val="222222"/>
          <w:highlight w:val="white"/>
        </w:rPr>
        <w:t xml:space="preserve">Nguyen, T.D., Shih, M.H., Srivastava, D., </w:t>
      </w:r>
      <w:r>
        <w:rPr>
          <w:color w:val="222222"/>
          <w:highlight w:val="white"/>
        </w:rPr>
        <w:t>Tirthapura</w:t>
      </w:r>
      <w:r>
        <w:rPr>
          <w:color w:val="222222"/>
          <w:highlight w:val="white"/>
        </w:rPr>
        <w:t>, S. and Xu, B., (2021). Stratified random sampling from streaming and stored data. </w:t>
      </w:r>
      <w:r>
        <w:rPr>
          <w:i/>
          <w:iCs/>
          <w:color w:val="222222"/>
          <w:highlight w:val="white"/>
        </w:rPr>
        <w:t>Distributed and Parallel Databases</w:t>
      </w:r>
      <w:r>
        <w:rPr>
          <w:color w:val="222222"/>
          <w:highlight w:val="white"/>
        </w:rPr>
        <w:t>, </w:t>
      </w:r>
      <w:r>
        <w:rPr>
          <w:i/>
          <w:iCs/>
          <w:color w:val="222222"/>
          <w:highlight w:val="white"/>
        </w:rPr>
        <w:t>39</w:t>
      </w:r>
      <w:r>
        <w:rPr>
          <w:color w:val="222222"/>
          <w:highlight w:val="white"/>
        </w:rPr>
        <w:t>, pp.665-710.</w:t>
      </w:r>
      <w:r>
        <w:t xml:space="preserve"> </w:t>
      </w:r>
      <w:r>
        <w:rPr>
          <w:color w:val="0000ff"/>
          <w:u w:val="single"/>
        </w:rPr>
        <w:fldChar w:fldCharType="begin"/>
      </w:r>
      <w:r>
        <w:rPr>
          <w:color w:val="0000ff"/>
          <w:u w:val="single"/>
        </w:rPr>
        <w:instrText xml:space="preserve">HYPERLINK "https://par.nsf.gov/servlets/purl/10309139" </w:instrText>
      </w:r>
      <w:r>
        <w:rPr>
          <w:color w:val="0000ff"/>
          <w:u w:val="single"/>
        </w:rPr>
        <w:fldChar w:fldCharType="separate"/>
      </w:r>
      <w:r>
        <w:rPr>
          <w:color w:val="0000ff"/>
          <w:u w:val="single"/>
        </w:rPr>
        <w:t>https://par.nsf.gov/servlets/purl/10309139</w:t>
      </w:r>
      <w:r>
        <w:fldChar w:fldCharType="end"/>
      </w:r>
    </w:p>
    <w:p w14:paraId="000001A2">
      <w:pPr>
        <w:spacing w:before="200" w:after="200"/>
        <w:rPr>
          <w:color w:val="222222"/>
          <w:highlight w:val="white"/>
        </w:rPr>
      </w:pPr>
      <w:r>
        <w:rPr>
          <w:color w:val="222222"/>
          <w:highlight w:val="white"/>
        </w:rPr>
        <w:t xml:space="preserve">Nogueira, E., Gomes, S. and Lopes, J.M., (2023). Triple bottom line, sustainability, and economic development: What binds them together? A bibliometric approach.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(8), p.6706.</w:t>
      </w:r>
    </w:p>
    <w:p w14:paraId="000001A3">
      <w:pPr>
        <w:spacing w:before="200" w:after="200"/>
        <w:rPr>
          <w:color w:val="222222"/>
          <w:highlight w:val="white"/>
        </w:rPr>
      </w:pPr>
      <w:r>
        <w:rPr>
          <w:color w:val="222222"/>
          <w:highlight w:val="white"/>
        </w:rPr>
        <w:t>Ocaña</w:t>
      </w:r>
      <w:r>
        <w:rPr>
          <w:color w:val="222222"/>
          <w:highlight w:val="white"/>
        </w:rPr>
        <w:t xml:space="preserve">-Fernández, Y., and </w:t>
      </w:r>
      <w:r>
        <w:rPr>
          <w:color w:val="222222"/>
          <w:highlight w:val="white"/>
        </w:rPr>
        <w:t>Fuster-Guillén</w:t>
      </w:r>
      <w:r>
        <w:rPr>
          <w:color w:val="222222"/>
          <w:highlight w:val="white"/>
        </w:rPr>
        <w:t xml:space="preserve">, D. (2021). The bibliographical review as a research methodology. </w:t>
      </w:r>
      <w:r>
        <w:rPr>
          <w:i/>
          <w:iCs/>
          <w:color w:val="222222"/>
          <w:highlight w:val="white"/>
        </w:rPr>
        <w:t>Revista</w:t>
      </w:r>
      <w:r>
        <w:rPr>
          <w:i/>
          <w:iCs/>
          <w:color w:val="222222"/>
          <w:highlight w:val="white"/>
        </w:rPr>
        <w:t xml:space="preserve"> Tempos e </w:t>
      </w:r>
      <w:r>
        <w:rPr>
          <w:i/>
          <w:iCs/>
          <w:color w:val="222222"/>
          <w:highlight w:val="white"/>
        </w:rPr>
        <w:t>Espaços</w:t>
      </w:r>
      <w:r>
        <w:rPr>
          <w:i/>
          <w:iCs/>
          <w:color w:val="222222"/>
          <w:highlight w:val="white"/>
        </w:rPr>
        <w:t xml:space="preserve"> </w:t>
      </w:r>
      <w:r>
        <w:rPr>
          <w:i/>
          <w:iCs/>
          <w:color w:val="222222"/>
          <w:highlight w:val="white"/>
        </w:rPr>
        <w:t>em</w:t>
      </w:r>
      <w:r>
        <w:rPr>
          <w:i/>
          <w:iCs/>
          <w:color w:val="222222"/>
          <w:highlight w:val="white"/>
        </w:rPr>
        <w:t xml:space="preserve"> </w:t>
      </w:r>
      <w:r>
        <w:rPr>
          <w:i/>
          <w:iCs/>
          <w:color w:val="222222"/>
          <w:highlight w:val="white"/>
        </w:rPr>
        <w:t>Educação</w:t>
      </w:r>
      <w:r>
        <w:rPr>
          <w:color w:val="222222"/>
          <w:highlight w:val="white"/>
        </w:rPr>
        <w:t xml:space="preserve">, </w:t>
      </w:r>
      <w:r>
        <w:rPr>
          <w:i/>
          <w:iCs/>
          <w:color w:val="222222"/>
          <w:highlight w:val="white"/>
        </w:rPr>
        <w:t>14</w:t>
      </w:r>
      <w:r>
        <w:rPr>
          <w:color w:val="222222"/>
          <w:highlight w:val="white"/>
        </w:rPr>
        <w:t xml:space="preserve">(33), </w:t>
      </w:r>
      <w:r>
        <w:rPr>
          <w:color w:val="222222"/>
          <w:highlight w:val="white"/>
        </w:rPr>
        <w:t>p.e</w:t>
      </w:r>
      <w:r>
        <w:rPr>
          <w:color w:val="222222"/>
          <w:highlight w:val="white"/>
        </w:rPr>
        <w:t xml:space="preserve">15614-e15614. </w:t>
      </w:r>
      <w:r>
        <w:rPr>
          <w:color w:val="1155cc"/>
          <w:highlight w:val="white"/>
          <w:u w:val="single"/>
        </w:rPr>
        <w:fldChar w:fldCharType="begin"/>
      </w:r>
      <w:r>
        <w:rPr>
          <w:color w:val="1155cc"/>
          <w:highlight w:val="white"/>
          <w:u w:val="single"/>
        </w:rPr>
        <w:instrText xml:space="preserve">HYPERLINK "https://ufs.emnuvens.com.br/revtee/article/view/15614" </w:instrText>
      </w:r>
      <w:r>
        <w:rPr>
          <w:color w:val="1155cc"/>
          <w:highlight w:val="white"/>
          <w:u w:val="single"/>
        </w:rPr>
        <w:fldChar w:fldCharType="separate"/>
      </w:r>
      <w:r>
        <w:rPr>
          <w:color w:val="1155cc"/>
          <w:highlight w:val="white"/>
          <w:u w:val="single"/>
        </w:rPr>
        <w:t>https://ufs.emnuvens.com.br/revtee/article/view/15614</w:t>
      </w:r>
      <w:r>
        <w:rPr>
          <w:color w:val="222222"/>
          <w:highlight w:val="white"/>
        </w:rPr>
        <w:fldChar w:fldCharType="end"/>
      </w:r>
      <w:r>
        <w:rPr>
          <w:color w:val="222222"/>
          <w:highlight w:val="white"/>
        </w:rPr>
        <w:t xml:space="preserve"> </w:t>
      </w:r>
    </w:p>
    <w:p w14:paraId="000001A4">
      <w:pPr>
        <w:spacing w:before="200" w:after="200"/>
        <w:rPr/>
      </w:pPr>
      <w:r>
        <w:rPr>
          <w:highlight w:val="white"/>
        </w:rPr>
        <w:t>Pandey, P. and Pandey, M.M., (2021). </w:t>
      </w:r>
      <w:r>
        <w:rPr>
          <w:i/>
          <w:iCs/>
          <w:highlight w:val="white"/>
        </w:rPr>
        <w:t>Research methodology tools and techniques</w:t>
      </w:r>
      <w:r>
        <w:rPr>
          <w:highlight w:val="white"/>
        </w:rPr>
        <w:t xml:space="preserve">. Bridge </w:t>
      </w:r>
      <w:r>
        <w:rPr>
          <w:highlight w:val="white"/>
        </w:rPr>
        <w:t>Center</w:t>
      </w:r>
      <w:r>
        <w:rPr>
          <w:highlight w:val="white"/>
        </w:rPr>
        <w:t xml:space="preserve">. </w:t>
      </w:r>
      <w:r>
        <w:rPr>
          <w:color w:val="1155cc"/>
          <w:highlight w:val="white"/>
          <w:u w:val="single"/>
        </w:rPr>
        <w:fldChar w:fldCharType="begin"/>
      </w:r>
      <w:r>
        <w:rPr>
          <w:color w:val="1155cc"/>
          <w:highlight w:val="white"/>
          <w:u w:val="single"/>
        </w:rPr>
        <w:instrText xml:space="preserve">HYPERLINK "http://dspace.vnbrims.org:13000/jspui/bitstream/123456789/4666/1/RESEARCH%20METHODOLOGY%20TOOLS%20AND%20TECHNIQUES.pdf" </w:instrText>
      </w:r>
      <w:r>
        <w:rPr>
          <w:color w:val="1155cc"/>
          <w:highlight w:val="white"/>
          <w:u w:val="single"/>
        </w:rPr>
        <w:fldChar w:fldCharType="separate"/>
      </w:r>
      <w:r>
        <w:rPr>
          <w:color w:val="1155cc"/>
          <w:highlight w:val="white"/>
          <w:u w:val="single"/>
        </w:rPr>
        <w:t>http://dspace.vnbrims.org:13000/jspui/bitstream/123456789/4666/1/RESEARCH%20METHODOLOGY%20TOOLS%20AND%20TECHNIQUES.pdf</w:t>
      </w:r>
      <w:r>
        <w:rPr>
          <w:color w:val="1155cc"/>
          <w:highlight w:val="white"/>
        </w:rPr>
        <w:fldChar w:fldCharType="end"/>
      </w:r>
      <w:r>
        <w:rPr>
          <w:color w:val="1155cc"/>
          <w:highlight w:val="white"/>
        </w:rPr>
        <w:t> </w:t>
      </w:r>
    </w:p>
    <w:p w14:paraId="000001A5">
      <w:pPr>
        <w:spacing w:before="200" w:after="200"/>
        <w:rPr>
          <w:color w:val="222222"/>
          <w:highlight w:val="white"/>
        </w:rPr>
      </w:pPr>
      <w:r>
        <w:rPr>
          <w:color w:val="222222"/>
          <w:highlight w:val="white"/>
        </w:rPr>
        <w:t>Papadopoulou</w:t>
      </w:r>
      <w:r>
        <w:rPr>
          <w:color w:val="222222"/>
          <w:highlight w:val="white"/>
        </w:rPr>
        <w:t xml:space="preserve">, M., </w:t>
      </w:r>
      <w:r>
        <w:rPr>
          <w:color w:val="222222"/>
          <w:highlight w:val="white"/>
        </w:rPr>
        <w:t>Papasolomou</w:t>
      </w:r>
      <w:r>
        <w:rPr>
          <w:color w:val="222222"/>
          <w:highlight w:val="white"/>
        </w:rPr>
        <w:t xml:space="preserve">, I., and </w:t>
      </w:r>
      <w:r>
        <w:rPr>
          <w:color w:val="222222"/>
          <w:highlight w:val="white"/>
        </w:rPr>
        <w:t>Thrassou</w:t>
      </w:r>
      <w:r>
        <w:rPr>
          <w:color w:val="222222"/>
          <w:highlight w:val="white"/>
        </w:rPr>
        <w:t xml:space="preserve">, A. (2022). Exploring the level of sustainability awareness among consumers within the fast-fashion clothing industry: a dual business and consumer perspective. </w:t>
      </w:r>
      <w:r>
        <w:rPr>
          <w:i/>
          <w:iCs/>
          <w:color w:val="222222"/>
          <w:highlight w:val="white"/>
        </w:rPr>
        <w:t>Competitiveness Review: An International Business Journal</w:t>
      </w:r>
      <w:r>
        <w:rPr>
          <w:color w:val="222222"/>
          <w:highlight w:val="white"/>
        </w:rPr>
        <w:t xml:space="preserve">, </w:t>
      </w:r>
      <w:r>
        <w:rPr>
          <w:i/>
          <w:iCs/>
          <w:color w:val="222222"/>
          <w:highlight w:val="white"/>
        </w:rPr>
        <w:t>32</w:t>
      </w:r>
      <w:r>
        <w:rPr>
          <w:color w:val="222222"/>
          <w:highlight w:val="white"/>
        </w:rPr>
        <w:t xml:space="preserve">(3), pp.350-375. </w:t>
      </w:r>
      <w:r>
        <w:rPr>
          <w:color w:val="1155cc"/>
          <w:highlight w:val="white"/>
          <w:u w:val="single"/>
        </w:rPr>
        <w:fldChar w:fldCharType="begin"/>
      </w:r>
      <w:r>
        <w:rPr>
          <w:color w:val="1155cc"/>
          <w:highlight w:val="white"/>
          <w:u w:val="single"/>
        </w:rPr>
        <w:instrText xml:space="preserve">HYPERLINK "https://www.emerald.com/cr/article/32/3/350/81857" </w:instrText>
      </w:r>
      <w:r>
        <w:rPr>
          <w:color w:val="1155cc"/>
          <w:highlight w:val="white"/>
          <w:u w:val="single"/>
        </w:rPr>
        <w:fldChar w:fldCharType="separate"/>
      </w:r>
      <w:r>
        <w:rPr>
          <w:color w:val="1155cc"/>
          <w:highlight w:val="white"/>
          <w:u w:val="single"/>
        </w:rPr>
        <w:t>https://www.emerald.com/cr/article/32/3/350/81857</w:t>
      </w:r>
      <w:r>
        <w:rPr>
          <w:color w:val="222222"/>
          <w:highlight w:val="white"/>
        </w:rPr>
        <w:fldChar w:fldCharType="end"/>
      </w:r>
      <w:r>
        <w:rPr>
          <w:color w:val="222222"/>
          <w:highlight w:val="white"/>
        </w:rPr>
        <w:t xml:space="preserve"> </w:t>
      </w:r>
    </w:p>
    <w:p w14:paraId="000001A6">
      <w:pPr>
        <w:spacing w:before="200" w:after="200"/>
        <w:rPr>
          <w:highlight w:val="white"/>
        </w:rPr>
      </w:pPr>
      <w:r>
        <w:rPr>
          <w:highlight w:val="white"/>
        </w:rPr>
        <w:t xml:space="preserve">Postlethwaite, S., </w:t>
      </w:r>
      <w:r>
        <w:rPr>
          <w:highlight w:val="white"/>
        </w:rPr>
        <w:t>Thiel</w:t>
      </w:r>
      <w:r>
        <w:rPr>
          <w:highlight w:val="white"/>
        </w:rPr>
        <w:t xml:space="preserve">, K., Atkinson, D., McCall, C. and </w:t>
      </w:r>
      <w:r>
        <w:rPr>
          <w:highlight w:val="white"/>
        </w:rPr>
        <w:t>Tupikovskaja-Omovie</w:t>
      </w:r>
      <w:r>
        <w:rPr>
          <w:highlight w:val="white"/>
        </w:rPr>
        <w:t>, Z., (2025). Advancing Automation and Robotics for Sustainable Manufacturing: Strategic Pathways for the UK Fashion and Textiles Industry.</w:t>
      </w:r>
    </w:p>
    <w:p w14:paraId="000001A7">
      <w:pPr>
        <w:spacing w:before="200" w:after="200"/>
        <w:rPr>
          <w:color w:val="222222"/>
          <w:highlight w:val="white"/>
        </w:rPr>
      </w:pPr>
      <w:r>
        <w:rPr>
          <w:color w:val="222222"/>
          <w:highlight w:val="white"/>
        </w:rPr>
        <w:t xml:space="preserve">Rastogi, N., Singh, J., Tyagi, S., Ahmad, V., Kumar, R., Singh, R., ... and Twala, B. (2025). Building trust through ESG: A study on consumer behaviour in sustainable fashion. </w:t>
      </w:r>
      <w:r>
        <w:rPr>
          <w:i/>
          <w:iCs/>
          <w:color w:val="222222"/>
          <w:highlight w:val="white"/>
        </w:rPr>
        <w:t>F1000Research</w:t>
      </w:r>
      <w:r>
        <w:rPr>
          <w:color w:val="222222"/>
          <w:highlight w:val="white"/>
        </w:rPr>
        <w:t xml:space="preserve">, </w:t>
      </w:r>
      <w:r>
        <w:rPr>
          <w:i/>
          <w:iCs/>
          <w:color w:val="222222"/>
          <w:highlight w:val="white"/>
        </w:rPr>
        <w:t>14</w:t>
      </w:r>
      <w:r>
        <w:rPr>
          <w:color w:val="222222"/>
          <w:highlight w:val="white"/>
        </w:rPr>
        <w:t xml:space="preserve">, 97. </w:t>
      </w:r>
      <w:r>
        <w:rPr>
          <w:color w:val="1155cc"/>
          <w:highlight w:val="white"/>
          <w:u w:val="single"/>
        </w:rPr>
        <w:fldChar w:fldCharType="begin"/>
      </w:r>
      <w:r>
        <w:rPr>
          <w:color w:val="1155cc"/>
          <w:highlight w:val="white"/>
          <w:u w:val="single"/>
        </w:rPr>
        <w:instrText xml:space="preserve">HYPERLINK "https://f1000research.com/articles/14-97" </w:instrText>
      </w:r>
      <w:r>
        <w:rPr>
          <w:color w:val="1155cc"/>
          <w:highlight w:val="white"/>
          <w:u w:val="single"/>
        </w:rPr>
        <w:fldChar w:fldCharType="separate"/>
      </w:r>
      <w:r>
        <w:rPr>
          <w:color w:val="1155cc"/>
          <w:highlight w:val="white"/>
          <w:u w:val="single"/>
        </w:rPr>
        <w:t>https://f1000research.com/articles/14-97</w:t>
      </w:r>
      <w:r>
        <w:rPr>
          <w:color w:val="222222"/>
          <w:highlight w:val="white"/>
        </w:rPr>
        <w:fldChar w:fldCharType="end"/>
      </w:r>
    </w:p>
    <w:p w14:paraId="000001A8">
      <w:pPr>
        <w:spacing w:before="200" w:after="200"/>
        <w:rPr>
          <w:color w:val="222222"/>
          <w:highlight w:val="white"/>
        </w:rPr>
      </w:pPr>
      <w:r>
        <w:rPr>
          <w:color w:val="222222"/>
          <w:highlight w:val="white"/>
        </w:rPr>
        <w:t xml:space="preserve">Ronda, L. (2024). Overcoming barriers for sustainable fashion: bridging attitude-behaviour gap in retail. </w:t>
      </w:r>
      <w:r>
        <w:rPr>
          <w:i/>
          <w:iCs/>
          <w:color w:val="222222"/>
          <w:highlight w:val="white"/>
        </w:rPr>
        <w:t>International journal of retail &amp; distribution management</w:t>
      </w:r>
      <w:r>
        <w:rPr>
          <w:color w:val="222222"/>
          <w:highlight w:val="white"/>
        </w:rPr>
        <w:t xml:space="preserve">, </w:t>
      </w:r>
      <w:r>
        <w:rPr>
          <w:i/>
          <w:iCs/>
          <w:color w:val="222222"/>
          <w:highlight w:val="white"/>
        </w:rPr>
        <w:t>52</w:t>
      </w:r>
      <w:r>
        <w:rPr>
          <w:color w:val="222222"/>
          <w:highlight w:val="white"/>
        </w:rPr>
        <w:t xml:space="preserve">(1), pp.44-61. </w:t>
      </w:r>
      <w:r>
        <w:rPr>
          <w:color w:val="1155cc"/>
          <w:highlight w:val="white"/>
          <w:u w:val="single"/>
        </w:rPr>
        <w:fldChar w:fldCharType="begin"/>
      </w:r>
      <w:r>
        <w:rPr>
          <w:color w:val="1155cc"/>
          <w:highlight w:val="white"/>
          <w:u w:val="single"/>
        </w:rPr>
        <w:instrText xml:space="preserve">HYPERLINK "https://www.emerald.com/ijrdm/article/52/1/44/1232569" </w:instrText>
      </w:r>
      <w:r>
        <w:rPr>
          <w:color w:val="1155cc"/>
          <w:highlight w:val="white"/>
          <w:u w:val="single"/>
        </w:rPr>
        <w:fldChar w:fldCharType="separate"/>
      </w:r>
      <w:r>
        <w:rPr>
          <w:color w:val="1155cc"/>
          <w:highlight w:val="white"/>
          <w:u w:val="single"/>
        </w:rPr>
        <w:t>https://www.emerald.com/ijrdm/article/52/1/44/1232569</w:t>
      </w:r>
      <w:r>
        <w:rPr>
          <w:color w:val="222222"/>
          <w:highlight w:val="white"/>
        </w:rPr>
        <w:fldChar w:fldCharType="end"/>
      </w:r>
    </w:p>
    <w:p w14:paraId="000001A9">
      <w:pPr>
        <w:spacing w:before="200" w:after="200"/>
        <w:rPr>
          <w:color w:val="222222"/>
          <w:highlight w:val="white"/>
        </w:rPr>
      </w:pPr>
      <w:r>
        <w:rPr>
          <w:color w:val="222222"/>
          <w:highlight w:val="white"/>
        </w:rPr>
        <w:t xml:space="preserve">Sarfraz, S., Khan, M. B., and Raza, M. M. K. Sustainable Practices and Consumer Loyalty in the UK Fast Fashion Sector: An Empirical Examination. </w:t>
      </w:r>
      <w:r>
        <w:rPr>
          <w:i/>
          <w:iCs/>
          <w:color w:val="222222"/>
          <w:highlight w:val="white"/>
        </w:rPr>
        <w:t>IJLRP-International Journal of Leading Research Publication</w:t>
      </w:r>
      <w:r>
        <w:rPr>
          <w:color w:val="222222"/>
          <w:highlight w:val="white"/>
        </w:rPr>
        <w:t xml:space="preserve">, </w:t>
      </w:r>
      <w:r>
        <w:rPr>
          <w:i/>
          <w:iCs/>
          <w:color w:val="222222"/>
          <w:highlight w:val="white"/>
        </w:rPr>
        <w:t>7</w:t>
      </w:r>
      <w:r>
        <w:rPr>
          <w:color w:val="222222"/>
          <w:highlight w:val="white"/>
        </w:rPr>
        <w:t xml:space="preserve">(1). </w:t>
      </w:r>
      <w:r>
        <w:rPr>
          <w:color w:val="1155cc"/>
          <w:highlight w:val="white"/>
          <w:u w:val="single"/>
        </w:rPr>
        <w:fldChar w:fldCharType="begin"/>
      </w:r>
      <w:r>
        <w:rPr>
          <w:color w:val="1155cc"/>
          <w:highlight w:val="white"/>
          <w:u w:val="single"/>
        </w:rPr>
        <w:instrText xml:space="preserve">HYPERLINK "https://www.ijlrp.com/research-paper.php?id=1885" </w:instrText>
      </w:r>
      <w:r>
        <w:rPr>
          <w:color w:val="1155cc"/>
          <w:highlight w:val="white"/>
          <w:u w:val="single"/>
        </w:rPr>
        <w:fldChar w:fldCharType="separate"/>
      </w:r>
      <w:r>
        <w:rPr>
          <w:color w:val="1155cc"/>
          <w:highlight w:val="white"/>
          <w:u w:val="single"/>
        </w:rPr>
        <w:t>https://www.ijlrp.com/research-paper.php?id=1885</w:t>
      </w:r>
      <w:r>
        <w:rPr>
          <w:color w:val="222222"/>
          <w:highlight w:val="white"/>
        </w:rPr>
        <w:fldChar w:fldCharType="end"/>
      </w:r>
    </w:p>
    <w:p w14:paraId="000001AA">
      <w:pPr>
        <w:spacing w:before="200" w:after="200"/>
        <w:rPr>
          <w:color w:val="1155cc"/>
          <w:u w:val="single"/>
        </w:rPr>
      </w:pPr>
      <w:r>
        <w:t xml:space="preserve">Saunders, M.N.K., Lewis, P. and Thornhill, A. (2019) Research Methods for Business Students. 8th Edition, </w:t>
      </w:r>
      <w:r>
        <w:rPr>
          <w:i/>
          <w:iCs/>
        </w:rPr>
        <w:t xml:space="preserve">Pearson, New York. </w:t>
      </w:r>
      <w:r>
        <w:rPr>
          <w:color w:val="1155cc"/>
          <w:u w:val="single"/>
        </w:rPr>
        <w:fldChar w:fldCharType="begin"/>
      </w:r>
      <w:r>
        <w:rPr>
          <w:color w:val="1155cc"/>
          <w:u w:val="single"/>
        </w:rPr>
        <w:instrText xml:space="preserve">HYPERLINK "https://www.scirp.org/reference/referencespapers?referenceid=2907709" </w:instrText>
      </w:r>
      <w:r>
        <w:rPr>
          <w:color w:val="1155cc"/>
          <w:u w:val="single"/>
        </w:rPr>
        <w:fldChar w:fldCharType="separate"/>
      </w:r>
      <w:r>
        <w:rPr>
          <w:color w:val="1155cc"/>
          <w:u w:val="single"/>
        </w:rPr>
        <w:t>https://www.scirp.org/reference/referencespapers?referenceid=2907709</w:t>
      </w:r>
      <w:r>
        <w:rPr>
          <w:color w:val="1155cc"/>
          <w:u w:val="single"/>
        </w:rPr>
        <w:fldChar w:fldCharType="end"/>
      </w:r>
    </w:p>
    <w:p w14:paraId="000001AB">
      <w:pPr>
        <w:spacing w:before="200" w:after="200"/>
        <w:rPr>
          <w:color w:val="222222"/>
          <w:highlight w:val="white"/>
        </w:rPr>
      </w:pPr>
      <w:r>
        <w:rPr>
          <w:color w:val="222222"/>
          <w:highlight w:val="white"/>
        </w:rPr>
        <w:t>Soe</w:t>
      </w:r>
      <w:r>
        <w:rPr>
          <w:color w:val="222222"/>
          <w:highlight w:val="white"/>
        </w:rPr>
        <w:t xml:space="preserve">, T. K. K., and Datta, P. (2024). Corporate Social Responsibility (CSR) and consumer purchase intention in the UK fashion industry. </w:t>
      </w:r>
      <w:r>
        <w:rPr>
          <w:i/>
          <w:iCs/>
          <w:color w:val="222222"/>
          <w:highlight w:val="white"/>
        </w:rPr>
        <w:t>Journal of Business and Retail Management Research</w:t>
      </w:r>
      <w:r>
        <w:rPr>
          <w:color w:val="222222"/>
          <w:highlight w:val="white"/>
        </w:rPr>
        <w:t xml:space="preserve">, </w:t>
      </w:r>
      <w:r>
        <w:rPr>
          <w:i/>
          <w:iCs/>
          <w:color w:val="222222"/>
          <w:highlight w:val="white"/>
        </w:rPr>
        <w:t>19</w:t>
      </w:r>
      <w:r>
        <w:rPr>
          <w:color w:val="222222"/>
          <w:highlight w:val="white"/>
        </w:rPr>
        <w:t xml:space="preserve">(1). </w:t>
      </w:r>
      <w:r>
        <w:rPr>
          <w:color w:val="1155cc"/>
          <w:highlight w:val="white"/>
          <w:u w:val="single"/>
        </w:rPr>
        <w:fldChar w:fldCharType="begin"/>
      </w:r>
      <w:r>
        <w:rPr>
          <w:color w:val="1155cc"/>
          <w:highlight w:val="white"/>
          <w:u w:val="single"/>
        </w:rPr>
        <w:instrText xml:space="preserve">HYPERLINK "https://jbrmr.com/cdn/article_file/2024-11-02-12-39-06-PM.pdf" </w:instrText>
      </w:r>
      <w:r>
        <w:rPr>
          <w:color w:val="1155cc"/>
          <w:highlight w:val="white"/>
          <w:u w:val="single"/>
        </w:rPr>
        <w:fldChar w:fldCharType="separate"/>
      </w:r>
      <w:r>
        <w:rPr>
          <w:color w:val="1155cc"/>
          <w:highlight w:val="white"/>
          <w:u w:val="single"/>
        </w:rPr>
        <w:t>https://jbrmr.com/cdn/article_file/2024-11-02-12-39-06-PM.pdf</w:t>
      </w:r>
      <w:r>
        <w:rPr>
          <w:color w:val="222222"/>
          <w:highlight w:val="white"/>
        </w:rPr>
        <w:fldChar w:fldCharType="end"/>
      </w:r>
    </w:p>
    <w:p w14:paraId="000001AC">
      <w:pPr>
        <w:spacing w:before="200" w:after="200"/>
        <w:rPr/>
      </w:pPr>
      <w:r>
        <w:rPr>
          <w:color w:val="222222"/>
          <w:highlight w:val="white"/>
        </w:rPr>
        <w:t>Taherdoost</w:t>
      </w:r>
      <w:r>
        <w:rPr>
          <w:color w:val="222222"/>
          <w:highlight w:val="white"/>
        </w:rPr>
        <w:t xml:space="preserve">, H., (2021). Data collection methods and tools for research; a step-by-step guide to choosing data collection techniques for academic and business research projects. </w:t>
      </w:r>
      <w:r>
        <w:rPr>
          <w:i/>
          <w:iCs/>
          <w:color w:val="222222"/>
          <w:highlight w:val="white"/>
        </w:rPr>
        <w:t>International Journal of Academic Research in Management (IJARM)</w:t>
      </w:r>
      <w:r>
        <w:rPr>
          <w:color w:val="222222"/>
          <w:highlight w:val="white"/>
        </w:rPr>
        <w:t>, </w:t>
      </w:r>
      <w:r>
        <w:rPr>
          <w:i/>
          <w:iCs/>
          <w:color w:val="222222"/>
          <w:highlight w:val="white"/>
        </w:rPr>
        <w:t>10</w:t>
      </w:r>
      <w:r>
        <w:rPr>
          <w:color w:val="222222"/>
          <w:highlight w:val="white"/>
        </w:rPr>
        <w:t>(1), pp.10-38.</w:t>
      </w:r>
      <w:r>
        <w:t xml:space="preserve"> </w:t>
      </w:r>
      <w:r>
        <w:rPr>
          <w:color w:val="0000ff"/>
          <w:u w:val="single"/>
        </w:rPr>
        <w:fldChar w:fldCharType="begin"/>
      </w:r>
      <w:r>
        <w:rPr>
          <w:color w:val="0000ff"/>
          <w:u w:val="single"/>
        </w:rPr>
        <w:instrText xml:space="preserve">HYPERLINK "https://hal.science/hal-03741847v1/file/Data%20Collection%20Methods%20and%20Tools%20for%20Research%20.pdf" </w:instrText>
      </w:r>
      <w:r>
        <w:rPr>
          <w:color w:val="0000ff"/>
          <w:u w:val="single"/>
        </w:rPr>
        <w:fldChar w:fldCharType="separate"/>
      </w:r>
      <w:r>
        <w:rPr>
          <w:color w:val="0000ff"/>
          <w:u w:val="single"/>
        </w:rPr>
        <w:t>https://hal.science/hal-</w:t>
      </w:r>
      <w:r>
        <w:rPr>
          <w:color w:val="0000ff"/>
          <w:u w:val="single"/>
        </w:rPr>
        <w:t>03741847v1/file/Data%20Collection%20Methods%20and%20Tools%20for%20Research%20.pdf</w:t>
      </w:r>
      <w:r>
        <w:fldChar w:fldCharType="end"/>
      </w:r>
    </w:p>
    <w:p w14:paraId="000001AD">
      <w:pPr>
        <w:spacing w:before="200" w:after="200"/>
        <w:rPr>
          <w:color w:val="222222"/>
          <w:highlight w:val="white"/>
        </w:rPr>
      </w:pPr>
      <w:r>
        <w:rPr>
          <w:color w:val="222222"/>
          <w:highlight w:val="white"/>
        </w:rPr>
        <w:t>Valentinov</w:t>
      </w:r>
      <w:r>
        <w:rPr>
          <w:color w:val="222222"/>
          <w:highlight w:val="white"/>
        </w:rPr>
        <w:t xml:space="preserve">, V., (2023). Sustainability and stakeholder theory: a processual perspective. </w:t>
      </w:r>
      <w:r>
        <w:rPr>
          <w:i/>
          <w:iCs/>
          <w:color w:val="222222"/>
          <w:highlight w:val="white"/>
        </w:rPr>
        <w:t>Kybernetes</w:t>
      </w:r>
      <w:r>
        <w:rPr>
          <w:color w:val="222222"/>
          <w:highlight w:val="white"/>
        </w:rPr>
        <w:t xml:space="preserve">, </w:t>
      </w:r>
      <w:r>
        <w:rPr>
          <w:i/>
          <w:iCs/>
          <w:color w:val="222222"/>
          <w:highlight w:val="white"/>
        </w:rPr>
        <w:t>52</w:t>
      </w:r>
      <w:r>
        <w:rPr>
          <w:color w:val="222222"/>
          <w:highlight w:val="white"/>
        </w:rPr>
        <w:t>(13), pp.61-77.</w:t>
      </w:r>
    </w:p>
    <w:p w14:paraId="000001AE">
      <w:pPr>
        <w:spacing w:before="200" w:after="200"/>
        <w:rPr>
          <w:color w:val="222222"/>
          <w:highlight w:val="white"/>
        </w:rPr>
      </w:pPr>
      <w:r>
        <w:rPr>
          <w:color w:val="222222"/>
          <w:highlight w:val="white"/>
        </w:rPr>
        <w:t>Yan, X., Espinosa-</w:t>
      </w:r>
      <w:r>
        <w:rPr>
          <w:color w:val="222222"/>
          <w:highlight w:val="white"/>
        </w:rPr>
        <w:t>Cristia</w:t>
      </w:r>
      <w:r>
        <w:rPr>
          <w:color w:val="222222"/>
          <w:highlight w:val="white"/>
        </w:rPr>
        <w:t xml:space="preserve">, J.F., Kumari, K. and </w:t>
      </w:r>
      <w:r>
        <w:rPr>
          <w:color w:val="222222"/>
          <w:highlight w:val="white"/>
        </w:rPr>
        <w:t>Cioca</w:t>
      </w:r>
      <w:r>
        <w:rPr>
          <w:color w:val="222222"/>
          <w:highlight w:val="white"/>
        </w:rPr>
        <w:t xml:space="preserve">, L.I., (2022). Relationship between corporate social responsibility, organizational trust, and corporate reputation for sustainable performance.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(14), p.8737.</w:t>
      </w:r>
    </w:p>
    <w:p w14:paraId="000001AF">
      <w:pPr>
        <w:spacing w:before="200" w:after="200"/>
        <w:rPr>
          <w:color w:val="222222"/>
          <w:highlight w:val="white"/>
        </w:rPr>
      </w:pPr>
    </w:p>
    <w:p w14:paraId="000001B0">
      <w:pPr>
        <w:spacing w:before="200" w:after="200"/>
        <w:rPr>
          <w:color w:val="222222"/>
          <w:highlight w:val="white"/>
        </w:rPr>
      </w:pPr>
    </w:p>
    <w:p w14:paraId="000001B1">
      <w:pPr>
        <w:spacing w:before="200" w:after="200"/>
        <w:rPr>
          <w:color w:val="222222"/>
          <w:highlight w:val="white"/>
        </w:rPr>
      </w:pPr>
      <w:r>
        <w:rPr/>
        <w:br w:type="page"/>
      </w:r>
    </w:p>
    <w:p w14:paraId="000001B2">
      <w:pPr>
        <w:pStyle w:val="Heading1"/>
        <w:spacing w:before="200" w:after="200"/>
        <w:rPr/>
      </w:pPr>
      <w:bookmarkStart w:id="40" w:name="_ty0oqw3b9u8"/>
      <w:bookmarkEnd w:id="40"/>
      <w:r>
        <w:t>A</w:t>
      </w:r>
      <w:r>
        <w:t>ppendix</w:t>
      </w:r>
    </w:p>
    <w:p w14:paraId="000001B3">
      <w:pPr>
        <w:pStyle w:val="Heading2"/>
        <w:spacing w:before="200" w:after="200"/>
        <w:rPr/>
      </w:pPr>
      <w:bookmarkStart w:id="41" w:name="_vm5jyd5s78em"/>
      <w:bookmarkEnd w:id="41"/>
      <w:r>
        <w:t>S</w:t>
      </w:r>
      <w:r>
        <w:t xml:space="preserve">urvey Questions </w:t>
      </w:r>
    </w:p>
    <w:p w14:paraId="000001B4">
      <w:pPr>
        <w:spacing w:before="200" w:after="200"/>
        <w:rPr/>
      </w:pPr>
      <w:r>
        <w:rPr>
          <w:b/>
          <w:bCs/>
        </w:rPr>
        <w:t xml:space="preserve">Q1. How important </w:t>
      </w:r>
      <w:r>
        <w:rPr>
          <w:b/>
          <w:bCs/>
        </w:rPr>
        <w:t>is sustainability when purchasing fashion products?</w:t>
      </w:r>
      <w:r>
        <w:rPr>
          <w:b/>
          <w:bCs/>
        </w:rPr>
        <w:br w:type="textWrapping"/>
      </w:r>
      <w:r>
        <w:t>A. Very important</w:t>
      </w:r>
    </w:p>
    <w:p w14:paraId="000001B5">
      <w:pPr>
        <w:spacing w:before="200" w:after="200"/>
        <w:rPr/>
      </w:pPr>
      <w:r>
        <w:t>B. Moderately important</w:t>
      </w:r>
    </w:p>
    <w:p w14:paraId="000001B6">
      <w:pPr>
        <w:spacing w:before="200" w:after="200"/>
        <w:rPr/>
      </w:pPr>
      <w:r>
        <w:t>C. Not important</w:t>
      </w:r>
    </w:p>
    <w:p w14:paraId="000001B7">
      <w:pPr>
        <w:spacing w:before="200" w:after="200"/>
        <w:rPr/>
      </w:pPr>
      <w:r>
        <w:rPr/>
        <w:drawing xmlns:mc="http://schemas.openxmlformats.org/markup-compatibility/2006">
          <wp:inline distT="0" distB="0" distL="0" distR="0">
            <wp:extent cx="5943600" cy="2501900"/>
            <wp:effectExtent l="0" t="0" r="0" b="0"/>
            <wp:docPr id="32"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9.png"/>
                    <pic:cNvPicPr preferRelativeResize="0"/>
                  </pic:nvPicPr>
                  <pic:blipFill>
                    <a:blip r:embed="rId70"/>
                    <a:srcRect/>
                    <a:stretch>
                      <a:fillRect/>
                    </a:stretch>
                  </pic:blipFill>
                  <pic:spPr>
                    <a:xfrm>
                      <a:off x="0" y="0"/>
                      <a:ext cx="5943600" cy="2501900"/>
                    </a:xfrm>
                    <a:prstGeom prst="rect">
                      <a:avLst/>
                    </a:prstGeom>
                  </pic:spPr>
                </pic:pic>
              </a:graphicData>
            </a:graphic>
          </wp:inline>
        </w:drawing>
      </w:r>
    </w:p>
    <w:p w14:paraId="000001B8">
      <w:pPr>
        <w:spacing w:before="200" w:after="200"/>
        <w:rPr/>
      </w:pPr>
      <w:r>
        <w:rPr>
          <w:b/>
          <w:bCs/>
        </w:rPr>
        <w:t>Q2. How much do you trust sustainability claims made by UK fashion retailers?</w:t>
      </w:r>
      <w:r>
        <w:rPr>
          <w:b/>
          <w:bCs/>
        </w:rPr>
        <w:br w:type="textWrapping"/>
      </w:r>
      <w:r>
        <w:t>A. Highly trust</w:t>
      </w:r>
    </w:p>
    <w:p w14:paraId="000001B9">
      <w:pPr>
        <w:spacing w:before="200" w:after="200"/>
        <w:rPr/>
      </w:pPr>
      <w:r>
        <w:t>B. Somewhat trust</w:t>
      </w:r>
    </w:p>
    <w:p w14:paraId="000001BA">
      <w:pPr>
        <w:spacing w:before="200" w:after="200"/>
        <w:rPr/>
      </w:pPr>
      <w:r>
        <w:t>C. Do not trust</w:t>
      </w:r>
    </w:p>
    <w:p w14:paraId="000001BB">
      <w:pPr>
        <w:spacing w:before="200" w:after="200"/>
        <w:rPr/>
      </w:pPr>
      <w:r>
        <w:rPr/>
        <w:drawing xmlns:mc="http://schemas.openxmlformats.org/markup-compatibility/2006">
          <wp:inline distT="0" distB="0" distL="0" distR="0">
            <wp:extent cx="5943600" cy="2501900"/>
            <wp:effectExtent l="0" t="0" r="0" b="0"/>
            <wp:docPr id="33"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13.png"/>
                    <pic:cNvPicPr preferRelativeResize="0"/>
                  </pic:nvPicPr>
                  <pic:blipFill>
                    <a:blip r:embed="rId71"/>
                    <a:srcRect/>
                    <a:stretch>
                      <a:fillRect/>
                    </a:stretch>
                  </pic:blipFill>
                  <pic:spPr>
                    <a:xfrm>
                      <a:off x="0" y="0"/>
                      <a:ext cx="5943600" cy="2501900"/>
                    </a:xfrm>
                    <a:prstGeom prst="rect">
                      <a:avLst/>
                    </a:prstGeom>
                  </pic:spPr>
                </pic:pic>
              </a:graphicData>
            </a:graphic>
          </wp:inline>
        </w:drawing>
      </w:r>
    </w:p>
    <w:p w14:paraId="000001BC">
      <w:pPr>
        <w:spacing w:before="200" w:after="200"/>
        <w:rPr/>
      </w:pPr>
      <w:r>
        <w:rPr>
          <w:b/>
          <w:bCs/>
        </w:rPr>
        <w:t>Q3. How</w:t>
      </w:r>
      <w:r>
        <w:rPr>
          <w:b/>
          <w:bCs/>
        </w:rPr>
        <w:t xml:space="preserve"> often do you look for sustainability information before buying clothing?</w:t>
      </w:r>
      <w:r>
        <w:rPr>
          <w:b/>
          <w:bCs/>
        </w:rPr>
        <w:br w:type="textWrapping"/>
      </w:r>
      <w:r>
        <w:t>A. Always</w:t>
      </w:r>
    </w:p>
    <w:p w14:paraId="000001BD">
      <w:pPr>
        <w:spacing w:before="200" w:after="200"/>
        <w:rPr/>
      </w:pPr>
      <w:r>
        <w:t xml:space="preserve">B. </w:t>
      </w:r>
      <w:r>
        <w:t>Sometimes</w:t>
      </w:r>
      <w:r>
        <w:t>C</w:t>
      </w:r>
      <w:r>
        <w:t>. Never</w:t>
      </w:r>
    </w:p>
    <w:p w14:paraId="000001BE">
      <w:pPr>
        <w:spacing w:before="200" w:after="200"/>
        <w:rPr/>
      </w:pPr>
      <w:r>
        <w:rPr/>
        <w:drawing xmlns:mc="http://schemas.openxmlformats.org/markup-compatibility/2006">
          <wp:inline distT="0" distB="0" distL="0" distR="0">
            <wp:extent cx="5943600" cy="2501900"/>
            <wp:effectExtent l="0" t="0" r="0" b="0"/>
            <wp:docPr id="3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8.png"/>
                    <pic:cNvPicPr preferRelativeResize="0"/>
                  </pic:nvPicPr>
                  <pic:blipFill>
                    <a:blip r:embed="rId72"/>
                    <a:srcRect/>
                    <a:stretch>
                      <a:fillRect/>
                    </a:stretch>
                  </pic:blipFill>
                  <pic:spPr>
                    <a:xfrm>
                      <a:off x="0" y="0"/>
                      <a:ext cx="5943600" cy="2501900"/>
                    </a:xfrm>
                    <a:prstGeom prst="rect">
                      <a:avLst/>
                    </a:prstGeom>
                  </pic:spPr>
                </pic:pic>
              </a:graphicData>
            </a:graphic>
          </wp:inline>
        </w:drawing>
      </w:r>
    </w:p>
    <w:p w14:paraId="000001BF">
      <w:pPr>
        <w:spacing w:before="200" w:after="200"/>
        <w:rPr/>
      </w:pPr>
      <w:r>
        <w:rPr>
          <w:b/>
          <w:bCs/>
        </w:rPr>
        <w:t>Q4. Which type of sustainability communication increases your trust the most?</w:t>
      </w:r>
      <w:r>
        <w:rPr>
          <w:b/>
          <w:bCs/>
        </w:rPr>
        <w:br w:type="textWrapping"/>
      </w:r>
      <w:r>
        <w:t>A. Transparent sustainability reports</w:t>
      </w:r>
    </w:p>
    <w:p w14:paraId="000001C0">
      <w:pPr>
        <w:spacing w:before="200" w:after="200"/>
        <w:rPr/>
      </w:pPr>
      <w:r>
        <w:t>B. Eco-labels or certificat</w:t>
      </w:r>
      <w:r>
        <w:t>ions</w:t>
      </w:r>
    </w:p>
    <w:p w14:paraId="000001C1">
      <w:pPr>
        <w:spacing w:before="200" w:after="200"/>
        <w:rPr/>
      </w:pPr>
      <w:r>
        <w:t>C. Brand advertising or marketing campaigns</w:t>
      </w:r>
    </w:p>
    <w:p w14:paraId="000001C2">
      <w:pPr>
        <w:spacing w:before="200" w:after="200"/>
        <w:rPr/>
      </w:pPr>
      <w:r>
        <w:rPr/>
        <w:drawing xmlns:mc="http://schemas.openxmlformats.org/markup-compatibility/2006">
          <wp:inline distT="0" distB="0" distL="0" distR="0">
            <wp:extent cx="5943600" cy="2501900"/>
            <wp:effectExtent l="0" t="0" r="0" b="0"/>
            <wp:docPr id="35"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1.png"/>
                    <pic:cNvPicPr preferRelativeResize="0"/>
                  </pic:nvPicPr>
                  <pic:blipFill>
                    <a:blip r:embed="rId73"/>
                    <a:srcRect/>
                    <a:stretch>
                      <a:fillRect/>
                    </a:stretch>
                  </pic:blipFill>
                  <pic:spPr>
                    <a:xfrm>
                      <a:off x="0" y="0"/>
                      <a:ext cx="5943600" cy="2501900"/>
                    </a:xfrm>
                    <a:prstGeom prst="rect">
                      <a:avLst/>
                    </a:prstGeom>
                  </pic:spPr>
                </pic:pic>
              </a:graphicData>
            </a:graphic>
          </wp:inline>
        </w:drawing>
      </w:r>
    </w:p>
    <w:p w14:paraId="000001C3">
      <w:pPr>
        <w:spacing w:before="200" w:after="200"/>
        <w:rPr/>
      </w:pPr>
      <w:r>
        <w:rPr>
          <w:b/>
          <w:bCs/>
        </w:rPr>
        <w:t>Q5. How do you feel when brands provide limited information about their sustainability practices?</w:t>
      </w:r>
      <w:r>
        <w:rPr>
          <w:b/>
          <w:bCs/>
        </w:rPr>
        <w:br w:type="textWrapping"/>
      </w:r>
      <w:r>
        <w:t>A. My trust decreases</w:t>
      </w:r>
    </w:p>
    <w:p w14:paraId="000001C4">
      <w:pPr>
        <w:spacing w:before="200" w:after="200"/>
        <w:rPr/>
      </w:pPr>
      <w:r>
        <w:t>B. It does not affect my opinion</w:t>
      </w:r>
    </w:p>
    <w:p w14:paraId="000001C5">
      <w:pPr>
        <w:spacing w:before="200" w:after="200"/>
        <w:rPr/>
      </w:pPr>
      <w:r>
        <w:t>C. I am unsure</w:t>
      </w:r>
    </w:p>
    <w:p w14:paraId="000001C6">
      <w:pPr>
        <w:spacing w:before="200" w:after="200"/>
        <w:rPr/>
      </w:pPr>
      <w:r>
        <w:rPr/>
        <w:drawing xmlns:mc="http://schemas.openxmlformats.org/markup-compatibility/2006">
          <wp:inline distT="0" distB="0" distL="0" distR="0">
            <wp:extent cx="5943600" cy="2501900"/>
            <wp:effectExtent l="0" t="0" r="0" b="0"/>
            <wp:docPr id="36"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12.png"/>
                    <pic:cNvPicPr preferRelativeResize="0"/>
                  </pic:nvPicPr>
                  <pic:blipFill>
                    <a:blip r:embed="rId74"/>
                    <a:srcRect/>
                    <a:stretch>
                      <a:fillRect/>
                    </a:stretch>
                  </pic:blipFill>
                  <pic:spPr>
                    <a:xfrm>
                      <a:off x="0" y="0"/>
                      <a:ext cx="5943600" cy="2501900"/>
                    </a:xfrm>
                    <a:prstGeom prst="rect">
                      <a:avLst/>
                    </a:prstGeom>
                  </pic:spPr>
                </pic:pic>
              </a:graphicData>
            </a:graphic>
          </wp:inline>
        </w:drawing>
      </w:r>
    </w:p>
    <w:p w14:paraId="000001C7">
      <w:pPr>
        <w:spacing w:before="200" w:after="200"/>
        <w:rPr/>
      </w:pPr>
      <w:r>
        <w:rPr>
          <w:b/>
          <w:bCs/>
        </w:rPr>
        <w:t>Q6. Do you believe fashion brands should communicate both sustainability achievements and challenges openly?</w:t>
      </w:r>
      <w:r>
        <w:rPr>
          <w:b/>
          <w:bCs/>
        </w:rPr>
        <w:br w:type="textWrapping"/>
      </w:r>
      <w:r>
        <w:t>A. Yes</w:t>
      </w:r>
    </w:p>
    <w:p w14:paraId="000001C8">
      <w:pPr>
        <w:spacing w:before="200" w:after="200"/>
        <w:rPr/>
      </w:pPr>
      <w:r>
        <w:t>B. Maybe</w:t>
      </w:r>
    </w:p>
    <w:p w14:paraId="000001C9">
      <w:pPr>
        <w:spacing w:before="200" w:after="200"/>
        <w:rPr/>
      </w:pPr>
      <w:r>
        <w:t>C. No</w:t>
      </w:r>
    </w:p>
    <w:p w14:paraId="000001CA">
      <w:pPr>
        <w:spacing w:before="200" w:after="200"/>
        <w:rPr/>
      </w:pPr>
      <w:r>
        <w:rPr/>
        <w:drawing xmlns:mc="http://schemas.openxmlformats.org/markup-compatibility/2006">
          <wp:inline distT="0" distB="0" distL="0" distR="0">
            <wp:extent cx="5943600" cy="2692400"/>
            <wp:effectExtent l="0" t="0" r="0" b="0"/>
            <wp:docPr id="37"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4.png"/>
                    <pic:cNvPicPr preferRelativeResize="0"/>
                  </pic:nvPicPr>
                  <pic:blipFill>
                    <a:blip r:embed="rId75"/>
                    <a:srcRect/>
                    <a:stretch>
                      <a:fillRect/>
                    </a:stretch>
                  </pic:blipFill>
                  <pic:spPr>
                    <a:xfrm>
                      <a:off x="0" y="0"/>
                      <a:ext cx="5943600" cy="2692400"/>
                    </a:xfrm>
                    <a:prstGeom prst="rect">
                      <a:avLst/>
                    </a:prstGeom>
                  </pic:spPr>
                </pic:pic>
              </a:graphicData>
            </a:graphic>
          </wp:inline>
        </w:drawing>
      </w:r>
    </w:p>
    <w:p w14:paraId="000001CB">
      <w:pPr>
        <w:spacing w:before="200" w:after="200"/>
        <w:rPr/>
      </w:pPr>
      <w:r>
        <w:rPr>
          <w:b/>
          <w:bCs/>
        </w:rPr>
        <w:t>Q7. How aware are you of brands reducing or avoiding sustainability communication (greenwashing)?</w:t>
      </w:r>
      <w:r>
        <w:rPr>
          <w:b/>
          <w:bCs/>
        </w:rPr>
        <w:br w:type="textWrapping"/>
      </w:r>
      <w:r>
        <w:t>A. Fully aware</w:t>
      </w:r>
    </w:p>
    <w:p w14:paraId="000001CC">
      <w:pPr>
        <w:spacing w:before="200" w:after="200"/>
        <w:rPr/>
      </w:pPr>
      <w:r>
        <w:t>B. Sl</w:t>
      </w:r>
      <w:r>
        <w:t>ightly aware</w:t>
      </w:r>
    </w:p>
    <w:p w14:paraId="000001CD">
      <w:pPr>
        <w:spacing w:before="200" w:after="200"/>
        <w:rPr/>
      </w:pPr>
      <w:r>
        <w:t>C. Not aware</w:t>
      </w:r>
    </w:p>
    <w:p w14:paraId="000001CE">
      <w:pPr>
        <w:spacing w:before="200" w:after="200"/>
        <w:rPr/>
      </w:pPr>
      <w:r>
        <w:rPr/>
        <w:drawing xmlns:mc="http://schemas.openxmlformats.org/markup-compatibility/2006">
          <wp:inline distT="0" distB="0" distL="0" distR="0">
            <wp:extent cx="5943600" cy="2692400"/>
            <wp:effectExtent l="0" t="0" r="0" b="0"/>
            <wp:docPr id="38"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11.png"/>
                    <pic:cNvPicPr preferRelativeResize="0"/>
                  </pic:nvPicPr>
                  <pic:blipFill>
                    <a:blip r:embed="rId76"/>
                    <a:srcRect/>
                    <a:stretch>
                      <a:fillRect/>
                    </a:stretch>
                  </pic:blipFill>
                  <pic:spPr>
                    <a:xfrm>
                      <a:off x="0" y="0"/>
                      <a:ext cx="5943600" cy="2692400"/>
                    </a:xfrm>
                    <a:prstGeom prst="rect">
                      <a:avLst/>
                    </a:prstGeom>
                  </pic:spPr>
                </pic:pic>
              </a:graphicData>
            </a:graphic>
          </wp:inline>
        </w:drawing>
      </w:r>
    </w:p>
    <w:p w14:paraId="000001CF">
      <w:pPr>
        <w:spacing w:before="200" w:after="200"/>
        <w:rPr/>
      </w:pPr>
      <w:r>
        <w:rPr>
          <w:b/>
          <w:bCs/>
        </w:rPr>
        <w:t>Q8. Would transparent sustainability communication influence your future purchasing decisions?</w:t>
      </w:r>
      <w:r>
        <w:rPr>
          <w:b/>
          <w:bCs/>
        </w:rPr>
        <w:br w:type="textWrapping"/>
      </w:r>
      <w:r>
        <w:t>A. Yes, strongly influence</w:t>
      </w:r>
    </w:p>
    <w:p w14:paraId="000001D0">
      <w:pPr>
        <w:spacing w:before="200" w:after="200"/>
        <w:rPr/>
      </w:pPr>
      <w:r>
        <w:t>B. Influence somewhat</w:t>
      </w:r>
    </w:p>
    <w:p w14:paraId="000001D1">
      <w:pPr>
        <w:spacing w:before="200" w:after="200"/>
        <w:rPr/>
      </w:pPr>
      <w:r>
        <w:t>C. No influence</w:t>
      </w:r>
    </w:p>
    <w:p w14:paraId="000001D2">
      <w:pPr>
        <w:spacing w:before="200" w:after="200"/>
        <w:rPr/>
      </w:pPr>
      <w:r>
        <w:rPr/>
        <w:drawing xmlns:mc="http://schemas.openxmlformats.org/markup-compatibility/2006">
          <wp:inline distT="0" distB="0" distL="0" distR="0">
            <wp:extent cx="5943600" cy="2501900"/>
            <wp:effectExtent l="0" t="0" r="0" b="0"/>
            <wp:docPr id="39"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10.png"/>
                    <pic:cNvPicPr preferRelativeResize="0"/>
                  </pic:nvPicPr>
                  <pic:blipFill>
                    <a:blip r:embed="rId77"/>
                    <a:srcRect/>
                    <a:stretch>
                      <a:fillRect/>
                    </a:stretch>
                  </pic:blipFill>
                  <pic:spPr>
                    <a:xfrm>
                      <a:off x="0" y="0"/>
                      <a:ext cx="5943600" cy="2501900"/>
                    </a:xfrm>
                    <a:prstGeom prst="rect">
                      <a:avLst/>
                    </a:prstGeom>
                  </pic:spPr>
                </pic:pic>
              </a:graphicData>
            </a:graphic>
          </wp:inline>
        </w:drawing>
      </w:r>
    </w:p>
    <w:p w14:paraId="000001D3">
      <w:pPr>
        <w:spacing w:before="200" w:after="200"/>
        <w:rPr/>
      </w:pPr>
    </w:p>
    <w:sectPr>
      <w:headerReference w:type="default" r:id="rId78"/>
      <w:headerReference w:type="first" r:id="rId79"/>
      <w:headerReference w:type="even" r:id="rId80"/>
      <w:footerReference w:type="default" r:id="rId81"/>
      <w:footerReference w:type="first" r:id="rId82"/>
      <w:footerReference w:type="even" r:id="rId8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line="240" w:lineRule="auto"/>
        <w:rPr/>
      </w:pPr>
      <w:r>
        <w:rPr/>
        <w:separator/>
      </w:r>
    </w:p>
  </w:endnote>
  <w:endnote w:type="continuationSeparator" w:id="1">
    <w:p w14:paraId="00000004">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embedRegular r:id="rId1" w:fontKey="{F730FD03-D17C-4CA9-9099-F1D2BA61CD6E}"/>
  </w:font>
  <w:font w:name="Cambria">
    <w:panose1 w:val="02040503050406030204"/>
    <w:charset w:val="00"/>
    <w:family w:val="roman"/>
    <w:pitch w:val="variable"/>
    <w:sig w:usb0="00000000" w:usb1="420024ff" w:usb2="02000000" w:usb3="00000000" w:csb0="0000019f" w:csb1="00000000"/>
    <w:embedRegular r:id="rId2" w:fontKey="{5BC837FF-49C7-477A-B128-AE31895FC36A}"/>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7">
    <w:pPr>
      <w:pBdr>
        <w:top w:val="nil" w:sz="4" w:space="0"/>
        <w:left w:val="nil" w:sz="4" w:space="0"/>
        <w:bottom w:val="nil" w:sz="4" w:space="0"/>
        <w:right w:val="nil" w:sz="4" w:space="0"/>
        <w:between w:val="nil" w:sz="4" w:space="0"/>
      </w:pBdr>
      <w:tabs>
        <w:tab w:val="center" w:pos="4513"/>
        <w:tab w:val="right" w:pos="9026"/>
      </w:tabs>
      <w:spacing w:line="240" w:lineRule="auto"/>
      <w:jc w:val="right"/>
      <w:rPr>
        <w:b/>
        <w:bCs/>
        <w:color w:val="000000"/>
      </w:rPr>
    </w:pPr>
    <w:r>
      <w:rPr>
        <w:color w:val="000000"/>
      </w:rPr>
      <w:t xml:space="preserve">Page </w:t>
    </w:r>
    <w:r>
      <w:rPr>
        <w:b/>
        <w:bCs/>
        <w:color w:val="000000"/>
      </w:rPr>
      <w:fldChar w:fldCharType="begin"/>
    </w:r>
    <w:r>
      <w:rPr>
        <w:b/>
        <w:bCs/>
        <w:color w:val="000000"/>
      </w:rPr>
      <w:instrText xml:space="preserve">PAGE</w:instrText>
    </w:r>
    <w:r>
      <w:rPr>
        <w:b/>
        <w:bCs/>
        <w:color w:val="000000"/>
      </w:rPr>
      <w:fldChar w:fldCharType="separate"/>
    </w:r>
    <w:r>
      <w:rPr>
        <w:b/>
        <w:bCs/>
        <w:color w:val="000000"/>
      </w:rPr>
      <w:t>2</w:t>
    </w:r>
    <w:r>
      <w:rPr>
        <w:color w:val="000000"/>
      </w:rPr>
      <w:fldChar w:fldCharType="end"/>
    </w:r>
    <w:r>
      <w:rPr>
        <w:color w:val="000000"/>
      </w:rPr>
      <w:t xml:space="preserve"> of </w:t>
    </w:r>
    <w:r>
      <w:rPr>
        <w:b/>
        <w:bCs/>
        <w:color w:val="000000"/>
      </w:rPr>
      <w:fldChar w:fldCharType="begin"/>
    </w:r>
    <w:r>
      <w:rPr>
        <w:b/>
        <w:bCs/>
        <w:color w:val="000000"/>
      </w:rPr>
      <w:instrText xml:space="preserve">NUMPAGES</w:instrText>
    </w:r>
    <w:r>
      <w:rPr>
        <w:b/>
        <w:bCs/>
        <w:color w:val="000000"/>
      </w:rPr>
      <w:fldChar w:fldCharType="separate"/>
    </w:r>
    <w:r>
      <w:rPr>
        <w:b/>
        <w:bCs/>
        <w:color w:val="000000"/>
      </w:rPr>
      <w:t>2</w:t>
    </w:r>
    <w:r>
      <w:rPr>
        <w:b/>
        <w:bCs/>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8">
    <w:pPr>
      <w:pBdr>
        <w:top w:val="nil" w:sz="4" w:space="0"/>
        <w:left w:val="nil" w:sz="4" w:space="0"/>
        <w:bottom w:val="nil" w:sz="4" w:space="0"/>
        <w:right w:val="nil" w:sz="4" w:space="0"/>
        <w:between w:val="nil" w:sz="4" w:space="0"/>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9">
    <w:pPr>
      <w:pBdr>
        <w:top w:val="nil" w:sz="4" w:space="0"/>
        <w:left w:val="nil" w:sz="4" w:space="0"/>
        <w:bottom w:val="nil" w:sz="4" w:space="0"/>
        <w:right w:val="nil" w:sz="4" w:space="0"/>
        <w:between w:val="nil" w:sz="4" w:space="0"/>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line="240" w:lineRule="auto"/>
        <w:rPr/>
      </w:pPr>
      <w:r>
        <w:rPr/>
        <w:separator/>
      </w:r>
    </w:p>
  </w:footnote>
  <w:footnote w:type="continuationSeparator" w:id="1">
    <w:p w14:paraId="00000002">
      <w:pPr>
        <w:spacing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4">
    <w:pPr>
      <w:jc w:val="right"/>
      <w:rPr/>
    </w:pPr>
    <w:r>
      <w:t>LCLM6005- Independent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5">
    <w:pPr>
      <w:pBdr>
        <w:top w:val="nil" w:sz="4" w:space="0"/>
        <w:left w:val="nil" w:sz="4" w:space="0"/>
        <w:bottom w:val="nil" w:sz="4" w:space="0"/>
        <w:right w:val="nil" w:sz="4" w:space="0"/>
        <w:between w:val="nil" w:sz="4" w:space="0"/>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D6">
    <w:pPr>
      <w:pBdr>
        <w:top w:val="nil" w:sz="4" w:space="0"/>
        <w:left w:val="nil" w:sz="4" w:space="0"/>
        <w:bottom w:val="nil" w:sz="4" w:space="0"/>
        <w:right w:val="nil" w:sz="4" w:space="0"/>
        <w:between w:val="nil" w:sz="4" w:space="0"/>
      </w:pBdr>
      <w:tabs>
        <w:tab w:val="center" w:pos="4513"/>
        <w:tab w:val="right" w:pos="9026"/>
      </w:tabs>
      <w:spacing w:line="240" w:lineRule="auto"/>
      <w:rPr>
        <w:color w:val="000000"/>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multiLevelType w:val="multilevel"/>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0A5"/>
    <w:rsid w:val="004B1503"/>
    <w:rsid w:val="00C62557"/>
    <w:rsid w:val="00D96D27"/>
    <w:rsid w:val="00EF5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8790"/>
  <w15:docId w15:val="{DC321642-9C0A-46BE-AAAF-E3C392684008}"/>
  <w:footnotePr>
    <w:footnote w:id="0"/>
    <w:footnote w:id="1"/>
  </w:footnotePr>
  <w:endnotePr>
    <w:endnote w:id="0"/>
    <w:endnote w:id="1"/>
  </w:endnotePr>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val="en-GB" w:bidi="ar-SA" w:eastAsia="en-GB"/>
      </w:rPr>
    </w:rPrDefault>
    <w:pPrDefault>
      <w:pPr>
        <w:spacing w:line="48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pPr>
    <w:rPr>
      <w:b/>
      <w:bCs/>
      <w:sz w:val="28"/>
      <w:szCs w:val="28"/>
    </w:rPr>
  </w:style>
  <w:style w:type="paragraph" w:styleId="Heading2">
    <w:name w:val="Heading 2"/>
    <w:basedOn w:val="Normal"/>
    <w:next w:val="Normal"/>
    <w:uiPriority w:val="9"/>
    <w:unhideWhenUsed w:val="on"/>
    <w:qFormat w:val="on"/>
    <w:pPr>
      <w:keepNext w:val="on"/>
      <w:keepLines w:val="on"/>
    </w:pPr>
    <w:rPr>
      <w:b/>
      <w:bCs/>
      <w:sz w:val="26"/>
      <w:szCs w:val="26"/>
    </w:rPr>
  </w:style>
  <w:style w:type="paragraph" w:styleId="Heading3">
    <w:name w:val="Heading 3"/>
    <w:basedOn w:val="Normal"/>
    <w:next w:val="Normal"/>
    <w:uiPriority w:val="9"/>
    <w:semiHidden w:val="on"/>
    <w:unhideWhenUsed w:val="on"/>
    <w:qFormat w:val="on"/>
    <w:pPr>
      <w:keepNext w:val="on"/>
      <w:keepLines w:val="on"/>
    </w:pPr>
    <w:rPr>
      <w:i/>
      <w:iCs/>
      <w:u w:val="single"/>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sz w:val="22"/>
      <w:szCs w:val="22"/>
    </w:rPr>
  </w:style>
  <w:style w:type="paragraph" w:styleId="Heading6">
    <w:name w:val="Heading 6"/>
    <w:basedOn w:val="Normal"/>
    <w:next w:val="Normal"/>
    <w:uiPriority w:val="9"/>
    <w:semiHidden w:val="on"/>
    <w:unhideWhenUsed w:val="on"/>
    <w:qFormat w:val="on"/>
    <w:pPr>
      <w:keepNext w:val="on"/>
      <w:keepLines w:val="on"/>
      <w:spacing w:before="240" w:after="80"/>
    </w:pPr>
    <w:rPr>
      <w:i/>
      <w:iCs/>
      <w:color w:val="666666"/>
      <w:sz w:val="22"/>
      <w:szCs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Normal"/>
    <w:uiPriority w:val="99"/>
    <w:tblPr>
      <w:tblCellMar>
        <w:top w:w="100" w:type="dxa"/>
        <w:left w:w="100" w:type="dxa"/>
        <w:bottom w:w="100" w:type="dxa"/>
        <w:right w:w="100" w:type="dxa"/>
      </w:tblCellMar>
    </w:tblPr>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rFonts w:ascii="Arial" w:cs="Arial" w:eastAsia="Arial" w:hAnsi="Arial"/>
      <w:color w:val="666666"/>
      <w:sz w:val="30"/>
      <w:szCs w:val="30"/>
    </w:rPr>
  </w:style>
  <w:style w:type="table" w:customStyle="1" w:styleId="A">
    <w:name w:val="A"/>
    <w:basedOn w:val="TableNormal"/>
    <w:uiPriority w:val="99"/>
    <w:tblPr>
      <w:tblStyleRowBandSize w:val="1"/>
      <w:tblStyleColBandSize w:val="1"/>
    </w:tblPr>
  </w:style>
  <w:style w:type="table" w:customStyle="1" w:styleId="A0">
    <w:name w:val="A0"/>
    <w:basedOn w:val="TableNormal"/>
    <w:uiPriority w:val="99"/>
    <w:tblPr>
      <w:tblStyleRowBandSize w:val="1"/>
      <w:tblStyleColBandSize w:val="1"/>
    </w:tblPr>
  </w:style>
  <w:style w:type="table" w:customStyle="1" w:styleId="A1">
    <w:name w:val="A1"/>
    <w:basedOn w:val="TableNormal"/>
    <w:uiPriority w:val="99"/>
    <w:tblPr>
      <w:tblStyleRowBandSize w:val="1"/>
      <w:tblStyleColBandSize w:val="1"/>
    </w:tblPr>
  </w:style>
  <w:style w:type="table" w:customStyle="1" w:styleId="A2">
    <w:name w:val="A2"/>
    <w:basedOn w:val="TableNormal"/>
    <w:uiPriority w:val="99"/>
    <w:tblPr>
      <w:tblStyleRowBandSize w:val="1"/>
      <w:tblStyleColBandSize w:val="1"/>
    </w:tblPr>
  </w:style>
  <w:style w:type="table" w:customStyle="1" w:styleId="A3">
    <w:name w:val="A3"/>
    <w:basedOn w:val="TableNormal"/>
    <w:uiPriority w:val="99"/>
    <w:tblPr>
      <w:tblStyleRowBandSize w:val="1"/>
      <w:tblStyleColBandSize w:val="1"/>
    </w:tblPr>
  </w:style>
  <w:style w:type="table" w:customStyle="1" w:styleId="A4">
    <w:name w:val="A4"/>
    <w:basedOn w:val="TableNormal"/>
    <w:uiPriority w:val="99"/>
    <w:tblPr>
      <w:tblStyleRowBandSize w:val="1"/>
      <w:tblStyleColBandSize w:val="1"/>
    </w:tblPr>
  </w:style>
  <w:style w:type="table" w:customStyle="1" w:styleId="A5">
    <w:name w:val="A5"/>
    <w:basedOn w:val="TableNormal"/>
    <w:uiPriority w:val="99"/>
    <w:tblPr>
      <w:tblStyleRowBandSize w:val="1"/>
      <w:tblStyleColBandSize w:val="1"/>
    </w:tblPr>
  </w:style>
  <w:style w:type="table" w:customStyle="1" w:styleId="A6">
    <w:name w:val="A6"/>
    <w:basedOn w:val="TableNormal"/>
    <w:uiPriority w:val="99"/>
    <w:tblPr>
      <w:tblStyleRowBandSize w:val="1"/>
      <w:tblStyleColBandSize w:val="1"/>
    </w:tblPr>
  </w:style>
  <w:style w:type="table" w:customStyle="1" w:styleId="A7">
    <w:name w:val="A7"/>
    <w:basedOn w:val="TableNormal"/>
    <w:uiPriority w:val="99"/>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4" Type="http://schemas.openxmlformats.org/officeDocument/2006/relationships/fontTable" Target="fontTable.xml"/><Relationship Id="rId45" Type="http://schemas.openxmlformats.org/officeDocument/2006/relationships/theme" Target="theme/theme1.xml"/><Relationship Id="rId5" Type="http://schemas.openxmlformats.org/officeDocument/2006/relationships/footnotes" Target="footnotes.xml"/><Relationship Id="rId6" Type="http://schemas.openxmlformats.org/officeDocument/2006/relationships/endnotes" Target="endnotes.xml"/><Relationship Id="rId65" Type="http://schemas.openxmlformats.org/officeDocument/2006/relationships/image" Target="media/image1.png"/><Relationship Id="rId66" Type="http://schemas.openxmlformats.org/officeDocument/2006/relationships/image" Target="media/image2.png"/><Relationship Id="rId67" Type="http://schemas.openxmlformats.org/officeDocument/2006/relationships/image" Target="media/image3.png"/><Relationship Id="rId68" Type="http://schemas.openxmlformats.org/officeDocument/2006/relationships/image" Target="media/image4.png"/><Relationship Id="rId69" Type="http://schemas.openxmlformats.org/officeDocument/2006/relationships/image" Target="media/image5.png"/><Relationship Id="rId70" Type="http://schemas.openxmlformats.org/officeDocument/2006/relationships/image" Target="media/image6.png"/><Relationship Id="rId71" Type="http://schemas.openxmlformats.org/officeDocument/2006/relationships/image" Target="media/image7.png"/><Relationship Id="rId72" Type="http://schemas.openxmlformats.org/officeDocument/2006/relationships/image" Target="media/image8.png"/><Relationship Id="rId73" Type="http://schemas.openxmlformats.org/officeDocument/2006/relationships/image" Target="media/image9.png"/><Relationship Id="rId74" Type="http://schemas.openxmlformats.org/officeDocument/2006/relationships/image" Target="media/image10.png"/><Relationship Id="rId75" Type="http://schemas.openxmlformats.org/officeDocument/2006/relationships/image" Target="media/image11.png"/><Relationship Id="rId76" Type="http://schemas.openxmlformats.org/officeDocument/2006/relationships/image" Target="media/image12.png"/><Relationship Id="rId77" Type="http://schemas.openxmlformats.org/officeDocument/2006/relationships/image" Target="media/image13.png"/><Relationship Id="rId78" Type="http://schemas.openxmlformats.org/officeDocument/2006/relationships/header" Target="header1.xml"/><Relationship Id="rId79" Type="http://schemas.openxmlformats.org/officeDocument/2006/relationships/header" Target="header2.xml"/><Relationship Id="rId80" Type="http://schemas.openxmlformats.org/officeDocument/2006/relationships/header" Target="header3.xml"/><Relationship Id="rId81" Type="http://schemas.openxmlformats.org/officeDocument/2006/relationships/footer" Target="footer1.xml"/><Relationship Id="rId82" Type="http://schemas.openxmlformats.org/officeDocument/2006/relationships/footer" Target="footer2.xml"/><Relationship Id="rId83" Type="http://schemas.openxmlformats.org/officeDocument/2006/relationships/footer" Target="footer3.xml"/><Relationship Id="rId4" Type="http://schemas.openxmlformats.org/officeDocument/2006/relationships/webSettings" Target="webSettings.xml"/><Relationship Id="rId12" Type="http://schemas.openxmlformats.org/officeDocument/2006/relationships/hyperlink" Target="https://link.springer.com/article/10.1007/s10668-022-02887-2" TargetMode="External"/><Relationship Id="rId13" Type="http://schemas.openxmlformats.org/officeDocument/2006/relationships/hyperlink" Target="https://www.mdpi.com/2071-1050/16/7/2738" TargetMode="External"/><Relationship Id="rId14" Type="http://schemas.openxmlformats.org/officeDocument/2006/relationships/hyperlink" Target="https://link.springer.com/chapter/10.1007/978-3-032-10212-6_8" TargetMode="External"/><Relationship Id="rId15" Type="http://schemas.openxmlformats.org/officeDocument/2006/relationships/hyperlink" Target="https://www.diva-portal.org/smash/record.jsf?pid=diva2:1777657" TargetMode="External"/><Relationship Id="rId16" Type="http://schemas.openxmlformats.org/officeDocument/2006/relationships/hyperlink" Target="https://global.asrcconference.com/index.php/asrc/article/view/64" TargetMode="External"/><Relationship Id="rId17" Type="http://schemas.openxmlformats.org/officeDocument/2006/relationships/hyperlink" Target="https://www.tandfonline.com/doi/abs/10.1080/17569370.2022.2125149" TargetMode="External"/><Relationship Id="rId18" Type="http://schemas.openxmlformats.org/officeDocument/2006/relationships/hyperlink" Target="https://norma.ncirl.ie/id/eprint/8482" TargetMode="External"/><Relationship Id="rId19" Type="http://schemas.openxmlformats.org/officeDocument/2006/relationships/hyperlink" Target="https://bibliotekanauki.pl/articles/2083237.pdf" TargetMode="External"/><Relationship Id="rId20" Type="http://schemas.openxmlformats.org/officeDocument/2006/relationships/hyperlink" Target="https://par.nsf.gov/servlets/purl/10309139" TargetMode="External"/><Relationship Id="rId21" Type="http://schemas.openxmlformats.org/officeDocument/2006/relationships/hyperlink" Target="https://ufs.emnuvens.com.br/revtee/article/view/15614" TargetMode="External"/><Relationship Id="rId22" Type="http://schemas.openxmlformats.org/officeDocument/2006/relationships/hyperlink" Target="http://dspace.vnbrims.org:13000/jspui/bitstream/123456789/4666/1/RESEARCH%20METHODOLOGY%20TOOLS%20AND%20TECHNIQUES.pdf" TargetMode="External"/><Relationship Id="rId23" Type="http://schemas.openxmlformats.org/officeDocument/2006/relationships/hyperlink" Target="https://www.emerald.com/cr/article/32/3/350/81857" TargetMode="External"/><Relationship Id="rId24" Type="http://schemas.openxmlformats.org/officeDocument/2006/relationships/hyperlink" Target="https://f1000research.com/articles/14-97" TargetMode="External"/><Relationship Id="rId25" Type="http://schemas.openxmlformats.org/officeDocument/2006/relationships/hyperlink" Target="https://www.emerald.com/ijrdm/article/52/1/44/1232569" TargetMode="External"/><Relationship Id="rId26" Type="http://schemas.openxmlformats.org/officeDocument/2006/relationships/hyperlink" Target="https://www.ijlrp.com/research-paper.php?id=1885" TargetMode="External"/><Relationship Id="rId27" Type="http://schemas.openxmlformats.org/officeDocument/2006/relationships/hyperlink" Target="https://www.scirp.org/reference/referencespapers?referenceid=2907709" TargetMode="External"/><Relationship Id="rId28" Type="http://schemas.openxmlformats.org/officeDocument/2006/relationships/hyperlink" Target="https://jbrmr.com/cdn/article_file/2024-11-02-12-39-06-PM.pdf" TargetMode="External"/><Relationship Id="rId29" Type="http://schemas.openxmlformats.org/officeDocument/2006/relationships/hyperlink" Target="https://hal.science/hal-03741847v1/file/Data%20Collection%20Methods%20and%20Tools%20for%20Research%20.pdf" TargetMode="External"/></Relationships>
</file>

<file path=word/_rels/endnotes.xml.rels><?xml version="1.0" encoding="UTF-8" standalone="yes"?>
<Relationships xmlns="http://schemas.openxmlformats.org/package/2006/relationships"></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er3.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header2.xml.rels><?xml version="1.0" encoding="UTF-8" standalone="yes"?>
<Relationships xmlns="http://schemas.openxmlformats.org/package/2006/relationships"></Relationships>
</file>

<file path=word/_rels/header3.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12293</Words>
  <Characters>70074</Characters>
  <DocSecurity>0</DocSecurity>
  <Lines>583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 Hirsova</dc:creator>
  <cp:lastModifiedBy>Narcis Hirsova</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44c58630-24dc-4df4-b8a3-4a898dc7ab59</vt:lpwstr>
  </property>
</Properties>
</file>