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Programme: BSc Health and Social Care</w:t>
      </w:r>
    </w:p>
    <w:p w:rsidR="00000000" w:rsidDel="00000000" w:rsidP="00000000" w:rsidRDefault="00000000" w:rsidRPr="00000000" w14:paraId="00000002">
      <w:pPr>
        <w:spacing w:line="259"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Module: Health, Wellbeing and Sustainable Development</w:t>
      </w:r>
    </w:p>
    <w:p w:rsidR="00000000" w:rsidDel="00000000" w:rsidP="00000000" w:rsidRDefault="00000000" w:rsidRPr="00000000" w14:paraId="00000003">
      <w:pPr>
        <w:spacing w:line="259"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Module code: BMHP6021</w:t>
      </w:r>
    </w:p>
    <w:p w:rsidR="00000000" w:rsidDel="00000000" w:rsidP="00000000" w:rsidRDefault="00000000" w:rsidRPr="00000000" w14:paraId="00000004">
      <w:pPr>
        <w:spacing w:line="259"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Assignment Title:</w:t>
        <w:tab/>
        <w:t xml:space="preserve">Component 1 – Written Report</w:t>
      </w:r>
    </w:p>
    <w:p w:rsidR="00000000" w:rsidDel="00000000" w:rsidP="00000000" w:rsidRDefault="00000000" w:rsidRPr="00000000" w14:paraId="00000005">
      <w:pPr>
        <w:spacing w:line="259"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Student Name: Jubli Aktar</w:t>
      </w:r>
    </w:p>
    <w:p w:rsidR="00000000" w:rsidDel="00000000" w:rsidP="00000000" w:rsidRDefault="00000000" w:rsidRPr="00000000" w14:paraId="00000006">
      <w:pPr>
        <w:spacing w:line="259" w:lineRule="auto"/>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Student ID: 2128699</w:t>
      </w:r>
    </w:p>
    <w:p w:rsidR="00000000" w:rsidDel="00000000" w:rsidP="00000000" w:rsidRDefault="00000000" w:rsidRPr="00000000" w14:paraId="00000007">
      <w:pPr>
        <w:spacing w:line="259" w:lineRule="auto"/>
        <w:jc w:val="center"/>
        <w:rPr>
          <w:rFonts w:ascii="Arial" w:cs="Arial" w:eastAsia="Arial" w:hAnsi="Arial"/>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Executive Summary </w:t>
      </w:r>
    </w:p>
    <w:p w:rsidR="00000000" w:rsidDel="00000000" w:rsidP="00000000" w:rsidRDefault="00000000" w:rsidRPr="00000000" w14:paraId="00000009">
      <w:pPr>
        <w:rPr>
          <w:rFonts w:ascii="Arial" w:cs="Arial" w:eastAsia="Arial" w:hAnsi="Arial"/>
        </w:rPr>
      </w:pPr>
      <w:r w:rsidDel="00000000" w:rsidR="00000000" w:rsidRPr="00000000">
        <w:rPr>
          <w:rFonts w:ascii="Arial" w:cs="Arial" w:eastAsia="Arial" w:hAnsi="Arial"/>
          <w:rtl w:val="0"/>
        </w:rPr>
        <w:t xml:space="preserve">This report evaluates the UK's progress in achieving SDG 2: Zero Hunger target and SDG 5: Gender Equality, especially identified in the health and wellbeing fields. SDG 2 aims at zero hunger and food insecurity while SDG 5 is concerned with women’s rights and gender equality. Both are essential features that support sustainable development and enhanced health of the population.</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The UK has endeavoured to address food insecurity through the Healthy Start Program and National Food Strategy while addressing women’s health and the Gender Equality Strategy and Women’s Health Strategy. Within this regard, these strategies are critically reviewed in this report thus evaluating the associated achievements and the constraints impeding their optimal implementation.</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While some of these areas have experienced positive changes like the decrease in the prevalence of malnutrition in low-income families and increased access to reproductive health services for women, among others, the following problems are still recognisable. Some of these factors are economic differential, food desert, gender bias especially in healthcare services, and inadequate funding towards women’s health facilities. Recommendations are also given to bolster the implementation of these strategies and the further advancement of the aforementioned crucial SDG goals.</w:t>
      </w:r>
    </w:p>
    <w:p w:rsidR="00000000" w:rsidDel="00000000" w:rsidP="00000000" w:rsidRDefault="00000000" w:rsidRPr="00000000" w14:paraId="0000000C">
      <w:pPr>
        <w:spacing w:line="259"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1f3864"/>
          <w:sz w:val="32"/>
          <w:szCs w:val="32"/>
          <w:u w:val="none"/>
          <w:shd w:fill="auto" w:val="clear"/>
          <w:vertAlign w:val="baseline"/>
        </w:rPr>
      </w:pPr>
      <w:r w:rsidDel="00000000" w:rsidR="00000000" w:rsidRPr="00000000">
        <w:rPr>
          <w:rFonts w:ascii="Arial" w:cs="Arial" w:eastAsia="Arial" w:hAnsi="Arial"/>
          <w:b w:val="1"/>
          <w:i w:val="0"/>
          <w:smallCaps w:val="0"/>
          <w:strike w:val="0"/>
          <w:color w:val="1f3864"/>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 Introduction</w:t>
            </w:r>
          </w:hyperlink>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 Key Definitions and Concepts</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3.0 SDG 2: Zero Hunger</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Overview of SDG 2: Zero Hunger</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UK Strategies to Achieve SDG 2</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Critical Evaluation of the Strategies</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 Progress in Implementing SDG 2</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 Impact on Health, Wellbeing, and Sustainable Development</w:t>
            </w:r>
          </w:hyperlink>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3.6 Challenges in Implementing SDG 2</w:t>
            </w:r>
          </w:hyperlink>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4.0 SDG 5: Gender Equality</w:t>
            </w:r>
          </w:hyperlink>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 Overview of SDG 5: Gender Equality</w:t>
            </w:r>
          </w:hyperlink>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 UK Strategies to Achieve SDG 5</w:t>
            </w:r>
          </w:hyperlink>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 Critical Evaluation of the Strategies</w:t>
            </w:r>
          </w:hyperlink>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4.4 Progress in Implementing SDG 5</w:t>
            </w:r>
          </w:hyperlink>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 Impact on Health, Wellbeing, and Sustainable Development</w:t>
            </w:r>
          </w:hyperlink>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4.6 Challenges in Implementing SDG 5</w:t>
            </w:r>
          </w:hyperlink>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5.0 Recommendations</w:t>
            </w:r>
          </w:hyperlink>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6.0 Conclusion</w:t>
            </w:r>
          </w:hyperlink>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r>
          </w:hyperlink>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spacing w:line="259"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1.0 Introduction </w:t>
      </w:r>
    </w:p>
    <w:p w:rsidR="00000000" w:rsidDel="00000000" w:rsidP="00000000" w:rsidRDefault="00000000" w:rsidRPr="00000000" w14:paraId="00000025">
      <w:pPr>
        <w:rPr>
          <w:rFonts w:ascii="Arial" w:cs="Arial" w:eastAsia="Arial" w:hAnsi="Arial"/>
        </w:rPr>
      </w:pPr>
      <w:r w:rsidDel="00000000" w:rsidR="00000000" w:rsidRPr="00000000">
        <w:rPr>
          <w:rFonts w:ascii="Arial" w:cs="Arial" w:eastAsia="Arial" w:hAnsi="Arial"/>
          <w:rtl w:val="0"/>
        </w:rPr>
        <w:t xml:space="preserve">The focus of this article is on the role of the United Kingdom and particularly the National Health Service (NHS) in fulfilling the concept of sustainable health, well-being, and development. Achievement of the United Nation’s sustainable development goals is one of the cornerstones of this mission (Furey, 2020). Among the 17 SDGs, SDG 2: Two of the SDGs are primarily central to health and sustainable development; these are Zero Hunger and SDG 5: Gender Equality (Lima and Guedes, 2024).</w:t>
      </w:r>
    </w:p>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rtl w:val="0"/>
        </w:rPr>
        <w:t xml:space="preserve">SDG 2 focuses on the eradication of hunger and malnutrition, ensuring access by all to safe, healthy and nutritious foods, and promoting sustainable farming practices that would enhance the health of the people and reduce inequalities (Azul et al., 2019). SDG 5 specifically aims at gender equality which is crucial to availing quality health services and enhancing the well-being of women and girls of other marginalised genders (Pandey and Kumar, 2019).</w:t>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This report will critically discuss the health, welfare and sustainable development within the context of the two goals in the UK; assess the approaches to achieving these goals; and make suggestions for changing the current practice (Godwell Nhamo et al., 2022).</w:t>
      </w:r>
    </w:p>
    <w:p w:rsidR="00000000" w:rsidDel="00000000" w:rsidP="00000000" w:rsidRDefault="00000000" w:rsidRPr="00000000" w14:paraId="00000028">
      <w:pPr>
        <w:pStyle w:val="Heading1"/>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2.0 Key Definitions and Concepts </w:t>
      </w:r>
    </w:p>
    <w:p w:rsidR="00000000" w:rsidDel="00000000" w:rsidP="00000000" w:rsidRDefault="00000000" w:rsidRPr="00000000" w14:paraId="00000029">
      <w:pPr>
        <w:rPr>
          <w:rFonts w:ascii="Arial" w:cs="Arial" w:eastAsia="Arial" w:hAnsi="Arial"/>
        </w:rPr>
      </w:pPr>
      <w:r w:rsidDel="00000000" w:rsidR="00000000" w:rsidRPr="00000000">
        <w:rPr>
          <w:rFonts w:ascii="Arial" w:cs="Arial" w:eastAsia="Arial" w:hAnsi="Arial"/>
          <w:rtl w:val="0"/>
        </w:rPr>
        <w:t xml:space="preserve">Understanding core concepts like health, well-being, sustainability, sustainable development, and the Sustainable Development Goals (SDGs) is essential before examining SDG 2: Zero Hunger and SDG 5: Gender Equality.</w:t>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According to the World Health Organisation, health is not only the lack of illness but also a condition of physical, mental, and social well-being. It embraces the objective and subjective components, the key among them being income, self-assessed health status, and satisfaction with life (Hutchinson and Kovats, 2021).</w:t>
      </w:r>
    </w:p>
    <w:p w:rsidR="00000000" w:rsidDel="00000000" w:rsidP="00000000" w:rsidRDefault="00000000" w:rsidRPr="00000000" w14:paraId="0000002B">
      <w:pPr>
        <w:rPr>
          <w:rFonts w:ascii="Arial" w:cs="Arial" w:eastAsia="Arial" w:hAnsi="Arial"/>
        </w:rPr>
      </w:pPr>
      <w:r w:rsidDel="00000000" w:rsidR="00000000" w:rsidRPr="00000000">
        <w:rPr>
          <w:rFonts w:ascii="Arial" w:cs="Arial" w:eastAsia="Arial" w:hAnsi="Arial"/>
          <w:rtl w:val="0"/>
        </w:rPr>
        <w:t xml:space="preserve">Sustainability has three pillars: assessed in terms of the economic, the environmental and the social components. Economic sustainability describes the efficient and effective use of the resources towards an improved performance of the system while environmental sustainability focuses on the conservation of the stock of resources and social sustainability is oriented on fairness in the allocation and utilisation of the resources and basic human necessities respectively (Otekunrin, 2023). It means development requires sustenance both for today's generations and the future ones to avoid depletion of any crucial natural endowment (Cheo &amp; Tapiwa, 2021).</w:t>
      </w:r>
    </w:p>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The SDGs were set by 193 United Nations member states in 2015 after the prior effort on MDGs, which mainly highlighted poverty. The SDGs are goals of health, equality and environment by the year 2030. The UK, being a party to these objectives, has pledged to numerous domestic and international strategies to undergird them key objectives ranging from sustainable development to equality (UK SDG, 2023).</w:t>
      </w:r>
    </w:p>
    <w:p w:rsidR="00000000" w:rsidDel="00000000" w:rsidP="00000000" w:rsidRDefault="00000000" w:rsidRPr="00000000" w14:paraId="0000002D">
      <w:pPr>
        <w:pStyle w:val="Heading1"/>
        <w:rPr>
          <w:rFonts w:ascii="Arial" w:cs="Arial" w:eastAsia="Arial" w:hAnsi="Arial"/>
        </w:rPr>
      </w:pPr>
      <w:bookmarkStart w:colFirst="0" w:colLast="0" w:name="_heading=h.1fob9te" w:id="2"/>
      <w:bookmarkEnd w:id="2"/>
      <w:r w:rsidDel="00000000" w:rsidR="00000000" w:rsidRPr="00000000">
        <w:rPr>
          <w:rFonts w:ascii="Arial" w:cs="Arial" w:eastAsia="Arial" w:hAnsi="Arial"/>
          <w:rtl w:val="0"/>
        </w:rPr>
        <w:t xml:space="preserve">3.0 SDG 2: Zero Hunger </w:t>
      </w:r>
    </w:p>
    <w:p w:rsidR="00000000" w:rsidDel="00000000" w:rsidP="00000000" w:rsidRDefault="00000000" w:rsidRPr="00000000" w14:paraId="0000002E">
      <w:pPr>
        <w:pStyle w:val="Heading2"/>
        <w:rPr>
          <w:rFonts w:ascii="Arial" w:cs="Arial" w:eastAsia="Arial" w:hAnsi="Arial"/>
        </w:rPr>
      </w:pPr>
      <w:bookmarkStart w:colFirst="0" w:colLast="0" w:name="_heading=h.3znysh7" w:id="3"/>
      <w:bookmarkEnd w:id="3"/>
      <w:r w:rsidDel="00000000" w:rsidR="00000000" w:rsidRPr="00000000">
        <w:rPr>
          <w:rFonts w:ascii="Arial" w:cs="Arial" w:eastAsia="Arial" w:hAnsi="Arial"/>
          <w:rtl w:val="0"/>
        </w:rPr>
        <w:t xml:space="preserve">3.1 Overview of SDG 2: Zero Hunger </w:t>
      </w:r>
    </w:p>
    <w:p w:rsidR="00000000" w:rsidDel="00000000" w:rsidP="00000000" w:rsidRDefault="00000000" w:rsidRPr="00000000" w14:paraId="0000002F">
      <w:pPr>
        <w:rPr>
          <w:rFonts w:ascii="Arial" w:cs="Arial" w:eastAsia="Arial" w:hAnsi="Arial"/>
        </w:rPr>
      </w:pPr>
      <w:r w:rsidDel="00000000" w:rsidR="00000000" w:rsidRPr="00000000">
        <w:rPr>
          <w:rFonts w:ascii="Arial" w:cs="Arial" w:eastAsia="Arial" w:hAnsi="Arial"/>
          <w:rtl w:val="0"/>
        </w:rPr>
        <w:t xml:space="preserve">SDG 2: Zero Hunger aims to ensure that everyone has access to safe, nutritious, and sufficient food year-round, with a particular focus on eliminating hunger and malnutrition (Walker, 2019). This goal is critical because malnutrition, especially among children, poses a significant threat to both health and development. SDG 2 emphasises the need for access to quality and quantity of food that supports individuals' well-being (Cheo &amp; Tapiwa, 2021).</w:t>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Moreover, SDG 2 focuses on ending malnutrition and making agriculture more sustainable. Organic farming enables the production of food in a sustainable manner which augments yield, mining the impacts on the natural resource base and other issues such as climate change (Bond, 2022). They are indispensable for feeding the populations in the long run and saving the environment.</w:t>
      </w:r>
    </w:p>
    <w:p w:rsidR="00000000" w:rsidDel="00000000" w:rsidP="00000000" w:rsidRDefault="00000000" w:rsidRPr="00000000" w14:paraId="00000031">
      <w:pPr>
        <w:rPr>
          <w:rFonts w:ascii="Arial" w:cs="Arial" w:eastAsia="Arial" w:hAnsi="Arial"/>
        </w:rPr>
      </w:pPr>
      <w:r w:rsidDel="00000000" w:rsidR="00000000" w:rsidRPr="00000000">
        <w:rPr>
          <w:rFonts w:ascii="Arial" w:cs="Arial" w:eastAsia="Arial" w:hAnsi="Arial"/>
          <w:rtl w:val="0"/>
        </w:rPr>
        <w:t xml:space="preserve">The goal consists of several targets: elimination of all forms of malnutrition, provision of sufficient nutrition for all, doubling of productivity in agricultural activity, and preservation of seeds crop genetic variability. These targets are important for promoting food security and human health, particularly for the most vulnerable persons. Food security where poverty and malnutrition are prevalent is still an issue in the UK. Agriculture that can safeguard food production in line with the conservation of ecosystems is crucial to meeting future food needs (Otekunrin, 2023).</w:t>
      </w:r>
    </w:p>
    <w:p w:rsidR="00000000" w:rsidDel="00000000" w:rsidP="00000000" w:rsidRDefault="00000000" w:rsidRPr="00000000" w14:paraId="00000032">
      <w:pPr>
        <w:rPr>
          <w:rFonts w:ascii="Arial" w:cs="Arial" w:eastAsia="Arial" w:hAnsi="Arial"/>
        </w:rPr>
      </w:pPr>
      <w:r w:rsidDel="00000000" w:rsidR="00000000" w:rsidRPr="00000000">
        <w:rPr>
          <w:rtl w:val="0"/>
        </w:rPr>
      </w:r>
    </w:p>
    <w:p w:rsidR="00000000" w:rsidDel="00000000" w:rsidP="00000000" w:rsidRDefault="00000000" w:rsidRPr="00000000" w14:paraId="00000033">
      <w:pPr>
        <w:rPr>
          <w:rFonts w:ascii="Arial" w:cs="Arial" w:eastAsia="Arial" w:hAnsi="Arial"/>
        </w:rPr>
      </w:pPr>
      <w:r w:rsidDel="00000000" w:rsidR="00000000" w:rsidRPr="00000000">
        <w:rPr>
          <w:rtl w:val="0"/>
        </w:rPr>
      </w:r>
    </w:p>
    <w:p w:rsidR="00000000" w:rsidDel="00000000" w:rsidP="00000000" w:rsidRDefault="00000000" w:rsidRPr="00000000" w14:paraId="00000034">
      <w:pPr>
        <w:pStyle w:val="Heading2"/>
        <w:rPr>
          <w:rFonts w:ascii="Arial" w:cs="Arial" w:eastAsia="Arial" w:hAnsi="Arial"/>
        </w:rPr>
      </w:pPr>
      <w:bookmarkStart w:colFirst="0" w:colLast="0" w:name="_heading=h.2et92p0" w:id="4"/>
      <w:bookmarkEnd w:id="4"/>
      <w:r w:rsidDel="00000000" w:rsidR="00000000" w:rsidRPr="00000000">
        <w:rPr>
          <w:rFonts w:ascii="Arial" w:cs="Arial" w:eastAsia="Arial" w:hAnsi="Arial"/>
          <w:rtl w:val="0"/>
        </w:rPr>
        <w:t xml:space="preserve">3.2 UK Strategies to Achieve SDG 2 </w:t>
      </w:r>
    </w:p>
    <w:p w:rsidR="00000000" w:rsidDel="00000000" w:rsidP="00000000" w:rsidRDefault="00000000" w:rsidRPr="00000000" w14:paraId="00000035">
      <w:pPr>
        <w:rPr>
          <w:rFonts w:ascii="Arial" w:cs="Arial" w:eastAsia="Arial" w:hAnsi="Arial"/>
        </w:rPr>
      </w:pPr>
      <w:r w:rsidDel="00000000" w:rsidR="00000000" w:rsidRPr="00000000">
        <w:rPr>
          <w:rFonts w:ascii="Arial" w:cs="Arial" w:eastAsia="Arial" w:hAnsi="Arial"/>
          <w:rtl w:val="0"/>
        </w:rPr>
        <w:t xml:space="preserve">Two major strategies have been adopted in the UK to implement SDG 2:</w:t>
      </w:r>
    </w:p>
    <w:p w:rsidR="00000000" w:rsidDel="00000000" w:rsidP="00000000" w:rsidRDefault="00000000" w:rsidRPr="00000000" w14:paraId="00000036">
      <w:pPr>
        <w:rPr>
          <w:rFonts w:ascii="Arial" w:cs="Arial" w:eastAsia="Arial" w:hAnsi="Arial"/>
        </w:rPr>
      </w:pPr>
      <w:r w:rsidDel="00000000" w:rsidR="00000000" w:rsidRPr="00000000">
        <w:rPr>
          <w:rFonts w:ascii="Arial" w:cs="Arial" w:eastAsia="Arial" w:hAnsi="Arial"/>
          <w:b w:val="1"/>
          <w:rtl w:val="0"/>
        </w:rPr>
        <w:t xml:space="preserve">Healthy Start Program:</w:t>
      </w:r>
      <w:r w:rsidDel="00000000" w:rsidR="00000000" w:rsidRPr="00000000">
        <w:rPr>
          <w:rFonts w:ascii="Arial" w:cs="Arial" w:eastAsia="Arial" w:hAnsi="Arial"/>
          <w:rtl w:val="0"/>
        </w:rPr>
        <w:t xml:space="preserve"> The Healthy Start Program aims to help low-income families; with food vouchers and free vitamins from pregnant women to infants and toddlers. In 2022, more than 290,000 families were supported to enhance their chances to use healthy foods such as fruits vegetables, and milk (UK Parliament, 2023). This approach seeks to spur a decrease in the incidences of malnutrition; participants’ servings of fruits and vegetables went up by 15% helping foster improved quality of life by children’s healthy growth (Ramzani et al., 2022).</w:t>
      </w:r>
    </w:p>
    <w:p w:rsidR="00000000" w:rsidDel="00000000" w:rsidP="00000000" w:rsidRDefault="00000000" w:rsidRPr="00000000" w14:paraId="00000037">
      <w:pPr>
        <w:rPr>
          <w:rFonts w:ascii="Arial" w:cs="Arial" w:eastAsia="Arial" w:hAnsi="Arial"/>
        </w:rPr>
      </w:pPr>
      <w:r w:rsidDel="00000000" w:rsidR="00000000" w:rsidRPr="00000000">
        <w:rPr>
          <w:rFonts w:ascii="Arial" w:cs="Arial" w:eastAsia="Arial" w:hAnsi="Arial"/>
          <w:b w:val="1"/>
          <w:rtl w:val="0"/>
        </w:rPr>
        <w:t xml:space="preserve">National Food Strategy:</w:t>
      </w:r>
      <w:r w:rsidDel="00000000" w:rsidR="00000000" w:rsidRPr="00000000">
        <w:rPr>
          <w:rFonts w:ascii="Arial" w:cs="Arial" w:eastAsia="Arial" w:hAnsi="Arial"/>
          <w:rtl w:val="0"/>
        </w:rPr>
        <w:t xml:space="preserve"> This report examines the UK’s National Food Strategy, which focuses on improving the sustainability of farming and minimising food waste to feed the population of generations to come (Ramzani et al., 2022). It also fosters nutrition-sensitive diseases such as obesity and diabetes, which all impact more than 28% of grown-ups in the UK (UK Parliament, 2023). Thus, the strategy promotes standardised healthy nutrition and sustainable practices to deliver on its promises of addressing poor diet and public health outcomes on a population basis (Bond, 2022).</w:t>
      </w:r>
    </w:p>
    <w:p w:rsidR="00000000" w:rsidDel="00000000" w:rsidP="00000000" w:rsidRDefault="00000000" w:rsidRPr="00000000" w14:paraId="00000038">
      <w:pPr>
        <w:pStyle w:val="Heading2"/>
        <w:rPr>
          <w:rFonts w:ascii="Arial" w:cs="Arial" w:eastAsia="Arial" w:hAnsi="Arial"/>
        </w:rPr>
      </w:pPr>
      <w:bookmarkStart w:colFirst="0" w:colLast="0" w:name="_heading=h.tyjcwt" w:id="5"/>
      <w:bookmarkEnd w:id="5"/>
      <w:r w:rsidDel="00000000" w:rsidR="00000000" w:rsidRPr="00000000">
        <w:rPr>
          <w:rFonts w:ascii="Arial" w:cs="Arial" w:eastAsia="Arial" w:hAnsi="Arial"/>
          <w:rtl w:val="0"/>
        </w:rPr>
        <w:t xml:space="preserve">3.3 Critical Evaluation of the Strategies </w:t>
      </w:r>
    </w:p>
    <w:p w:rsidR="00000000" w:rsidDel="00000000" w:rsidP="00000000" w:rsidRDefault="00000000" w:rsidRPr="00000000" w14:paraId="00000039">
      <w:pPr>
        <w:rPr>
          <w:rFonts w:ascii="Arial" w:cs="Arial" w:eastAsia="Arial" w:hAnsi="Arial"/>
        </w:rPr>
      </w:pPr>
      <w:r w:rsidDel="00000000" w:rsidR="00000000" w:rsidRPr="00000000">
        <w:rPr>
          <w:rFonts w:ascii="Arial" w:cs="Arial" w:eastAsia="Arial" w:hAnsi="Arial"/>
          <w:rtl w:val="0"/>
        </w:rPr>
        <w:t xml:space="preserve">Healthy Start program has brought benefits to society in ensuring that children and pregnant women do not suffer from malnutrition especially households that were regarded as low-income earners (UK Parliament, 2023). With the help of food vouchers to buy foods to provide necessary nutrients and free vitamins, it has enhanced early child development and maternal health (Ramzani et al., 2022). Nonetheless, the program has the following major difficulties. It remains a challenge as many qualified families remain unaware of the opportunities, or how to sign up. Some of the disadvantages of the digital application process include; access to technology and or the internet by applying for a job. This hampers the program in a way that especially affects disadvantaged areas which could highly benefit from the program (UK SDG Data, 2023).</w:t>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rtl w:val="0"/>
        </w:rPr>
        <w:t xml:space="preserve">About the steps to make the program more effective, several strategies could be used. First, increasing the campaigns, especially in the community, schools, and Clinics fixed the problem’s awareness (Ramzani et al., 2022). Second, it is possible to state that streamlining the process of application and providing families with the opportunity to send an application not only via the Internet could help more families to use the services. Also, more participation could be tapped through sponsoring local organizations that directly engage low-income earner families (UK Parliament, 2023).</w:t>
      </w:r>
    </w:p>
    <w:p w:rsidR="00000000" w:rsidDel="00000000" w:rsidP="00000000" w:rsidRDefault="00000000" w:rsidRPr="00000000" w14:paraId="0000003B">
      <w:pPr>
        <w:rPr>
          <w:rFonts w:ascii="Arial" w:cs="Arial" w:eastAsia="Arial" w:hAnsi="Arial"/>
        </w:rPr>
      </w:pPr>
      <w:r w:rsidDel="00000000" w:rsidR="00000000" w:rsidRPr="00000000">
        <w:rPr>
          <w:rFonts w:ascii="Arial" w:cs="Arial" w:eastAsia="Arial" w:hAnsi="Arial"/>
          <w:rtl w:val="0"/>
        </w:rPr>
        <w:t xml:space="preserve">The National Food Strategy provides a blueprint to address food insecurity, support the relevant agriculture practices, and minimize diseases associated with the consumption of unhealthy foods. However, this has been attributed to the slow implementation of ID because of the vast area that it covers. Comprehensive though it is, the strategy does not address the lack of immediate solutions for families experiencing food insecurity (UK SDG Data, 2023). Therefore, as the long-term objectives of sustainable food and enhanced health outcomes seem beneficial in the long run, a significant number of struggling families lack access to available and affordable nutritious food products (UK Parliament, 2023).</w:t>
      </w:r>
    </w:p>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rtl w:val="0"/>
        </w:rPr>
        <w:t xml:space="preserve">To this, more basic strategies should be employed such as the opening of more stores selling cheap healthy foods in impoverished communities (Otekunrin, 2023). Also, greater coordination between the food security programmes and health services may assist the people who suffer most from malnutrition. While the National Food Strategy has tackled the root causes, there is still a need for short-term approaches that aim to help families secure food today (Ramzani et al., 2022).</w:t>
      </w:r>
    </w:p>
    <w:p w:rsidR="00000000" w:rsidDel="00000000" w:rsidP="00000000" w:rsidRDefault="00000000" w:rsidRPr="00000000" w14:paraId="0000003D">
      <w:pPr>
        <w:pStyle w:val="Heading2"/>
        <w:rPr>
          <w:rFonts w:ascii="Arial" w:cs="Arial" w:eastAsia="Arial" w:hAnsi="Arial"/>
        </w:rPr>
      </w:pPr>
      <w:bookmarkStart w:colFirst="0" w:colLast="0" w:name="_heading=h.3dy6vkm" w:id="6"/>
      <w:bookmarkEnd w:id="6"/>
      <w:r w:rsidDel="00000000" w:rsidR="00000000" w:rsidRPr="00000000">
        <w:rPr>
          <w:rFonts w:ascii="Arial" w:cs="Arial" w:eastAsia="Arial" w:hAnsi="Arial"/>
          <w:rtl w:val="0"/>
        </w:rPr>
        <w:t xml:space="preserve">3.4 Progress in Implementing SDG 2 </w:t>
      </w:r>
    </w:p>
    <w:p w:rsidR="00000000" w:rsidDel="00000000" w:rsidP="00000000" w:rsidRDefault="00000000" w:rsidRPr="00000000" w14:paraId="0000003E">
      <w:pPr>
        <w:rPr>
          <w:rFonts w:ascii="Arial" w:cs="Arial" w:eastAsia="Arial" w:hAnsi="Arial"/>
        </w:rPr>
      </w:pPr>
      <w:r w:rsidDel="00000000" w:rsidR="00000000" w:rsidRPr="00000000">
        <w:rPr>
          <w:rFonts w:ascii="Arial" w:cs="Arial" w:eastAsia="Arial" w:hAnsi="Arial"/>
          <w:rtl w:val="0"/>
        </w:rPr>
        <w:t xml:space="preserve">The UK has made some progress in addressing SDG 2: Zero Hunger, with particular progress in some aspects. The Healthy Start Program has benefited low-income families especially pregnant women and young children through increased availability of nutrient fortifying foods (Azul et al., 2019). It has assisted in reducing cases of malnutrition within these groups thus improving maternal and underaged children’s health results.</w:t>
      </w:r>
    </w:p>
    <w:p w:rsidR="00000000" w:rsidDel="00000000" w:rsidP="00000000" w:rsidRDefault="00000000" w:rsidRPr="00000000" w14:paraId="0000003F">
      <w:pPr>
        <w:rPr>
          <w:rFonts w:ascii="Arial" w:cs="Arial" w:eastAsia="Arial" w:hAnsi="Arial"/>
        </w:rPr>
      </w:pPr>
      <w:r w:rsidDel="00000000" w:rsidR="00000000" w:rsidRPr="00000000">
        <w:rPr>
          <w:rFonts w:ascii="Arial" w:cs="Arial" w:eastAsia="Arial" w:hAnsi="Arial"/>
          <w:rtl w:val="0"/>
        </w:rPr>
        <w:t xml:space="preserve">The UK’s National Food Strategy has also made significant improvements in influencing food policies, advocating for healthier and environmentally sound farming practices, and educating the public on the issue of food insecurity (Ramzani et al., 2022). Now it has affected some aspects of agricultural practices and the food supply chain, especially in terms of sustainability in the long run. Moreover, attempts to properly tackle food waste, improve diet and prevent obesity and diabetes are being made, thus creating the basis for forming healthy generations (Azul et al., 2019).</w:t>
      </w:r>
    </w:p>
    <w:p w:rsidR="00000000" w:rsidDel="00000000" w:rsidP="00000000" w:rsidRDefault="00000000" w:rsidRPr="00000000" w14:paraId="00000040">
      <w:pPr>
        <w:rPr>
          <w:rFonts w:ascii="Arial" w:cs="Arial" w:eastAsia="Arial" w:hAnsi="Arial"/>
        </w:rPr>
      </w:pPr>
      <w:r w:rsidDel="00000000" w:rsidR="00000000" w:rsidRPr="00000000">
        <w:rPr>
          <w:rFonts w:ascii="Arial" w:cs="Arial" w:eastAsia="Arial" w:hAnsi="Arial"/>
          <w:rtl w:val="0"/>
        </w:rPr>
        <w:t xml:space="preserve">Nevertheless, there are still problems with food crises as key measures to address them were mentioned above. The need for food banks has continued to rise, more so after the COVID-19 pandemic pointing to the fact that there are still enormous disparities in terms of affordable anti-hunger interventions, namely the availability of nutritious food (Furey, 2020). Nevertheless, child malnutrition persists with emphasis mainly given to low-income areas. With COVID intensifying the disparities, there should be more recognition that the government needs to take additional actions to meet the needs of those most at risk (Ramzani et al., 2022).</w:t>
      </w:r>
    </w:p>
    <w:p w:rsidR="00000000" w:rsidDel="00000000" w:rsidP="00000000" w:rsidRDefault="00000000" w:rsidRPr="00000000" w14:paraId="00000041">
      <w:pPr>
        <w:rPr>
          <w:rFonts w:ascii="Arial" w:cs="Arial" w:eastAsia="Arial" w:hAnsi="Arial"/>
        </w:rPr>
      </w:pPr>
      <w:r w:rsidDel="00000000" w:rsidR="00000000" w:rsidRPr="00000000">
        <w:rPr>
          <w:rFonts w:ascii="Arial" w:cs="Arial" w:eastAsia="Arial" w:hAnsi="Arial"/>
          <w:rtl w:val="0"/>
        </w:rPr>
        <w:t xml:space="preserve">The UK has only recently begun its journey to addressing SDG 2 but it is yet far from realising its full potential; more needs to be done in terms of tackling hunger in the shortest term and enhancing access to nutritional sustainably in the long term (Furey, 2020).</w:t>
      </w:r>
    </w:p>
    <w:p w:rsidR="00000000" w:rsidDel="00000000" w:rsidP="00000000" w:rsidRDefault="00000000" w:rsidRPr="00000000" w14:paraId="00000042">
      <w:pPr>
        <w:pStyle w:val="Heading2"/>
        <w:rPr>
          <w:rFonts w:ascii="Arial" w:cs="Arial" w:eastAsia="Arial" w:hAnsi="Arial"/>
        </w:rPr>
      </w:pPr>
      <w:bookmarkStart w:colFirst="0" w:colLast="0" w:name="_heading=h.1t3h5sf" w:id="7"/>
      <w:bookmarkEnd w:id="7"/>
      <w:r w:rsidDel="00000000" w:rsidR="00000000" w:rsidRPr="00000000">
        <w:rPr>
          <w:rFonts w:ascii="Arial" w:cs="Arial" w:eastAsia="Arial" w:hAnsi="Arial"/>
          <w:rtl w:val="0"/>
        </w:rPr>
        <w:t xml:space="preserve">3.5 Impact on Health, Wellbeing, and Sustainable Development </w:t>
      </w:r>
    </w:p>
    <w:p w:rsidR="00000000" w:rsidDel="00000000" w:rsidP="00000000" w:rsidRDefault="00000000" w:rsidRPr="00000000" w14:paraId="00000043">
      <w:pPr>
        <w:rPr>
          <w:rFonts w:ascii="Arial" w:cs="Arial" w:eastAsia="Arial" w:hAnsi="Arial"/>
        </w:rPr>
      </w:pPr>
      <w:r w:rsidDel="00000000" w:rsidR="00000000" w:rsidRPr="00000000">
        <w:rPr>
          <w:rFonts w:ascii="Arial" w:cs="Arial" w:eastAsia="Arial" w:hAnsi="Arial"/>
          <w:rtl w:val="0"/>
        </w:rPr>
        <w:t xml:space="preserve">Nutrition is crucial in the life of every person because poorly nourished people get sick more often, suffer from many various chronic diseases, have low working capacity and bad mood, and children growing up unfed are stunted (Morse, 2022). Healthy Start Program has ensured the supply of anaemic and micronutrient-rich foods to needy families enhancing mothers' and young children’s health. Vitamin, nutritious food is required throughout childhood and required at the infancy stage for proper development (Grosso et al., 2020).</w:t>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The National Food Strategy encourages the cultivation of food that will feed the nation and also protect the land. Organic farming maintains key assets; control of carbon emissions; and the preservation of ecosystems, which are all factors that create long-term human health (Thapa Karki et al., 2020).</w:t>
      </w:r>
    </w:p>
    <w:p w:rsidR="00000000" w:rsidDel="00000000" w:rsidP="00000000" w:rsidRDefault="00000000" w:rsidRPr="00000000" w14:paraId="00000045">
      <w:pPr>
        <w:rPr>
          <w:rFonts w:ascii="Arial" w:cs="Arial" w:eastAsia="Arial" w:hAnsi="Arial"/>
        </w:rPr>
      </w:pPr>
      <w:r w:rsidDel="00000000" w:rsidR="00000000" w:rsidRPr="00000000">
        <w:rPr>
          <w:rFonts w:ascii="Arial" w:cs="Arial" w:eastAsia="Arial" w:hAnsi="Arial"/>
          <w:rtl w:val="0"/>
        </w:rPr>
        <w:t xml:space="preserve">However, programs encouraging household and community production of foods fall short due to high costs, economic disparities and resultant poor nutrition (Godwell Nhamo et al., 2022). The poor population has no ready access to affordable and healthy food diets, which has resulted in increased incidences of diseases such as malnutrition and obesity, diabetes, and mental illnesses (Grosso et al., 2020). However, if these disparities are not corrected, the capacity and potential of such approaches are limited and disadvantaged groups will not receive proper protection. Access to equal and healthy and quality nutrition for everyone is important for the health of the people as well as sustainable development (Morse, 2022).</w:t>
      </w:r>
    </w:p>
    <w:p w:rsidR="00000000" w:rsidDel="00000000" w:rsidP="00000000" w:rsidRDefault="00000000" w:rsidRPr="00000000" w14:paraId="00000046">
      <w:pPr>
        <w:pStyle w:val="Heading2"/>
        <w:rPr>
          <w:rFonts w:ascii="Arial" w:cs="Arial" w:eastAsia="Arial" w:hAnsi="Arial"/>
        </w:rPr>
      </w:pPr>
      <w:bookmarkStart w:colFirst="0" w:colLast="0" w:name="_heading=h.4d34og8" w:id="8"/>
      <w:bookmarkEnd w:id="8"/>
      <w:r w:rsidDel="00000000" w:rsidR="00000000" w:rsidRPr="00000000">
        <w:rPr>
          <w:rFonts w:ascii="Arial" w:cs="Arial" w:eastAsia="Arial" w:hAnsi="Arial"/>
          <w:rtl w:val="0"/>
        </w:rPr>
        <w:t xml:space="preserve">3.6 Challenges in Implementing SDG 2 </w:t>
      </w:r>
    </w:p>
    <w:p w:rsidR="00000000" w:rsidDel="00000000" w:rsidP="00000000" w:rsidRDefault="00000000" w:rsidRPr="00000000" w14:paraId="00000047">
      <w:pPr>
        <w:rPr>
          <w:rFonts w:ascii="Arial" w:cs="Arial" w:eastAsia="Arial" w:hAnsi="Arial"/>
        </w:rPr>
      </w:pPr>
      <w:r w:rsidDel="00000000" w:rsidR="00000000" w:rsidRPr="00000000">
        <w:rPr>
          <w:rFonts w:ascii="Arial" w:cs="Arial" w:eastAsia="Arial" w:hAnsi="Arial"/>
          <w:rtl w:val="0"/>
        </w:rPr>
        <w:t xml:space="preserve">The main challenges in achieving SDG 2 in the UK include:</w:t>
      </w:r>
    </w:p>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b w:val="1"/>
          <w:rtl w:val="0"/>
        </w:rPr>
        <w:t xml:space="preserve">Economic Disparity:</w:t>
      </w:r>
      <w:r w:rsidDel="00000000" w:rsidR="00000000" w:rsidRPr="00000000">
        <w:rPr>
          <w:rFonts w:ascii="Arial" w:cs="Arial" w:eastAsia="Arial" w:hAnsi="Arial"/>
          <w:rtl w:val="0"/>
        </w:rPr>
        <w:t xml:space="preserve"> The first difficulty is inequality in terms of economic development of countries which are members of the union. Hunger and poverty therefore are compatible because most of the households whose income is low are unable to purchase nutritional foods (Cripps et al., 2024). All attempts to eradicate hunger cannot be effective if income disparity is not given much attention. While interventions such as Healthy Start are helpful, they do not address the lesser-known structural economic factors that prevent such populations from obtaining food (Dalby et al., 2019).</w:t>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b w:val="1"/>
          <w:rtl w:val="0"/>
        </w:rPr>
        <w:t xml:space="preserve">Geographic Disparity:</w:t>
      </w:r>
      <w:r w:rsidDel="00000000" w:rsidR="00000000" w:rsidRPr="00000000">
        <w:rPr>
          <w:rFonts w:ascii="Arial" w:cs="Arial" w:eastAsia="Arial" w:hAnsi="Arial"/>
          <w:rtl w:val="0"/>
        </w:rPr>
        <w:t xml:space="preserve"> This is another major issue. A large number of the regions specified in the UK including both the urban and rural zones belong to the food deserts. Local people in these areas keep saying that they and their households have no convenient access to health-focused, comparatively cheap healthy food (Godwell Nhamo et al., 2022). Supermarkets and fresh food markets are located distant from each other and families do not have easy access to purchase nutritious foods frequently. Such geographic challenges make many people resort to processed or even unhealthy foods thus increasing instances of malnutrition and some associated diseases (Dalby et al., 2019).</w:t>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Finally, policy implementation delays have been a major setback in the execution of strategies such as the National Food Strategy. Despite such a strategy being good to build the foundation for long-term food systems, the slow process of the transformation espouses problems such as food poverty( Otekunrin, 2023). This report therefore calls for more urgent and much more localised efforts to make sure that families in want are provided with adequate and healthy food in the present as strategies for the future are being worked on (Cripps et al., 2024).</w:t>
      </w:r>
    </w:p>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Addressing these economic and geographic disparities, alongside faster policy implementation, is crucial for making real progress toward achieving SDG 2 in the UK.</w:t>
      </w:r>
    </w:p>
    <w:p w:rsidR="00000000" w:rsidDel="00000000" w:rsidP="00000000" w:rsidRDefault="00000000" w:rsidRPr="00000000" w14:paraId="0000004C">
      <w:pPr>
        <w:pStyle w:val="Heading1"/>
        <w:rPr>
          <w:rFonts w:ascii="Arial" w:cs="Arial" w:eastAsia="Arial" w:hAnsi="Arial"/>
        </w:rPr>
      </w:pPr>
      <w:bookmarkStart w:colFirst="0" w:colLast="0" w:name="_heading=h.2s8eyo1" w:id="9"/>
      <w:bookmarkEnd w:id="9"/>
      <w:r w:rsidDel="00000000" w:rsidR="00000000" w:rsidRPr="00000000">
        <w:rPr>
          <w:rFonts w:ascii="Arial" w:cs="Arial" w:eastAsia="Arial" w:hAnsi="Arial"/>
          <w:rtl w:val="0"/>
        </w:rPr>
        <w:t xml:space="preserve">4.0 SDG 5: Gender Equality </w:t>
      </w:r>
    </w:p>
    <w:p w:rsidR="00000000" w:rsidDel="00000000" w:rsidP="00000000" w:rsidRDefault="00000000" w:rsidRPr="00000000" w14:paraId="0000004D">
      <w:pPr>
        <w:pStyle w:val="Heading2"/>
        <w:rPr>
          <w:rFonts w:ascii="Arial" w:cs="Arial" w:eastAsia="Arial" w:hAnsi="Arial"/>
        </w:rPr>
      </w:pPr>
      <w:bookmarkStart w:colFirst="0" w:colLast="0" w:name="_heading=h.17dp8vu" w:id="10"/>
      <w:bookmarkEnd w:id="10"/>
      <w:r w:rsidDel="00000000" w:rsidR="00000000" w:rsidRPr="00000000">
        <w:rPr>
          <w:rFonts w:ascii="Arial" w:cs="Arial" w:eastAsia="Arial" w:hAnsi="Arial"/>
          <w:rtl w:val="0"/>
        </w:rPr>
        <w:t xml:space="preserve">4.1 Overview of SDG 5: Gender Equality </w:t>
      </w:r>
    </w:p>
    <w:p w:rsidR="00000000" w:rsidDel="00000000" w:rsidP="00000000" w:rsidRDefault="00000000" w:rsidRPr="00000000" w14:paraId="0000004E">
      <w:pPr>
        <w:rPr>
          <w:rFonts w:ascii="Arial" w:cs="Arial" w:eastAsia="Arial" w:hAnsi="Arial"/>
        </w:rPr>
      </w:pPr>
      <w:r w:rsidDel="00000000" w:rsidR="00000000" w:rsidRPr="00000000">
        <w:rPr>
          <w:rFonts w:ascii="Arial" w:cs="Arial" w:eastAsia="Arial" w:hAnsi="Arial"/>
          <w:rtl w:val="0"/>
        </w:rPr>
        <w:t xml:space="preserve">SDG 5: Gender Equality is one of the United Nations’ sustainable development goals about the rights of women and girls with the intention of eradicating gender disparities especially in the provision of health care services (UN Women, 2023). Gender mainstreaming in the context of health requires equal availability and provisions of quality healthcare services to equal ranks of males and females and responding to gender-differentiated needs. Nevertheless, current data on healthcare highlights ongoing gender disparities in treatment and outcomes, negatively affecting women, leading to delayed diagnoses, inadequate care, and poorer health, particularly in conditions like heart disease (Pandey and Kumar, 2019).</w:t>
      </w:r>
    </w:p>
    <w:p w:rsidR="00000000" w:rsidDel="00000000" w:rsidP="00000000" w:rsidRDefault="00000000" w:rsidRPr="00000000" w14:paraId="0000004F">
      <w:pPr>
        <w:rPr>
          <w:rFonts w:ascii="Arial" w:cs="Arial" w:eastAsia="Arial" w:hAnsi="Arial"/>
        </w:rPr>
      </w:pPr>
      <w:r w:rsidDel="00000000" w:rsidR="00000000" w:rsidRPr="00000000">
        <w:rPr>
          <w:rFonts w:ascii="Arial" w:cs="Arial" w:eastAsia="Arial" w:hAnsi="Arial"/>
          <w:rtl w:val="0"/>
        </w:rPr>
        <w:t xml:space="preserve">Today, one can observe serious gender differences in health care in the United Kingdom. For example, women are diagnosed with heart attacks less accurately than men, and such diseases as endometriosis, take a long time to diagnose important factors affecting the physical and mental health of women include gender-based violence (GBV). About 1.6 million women in the UK were subject to domestic violence in 2022, leading to PTSD, depression, and chronic physical pain (UN Women, 2023)</w:t>
      </w:r>
    </w:p>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rtl w:val="0"/>
        </w:rPr>
        <w:t xml:space="preserve">In response to these challenges, there is a need for healthcare facilities to offer Genre-specific services to GBV survivors. Realising gender in the healthcare sector enables the enhancement of women’s health and overall societal and economic advancement. Since political liberties do translate into women’s access to healthcare within the United Kingdom, empowering women to access the healthcare they need will lead to helping women be productive, and thus participate in contributing towards social, and economic growth and development (Hutchinson and Kovats, 2021).</w:t>
      </w:r>
    </w:p>
    <w:p w:rsidR="00000000" w:rsidDel="00000000" w:rsidP="00000000" w:rsidRDefault="00000000" w:rsidRPr="00000000" w14:paraId="00000051">
      <w:pPr>
        <w:pStyle w:val="Heading2"/>
        <w:rPr>
          <w:rFonts w:ascii="Arial" w:cs="Arial" w:eastAsia="Arial" w:hAnsi="Arial"/>
        </w:rPr>
      </w:pPr>
      <w:bookmarkStart w:colFirst="0" w:colLast="0" w:name="_heading=h.3rdcrjn" w:id="11"/>
      <w:bookmarkEnd w:id="11"/>
      <w:r w:rsidDel="00000000" w:rsidR="00000000" w:rsidRPr="00000000">
        <w:rPr>
          <w:rFonts w:ascii="Arial" w:cs="Arial" w:eastAsia="Arial" w:hAnsi="Arial"/>
          <w:rtl w:val="0"/>
        </w:rPr>
        <w:t xml:space="preserve">4.2 UK Strategies to Achieve SDG 5 </w:t>
      </w:r>
    </w:p>
    <w:p w:rsidR="00000000" w:rsidDel="00000000" w:rsidP="00000000" w:rsidRDefault="00000000" w:rsidRPr="00000000" w14:paraId="00000052">
      <w:pPr>
        <w:rPr>
          <w:rFonts w:ascii="Arial" w:cs="Arial" w:eastAsia="Arial" w:hAnsi="Arial"/>
        </w:rPr>
      </w:pPr>
      <w:r w:rsidDel="00000000" w:rsidR="00000000" w:rsidRPr="00000000">
        <w:rPr>
          <w:rFonts w:ascii="Arial" w:cs="Arial" w:eastAsia="Arial" w:hAnsi="Arial"/>
          <w:rtl w:val="0"/>
        </w:rPr>
        <w:t xml:space="preserve">The UK government has introduced several key strategies to implement SDG 5, with a specific focus on healthcare.</w:t>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b w:val="1"/>
          <w:rtl w:val="0"/>
        </w:rPr>
        <w:t xml:space="preserve">Gender Equality Strategy (GES):</w:t>
      </w:r>
      <w:r w:rsidDel="00000000" w:rsidR="00000000" w:rsidRPr="00000000">
        <w:rPr>
          <w:rFonts w:ascii="Arial" w:cs="Arial" w:eastAsia="Arial" w:hAnsi="Arial"/>
          <w:rtl w:val="0"/>
        </w:rPr>
        <w:t xml:space="preserve"> The Gender Equality Strategy is a broad intersectoral national plan of action devoted to the gendered changes in every sphere, including the sphere of healthcare (Unesco, 2020). It covers areas on enhancing access to and utilisation of health services by women, and also parities the rights of women with those of men as well as fight gender-based violence. The GES advocates for advocacy services for survivors of domestic violence and seeks to eliminate similar gaps in preventive care, including mammograms and physical exams. In doing so the strategy aims to reduce gender disparities in health outcomes (UK SDG, 2023).</w:t>
      </w:r>
    </w:p>
    <w:p w:rsidR="00000000" w:rsidDel="00000000" w:rsidP="00000000" w:rsidRDefault="00000000" w:rsidRPr="00000000" w14:paraId="00000054">
      <w:pPr>
        <w:rPr>
          <w:rFonts w:ascii="Arial" w:cs="Arial" w:eastAsia="Arial" w:hAnsi="Arial"/>
        </w:rPr>
      </w:pPr>
      <w:r w:rsidDel="00000000" w:rsidR="00000000" w:rsidRPr="00000000">
        <w:rPr>
          <w:rFonts w:ascii="Arial" w:cs="Arial" w:eastAsia="Arial" w:hAnsi="Arial"/>
          <w:b w:val="1"/>
          <w:rtl w:val="0"/>
        </w:rPr>
        <w:t xml:space="preserve">Women’s Health Strategy:</w:t>
      </w:r>
      <w:r w:rsidDel="00000000" w:rsidR="00000000" w:rsidRPr="00000000">
        <w:rPr>
          <w:rFonts w:ascii="Arial" w:cs="Arial" w:eastAsia="Arial" w:hAnsi="Arial"/>
          <w:rtl w:val="0"/>
        </w:rPr>
        <w:t xml:space="preserve"> It targets conditions of specific health interest to women including reproductive health, menopause and mental health. This is also designed to make healthcare services specific to women that would focus on rights to contraceptives, abortion and mental health (Pereira et al., 2024). The Women’s Health Strategy also aims at enhancing the knowledge of women in health and enhancing the support of diseases that are prevalent among women like postpartum and breast cancer (Unesco, 2020).</w:t>
      </w:r>
    </w:p>
    <w:p w:rsidR="00000000" w:rsidDel="00000000" w:rsidP="00000000" w:rsidRDefault="00000000" w:rsidRPr="00000000" w14:paraId="00000055">
      <w:pPr>
        <w:pStyle w:val="Heading2"/>
        <w:rPr>
          <w:rFonts w:ascii="Arial" w:cs="Arial" w:eastAsia="Arial" w:hAnsi="Arial"/>
        </w:rPr>
      </w:pPr>
      <w:bookmarkStart w:colFirst="0" w:colLast="0" w:name="_heading=h.26in1rg" w:id="12"/>
      <w:bookmarkEnd w:id="12"/>
      <w:r w:rsidDel="00000000" w:rsidR="00000000" w:rsidRPr="00000000">
        <w:rPr>
          <w:rFonts w:ascii="Arial" w:cs="Arial" w:eastAsia="Arial" w:hAnsi="Arial"/>
          <w:rtl w:val="0"/>
        </w:rPr>
        <w:t xml:space="preserve">4.3 Critical Evaluation of the Strategies </w:t>
      </w:r>
    </w:p>
    <w:p w:rsidR="00000000" w:rsidDel="00000000" w:rsidP="00000000" w:rsidRDefault="00000000" w:rsidRPr="00000000" w14:paraId="00000056">
      <w:pPr>
        <w:rPr>
          <w:rFonts w:ascii="Arial" w:cs="Arial" w:eastAsia="Arial" w:hAnsi="Arial"/>
        </w:rPr>
      </w:pPr>
      <w:r w:rsidDel="00000000" w:rsidR="00000000" w:rsidRPr="00000000">
        <w:rPr>
          <w:rFonts w:ascii="Arial" w:cs="Arial" w:eastAsia="Arial" w:hAnsi="Arial"/>
          <w:rtl w:val="0"/>
        </w:rPr>
        <w:t xml:space="preserve">Both the Gender Equality Strategy (GES) and the Women’s Health Strategy have made notable contributions to addressing gender inequality in healthcare, but they face significant challenges in practice (UK SDG, 2023).</w:t>
      </w:r>
    </w:p>
    <w:p w:rsidR="00000000" w:rsidDel="00000000" w:rsidP="00000000" w:rsidRDefault="00000000" w:rsidRPr="00000000" w14:paraId="00000057">
      <w:pPr>
        <w:rPr>
          <w:rFonts w:ascii="Arial" w:cs="Arial" w:eastAsia="Arial" w:hAnsi="Arial"/>
        </w:rPr>
      </w:pPr>
      <w:r w:rsidDel="00000000" w:rsidR="00000000" w:rsidRPr="00000000">
        <w:rPr>
          <w:rFonts w:ascii="Arial" w:cs="Arial" w:eastAsia="Arial" w:hAnsi="Arial"/>
          <w:rtl w:val="0"/>
        </w:rPr>
        <w:t xml:space="preserve">The Gender Equality Strategy has managed to increase awareness about the need for women’s equal access to healthcare and decrease gender gaps in services like cancer testing (Hutchinson and Kovats, 2021). It has also made an effort to increase the provision of health services for survivors of GBV including both domestic abuse and sexual violence (Leach, 2019). However, even with these accomplishments in place, the GES fails to accord certain health needs, that are distinctive to genders, in a consistent manner across all the Health Care Sub-Sectors. A cross-sectional feminist analysis of mental health care reveals that funding for these services especially for women is inadequate (Eden and Wagstaff, 2020). </w:t>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rtl w:val="0"/>
        </w:rPr>
        <w:t xml:space="preserve">In addition, sexual specificity in diagnosis and treatment has not been eradicated either. For instance, women are diagnosed with a wrong ailment like heart disease; their symptoms vary from those of men and are not easily noted (UK SDG, 2023). Such bias in the health sector makes the diagnosis of diseases in women late and therefore they get treated poorly. The GES recognises these problems but does not offer extensive training curricula that would prepare the staff of healthcare institutions for gender-sensitive approaches to their patients (Leach, 2019).</w:t>
      </w:r>
    </w:p>
    <w:p w:rsidR="00000000" w:rsidDel="00000000" w:rsidP="00000000" w:rsidRDefault="00000000" w:rsidRPr="00000000" w14:paraId="00000059">
      <w:pPr>
        <w:rPr>
          <w:rFonts w:ascii="Arial" w:cs="Arial" w:eastAsia="Arial" w:hAnsi="Arial"/>
        </w:rPr>
      </w:pPr>
      <w:r w:rsidDel="00000000" w:rsidR="00000000" w:rsidRPr="00000000">
        <w:rPr>
          <w:rFonts w:ascii="Arial" w:cs="Arial" w:eastAsia="Arial" w:hAnsi="Arial"/>
          <w:rtl w:val="0"/>
        </w:rPr>
        <w:t xml:space="preserve">The Women’s Health Strategy is a friendly move to identify priority health concerns among women, including reproductive health, menopausal issues, and breast cancer. However, the strategy is short of resources through which it can be executed hence being a disadvantage (Eden and Wagstaff, 2020). For instance, despite the enhancement of access to contraceptives, many women continue to experience constraints in extremely long queues and restricted service delivery in specific areas. Furthermore, the issue of poor inclusion of women in clinical trials was also highlighted. Issues concerning women have for a long time been neglected by medical research due to its predominantly male staff. This lack of research prevents the creation of treatments that are actually appropriate for the female gender (UK SDG, 2023).</w:t>
      </w:r>
    </w:p>
    <w:p w:rsidR="00000000" w:rsidDel="00000000" w:rsidP="00000000" w:rsidRDefault="00000000" w:rsidRPr="00000000" w14:paraId="0000005A">
      <w:pPr>
        <w:pStyle w:val="Heading2"/>
        <w:rPr>
          <w:rFonts w:ascii="Arial" w:cs="Arial" w:eastAsia="Arial" w:hAnsi="Arial"/>
        </w:rPr>
      </w:pPr>
      <w:bookmarkStart w:colFirst="0" w:colLast="0" w:name="_heading=h.lnxbz9" w:id="13"/>
      <w:bookmarkEnd w:id="13"/>
      <w:r w:rsidDel="00000000" w:rsidR="00000000" w:rsidRPr="00000000">
        <w:rPr>
          <w:rFonts w:ascii="Arial" w:cs="Arial" w:eastAsia="Arial" w:hAnsi="Arial"/>
          <w:rtl w:val="0"/>
        </w:rPr>
        <w:t xml:space="preserve">4.4 Progress in Implementing SDG 5</w:t>
      </w:r>
    </w:p>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rtl w:val="0"/>
        </w:rPr>
        <w:t xml:space="preserve">The UK has recorded various advances in gender ailments, health promotion, and maternal and reproductive services. This has enhanced the moment and postnatal care hence leading to reduced maternal mortality, and positive health for women and their newborn babies. Such services are routine checkups and non-pharmacological midwifery care, which offer education on maternal health with and after pregnancy (Henri Morel, 2021).</w:t>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rtl w:val="0"/>
        </w:rPr>
        <w:t xml:space="preserve">The UK has recorded various advances in gender ailments, health promotion, and maternal and reproductive services. This has enhanced the moment and postnatal care hence leading to reduced maternal mortality, and positive health for women and their newborn babies. Such services are routine checkups and non-pharmacological midwifery care, which offer education on maternal health with and after pregnancy (Henri Morel, 2021).</w:t>
      </w:r>
    </w:p>
    <w:p w:rsidR="00000000" w:rsidDel="00000000" w:rsidP="00000000" w:rsidRDefault="00000000" w:rsidRPr="00000000" w14:paraId="0000005D">
      <w:pPr>
        <w:rPr>
          <w:rFonts w:ascii="Arial" w:cs="Arial" w:eastAsia="Arial" w:hAnsi="Arial"/>
        </w:rPr>
      </w:pPr>
      <w:r w:rsidDel="00000000" w:rsidR="00000000" w:rsidRPr="00000000">
        <w:rPr>
          <w:rFonts w:ascii="Arial" w:cs="Arial" w:eastAsia="Arial" w:hAnsi="Arial"/>
          <w:rtl w:val="0"/>
        </w:rPr>
        <w:t xml:space="preserve">There is also some improvement made in gender violence increase in medical and psychological services for victims. Such interventions lower the likelihood of developing various subsequent physical and mental health disorders-including PTSD and anxiety, according to Lima and Guedes (2024).</w:t>
      </w:r>
    </w:p>
    <w:p w:rsidR="00000000" w:rsidDel="00000000" w:rsidP="00000000" w:rsidRDefault="00000000" w:rsidRPr="00000000" w14:paraId="0000005E">
      <w:pPr>
        <w:rPr>
          <w:rFonts w:ascii="Arial" w:cs="Arial" w:eastAsia="Arial" w:hAnsi="Arial"/>
          <w:b w:val="1"/>
        </w:rPr>
      </w:pPr>
      <w:r w:rsidDel="00000000" w:rsidR="00000000" w:rsidRPr="00000000">
        <w:rPr>
          <w:rFonts w:ascii="Arial" w:cs="Arial" w:eastAsia="Arial" w:hAnsi="Arial"/>
          <w:rtl w:val="0"/>
        </w:rPr>
        <w:t xml:space="preserve">However, there are still significant differences according to gender and ethnicity, and women of an ethnic minority or low income often have difficulties with their medical care. Diabetes and heart disease remain poorly financed, and the care of mental health in women has many problems (Pandey &amp; Kumar, 2019).</w:t>
      </w:r>
      <w:r w:rsidDel="00000000" w:rsidR="00000000" w:rsidRPr="00000000">
        <w:rPr>
          <w:rtl w:val="0"/>
        </w:rPr>
      </w:r>
    </w:p>
    <w:p w:rsidR="00000000" w:rsidDel="00000000" w:rsidP="00000000" w:rsidRDefault="00000000" w:rsidRPr="00000000" w14:paraId="0000005F">
      <w:pPr>
        <w:pStyle w:val="Heading2"/>
        <w:rPr>
          <w:rFonts w:ascii="Arial" w:cs="Arial" w:eastAsia="Arial" w:hAnsi="Arial"/>
        </w:rPr>
      </w:pPr>
      <w:bookmarkStart w:colFirst="0" w:colLast="0" w:name="_heading=h.35nkun2" w:id="14"/>
      <w:bookmarkEnd w:id="14"/>
      <w:r w:rsidDel="00000000" w:rsidR="00000000" w:rsidRPr="00000000">
        <w:rPr>
          <w:rFonts w:ascii="Arial" w:cs="Arial" w:eastAsia="Arial" w:hAnsi="Arial"/>
          <w:rtl w:val="0"/>
        </w:rPr>
        <w:t xml:space="preserve">4.5 Impact on Health, Wellbeing, and Sustainable Development </w:t>
      </w:r>
    </w:p>
    <w:p w:rsidR="00000000" w:rsidDel="00000000" w:rsidP="00000000" w:rsidRDefault="00000000" w:rsidRPr="00000000" w14:paraId="00000060">
      <w:pPr>
        <w:rPr>
          <w:rFonts w:ascii="Arial" w:cs="Arial" w:eastAsia="Arial" w:hAnsi="Arial"/>
        </w:rPr>
      </w:pPr>
      <w:r w:rsidDel="00000000" w:rsidR="00000000" w:rsidRPr="00000000">
        <w:rPr>
          <w:rFonts w:ascii="Arial" w:cs="Arial" w:eastAsia="Arial" w:hAnsi="Arial"/>
          <w:b w:val="1"/>
          <w:rtl w:val="0"/>
        </w:rPr>
        <w:t xml:space="preserve">Achieving SDG 5:</w:t>
      </w:r>
      <w:r w:rsidDel="00000000" w:rsidR="00000000" w:rsidRPr="00000000">
        <w:rPr>
          <w:rFonts w:ascii="Arial" w:cs="Arial" w:eastAsia="Arial" w:hAnsi="Arial"/>
          <w:rtl w:val="0"/>
        </w:rPr>
        <w:t xml:space="preserve"> Gender Equality is therefore very closely linked to health, well-being and sustainable Development. When women and girls can easily access the required health care services they are fresher and therefore the health of the entire nation is boosted. A healthy woman is a productive woman implying that improved health for women can enhance the overall function of the family and the community at large (Hutchinson and Kovats, 2020).</w:t>
      </w:r>
    </w:p>
    <w:p w:rsidR="00000000" w:rsidDel="00000000" w:rsidP="00000000" w:rsidRDefault="00000000" w:rsidRPr="00000000" w14:paraId="00000061">
      <w:pPr>
        <w:rPr>
          <w:rFonts w:ascii="Arial" w:cs="Arial" w:eastAsia="Arial" w:hAnsi="Arial"/>
        </w:rPr>
      </w:pPr>
      <w:r w:rsidDel="00000000" w:rsidR="00000000" w:rsidRPr="00000000">
        <w:rPr>
          <w:rFonts w:ascii="Arial" w:cs="Arial" w:eastAsia="Arial" w:hAnsi="Arial"/>
          <w:rtl w:val="0"/>
        </w:rPr>
        <w:t xml:space="preserve">Finally, when specifically targeting and tailoring the health policies related to sex requirements: reproductive health, mental disorders, and chronic illnesses predominant in women, the UK stands for a considerable improvement in public health. Gender equality in healthcare frees women to lead meaningful life and have a voice in society, essential for economic growth and change (Hutchinson and Kovats, 2021). This forms a virtuous cycle of well-being by improving the status of women and enabling education, employment and leadership within sustainable development (Leach, 2019).</w:t>
      </w:r>
    </w:p>
    <w:p w:rsidR="00000000" w:rsidDel="00000000" w:rsidP="00000000" w:rsidRDefault="00000000" w:rsidRPr="00000000" w14:paraId="00000062">
      <w:pPr>
        <w:rPr>
          <w:rFonts w:ascii="Arial" w:cs="Arial" w:eastAsia="Arial" w:hAnsi="Arial"/>
        </w:rPr>
      </w:pPr>
      <w:r w:rsidDel="00000000" w:rsidR="00000000" w:rsidRPr="00000000">
        <w:rPr>
          <w:rFonts w:ascii="Arial" w:cs="Arial" w:eastAsia="Arial" w:hAnsi="Arial"/>
          <w:rtl w:val="0"/>
        </w:rPr>
        <w:t xml:space="preserve">Further, the reduction of gender-based violence therapeutically is important in safeguarding women's health both physically and mentally. Get professional medical &amp; psychological assistance needed by the survivors to stand a better chance of leading a productive and healthy life as this contributes towards the development of strong societies (Hutchinson and Kovats, 2020).</w:t>
      </w:r>
    </w:p>
    <w:p w:rsidR="00000000" w:rsidDel="00000000" w:rsidP="00000000" w:rsidRDefault="00000000" w:rsidRPr="00000000" w14:paraId="00000063">
      <w:pPr>
        <w:pStyle w:val="Heading2"/>
        <w:rPr>
          <w:rFonts w:ascii="Arial" w:cs="Arial" w:eastAsia="Arial" w:hAnsi="Arial"/>
        </w:rPr>
      </w:pPr>
      <w:bookmarkStart w:colFirst="0" w:colLast="0" w:name="_heading=h.1ksv4uv" w:id="15"/>
      <w:bookmarkEnd w:id="15"/>
      <w:r w:rsidDel="00000000" w:rsidR="00000000" w:rsidRPr="00000000">
        <w:rPr>
          <w:rFonts w:ascii="Arial" w:cs="Arial" w:eastAsia="Arial" w:hAnsi="Arial"/>
          <w:rtl w:val="0"/>
        </w:rPr>
        <w:t xml:space="preserve">4.6 Challenges in Implementing SDG 5 </w:t>
      </w:r>
    </w:p>
    <w:p w:rsidR="00000000" w:rsidDel="00000000" w:rsidP="00000000" w:rsidRDefault="00000000" w:rsidRPr="00000000" w14:paraId="00000064">
      <w:pPr>
        <w:rPr>
          <w:rFonts w:ascii="Arial" w:cs="Arial" w:eastAsia="Arial" w:hAnsi="Arial"/>
        </w:rPr>
      </w:pPr>
      <w:r w:rsidDel="00000000" w:rsidR="00000000" w:rsidRPr="00000000">
        <w:rPr>
          <w:rFonts w:ascii="Arial" w:cs="Arial" w:eastAsia="Arial" w:hAnsi="Arial"/>
          <w:rtl w:val="0"/>
        </w:rPr>
        <w:t xml:space="preserve">Despite the progress made, several challenges continue to hinder the full implementation of SDG 5 in the UK’s healthcare system.</w:t>
      </w:r>
    </w:p>
    <w:p w:rsidR="00000000" w:rsidDel="00000000" w:rsidP="00000000" w:rsidRDefault="00000000" w:rsidRPr="00000000" w14:paraId="00000065">
      <w:pPr>
        <w:rPr>
          <w:rFonts w:ascii="Arial" w:cs="Arial" w:eastAsia="Arial" w:hAnsi="Arial"/>
          <w:b w:val="1"/>
        </w:rPr>
      </w:pPr>
      <w:r w:rsidDel="00000000" w:rsidR="00000000" w:rsidRPr="00000000">
        <w:rPr>
          <w:rFonts w:ascii="Arial" w:cs="Arial" w:eastAsia="Arial" w:hAnsi="Arial"/>
          <w:b w:val="1"/>
          <w:rtl w:val="0"/>
        </w:rPr>
        <w:t xml:space="preserve">Systemic Biases in Healthcare</w:t>
      </w:r>
    </w:p>
    <w:p w:rsidR="00000000" w:rsidDel="00000000" w:rsidP="00000000" w:rsidRDefault="00000000" w:rsidRPr="00000000" w14:paraId="00000066">
      <w:pPr>
        <w:rPr>
          <w:rFonts w:ascii="Arial" w:cs="Arial" w:eastAsia="Arial" w:hAnsi="Arial"/>
        </w:rPr>
      </w:pPr>
      <w:r w:rsidDel="00000000" w:rsidR="00000000" w:rsidRPr="00000000">
        <w:rPr>
          <w:rFonts w:ascii="Arial" w:cs="Arial" w:eastAsia="Arial" w:hAnsi="Arial"/>
          <w:rtl w:val="0"/>
        </w:rPr>
        <w:t xml:space="preserve">The first key issue that is particularly alarming is that gender biases characterise contemporary diagnostic and therapeutic strategies (Dyakova et al., 2020). Female’s signs and symptoms are frequently overlooked or attributed to other causes, especially those of cardiovascular disease and chronic pelvic pain diseases including endometriosis. This bias leads to diagnosis and treatment with less than optimum care necessary to improve women’s health (Barua, 2019).</w:t>
      </w:r>
    </w:p>
    <w:p w:rsidR="00000000" w:rsidDel="00000000" w:rsidP="00000000" w:rsidRDefault="00000000" w:rsidRPr="00000000" w14:paraId="00000067">
      <w:pPr>
        <w:rPr>
          <w:rFonts w:ascii="Arial" w:cs="Arial" w:eastAsia="Arial" w:hAnsi="Arial"/>
        </w:rPr>
      </w:pPr>
      <w:r w:rsidDel="00000000" w:rsidR="00000000" w:rsidRPr="00000000">
        <w:rPr>
          <w:rtl w:val="0"/>
        </w:rPr>
      </w:r>
    </w:p>
    <w:p w:rsidR="00000000" w:rsidDel="00000000" w:rsidP="00000000" w:rsidRDefault="00000000" w:rsidRPr="00000000" w14:paraId="00000068">
      <w:pPr>
        <w:rPr>
          <w:rFonts w:ascii="Arial" w:cs="Arial" w:eastAsia="Arial" w:hAnsi="Arial"/>
          <w:b w:val="1"/>
        </w:rPr>
      </w:pPr>
      <w:r w:rsidDel="00000000" w:rsidR="00000000" w:rsidRPr="00000000">
        <w:rPr>
          <w:rFonts w:ascii="Arial" w:cs="Arial" w:eastAsia="Arial" w:hAnsi="Arial"/>
          <w:b w:val="1"/>
          <w:rtl w:val="0"/>
        </w:rPr>
        <w:t xml:space="preserve">Intersectionality</w:t>
      </w:r>
    </w:p>
    <w:p w:rsidR="00000000" w:rsidDel="00000000" w:rsidP="00000000" w:rsidRDefault="00000000" w:rsidRPr="00000000" w14:paraId="00000069">
      <w:pPr>
        <w:rPr>
          <w:rFonts w:ascii="Arial" w:cs="Arial" w:eastAsia="Arial" w:hAnsi="Arial"/>
        </w:rPr>
      </w:pPr>
      <w:r w:rsidDel="00000000" w:rsidR="00000000" w:rsidRPr="00000000">
        <w:rPr>
          <w:rFonts w:ascii="Arial" w:cs="Arial" w:eastAsia="Arial" w:hAnsi="Arial"/>
          <w:rtl w:val="0"/>
        </w:rPr>
        <w:t xml:space="preserve">Intersectionality as a concept relates to the influences of social categories like gender, race, and class on experiences within the healthcare sector. Specifically, ethnically diverse women, women from a low-income background, or the general vulnerable groups experience differential access to healthcare and, in particular, longer waiting times for healthcare services, and lesser access to specialised healthcare services (Pereira et al., 2024). These intersectional barriers reveal the shortcomings of current health policies that rarely capture the complexity of minorities’ needs (Leach, 2019).</w:t>
      </w:r>
    </w:p>
    <w:p w:rsidR="00000000" w:rsidDel="00000000" w:rsidP="00000000" w:rsidRDefault="00000000" w:rsidRPr="00000000" w14:paraId="0000006A">
      <w:pPr>
        <w:rPr>
          <w:rFonts w:ascii="Arial" w:cs="Arial" w:eastAsia="Arial" w:hAnsi="Arial"/>
          <w:b w:val="1"/>
        </w:rPr>
      </w:pPr>
      <w:r w:rsidDel="00000000" w:rsidR="00000000" w:rsidRPr="00000000">
        <w:rPr>
          <w:rFonts w:ascii="Arial" w:cs="Arial" w:eastAsia="Arial" w:hAnsi="Arial"/>
          <w:b w:val="1"/>
          <w:rtl w:val="0"/>
        </w:rPr>
        <w:t xml:space="preserve">Resource Allocation</w:t>
      </w:r>
    </w:p>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rtl w:val="0"/>
        </w:rPr>
        <w:t xml:space="preserve">Resource Allocation poses a major challenge in dealing with these disparities. Challenges to healthcare auspices include scarce resources, including gender-sensitive services such as mental and reproductive health care. While the Women’s Health Strategy outlines key objectives, insufficient financing results in long waits and unequal access between patients and regions (World, 2021). Due to limited financial resources, it is challenging to provide quality, gender-sensitive services to all women, including those struggling in society (Barua, 2019).</w:t>
      </w:r>
    </w:p>
    <w:p w:rsidR="00000000" w:rsidDel="00000000" w:rsidP="00000000" w:rsidRDefault="00000000" w:rsidRPr="00000000" w14:paraId="0000006C">
      <w:pPr>
        <w:rPr>
          <w:rFonts w:ascii="Arial" w:cs="Arial" w:eastAsia="Arial" w:hAnsi="Arial"/>
        </w:rPr>
      </w:pPr>
      <w:r w:rsidDel="00000000" w:rsidR="00000000" w:rsidRPr="00000000">
        <w:rPr>
          <w:rFonts w:ascii="Arial" w:cs="Arial" w:eastAsia="Arial" w:hAnsi="Arial"/>
          <w:rtl w:val="0"/>
        </w:rPr>
        <w:t xml:space="preserve">These are some of the causative factors that need policy and funding strategies in place, alongside efforts for eliminating predisposing factors within a framework of health care. Overcoming these barriers, the UK can continue the work on the advancement of SDG 5 to provide every woman and girl with necessary healthcare (Pandey and Kumar, 2019).</w:t>
      </w:r>
    </w:p>
    <w:p w:rsidR="00000000" w:rsidDel="00000000" w:rsidP="00000000" w:rsidRDefault="00000000" w:rsidRPr="00000000" w14:paraId="0000006D">
      <w:pPr>
        <w:pStyle w:val="Heading1"/>
        <w:rPr>
          <w:rFonts w:ascii="Arial" w:cs="Arial" w:eastAsia="Arial" w:hAnsi="Arial"/>
        </w:rPr>
      </w:pPr>
      <w:bookmarkStart w:colFirst="0" w:colLast="0" w:name="_heading=h.44sinio" w:id="16"/>
      <w:bookmarkEnd w:id="16"/>
      <w:r w:rsidDel="00000000" w:rsidR="00000000" w:rsidRPr="00000000">
        <w:rPr>
          <w:rFonts w:ascii="Arial" w:cs="Arial" w:eastAsia="Arial" w:hAnsi="Arial"/>
          <w:rtl w:val="0"/>
        </w:rPr>
        <w:t xml:space="preserve">5.0 Recommendations</w:t>
      </w:r>
    </w:p>
    <w:p w:rsidR="00000000" w:rsidDel="00000000" w:rsidP="00000000" w:rsidRDefault="00000000" w:rsidRPr="00000000" w14:paraId="0000006E">
      <w:pPr>
        <w:rPr>
          <w:rFonts w:ascii="Arial" w:cs="Arial" w:eastAsia="Arial" w:hAnsi="Arial"/>
        </w:rPr>
      </w:pPr>
      <w:r w:rsidDel="00000000" w:rsidR="00000000" w:rsidRPr="00000000">
        <w:rPr>
          <w:rFonts w:ascii="Arial" w:cs="Arial" w:eastAsia="Arial" w:hAnsi="Arial"/>
          <w:rtl w:val="0"/>
        </w:rPr>
        <w:t xml:space="preserve">In terms of the challenges that have been presented regarding the implementation of SDG 2 and SDG 5, there is a need to expand and further develop the Healthy Start Program. This can be done through more targeted education via local community centres and doctors’ offices, and through making the application process less cumbersome and/or online-based (Walker, 2019). However, practical difficulties like reaching some idle assets, and language barriers can considerably influence the outcomes of the process. Iidle assets refer to resources (financial, equipment, land, or human capital) that remain underused or unproductive. In healthcare, these can hinder efficiency, affecting outcomes due to poor utilisation or access (Dalby et al., 2019).</w:t>
      </w:r>
    </w:p>
    <w:p w:rsidR="00000000" w:rsidDel="00000000" w:rsidP="00000000" w:rsidRDefault="00000000" w:rsidRPr="00000000" w14:paraId="0000006F">
      <w:pPr>
        <w:rPr>
          <w:rFonts w:ascii="Arial" w:cs="Arial" w:eastAsia="Arial" w:hAnsi="Arial"/>
        </w:rPr>
      </w:pPr>
      <w:r w:rsidDel="00000000" w:rsidR="00000000" w:rsidRPr="00000000">
        <w:rPr>
          <w:rFonts w:ascii="Arial" w:cs="Arial" w:eastAsia="Arial" w:hAnsi="Arial"/>
          <w:rtl w:val="0"/>
        </w:rPr>
        <w:t xml:space="preserve">Enhancing food security policies is vital, ensuring access to healthy food and supporting sustainable agriculture. The Labour government’s introduction could positively impact these policies through increased public investment, prioritising food justice and sustainability. However, scarce funds and political patronage may stall progress, requiring careful navigation of fiscal constraints and cross-party support to implement these necessary policy adjustments (Barua, 2019).</w:t>
      </w:r>
    </w:p>
    <w:p w:rsidR="00000000" w:rsidDel="00000000" w:rsidP="00000000" w:rsidRDefault="00000000" w:rsidRPr="00000000" w14:paraId="00000070">
      <w:pPr>
        <w:rPr>
          <w:rFonts w:ascii="Arial" w:cs="Arial" w:eastAsia="Arial" w:hAnsi="Arial"/>
        </w:rPr>
      </w:pPr>
      <w:r w:rsidDel="00000000" w:rsidR="00000000" w:rsidRPr="00000000">
        <w:rPr>
          <w:rFonts w:ascii="Arial" w:cs="Arial" w:eastAsia="Arial" w:hAnsi="Arial"/>
          <w:rtl w:val="0"/>
        </w:rPr>
        <w:t xml:space="preserve">To improve gender-sensitive healthcare, it is advised to make the gender-sensitive care training of healthcare workers compulsory and provide more funding for women’s mental and reproductive health services (Walker, 2019). An issue here would be the time and costs that would be incurred in implementing such extensive training.</w:t>
      </w:r>
    </w:p>
    <w:p w:rsidR="00000000" w:rsidDel="00000000" w:rsidP="00000000" w:rsidRDefault="00000000" w:rsidRPr="00000000" w14:paraId="00000071">
      <w:pPr>
        <w:rPr>
          <w:rFonts w:ascii="Arial" w:cs="Arial" w:eastAsia="Arial" w:hAnsi="Arial"/>
        </w:rPr>
      </w:pPr>
      <w:r w:rsidDel="00000000" w:rsidR="00000000" w:rsidRPr="00000000">
        <w:rPr>
          <w:rFonts w:ascii="Arial" w:cs="Arial" w:eastAsia="Arial" w:hAnsi="Arial"/>
          <w:rtl w:val="0"/>
        </w:rPr>
        <w:t xml:space="preserve">Enhancing gender-disaggregated data collection can highlight care disparities, particularly for minority and low-income women. However, challenges include privacy concerns, high costs, and the inclusion of those who don’t identify with specific genders.</w:t>
      </w:r>
    </w:p>
    <w:p w:rsidR="00000000" w:rsidDel="00000000" w:rsidP="00000000" w:rsidRDefault="00000000" w:rsidRPr="00000000" w14:paraId="00000072">
      <w:pPr>
        <w:rPr>
          <w:rFonts w:ascii="Arial" w:cs="Arial" w:eastAsia="Arial" w:hAnsi="Arial"/>
          <w:b w:val="1"/>
        </w:rPr>
      </w:pPr>
      <w:r w:rsidDel="00000000" w:rsidR="00000000" w:rsidRPr="00000000">
        <w:rPr>
          <w:rFonts w:ascii="Arial" w:cs="Arial" w:eastAsia="Arial" w:hAnsi="Arial"/>
          <w:rtl w:val="0"/>
        </w:rPr>
        <w:t xml:space="preserve">Finally, increasing the focus on the allocation of resources in women’s health, especially in chronic illness and mental health could help enhance the results, but other priorities may reduce the budget for achieving these goals (Dalby et al., 2019).</w:t>
      </w:r>
      <w:r w:rsidDel="00000000" w:rsidR="00000000" w:rsidRPr="00000000">
        <w:rPr>
          <w:rtl w:val="0"/>
        </w:rPr>
      </w:r>
    </w:p>
    <w:p w:rsidR="00000000" w:rsidDel="00000000" w:rsidP="00000000" w:rsidRDefault="00000000" w:rsidRPr="00000000" w14:paraId="00000073">
      <w:pPr>
        <w:pStyle w:val="Heading1"/>
        <w:rPr>
          <w:rFonts w:ascii="Arial" w:cs="Arial" w:eastAsia="Arial" w:hAnsi="Arial"/>
        </w:rPr>
      </w:pPr>
      <w:bookmarkStart w:colFirst="0" w:colLast="0" w:name="_heading=h.2jxsxqh" w:id="17"/>
      <w:bookmarkEnd w:id="17"/>
      <w:r w:rsidDel="00000000" w:rsidR="00000000" w:rsidRPr="00000000">
        <w:rPr>
          <w:rFonts w:ascii="Arial" w:cs="Arial" w:eastAsia="Arial" w:hAnsi="Arial"/>
          <w:rtl w:val="0"/>
        </w:rPr>
        <w:t xml:space="preserve">6.0 Conclusion</w:t>
      </w:r>
    </w:p>
    <w:p w:rsidR="00000000" w:rsidDel="00000000" w:rsidP="00000000" w:rsidRDefault="00000000" w:rsidRPr="00000000" w14:paraId="00000074">
      <w:pPr>
        <w:rPr>
          <w:rFonts w:ascii="Arial" w:cs="Arial" w:eastAsia="Arial" w:hAnsi="Arial"/>
        </w:rPr>
      </w:pPr>
      <w:r w:rsidDel="00000000" w:rsidR="00000000" w:rsidRPr="00000000">
        <w:rPr>
          <w:rFonts w:ascii="Arial" w:cs="Arial" w:eastAsia="Arial" w:hAnsi="Arial"/>
          <w:rtl w:val="0"/>
        </w:rPr>
        <w:t xml:space="preserve">The UK has made notable progress in advancing SDG 2: Of these, only ‘Zero Hunger’ and SDG 5: Gender Equality are somewhat addressed but many barriers are still in place. Despite efforts to address the issue, food insecurity persists, and the need for food banks grows, as do the rates of malnutrition, especially among children. Even though there are programs such as the Healthy Start Program and the National Food Strategy, the challenge of exercising choice to obtain healthy food remains a reality for low-income earners. Measures needed to fill these gaps entail prevention that requires, therefore, shorter-term but sustainable strategies. Regarding SDG 5, both the Gender Equality Strategy and the Women’s Health Strategy have helped to close the gender gap in access to healthcare. However, evidence of gender bias in diagnosis, insufficient funding for women's mental health and minority groups, and exclusion and discrimination of such groups remain as evidence of existing inequality. Inequality in healthcare still persists with women from ethnic minorities and lower-income backgrounds particularly affected. In this way, the UK should continue to address these challenges through the implementation of policies and funding, as well as enhancing methods of spreading information regarding the goals of SDG 2 and SDG 5. These measures alongside various structural changes will contribute to the enhancement of health standards, equality of women and minorities, and general well-being of the most susceptible groups of people.</w:t>
      </w:r>
    </w:p>
    <w:p w:rsidR="00000000" w:rsidDel="00000000" w:rsidP="00000000" w:rsidRDefault="00000000" w:rsidRPr="00000000" w14:paraId="00000075">
      <w:pPr>
        <w:spacing w:line="259" w:lineRule="auto"/>
        <w:jc w:val="left"/>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76">
      <w:pPr>
        <w:pStyle w:val="Heading1"/>
        <w:rPr>
          <w:rFonts w:ascii="Arial" w:cs="Arial" w:eastAsia="Arial" w:hAnsi="Arial"/>
        </w:rPr>
      </w:pPr>
      <w:bookmarkStart w:colFirst="0" w:colLast="0" w:name="_heading=h.z337ya" w:id="18"/>
      <w:bookmarkEnd w:id="18"/>
      <w:r w:rsidDel="00000000" w:rsidR="00000000" w:rsidRPr="00000000">
        <w:rPr>
          <w:rFonts w:ascii="Arial" w:cs="Arial" w:eastAsia="Arial" w:hAnsi="Arial"/>
          <w:rtl w:val="0"/>
        </w:rPr>
        <w:t xml:space="preserve">References</w:t>
      </w:r>
    </w:p>
    <w:p w:rsidR="00000000" w:rsidDel="00000000" w:rsidP="00000000" w:rsidRDefault="00000000" w:rsidRPr="00000000" w14:paraId="00000077">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Azul, A.M., Brandli, L., Özuyar, P.G., Wall, T. and Filho, W.L. eds., (2019). </w:t>
      </w:r>
      <w:r w:rsidDel="00000000" w:rsidR="00000000" w:rsidRPr="00000000">
        <w:rPr>
          <w:rFonts w:ascii="Arial" w:cs="Arial" w:eastAsia="Arial" w:hAnsi="Arial"/>
          <w:i w:val="1"/>
          <w:color w:val="000000"/>
          <w:rtl w:val="0"/>
        </w:rPr>
        <w:t xml:space="preserve">Zero Hunger.</w:t>
      </w:r>
      <w:r w:rsidDel="00000000" w:rsidR="00000000" w:rsidRPr="00000000">
        <w:rPr>
          <w:rFonts w:ascii="Arial" w:cs="Arial" w:eastAsia="Arial" w:hAnsi="Arial"/>
          <w:color w:val="000000"/>
          <w:rtl w:val="0"/>
        </w:rPr>
        <w:t xml:space="preserve"> Springer International Publishing.</w:t>
      </w:r>
    </w:p>
    <w:p w:rsidR="00000000" w:rsidDel="00000000" w:rsidP="00000000" w:rsidRDefault="00000000" w:rsidRPr="00000000" w14:paraId="00000078">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Barua, S. (2019). Financing sustainable development goals: A review of challenges and mitigation strategies. </w:t>
      </w:r>
      <w:r w:rsidDel="00000000" w:rsidR="00000000" w:rsidRPr="00000000">
        <w:rPr>
          <w:rFonts w:ascii="Arial" w:cs="Arial" w:eastAsia="Arial" w:hAnsi="Arial"/>
          <w:i w:val="1"/>
          <w:color w:val="000000"/>
          <w:rtl w:val="0"/>
        </w:rPr>
        <w:t xml:space="preserve">BUSINESS STRATEGY &amp; DEVELOPMENT</w:t>
      </w:r>
      <w:r w:rsidDel="00000000" w:rsidR="00000000" w:rsidRPr="00000000">
        <w:rPr>
          <w:rFonts w:ascii="Arial" w:cs="Arial" w:eastAsia="Arial" w:hAnsi="Arial"/>
          <w:color w:val="000000"/>
          <w:rtl w:val="0"/>
        </w:rPr>
        <w:t xml:space="preserve">, 3(3). doi:https://doi.org/10.1002/bsd2.94.</w:t>
      </w:r>
    </w:p>
    <w:p w:rsidR="00000000" w:rsidDel="00000000" w:rsidP="00000000" w:rsidRDefault="00000000" w:rsidRPr="00000000" w14:paraId="00000079">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Bond. (2022). </w:t>
      </w:r>
      <w:r w:rsidDel="00000000" w:rsidR="00000000" w:rsidRPr="00000000">
        <w:rPr>
          <w:rFonts w:ascii="Arial" w:cs="Arial" w:eastAsia="Arial" w:hAnsi="Arial"/>
          <w:i w:val="1"/>
          <w:color w:val="000000"/>
          <w:rtl w:val="0"/>
        </w:rPr>
        <w:t xml:space="preserve">SDG 2: Progress, gaps and recommendations for the UK</w:t>
      </w:r>
      <w:r w:rsidDel="00000000" w:rsidR="00000000" w:rsidRPr="00000000">
        <w:rPr>
          <w:rFonts w:ascii="Arial" w:cs="Arial" w:eastAsia="Arial" w:hAnsi="Arial"/>
          <w:color w:val="000000"/>
          <w:rtl w:val="0"/>
        </w:rPr>
        <w:t xml:space="preserve">. [online] Available at: https://www.bond.org.uk/wp-content/uploads/2022/08/bond_sdgsreport2022_sdg2_final.pdf [Accessed 2024].</w:t>
      </w:r>
    </w:p>
    <w:p w:rsidR="00000000" w:rsidDel="00000000" w:rsidP="00000000" w:rsidRDefault="00000000" w:rsidRPr="00000000" w14:paraId="0000007A">
      <w:pPr>
        <w:spacing w:after="280" w:before="280" w:lineRule="auto"/>
        <w:rPr>
          <w:rFonts w:ascii="Arial" w:cs="Arial" w:eastAsia="Arial" w:hAnsi="Arial"/>
          <w:color w:val="000000"/>
        </w:rPr>
      </w:pPr>
      <w:r w:rsidDel="00000000" w:rsidR="00000000" w:rsidRPr="00000000">
        <w:rPr>
          <w:rFonts w:ascii="Arial" w:cs="Arial" w:eastAsia="Arial" w:hAnsi="Arial"/>
          <w:color w:val="000000"/>
          <w:rtl w:val="0"/>
        </w:rPr>
        <w:t xml:space="preserve">Cheo, A.E. and Tapiwa, K.A. (2021) </w:t>
      </w:r>
      <w:r w:rsidDel="00000000" w:rsidR="00000000" w:rsidRPr="00000000">
        <w:rPr>
          <w:rFonts w:ascii="Arial" w:cs="Arial" w:eastAsia="Arial" w:hAnsi="Arial"/>
          <w:i w:val="1"/>
          <w:color w:val="000000"/>
          <w:rtl w:val="0"/>
        </w:rPr>
        <w:t xml:space="preserve">SDG2 - zero hunger: Food security, improved nutrition and sustainable agriculture</w:t>
      </w:r>
      <w:r w:rsidDel="00000000" w:rsidR="00000000" w:rsidRPr="00000000">
        <w:rPr>
          <w:rFonts w:ascii="Arial" w:cs="Arial" w:eastAsia="Arial" w:hAnsi="Arial"/>
          <w:color w:val="000000"/>
          <w:rtl w:val="0"/>
        </w:rPr>
        <w:t xml:space="preserve">. Bingley, England: Emerald Publishing.</w:t>
      </w:r>
    </w:p>
    <w:p w:rsidR="00000000" w:rsidDel="00000000" w:rsidP="00000000" w:rsidRDefault="00000000" w:rsidRPr="00000000" w14:paraId="0000007B">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Cripps, K. and Pariyarath Sangeetha Thondre (2024). </w:t>
      </w:r>
      <w:r w:rsidDel="00000000" w:rsidR="00000000" w:rsidRPr="00000000">
        <w:rPr>
          <w:rFonts w:ascii="Arial" w:cs="Arial" w:eastAsia="Arial" w:hAnsi="Arial"/>
          <w:i w:val="1"/>
          <w:color w:val="000000"/>
          <w:rtl w:val="0"/>
        </w:rPr>
        <w:t xml:space="preserve">Higher Education and SDG2</w:t>
      </w:r>
      <w:r w:rsidDel="00000000" w:rsidR="00000000" w:rsidRPr="00000000">
        <w:rPr>
          <w:rFonts w:ascii="Arial" w:cs="Arial" w:eastAsia="Arial" w:hAnsi="Arial"/>
          <w:color w:val="000000"/>
          <w:rtl w:val="0"/>
        </w:rPr>
        <w:t xml:space="preserve">. Emerald Group Publishing.</w:t>
      </w:r>
    </w:p>
    <w:p w:rsidR="00000000" w:rsidDel="00000000" w:rsidP="00000000" w:rsidRDefault="00000000" w:rsidRPr="00000000" w14:paraId="0000007C">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Dalby, S., Horton, S., Mahon, R. and Thomaz, D. (2019). </w:t>
      </w:r>
      <w:r w:rsidDel="00000000" w:rsidR="00000000" w:rsidRPr="00000000">
        <w:rPr>
          <w:rFonts w:ascii="Arial" w:cs="Arial" w:eastAsia="Arial" w:hAnsi="Arial"/>
          <w:i w:val="1"/>
          <w:color w:val="000000"/>
          <w:rtl w:val="0"/>
        </w:rPr>
        <w:t xml:space="preserve">Achieving the Sustainable Development Goals</w:t>
      </w:r>
      <w:r w:rsidDel="00000000" w:rsidR="00000000" w:rsidRPr="00000000">
        <w:rPr>
          <w:rFonts w:ascii="Arial" w:cs="Arial" w:eastAsia="Arial" w:hAnsi="Arial"/>
          <w:color w:val="000000"/>
          <w:rtl w:val="0"/>
        </w:rPr>
        <w:t xml:space="preserve">. Routledge.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Dyakova, M., World Health Organization. Regional Office For Europe and Health Evidence Network (2020).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Investment for health and well-being : a review of the social return on investment from public health policies to support implementing the Sustainable Development Goals by building on Health 2020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Copenhagen, Denmark: World Health Organization Regional Office For Europe.</w:t>
      </w:r>
    </w:p>
    <w:p w:rsidR="00000000" w:rsidDel="00000000" w:rsidP="00000000" w:rsidRDefault="00000000" w:rsidRPr="00000000" w14:paraId="0000007E">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Eden, L. and Wagstaff, M.F. (2020). Evidence-based policymaking and the wicked problem of SDG 5 Gender Equality. </w:t>
      </w:r>
      <w:r w:rsidDel="00000000" w:rsidR="00000000" w:rsidRPr="00000000">
        <w:rPr>
          <w:rFonts w:ascii="Arial" w:cs="Arial" w:eastAsia="Arial" w:hAnsi="Arial"/>
          <w:i w:val="1"/>
          <w:color w:val="000000"/>
          <w:rtl w:val="0"/>
        </w:rPr>
        <w:t xml:space="preserve">Journal of International Business Policy</w:t>
      </w:r>
      <w:r w:rsidDel="00000000" w:rsidR="00000000" w:rsidRPr="00000000">
        <w:rPr>
          <w:rFonts w:ascii="Arial" w:cs="Arial" w:eastAsia="Arial" w:hAnsi="Arial"/>
          <w:color w:val="000000"/>
          <w:rtl w:val="0"/>
        </w:rPr>
        <w:t xml:space="preserve">, 4(4). doi:https://doi.org/10.1057/s42214-020-00054-w.</w:t>
      </w:r>
    </w:p>
    <w:p w:rsidR="00000000" w:rsidDel="00000000" w:rsidP="00000000" w:rsidRDefault="00000000" w:rsidRPr="00000000" w14:paraId="0000007F">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Fang, J., Tang, S., Tan, X. and Tolhurst, R. (2020). Achieving SDG related sexual and reproductive health targets in China: what are appropriate indicators and how we interpret them? </w:t>
      </w:r>
      <w:r w:rsidDel="00000000" w:rsidR="00000000" w:rsidRPr="00000000">
        <w:rPr>
          <w:rFonts w:ascii="Arial" w:cs="Arial" w:eastAsia="Arial" w:hAnsi="Arial"/>
          <w:i w:val="1"/>
          <w:color w:val="000000"/>
          <w:rtl w:val="0"/>
        </w:rPr>
        <w:t xml:space="preserve">Reproductive Health</w:t>
      </w:r>
      <w:r w:rsidDel="00000000" w:rsidR="00000000" w:rsidRPr="00000000">
        <w:rPr>
          <w:rFonts w:ascii="Arial" w:cs="Arial" w:eastAsia="Arial" w:hAnsi="Arial"/>
          <w:color w:val="000000"/>
          <w:rtl w:val="0"/>
        </w:rPr>
        <w:t xml:space="preserve">, 17(1). doi:https://doi.org/10.1186/s12978-020-00924-9.</w:t>
      </w:r>
    </w:p>
    <w:p w:rsidR="00000000" w:rsidDel="00000000" w:rsidP="00000000" w:rsidRDefault="00000000" w:rsidRPr="00000000" w14:paraId="00000080">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Furey, S. (2020). Food Poverty: Zero Hunger and the Right to Food. </w:t>
      </w:r>
      <w:r w:rsidDel="00000000" w:rsidR="00000000" w:rsidRPr="00000000">
        <w:rPr>
          <w:rFonts w:ascii="Arial" w:cs="Arial" w:eastAsia="Arial" w:hAnsi="Arial"/>
          <w:i w:val="1"/>
          <w:color w:val="000000"/>
          <w:rtl w:val="0"/>
        </w:rPr>
        <w:t xml:space="preserve">Encyclopedia of the UN Sustainable Development Goals</w:t>
      </w:r>
      <w:r w:rsidDel="00000000" w:rsidR="00000000" w:rsidRPr="00000000">
        <w:rPr>
          <w:rFonts w:ascii="Arial" w:cs="Arial" w:eastAsia="Arial" w:hAnsi="Arial"/>
          <w:color w:val="000000"/>
          <w:rtl w:val="0"/>
        </w:rPr>
        <w:t xml:space="preserve">, pp.329–338. doi:https://doi.org/10.1007/978-3-319-95675-6_115.</w:t>
      </w:r>
    </w:p>
    <w:p w:rsidR="00000000" w:rsidDel="00000000" w:rsidP="00000000" w:rsidRDefault="00000000" w:rsidRPr="00000000" w14:paraId="00000081">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Godwell Nhamo, Chikodzi, D. and Dube, K. (2022). </w:t>
      </w:r>
      <w:r w:rsidDel="00000000" w:rsidR="00000000" w:rsidRPr="00000000">
        <w:rPr>
          <w:rFonts w:ascii="Arial" w:cs="Arial" w:eastAsia="Arial" w:hAnsi="Arial"/>
          <w:i w:val="1"/>
          <w:color w:val="000000"/>
          <w:rtl w:val="0"/>
        </w:rPr>
        <w:t xml:space="preserve">Sustainable Development Goals for Society Vol. 2</w:t>
      </w:r>
      <w:r w:rsidDel="00000000" w:rsidR="00000000" w:rsidRPr="00000000">
        <w:rPr>
          <w:rFonts w:ascii="Arial" w:cs="Arial" w:eastAsia="Arial" w:hAnsi="Arial"/>
          <w:color w:val="000000"/>
          <w:rtl w:val="0"/>
        </w:rPr>
        <w:t xml:space="preserve">. Springer.</w:t>
      </w:r>
    </w:p>
    <w:p w:rsidR="00000000" w:rsidDel="00000000" w:rsidP="00000000" w:rsidRDefault="00000000" w:rsidRPr="00000000" w14:paraId="00000082">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Grosso, G., Mateo, A., Rangelov, N., Buzeti, T. and Birt, C. (2020). Nutrition in the Context of the Sustainable Development Goals. </w:t>
      </w:r>
      <w:r w:rsidDel="00000000" w:rsidR="00000000" w:rsidRPr="00000000">
        <w:rPr>
          <w:rFonts w:ascii="Arial" w:cs="Arial" w:eastAsia="Arial" w:hAnsi="Arial"/>
          <w:i w:val="1"/>
          <w:color w:val="000000"/>
          <w:rtl w:val="0"/>
        </w:rPr>
        <w:t xml:space="preserve">European Journal of Public Health</w:t>
      </w:r>
      <w:r w:rsidDel="00000000" w:rsidR="00000000" w:rsidRPr="00000000">
        <w:rPr>
          <w:rFonts w:ascii="Arial" w:cs="Arial" w:eastAsia="Arial" w:hAnsi="Arial"/>
          <w:color w:val="000000"/>
          <w:rtl w:val="0"/>
        </w:rPr>
        <w:t xml:space="preserve">, [online] 30(Supplement_1), pp.i19–i23. doi:https://doi.org/10.1093/eurpub/ckaa034.</w:t>
      </w:r>
    </w:p>
    <w:p w:rsidR="00000000" w:rsidDel="00000000" w:rsidP="00000000" w:rsidRDefault="00000000" w:rsidRPr="00000000" w14:paraId="00000083">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Henri Morel (2021). </w:t>
      </w:r>
      <w:r w:rsidDel="00000000" w:rsidR="00000000" w:rsidRPr="00000000">
        <w:rPr>
          <w:rFonts w:ascii="Arial" w:cs="Arial" w:eastAsia="Arial" w:hAnsi="Arial"/>
          <w:i w:val="1"/>
          <w:color w:val="000000"/>
          <w:rtl w:val="0"/>
        </w:rPr>
        <w:t xml:space="preserve">Gender Equality</w:t>
      </w:r>
      <w:r w:rsidDel="00000000" w:rsidR="00000000" w:rsidRPr="00000000">
        <w:rPr>
          <w:rFonts w:ascii="Arial" w:cs="Arial" w:eastAsia="Arial" w:hAnsi="Arial"/>
          <w:color w:val="000000"/>
          <w:rtl w:val="0"/>
        </w:rPr>
        <w:t xml:space="preserve">. Nova Science Publishers.</w:t>
      </w:r>
    </w:p>
    <w:p w:rsidR="00000000" w:rsidDel="00000000" w:rsidP="00000000" w:rsidRDefault="00000000" w:rsidRPr="00000000" w14:paraId="00000084">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Hutchinson, E. and Kovats, S. (2020). </w:t>
      </w:r>
      <w:r w:rsidDel="00000000" w:rsidR="00000000" w:rsidRPr="00000000">
        <w:rPr>
          <w:rFonts w:ascii="Arial" w:cs="Arial" w:eastAsia="Arial" w:hAnsi="Arial"/>
          <w:i w:val="1"/>
          <w:color w:val="000000"/>
          <w:rtl w:val="0"/>
        </w:rPr>
        <w:t xml:space="preserve">Environment, health and sustainable development</w:t>
      </w:r>
      <w:r w:rsidDel="00000000" w:rsidR="00000000" w:rsidRPr="00000000">
        <w:rPr>
          <w:rFonts w:ascii="Arial" w:cs="Arial" w:eastAsia="Arial" w:hAnsi="Arial"/>
          <w:color w:val="000000"/>
          <w:rtl w:val="0"/>
        </w:rPr>
        <w:t xml:space="preserve">. London: Open Univ Press.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Hutchinson, E. and Kovats, S. (2021).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Environment, health and sustainable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London: Open Univ Press.</w:t>
      </w:r>
    </w:p>
    <w:p w:rsidR="00000000" w:rsidDel="00000000" w:rsidP="00000000" w:rsidRDefault="00000000" w:rsidRPr="00000000" w14:paraId="00000086">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Leach, M. (2019). </w:t>
      </w:r>
      <w:r w:rsidDel="00000000" w:rsidR="00000000" w:rsidRPr="00000000">
        <w:rPr>
          <w:rFonts w:ascii="Arial" w:cs="Arial" w:eastAsia="Arial" w:hAnsi="Arial"/>
          <w:i w:val="1"/>
          <w:color w:val="000000"/>
          <w:rtl w:val="0"/>
        </w:rPr>
        <w:t xml:space="preserve">Gender Equality and Sustainable Development</w:t>
      </w:r>
      <w:r w:rsidDel="00000000" w:rsidR="00000000" w:rsidRPr="00000000">
        <w:rPr>
          <w:rFonts w:ascii="Arial" w:cs="Arial" w:eastAsia="Arial" w:hAnsi="Arial"/>
          <w:color w:val="000000"/>
          <w:rtl w:val="0"/>
        </w:rPr>
        <w:t xml:space="preserve">. Routledge.</w:t>
      </w:r>
    </w:p>
    <w:p w:rsidR="00000000" w:rsidDel="00000000" w:rsidP="00000000" w:rsidRDefault="00000000" w:rsidRPr="00000000" w14:paraId="00000087">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Lima, R. and Guedes, G. (2024). Sustainable Development Goals and Gender Equality: A Social Design Approach on Gender-Based Violence. </w:t>
      </w:r>
      <w:r w:rsidDel="00000000" w:rsidR="00000000" w:rsidRPr="00000000">
        <w:rPr>
          <w:rFonts w:ascii="Arial" w:cs="Arial" w:eastAsia="Arial" w:hAnsi="Arial"/>
          <w:i w:val="1"/>
          <w:color w:val="000000"/>
          <w:rtl w:val="0"/>
        </w:rPr>
        <w:t xml:space="preserve">Sustainability</w:t>
      </w:r>
      <w:r w:rsidDel="00000000" w:rsidR="00000000" w:rsidRPr="00000000">
        <w:rPr>
          <w:rFonts w:ascii="Arial" w:cs="Arial" w:eastAsia="Arial" w:hAnsi="Arial"/>
          <w:color w:val="000000"/>
          <w:rtl w:val="0"/>
        </w:rPr>
        <w:t xml:space="preserve">, 16(2), pp.914–914. doi:https://doi.org/10.3390/su16020914.</w:t>
      </w:r>
    </w:p>
    <w:p w:rsidR="00000000" w:rsidDel="00000000" w:rsidP="00000000" w:rsidRDefault="00000000" w:rsidRPr="00000000" w14:paraId="00000088">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Morse, T. (2022). </w:t>
      </w:r>
      <w:r w:rsidDel="00000000" w:rsidR="00000000" w:rsidRPr="00000000">
        <w:rPr>
          <w:rFonts w:ascii="Arial" w:cs="Arial" w:eastAsia="Arial" w:hAnsi="Arial"/>
          <w:i w:val="1"/>
          <w:color w:val="000000"/>
          <w:rtl w:val="0"/>
        </w:rPr>
        <w:t xml:space="preserve">Good health and well-being</w:t>
      </w:r>
      <w:r w:rsidDel="00000000" w:rsidR="00000000" w:rsidRPr="00000000">
        <w:rPr>
          <w:rFonts w:ascii="Arial" w:cs="Arial" w:eastAsia="Arial" w:hAnsi="Arial"/>
          <w:color w:val="000000"/>
          <w:rtl w:val="0"/>
        </w:rPr>
        <w:t xml:space="preserve">. [online] strathprints.strath.ac.uk. Available at: https://strathprints.strath.ac.uk/83075/.</w:t>
      </w:r>
    </w:p>
    <w:p w:rsidR="00000000" w:rsidDel="00000000" w:rsidP="00000000" w:rsidRDefault="00000000" w:rsidRPr="00000000" w14:paraId="00000089">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Otekunrin, O.A. (2023). Countdown to the 2030 Global Goals: A Bibliometric Analysis of Research Trends on SDG 2 – Zero Hunger. </w:t>
      </w:r>
      <w:r w:rsidDel="00000000" w:rsidR="00000000" w:rsidRPr="00000000">
        <w:rPr>
          <w:rFonts w:ascii="Arial" w:cs="Arial" w:eastAsia="Arial" w:hAnsi="Arial"/>
          <w:i w:val="1"/>
          <w:color w:val="000000"/>
          <w:rtl w:val="0"/>
        </w:rPr>
        <w:t xml:space="preserve">Current Research in Nutrition and Food Science Journal</w:t>
      </w:r>
      <w:r w:rsidDel="00000000" w:rsidR="00000000" w:rsidRPr="00000000">
        <w:rPr>
          <w:rFonts w:ascii="Arial" w:cs="Arial" w:eastAsia="Arial" w:hAnsi="Arial"/>
          <w:color w:val="000000"/>
          <w:rtl w:val="0"/>
        </w:rPr>
        <w:t xml:space="preserve">, [online] 11(3), pp.1338–1362. Available at: https://www.foodandnutritionjournal.org/volume11number3/countdown-to-the-2030-global-goals-a-bibliometric-analysis-of-research-trends-on-sdg-2-zero-hunger/.</w:t>
      </w:r>
    </w:p>
    <w:p w:rsidR="00000000" w:rsidDel="00000000" w:rsidP="00000000" w:rsidRDefault="00000000" w:rsidRPr="00000000" w14:paraId="0000008A">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Pandey, U.C. and Kumar, C. (2019). </w:t>
      </w:r>
      <w:r w:rsidDel="00000000" w:rsidR="00000000" w:rsidRPr="00000000">
        <w:rPr>
          <w:rFonts w:ascii="Arial" w:cs="Arial" w:eastAsia="Arial" w:hAnsi="Arial"/>
          <w:i w:val="1"/>
          <w:color w:val="000000"/>
          <w:rtl w:val="0"/>
        </w:rPr>
        <w:t xml:space="preserve">SDG5 - Gender Equality and Empowerment of Women and Girls</w:t>
      </w:r>
      <w:r w:rsidDel="00000000" w:rsidR="00000000" w:rsidRPr="00000000">
        <w:rPr>
          <w:rFonts w:ascii="Arial" w:cs="Arial" w:eastAsia="Arial" w:hAnsi="Arial"/>
          <w:color w:val="000000"/>
          <w:rtl w:val="0"/>
        </w:rPr>
        <w:t xml:space="preserve">. Emerald Group Publishing.</w:t>
      </w:r>
    </w:p>
    <w:p w:rsidR="00000000" w:rsidDel="00000000" w:rsidP="00000000" w:rsidRDefault="00000000" w:rsidRPr="00000000" w14:paraId="0000008B">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Pereira, E.G., Muinzer, T.L. and Baker, P.R. (2024). </w:t>
      </w:r>
      <w:r w:rsidDel="00000000" w:rsidR="00000000" w:rsidRPr="00000000">
        <w:rPr>
          <w:rFonts w:ascii="Arial" w:cs="Arial" w:eastAsia="Arial" w:hAnsi="Arial"/>
          <w:i w:val="1"/>
          <w:color w:val="000000"/>
          <w:rtl w:val="0"/>
        </w:rPr>
        <w:t xml:space="preserve">Energy Law and the Sustainable Development Goals</w:t>
      </w:r>
      <w:r w:rsidDel="00000000" w:rsidR="00000000" w:rsidRPr="00000000">
        <w:rPr>
          <w:rFonts w:ascii="Arial" w:cs="Arial" w:eastAsia="Arial" w:hAnsi="Arial"/>
          <w:color w:val="000000"/>
          <w:rtl w:val="0"/>
        </w:rPr>
        <w:t xml:space="preserve">. Taylor &amp; Francis.</w:t>
      </w:r>
    </w:p>
    <w:p w:rsidR="00000000" w:rsidDel="00000000" w:rsidP="00000000" w:rsidRDefault="00000000" w:rsidRPr="00000000" w14:paraId="0000008C">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Ramzani, S.R., Gharleghi, B., Horam, P. and Tarek, S. (2022). </w:t>
      </w:r>
      <w:r w:rsidDel="00000000" w:rsidR="00000000" w:rsidRPr="00000000">
        <w:rPr>
          <w:rFonts w:ascii="Arial" w:cs="Arial" w:eastAsia="Arial" w:hAnsi="Arial"/>
          <w:i w:val="1"/>
          <w:color w:val="000000"/>
          <w:rtl w:val="0"/>
        </w:rPr>
        <w:t xml:space="preserve">How the UK is performing on the Sustainable Development Goals</w:t>
      </w:r>
      <w:r w:rsidDel="00000000" w:rsidR="00000000" w:rsidRPr="00000000">
        <w:rPr>
          <w:rFonts w:ascii="Arial" w:cs="Arial" w:eastAsia="Arial" w:hAnsi="Arial"/>
          <w:color w:val="000000"/>
          <w:rtl w:val="0"/>
        </w:rPr>
        <w:t xml:space="preserve">. [online] ResearchGate. Available at: https://www.researchgate.net/publication/365776394_How_the_UK_is_performing_on_the_Sustainable_Development_Goals [Accessed 8 Oct. 2024].</w:t>
      </w:r>
    </w:p>
    <w:p w:rsidR="00000000" w:rsidDel="00000000" w:rsidP="00000000" w:rsidRDefault="00000000" w:rsidRPr="00000000" w14:paraId="0000008D">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Thapa Karki, S., Bennett, A.C.T. and Mishra, J.L. (2020). Reducing food waste and food insecurity in the UK: The architecture of surplus food distribution supply chain in addressing the sustainable development goals (Goal 2 and Goal 12.3) at a city level. </w:t>
      </w:r>
      <w:r w:rsidDel="00000000" w:rsidR="00000000" w:rsidRPr="00000000">
        <w:rPr>
          <w:rFonts w:ascii="Arial" w:cs="Arial" w:eastAsia="Arial" w:hAnsi="Arial"/>
          <w:i w:val="1"/>
          <w:color w:val="000000"/>
          <w:rtl w:val="0"/>
        </w:rPr>
        <w:t xml:space="preserve">Industrial Marketing Management</w:t>
      </w:r>
      <w:r w:rsidDel="00000000" w:rsidR="00000000" w:rsidRPr="00000000">
        <w:rPr>
          <w:rFonts w:ascii="Arial" w:cs="Arial" w:eastAsia="Arial" w:hAnsi="Arial"/>
          <w:color w:val="000000"/>
          <w:rtl w:val="0"/>
        </w:rPr>
        <w:t xml:space="preserve">, [online] 93. doi:https://doi.org/10.1016/j.indmarman.2020.09.019.</w:t>
      </w:r>
    </w:p>
    <w:p w:rsidR="00000000" w:rsidDel="00000000" w:rsidP="00000000" w:rsidRDefault="00000000" w:rsidRPr="00000000" w14:paraId="0000008E">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UK Parliament. (2023). </w:t>
      </w:r>
      <w:r w:rsidDel="00000000" w:rsidR="00000000" w:rsidRPr="00000000">
        <w:rPr>
          <w:rFonts w:ascii="Arial" w:cs="Arial" w:eastAsia="Arial" w:hAnsi="Arial"/>
          <w:i w:val="1"/>
          <w:color w:val="000000"/>
          <w:rtl w:val="0"/>
        </w:rPr>
        <w:t xml:space="preserve">The UK Government’s work on achieving SDG2: Zero Hunger - Committees - UK Parliament</w:t>
      </w:r>
      <w:r w:rsidDel="00000000" w:rsidR="00000000" w:rsidRPr="00000000">
        <w:rPr>
          <w:rFonts w:ascii="Arial" w:cs="Arial" w:eastAsia="Arial" w:hAnsi="Arial"/>
          <w:color w:val="000000"/>
          <w:rtl w:val="0"/>
        </w:rPr>
        <w:t xml:space="preserve">. [online] Available at: https://committees.parliament.uk/work/7967/the-uk-governments-work-on-achieving-sdg2-zero-hunger/.</w:t>
      </w:r>
    </w:p>
    <w:p w:rsidR="00000000" w:rsidDel="00000000" w:rsidP="00000000" w:rsidRDefault="00000000" w:rsidRPr="00000000" w14:paraId="0000008F">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UK SDG Data. (2023). </w:t>
      </w:r>
      <w:r w:rsidDel="00000000" w:rsidR="00000000" w:rsidRPr="00000000">
        <w:rPr>
          <w:rFonts w:ascii="Arial" w:cs="Arial" w:eastAsia="Arial" w:hAnsi="Arial"/>
          <w:i w:val="1"/>
          <w:color w:val="000000"/>
          <w:rtl w:val="0"/>
        </w:rPr>
        <w:t xml:space="preserve">Goal 2 - Zero hunger - U.K. Indicators For The Sustainable Development Goals</w:t>
      </w:r>
      <w:r w:rsidDel="00000000" w:rsidR="00000000" w:rsidRPr="00000000">
        <w:rPr>
          <w:rFonts w:ascii="Arial" w:cs="Arial" w:eastAsia="Arial" w:hAnsi="Arial"/>
          <w:color w:val="000000"/>
          <w:rtl w:val="0"/>
        </w:rPr>
        <w:t xml:space="preserve">. [online] Available at: https://sdgdata.gov.uk/2/.</w:t>
      </w:r>
    </w:p>
    <w:p w:rsidR="00000000" w:rsidDel="00000000" w:rsidP="00000000" w:rsidRDefault="00000000" w:rsidRPr="00000000" w14:paraId="00000090">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UK SDG. (2023). </w:t>
      </w:r>
      <w:r w:rsidDel="00000000" w:rsidR="00000000" w:rsidRPr="00000000">
        <w:rPr>
          <w:rFonts w:ascii="Arial" w:cs="Arial" w:eastAsia="Arial" w:hAnsi="Arial"/>
          <w:i w:val="1"/>
          <w:color w:val="000000"/>
          <w:rtl w:val="0"/>
        </w:rPr>
        <w:t xml:space="preserve">Goal 5 - Gender equality - U.K. Indicators For The Sustainable Development Goals</w:t>
      </w:r>
      <w:r w:rsidDel="00000000" w:rsidR="00000000" w:rsidRPr="00000000">
        <w:rPr>
          <w:rFonts w:ascii="Arial" w:cs="Arial" w:eastAsia="Arial" w:hAnsi="Arial"/>
          <w:color w:val="000000"/>
          <w:rtl w:val="0"/>
        </w:rPr>
        <w:t xml:space="preserve">. [online] Available at: https://sdgdata.gov.uk/5/.</w:t>
      </w:r>
    </w:p>
    <w:p w:rsidR="00000000" w:rsidDel="00000000" w:rsidP="00000000" w:rsidRDefault="00000000" w:rsidRPr="00000000" w14:paraId="00000091">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UN Women. (2023). </w:t>
      </w:r>
      <w:r w:rsidDel="00000000" w:rsidR="00000000" w:rsidRPr="00000000">
        <w:rPr>
          <w:rFonts w:ascii="Arial" w:cs="Arial" w:eastAsia="Arial" w:hAnsi="Arial"/>
          <w:i w:val="1"/>
          <w:color w:val="000000"/>
          <w:rtl w:val="0"/>
        </w:rPr>
        <w:t xml:space="preserve">Progress on the Sustainable Development Goals: The Gender Snapshot 2024</w:t>
      </w:r>
      <w:r w:rsidDel="00000000" w:rsidR="00000000" w:rsidRPr="00000000">
        <w:rPr>
          <w:rFonts w:ascii="Arial" w:cs="Arial" w:eastAsia="Arial" w:hAnsi="Arial"/>
          <w:color w:val="000000"/>
          <w:rtl w:val="0"/>
        </w:rPr>
        <w:t xml:space="preserve">. [online] Available at: https://www.unwomen.org/en/resources/gender-snapshot?gad_source=1&amp;gclid=Cj0KCQjwmt24BhDPARIsAJFYKk2VK6-LqfKtg8uLzIohy6Xc3pRuqLFrmLPuH8Qq62YlYjZjBrcPDs0aAlvHEALw_wcB [Accessed 22 Oct. 2024].</w:t>
      </w:r>
    </w:p>
    <w:p w:rsidR="00000000" w:rsidDel="00000000" w:rsidP="00000000" w:rsidRDefault="00000000" w:rsidRPr="00000000" w14:paraId="00000092">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Unesco (2020). </w:t>
      </w:r>
      <w:r w:rsidDel="00000000" w:rsidR="00000000" w:rsidRPr="00000000">
        <w:rPr>
          <w:rFonts w:ascii="Arial" w:cs="Arial" w:eastAsia="Arial" w:hAnsi="Arial"/>
          <w:i w:val="1"/>
          <w:color w:val="000000"/>
          <w:rtl w:val="0"/>
        </w:rPr>
        <w:t xml:space="preserve">Education for sustainable development goals : learning objectives.</w:t>
      </w:r>
      <w:r w:rsidDel="00000000" w:rsidR="00000000" w:rsidRPr="00000000">
        <w:rPr>
          <w:rFonts w:ascii="Arial" w:cs="Arial" w:eastAsia="Arial" w:hAnsi="Arial"/>
          <w:color w:val="000000"/>
          <w:rtl w:val="0"/>
        </w:rPr>
        <w:t xml:space="preserve"> [online] Paris: Unesco. Available at: https://unesdoc.unesco.org/ark:/48223/pf0000247444.</w:t>
      </w:r>
    </w:p>
    <w:p w:rsidR="00000000" w:rsidDel="00000000" w:rsidP="00000000" w:rsidRDefault="00000000" w:rsidRPr="00000000" w14:paraId="00000093">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Walker (2019). </w:t>
      </w:r>
      <w:r w:rsidDel="00000000" w:rsidR="00000000" w:rsidRPr="00000000">
        <w:rPr>
          <w:rFonts w:ascii="Arial" w:cs="Arial" w:eastAsia="Arial" w:hAnsi="Arial"/>
          <w:i w:val="1"/>
          <w:color w:val="000000"/>
          <w:rtl w:val="0"/>
        </w:rPr>
        <w:t xml:space="preserve">SUSTAINABLE DEVELOPMENT GOALS : harnessing business to achieve the sustainable development goals ... through technology, innovation and financing.</w:t>
      </w:r>
      <w:r w:rsidDel="00000000" w:rsidR="00000000" w:rsidRPr="00000000">
        <w:rPr>
          <w:rFonts w:ascii="Arial" w:cs="Arial" w:eastAsia="Arial" w:hAnsi="Arial"/>
          <w:color w:val="000000"/>
          <w:rtl w:val="0"/>
        </w:rPr>
        <w:t xml:space="preserve"> [online] Available at: https://www.wiley.com/en-us/Sustainable+Development+Goals%3A+Harnessing+Business+to+Achieve+the+SDGs+through+Finance%2C+Technology+and+Law+Reform-p-9781119541813.</w:t>
      </w:r>
    </w:p>
    <w:p w:rsidR="00000000" w:rsidDel="00000000" w:rsidP="00000000" w:rsidRDefault="00000000" w:rsidRPr="00000000" w14:paraId="00000094">
      <w:pPr>
        <w:spacing w:after="240" w:lineRule="auto"/>
        <w:rPr>
          <w:rFonts w:ascii="Arial" w:cs="Arial" w:eastAsia="Arial" w:hAnsi="Arial"/>
          <w:color w:val="000000"/>
        </w:rPr>
      </w:pPr>
      <w:r w:rsidDel="00000000" w:rsidR="00000000" w:rsidRPr="00000000">
        <w:rPr>
          <w:rFonts w:ascii="Arial" w:cs="Arial" w:eastAsia="Arial" w:hAnsi="Arial"/>
          <w:color w:val="000000"/>
          <w:rtl w:val="0"/>
        </w:rPr>
        <w:t xml:space="preserve">World, U. (2021). </w:t>
      </w:r>
      <w:r w:rsidDel="00000000" w:rsidR="00000000" w:rsidRPr="00000000">
        <w:rPr>
          <w:rFonts w:ascii="Arial" w:cs="Arial" w:eastAsia="Arial" w:hAnsi="Arial"/>
          <w:i w:val="1"/>
          <w:color w:val="000000"/>
          <w:rtl w:val="0"/>
        </w:rPr>
        <w:t xml:space="preserve">Taking Stock of Progress Towards Gender Equality in the Water Domain</w:t>
      </w:r>
      <w:r w:rsidDel="00000000" w:rsidR="00000000" w:rsidRPr="00000000">
        <w:rPr>
          <w:rFonts w:ascii="Arial" w:cs="Arial" w:eastAsia="Arial" w:hAnsi="Arial"/>
          <w:color w:val="000000"/>
          <w:rtl w:val="0"/>
        </w:rPr>
        <w:t xml:space="preserve">. UNESCO Publishing.</w:t>
      </w:r>
    </w:p>
    <w:p w:rsidR="00000000" w:rsidDel="00000000" w:rsidP="00000000" w:rsidRDefault="00000000" w:rsidRPr="00000000" w14:paraId="00000095">
      <w:pPr>
        <w:rPr>
          <w:rFonts w:ascii="Arial" w:cs="Arial" w:eastAsia="Arial" w:hAnsi="Arial"/>
        </w:rPr>
      </w:pPr>
      <w:r w:rsidDel="00000000" w:rsidR="00000000" w:rsidRPr="00000000">
        <w:rPr>
          <w:rtl w:val="0"/>
        </w:rPr>
      </w:r>
    </w:p>
    <w:p w:rsidR="00000000" w:rsidDel="00000000" w:rsidP="00000000" w:rsidRDefault="00000000" w:rsidRPr="00000000" w14:paraId="00000096">
      <w:pPr>
        <w:rPr>
          <w:rFonts w:ascii="Arial" w:cs="Arial" w:eastAsia="Arial" w:hAnsi="Arial"/>
        </w:rPr>
      </w:pPr>
      <w:r w:rsidDel="00000000" w:rsidR="00000000" w:rsidRPr="00000000">
        <w:rPr>
          <w:rtl w:val="0"/>
        </w:rPr>
      </w:r>
    </w:p>
    <w:p w:rsidR="00000000" w:rsidDel="00000000" w:rsidP="00000000" w:rsidRDefault="00000000" w:rsidRPr="00000000" w14:paraId="00000097">
      <w:pPr>
        <w:rPr>
          <w:rFonts w:ascii="Arial" w:cs="Arial" w:eastAsia="Arial" w:hAnsi="Arial"/>
        </w:rPr>
      </w:pPr>
      <w:r w:rsidDel="00000000" w:rsidR="00000000" w:rsidRPr="00000000">
        <w:rPr>
          <w:rtl w:val="0"/>
        </w:rPr>
      </w:r>
    </w:p>
    <w:p w:rsidR="00000000" w:rsidDel="00000000" w:rsidP="00000000" w:rsidRDefault="00000000" w:rsidRPr="00000000" w14:paraId="00000098">
      <w:pPr>
        <w:rPr>
          <w:rFonts w:ascii="Arial" w:cs="Arial" w:eastAsia="Arial" w:hAnsi="Arial"/>
        </w:rPr>
      </w:pPr>
      <w:r w:rsidDel="00000000" w:rsidR="00000000" w:rsidRPr="00000000">
        <w:rPr>
          <w:rtl w:val="0"/>
        </w:rPr>
      </w:r>
    </w:p>
    <w:p w:rsidR="00000000" w:rsidDel="00000000" w:rsidP="00000000" w:rsidRDefault="00000000" w:rsidRPr="00000000" w14:paraId="00000099">
      <w:pPr>
        <w:rPr>
          <w:rFonts w:ascii="Arial" w:cs="Arial" w:eastAsia="Arial" w:hAnsi="Arial"/>
        </w:rPr>
      </w:pPr>
      <w:r w:rsidDel="00000000" w:rsidR="00000000" w:rsidRPr="00000000">
        <w:rPr>
          <w:rtl w:val="0"/>
        </w:rPr>
      </w:r>
    </w:p>
    <w:p w:rsidR="00000000" w:rsidDel="00000000" w:rsidP="00000000" w:rsidRDefault="00000000" w:rsidRPr="00000000" w14:paraId="0000009A">
      <w:pPr>
        <w:rPr>
          <w:rFonts w:ascii="Arial" w:cs="Arial" w:eastAsia="Arial" w:hAnsi="Arial"/>
        </w:rPr>
      </w:pPr>
      <w:r w:rsidDel="00000000" w:rsidR="00000000" w:rsidRPr="00000000">
        <w:rPr>
          <w:rtl w:val="0"/>
        </w:rPr>
      </w:r>
    </w:p>
    <w:p w:rsidR="00000000" w:rsidDel="00000000" w:rsidP="00000000" w:rsidRDefault="00000000" w:rsidRPr="00000000" w14:paraId="0000009B">
      <w:pPr>
        <w:rPr>
          <w:rFonts w:ascii="Arial" w:cs="Arial" w:eastAsia="Arial" w:hAnsi="Arial"/>
        </w:rPr>
      </w:pP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tl w:val="0"/>
        </w:rPr>
      </w:r>
    </w:p>
    <w:p w:rsidR="00000000" w:rsidDel="00000000" w:rsidP="00000000" w:rsidRDefault="00000000" w:rsidRPr="00000000" w14:paraId="0000009D">
      <w:pPr>
        <w:rPr>
          <w:rFonts w:ascii="Arial" w:cs="Arial" w:eastAsia="Arial" w:hAnsi="Arial"/>
        </w:rPr>
      </w:pP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tl w:val="0"/>
        </w:rPr>
      </w:r>
    </w:p>
    <w:sectPr>
      <w:headerReference r:id="rId7" w:type="default"/>
      <w:headerReference r:id="rId8" w:type="first"/>
      <w:footerReference r:id="rId9"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left"/>
    </w:pPr>
    <w:rPr>
      <w:b w:val="1"/>
      <w:color w:val="1f3864"/>
      <w:sz w:val="32"/>
      <w:szCs w:val="32"/>
    </w:rPr>
  </w:style>
  <w:style w:type="paragraph" w:styleId="Heading2">
    <w:name w:val="heading 2"/>
    <w:basedOn w:val="Normal"/>
    <w:next w:val="Normal"/>
    <w:pPr>
      <w:keepNext w:val="1"/>
      <w:keepLines w:val="1"/>
      <w:spacing w:after="0" w:before="40" w:lineRule="auto"/>
      <w:jc w:val="left"/>
    </w:pPr>
    <w:rPr>
      <w:b w:val="1"/>
      <w:sz w:val="28"/>
      <w:szCs w:val="28"/>
    </w:rPr>
  </w:style>
  <w:style w:type="paragraph" w:styleId="Heading3">
    <w:name w:val="heading 3"/>
    <w:basedOn w:val="Normal"/>
    <w:next w:val="Normal"/>
    <w:pPr>
      <w:keepNext w:val="1"/>
      <w:keepLines w:val="1"/>
      <w:spacing w:after="0" w:before="40" w:lineRule="auto"/>
    </w:pPr>
    <w:rPr>
      <w:b w:val="1"/>
      <w:color w:val="4472c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025C2"/>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val="1"/>
    <w:uiPriority w:val="9"/>
    <w:qFormat w:val="1"/>
    <w:rsid w:val="00BC7FF1"/>
    <w:pPr>
      <w:keepNext w:val="1"/>
      <w:keepLines w:val="1"/>
      <w:spacing w:after="0" w:before="240"/>
      <w:jc w:val="left"/>
      <w:outlineLvl w:val="0"/>
    </w:pPr>
    <w:rPr>
      <w:rFonts w:cstheme="majorBidi" w:eastAsiaTheme="majorEastAsia"/>
      <w:b w:val="1"/>
      <w:color w:val="1f3864" w:themeColor="accent1" w:themeShade="000080"/>
      <w:sz w:val="32"/>
      <w:szCs w:val="32"/>
    </w:rPr>
  </w:style>
  <w:style w:type="paragraph" w:styleId="Heading2">
    <w:name w:val="heading 2"/>
    <w:basedOn w:val="Normal"/>
    <w:next w:val="Normal"/>
    <w:link w:val="Heading2Char"/>
    <w:autoRedefine w:val="1"/>
    <w:uiPriority w:val="9"/>
    <w:unhideWhenUsed w:val="1"/>
    <w:qFormat w:val="1"/>
    <w:rsid w:val="00506CBB"/>
    <w:pPr>
      <w:keepNext w:val="1"/>
      <w:keepLines w:val="1"/>
      <w:spacing w:after="0" w:before="40"/>
      <w:jc w:val="left"/>
      <w:outlineLvl w:val="1"/>
    </w:pPr>
    <w:rPr>
      <w:rFonts w:cstheme="majorBidi" w:eastAsiaTheme="majorEastAsia"/>
      <w:b w:val="1"/>
      <w:sz w:val="28"/>
      <w:szCs w:val="26"/>
    </w:rPr>
  </w:style>
  <w:style w:type="paragraph" w:styleId="Heading3">
    <w:name w:val="heading 3"/>
    <w:basedOn w:val="Normal"/>
    <w:next w:val="Normal"/>
    <w:link w:val="Heading3Char"/>
    <w:uiPriority w:val="9"/>
    <w:unhideWhenUsed w:val="1"/>
    <w:qFormat w:val="1"/>
    <w:rsid w:val="0084324A"/>
    <w:pPr>
      <w:keepNext w:val="1"/>
      <w:keepLines w:val="1"/>
      <w:spacing w:after="0" w:before="40"/>
      <w:outlineLvl w:val="2"/>
    </w:pPr>
    <w:rPr>
      <w:rFonts w:cstheme="majorBidi" w:eastAsiaTheme="majorEastAsia"/>
      <w:b w:val="1"/>
      <w:color w:val="4472c4" w:themeColor="accent1"/>
      <w:szCs w:val="24"/>
    </w:rPr>
  </w:style>
  <w:style w:type="paragraph" w:styleId="Heading4">
    <w:name w:val="heading 4"/>
    <w:basedOn w:val="Normal"/>
    <w:next w:val="Normal"/>
    <w:link w:val="Heading4Char"/>
    <w:uiPriority w:val="9"/>
    <w:semiHidden w:val="1"/>
    <w:unhideWhenUsed w:val="1"/>
    <w:qFormat w:val="1"/>
    <w:rsid w:val="00DD65E6"/>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C7FF1"/>
    <w:rPr>
      <w:rFonts w:ascii="Times New Roman" w:hAnsi="Times New Roman" w:cstheme="majorBidi" w:eastAsiaTheme="majorEastAsia"/>
      <w:b w:val="1"/>
      <w:color w:val="1f3864" w:themeColor="accent1" w:themeShade="000080"/>
      <w:sz w:val="32"/>
      <w:szCs w:val="32"/>
    </w:rPr>
  </w:style>
  <w:style w:type="character" w:styleId="Heading2Char" w:customStyle="1">
    <w:name w:val="Heading 2 Char"/>
    <w:basedOn w:val="DefaultParagraphFont"/>
    <w:link w:val="Heading2"/>
    <w:uiPriority w:val="9"/>
    <w:rsid w:val="00506CBB"/>
    <w:rPr>
      <w:rFonts w:ascii="Times New Roman" w:hAnsi="Times New Roman" w:cstheme="majorBidi" w:eastAsiaTheme="majorEastAsia"/>
      <w:b w:val="1"/>
      <w:color w:val="000000" w:themeColor="text1"/>
      <w:sz w:val="28"/>
      <w:szCs w:val="26"/>
    </w:rPr>
  </w:style>
  <w:style w:type="character" w:styleId="Heading3Char" w:customStyle="1">
    <w:name w:val="Heading 3 Char"/>
    <w:basedOn w:val="DefaultParagraphFont"/>
    <w:link w:val="Heading3"/>
    <w:uiPriority w:val="9"/>
    <w:rsid w:val="0084324A"/>
    <w:rPr>
      <w:rFonts w:ascii="Times New Roman" w:hAnsi="Times New Roman" w:cstheme="majorBidi" w:eastAsiaTheme="majorEastAsia"/>
      <w:b w:val="1"/>
      <w:color w:val="4472c4" w:themeColor="accent1"/>
      <w:sz w:val="24"/>
      <w:szCs w:val="24"/>
    </w:rPr>
  </w:style>
  <w:style w:type="paragraph" w:styleId="Header">
    <w:name w:val="header"/>
    <w:basedOn w:val="Normal"/>
    <w:link w:val="HeaderChar"/>
    <w:uiPriority w:val="99"/>
    <w:unhideWhenUsed w:val="1"/>
    <w:rsid w:val="00736413"/>
    <w:pPr>
      <w:tabs>
        <w:tab w:val="center" w:pos="4680"/>
        <w:tab w:val="right" w:pos="9360"/>
      </w:tabs>
      <w:spacing w:after="0" w:line="240" w:lineRule="auto"/>
    </w:pPr>
  </w:style>
  <w:style w:type="character" w:styleId="HeaderChar" w:customStyle="1">
    <w:name w:val="Header Char"/>
    <w:basedOn w:val="DefaultParagraphFont"/>
    <w:link w:val="Header"/>
    <w:uiPriority w:val="99"/>
    <w:rsid w:val="00736413"/>
    <w:rPr>
      <w:rFonts w:ascii="Times New Roman" w:hAnsi="Times New Roman"/>
      <w:color w:val="000000" w:themeColor="text1"/>
      <w:sz w:val="24"/>
    </w:rPr>
  </w:style>
  <w:style w:type="paragraph" w:styleId="Footer">
    <w:name w:val="footer"/>
    <w:basedOn w:val="Normal"/>
    <w:link w:val="FooterChar"/>
    <w:uiPriority w:val="99"/>
    <w:unhideWhenUsed w:val="1"/>
    <w:rsid w:val="00736413"/>
    <w:pPr>
      <w:tabs>
        <w:tab w:val="center" w:pos="4680"/>
        <w:tab w:val="right" w:pos="9360"/>
      </w:tabs>
      <w:spacing w:after="0" w:line="240" w:lineRule="auto"/>
    </w:pPr>
  </w:style>
  <w:style w:type="character" w:styleId="FooterChar" w:customStyle="1">
    <w:name w:val="Footer Char"/>
    <w:basedOn w:val="DefaultParagraphFont"/>
    <w:link w:val="Footer"/>
    <w:uiPriority w:val="99"/>
    <w:rsid w:val="00736413"/>
    <w:rPr>
      <w:rFonts w:ascii="Times New Roman" w:hAnsi="Times New Roman"/>
      <w:color w:val="000000" w:themeColor="text1"/>
      <w:sz w:val="24"/>
    </w:rPr>
  </w:style>
  <w:style w:type="paragraph" w:styleId="TOCHeading">
    <w:name w:val="TOC Heading"/>
    <w:basedOn w:val="Heading1"/>
    <w:next w:val="Normal"/>
    <w:uiPriority w:val="39"/>
    <w:unhideWhenUsed w:val="1"/>
    <w:qFormat w:val="1"/>
    <w:rsid w:val="00244A0A"/>
    <w:pPr>
      <w:spacing w:line="259" w:lineRule="auto"/>
      <w:outlineLvl w:val="9"/>
    </w:pPr>
    <w:rPr>
      <w:rFonts w:asciiTheme="majorHAnsi" w:hAnsiTheme="majorHAnsi"/>
      <w:b w:val="0"/>
    </w:rPr>
  </w:style>
  <w:style w:type="paragraph" w:styleId="TOC1">
    <w:name w:val="toc 1"/>
    <w:basedOn w:val="Normal"/>
    <w:next w:val="Normal"/>
    <w:autoRedefine w:val="1"/>
    <w:uiPriority w:val="39"/>
    <w:unhideWhenUsed w:val="1"/>
    <w:rsid w:val="00244A0A"/>
    <w:pPr>
      <w:spacing w:after="100"/>
    </w:pPr>
  </w:style>
  <w:style w:type="character" w:styleId="Hyperlink">
    <w:name w:val="Hyperlink"/>
    <w:basedOn w:val="DefaultParagraphFont"/>
    <w:uiPriority w:val="99"/>
    <w:unhideWhenUsed w:val="1"/>
    <w:rsid w:val="00244A0A"/>
    <w:rPr>
      <w:color w:val="0563c1" w:themeColor="hyperlink"/>
      <w:u w:val="single"/>
    </w:rPr>
  </w:style>
  <w:style w:type="paragraph" w:styleId="ListParagraph">
    <w:name w:val="List Paragraph"/>
    <w:basedOn w:val="Normal"/>
    <w:uiPriority w:val="34"/>
    <w:qFormat w:val="1"/>
    <w:rsid w:val="00090754"/>
    <w:pPr>
      <w:ind w:left="720"/>
      <w:contextualSpacing w:val="1"/>
    </w:pPr>
  </w:style>
  <w:style w:type="table" w:styleId="TableGrid">
    <w:name w:val="Table Grid"/>
    <w:basedOn w:val="TableNormal"/>
    <w:uiPriority w:val="59"/>
    <w:rsid w:val="008251DA"/>
    <w:pPr>
      <w:spacing w:after="0" w:line="240" w:lineRule="auto"/>
    </w:pPr>
    <w:rPr>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8251DA"/>
    <w:pPr>
      <w:spacing w:after="100"/>
      <w:ind w:left="240"/>
    </w:pPr>
  </w:style>
  <w:style w:type="paragraph" w:styleId="TOC3">
    <w:name w:val="toc 3"/>
    <w:basedOn w:val="Normal"/>
    <w:next w:val="Normal"/>
    <w:autoRedefine w:val="1"/>
    <w:uiPriority w:val="39"/>
    <w:unhideWhenUsed w:val="1"/>
    <w:rsid w:val="008251DA"/>
    <w:pPr>
      <w:spacing w:after="100"/>
      <w:ind w:left="480"/>
    </w:pPr>
  </w:style>
  <w:style w:type="paragraph" w:styleId="NormalWeb">
    <w:name w:val="Normal (Web)"/>
    <w:basedOn w:val="Normal"/>
    <w:uiPriority w:val="99"/>
    <w:unhideWhenUsed w:val="1"/>
    <w:rsid w:val="00235B3C"/>
    <w:pPr>
      <w:spacing w:after="100" w:afterAutospacing="1" w:before="100" w:beforeAutospacing="1" w:line="240" w:lineRule="auto"/>
      <w:jc w:val="left"/>
    </w:pPr>
    <w:rPr>
      <w:rFonts w:cs="Times New Roman" w:eastAsia="Times New Roman"/>
      <w:color w:val="auto"/>
      <w:szCs w:val="24"/>
    </w:rPr>
  </w:style>
  <w:style w:type="table" w:styleId="TableGrid2" w:customStyle="1">
    <w:name w:val="Table Grid2"/>
    <w:basedOn w:val="TableNormal"/>
    <w:next w:val="TableGrid"/>
    <w:uiPriority w:val="39"/>
    <w:rsid w:val="00E71B3B"/>
    <w:pPr>
      <w:spacing w:after="0" w:line="240" w:lineRule="auto"/>
    </w:pPr>
    <w:rPr>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leEmphasis">
    <w:name w:val="Subtle Emphasis"/>
    <w:basedOn w:val="DefaultParagraphFont"/>
    <w:uiPriority w:val="19"/>
    <w:qFormat w:val="1"/>
    <w:rsid w:val="00AA1921"/>
    <w:rPr>
      <w:i w:val="1"/>
      <w:iCs w:val="1"/>
      <w:color w:val="404040" w:themeColor="text1" w:themeTint="0000BF"/>
    </w:rPr>
  </w:style>
  <w:style w:type="character" w:styleId="CommentReference">
    <w:name w:val="annotation reference"/>
    <w:basedOn w:val="DefaultParagraphFont"/>
    <w:uiPriority w:val="99"/>
    <w:semiHidden w:val="1"/>
    <w:unhideWhenUsed w:val="1"/>
    <w:rsid w:val="00632C79"/>
    <w:rPr>
      <w:sz w:val="16"/>
      <w:szCs w:val="16"/>
    </w:rPr>
  </w:style>
  <w:style w:type="paragraph" w:styleId="CommentText">
    <w:name w:val="annotation text"/>
    <w:basedOn w:val="Normal"/>
    <w:link w:val="CommentTextChar"/>
    <w:uiPriority w:val="99"/>
    <w:semiHidden w:val="1"/>
    <w:unhideWhenUsed w:val="1"/>
    <w:rsid w:val="00632C79"/>
    <w:pPr>
      <w:spacing w:line="240" w:lineRule="auto"/>
    </w:pPr>
    <w:rPr>
      <w:sz w:val="20"/>
      <w:szCs w:val="20"/>
    </w:rPr>
  </w:style>
  <w:style w:type="character" w:styleId="CommentTextChar" w:customStyle="1">
    <w:name w:val="Comment Text Char"/>
    <w:basedOn w:val="DefaultParagraphFont"/>
    <w:link w:val="CommentText"/>
    <w:uiPriority w:val="99"/>
    <w:semiHidden w:val="1"/>
    <w:rsid w:val="00632C79"/>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val="1"/>
    <w:unhideWhenUsed w:val="1"/>
    <w:rsid w:val="00632C79"/>
    <w:rPr>
      <w:b w:val="1"/>
      <w:bCs w:val="1"/>
    </w:rPr>
  </w:style>
  <w:style w:type="character" w:styleId="CommentSubjectChar" w:customStyle="1">
    <w:name w:val="Comment Subject Char"/>
    <w:basedOn w:val="CommentTextChar"/>
    <w:link w:val="CommentSubject"/>
    <w:uiPriority w:val="99"/>
    <w:semiHidden w:val="1"/>
    <w:rsid w:val="00632C79"/>
    <w:rPr>
      <w:rFonts w:ascii="Times New Roman" w:hAnsi="Times New Roman"/>
      <w:b w:val="1"/>
      <w:bCs w:val="1"/>
      <w:color w:val="000000" w:themeColor="text1"/>
      <w:sz w:val="20"/>
      <w:szCs w:val="20"/>
    </w:rPr>
  </w:style>
  <w:style w:type="paragraph" w:styleId="BalloonText">
    <w:name w:val="Balloon Text"/>
    <w:basedOn w:val="Normal"/>
    <w:link w:val="BalloonTextChar"/>
    <w:uiPriority w:val="99"/>
    <w:semiHidden w:val="1"/>
    <w:unhideWhenUsed w:val="1"/>
    <w:rsid w:val="00632C7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32C79"/>
    <w:rPr>
      <w:rFonts w:ascii="Segoe UI" w:cs="Segoe UI" w:hAnsi="Segoe UI"/>
      <w:color w:val="000000" w:themeColor="text1"/>
      <w:sz w:val="18"/>
      <w:szCs w:val="18"/>
    </w:rPr>
  </w:style>
  <w:style w:type="numbering" w:styleId="LFO1" w:customStyle="1">
    <w:name w:val="LFO1"/>
    <w:basedOn w:val="NoList"/>
    <w:rsid w:val="005441C5"/>
    <w:pPr>
      <w:numPr>
        <w:numId w:val="1"/>
      </w:numPr>
    </w:pPr>
  </w:style>
  <w:style w:type="table" w:styleId="TableGrid1" w:customStyle="1">
    <w:name w:val="Table Grid1"/>
    <w:basedOn w:val="TableNormal"/>
    <w:next w:val="TableGrid"/>
    <w:uiPriority w:val="59"/>
    <w:rsid w:val="009708B1"/>
    <w:pPr>
      <w:spacing w:after="0" w:line="240" w:lineRule="auto"/>
    </w:pPr>
    <w:rPr>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laceholderText">
    <w:name w:val="Placeholder Text"/>
    <w:basedOn w:val="DefaultParagraphFont"/>
    <w:uiPriority w:val="99"/>
    <w:semiHidden w:val="1"/>
    <w:rsid w:val="00851883"/>
    <w:rPr>
      <w:color w:val="808080"/>
    </w:rPr>
  </w:style>
  <w:style w:type="character" w:styleId="Strong">
    <w:name w:val="Strong"/>
    <w:basedOn w:val="DefaultParagraphFont"/>
    <w:uiPriority w:val="22"/>
    <w:qFormat w:val="1"/>
    <w:rsid w:val="00E1631F"/>
    <w:rPr>
      <w:b w:val="1"/>
      <w:bCs w:val="1"/>
    </w:rPr>
  </w:style>
  <w:style w:type="paragraph" w:styleId="Caption">
    <w:name w:val="caption"/>
    <w:basedOn w:val="Normal"/>
    <w:next w:val="Normal"/>
    <w:uiPriority w:val="35"/>
    <w:unhideWhenUsed w:val="1"/>
    <w:qFormat w:val="1"/>
    <w:rsid w:val="00BC639A"/>
    <w:pPr>
      <w:spacing w:after="200" w:line="240" w:lineRule="auto"/>
      <w:jc w:val="left"/>
    </w:pPr>
    <w:rPr>
      <w:rFonts w:asciiTheme="minorHAnsi" w:eastAsiaTheme="minorEastAsia" w:hAnsiTheme="minorHAnsi"/>
      <w:i w:val="1"/>
      <w:iCs w:val="1"/>
      <w:color w:val="44546a" w:themeColor="text2"/>
      <w:sz w:val="18"/>
      <w:szCs w:val="18"/>
    </w:rPr>
  </w:style>
  <w:style w:type="table" w:styleId="TableGridLight">
    <w:name w:val="Grid Table Light"/>
    <w:basedOn w:val="TableNormal"/>
    <w:uiPriority w:val="40"/>
    <w:rsid w:val="000251EB"/>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PlainTable1">
    <w:name w:val="Plain Table 1"/>
    <w:basedOn w:val="TableNormal"/>
    <w:uiPriority w:val="41"/>
    <w:rsid w:val="000251EB"/>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2">
    <w:name w:val="Plain Table 2"/>
    <w:basedOn w:val="TableNormal"/>
    <w:uiPriority w:val="42"/>
    <w:rsid w:val="000251EB"/>
    <w:pPr>
      <w:spacing w:after="0" w:line="240" w:lineRule="auto"/>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PlainTable3">
    <w:name w:val="Plain Table 3"/>
    <w:basedOn w:val="TableNormal"/>
    <w:uiPriority w:val="43"/>
    <w:rsid w:val="000251EB"/>
    <w:pPr>
      <w:spacing w:after="0" w:line="240" w:lineRule="auto"/>
    </w:pPr>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character" w:styleId="Emphasis">
    <w:name w:val="Emphasis"/>
    <w:basedOn w:val="DefaultParagraphFont"/>
    <w:uiPriority w:val="20"/>
    <w:qFormat w:val="1"/>
    <w:rsid w:val="000834DF"/>
    <w:rPr>
      <w:i w:val="1"/>
      <w:iCs w:val="1"/>
    </w:rPr>
  </w:style>
  <w:style w:type="character" w:styleId="line-clamp-1" w:customStyle="1">
    <w:name w:val="line-clamp-1"/>
    <w:basedOn w:val="DefaultParagraphFont"/>
    <w:rsid w:val="000834DF"/>
  </w:style>
  <w:style w:type="paragraph" w:styleId="NoSpacing">
    <w:name w:val="No Spacing"/>
    <w:uiPriority w:val="1"/>
    <w:qFormat w:val="1"/>
    <w:rsid w:val="00BB7148"/>
    <w:pPr>
      <w:spacing w:after="0" w:line="240" w:lineRule="auto"/>
      <w:jc w:val="both"/>
    </w:pPr>
    <w:rPr>
      <w:rFonts w:ascii="Times New Roman" w:hAnsi="Times New Roman"/>
      <w:color w:val="000000" w:themeColor="text1"/>
      <w:sz w:val="24"/>
    </w:rPr>
  </w:style>
  <w:style w:type="character" w:styleId="overflow-hidden" w:customStyle="1">
    <w:name w:val="overflow-hidden"/>
    <w:basedOn w:val="DefaultParagraphFont"/>
    <w:rsid w:val="00BA6B0B"/>
  </w:style>
  <w:style w:type="character" w:styleId="Heading4Char" w:customStyle="1">
    <w:name w:val="Heading 4 Char"/>
    <w:basedOn w:val="DefaultParagraphFont"/>
    <w:link w:val="Heading4"/>
    <w:uiPriority w:val="9"/>
    <w:semiHidden w:val="1"/>
    <w:rsid w:val="00DD65E6"/>
    <w:rPr>
      <w:rFonts w:asciiTheme="majorHAnsi" w:cstheme="majorBidi" w:eastAsiaTheme="majorEastAsia" w:hAnsiTheme="majorHAnsi"/>
      <w:i w:val="1"/>
      <w:iCs w:val="1"/>
      <w:color w:val="2f5496" w:themeColor="accent1" w:themeShade="0000BF"/>
      <w:sz w:val="24"/>
    </w:rPr>
  </w:style>
  <w:style w:type="table" w:styleId="Style52" w:customStyle="1">
    <w:name w:val="_Style 52"/>
    <w:basedOn w:val="TableNormal"/>
    <w:rsid w:val="00C13E42"/>
    <w:pPr>
      <w:spacing w:after="200" w:line="276" w:lineRule="auto"/>
    </w:pPr>
    <w:rPr>
      <w:rFonts w:ascii="Tahoma" w:cs="Tahoma" w:eastAsia="Tahoma" w:hAnsi="Tahoma"/>
      <w:sz w:val="20"/>
      <w:szCs w:val="20"/>
    </w:rPr>
    <w:tblPr>
      <w:tblCellMar>
        <w:left w:w="0.0" w:type="dxa"/>
        <w:right w:w="0.0" w:type="dxa"/>
      </w:tblCellMar>
    </w:tblPr>
  </w:style>
  <w:style w:type="table" w:styleId="Style53" w:customStyle="1">
    <w:name w:val="_Style 53"/>
    <w:basedOn w:val="TableNormal"/>
    <w:rsid w:val="00C13E42"/>
    <w:pPr>
      <w:spacing w:after="200" w:line="276" w:lineRule="auto"/>
    </w:pPr>
    <w:rPr>
      <w:rFonts w:ascii="Tahoma" w:cs="Tahoma" w:eastAsia="Tahoma" w:hAnsi="Tahoma"/>
      <w:sz w:val="20"/>
      <w:szCs w:val="20"/>
    </w:rPr>
    <w:tblPr>
      <w:tblCellMar>
        <w:left w:w="113.0" w:type="dxa"/>
        <w:right w:w="113.0" w:type="dxa"/>
      </w:tblCellMar>
    </w:tblPr>
  </w:style>
  <w:style w:type="character" w:styleId="mord" w:customStyle="1">
    <w:name w:val="mord"/>
    <w:basedOn w:val="DefaultParagraphFont"/>
    <w:rsid w:val="002223A0"/>
  </w:style>
  <w:style w:type="character" w:styleId="mrel" w:customStyle="1">
    <w:name w:val="mrel"/>
    <w:basedOn w:val="DefaultParagraphFont"/>
    <w:rsid w:val="002223A0"/>
  </w:style>
  <w:style w:type="character" w:styleId="mopen" w:customStyle="1">
    <w:name w:val="mopen"/>
    <w:basedOn w:val="DefaultParagraphFont"/>
    <w:rsid w:val="002223A0"/>
  </w:style>
  <w:style w:type="character" w:styleId="mbin" w:customStyle="1">
    <w:name w:val="mbin"/>
    <w:basedOn w:val="DefaultParagraphFont"/>
    <w:rsid w:val="002223A0"/>
  </w:style>
  <w:style w:type="character" w:styleId="mclose" w:customStyle="1">
    <w:name w:val="mclose"/>
    <w:basedOn w:val="DefaultParagraphFont"/>
    <w:rsid w:val="002223A0"/>
  </w:style>
  <w:style w:type="character" w:styleId="vlist-s" w:customStyle="1">
    <w:name w:val="vlist-s"/>
    <w:basedOn w:val="DefaultParagraphFont"/>
    <w:rsid w:val="002223A0"/>
  </w:style>
  <w:style w:type="character" w:styleId="UnresolvedMention">
    <w:name w:val="Unresolved Mention"/>
    <w:basedOn w:val="DefaultParagraphFont"/>
    <w:uiPriority w:val="99"/>
    <w:semiHidden w:val="1"/>
    <w:unhideWhenUsed w:val="1"/>
    <w:rsid w:val="00B17AED"/>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M4U5uRZAorXilRFh/HdgL8yLP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EwZEpLUjJFYXYyVWxXMjFTdXY3Uzl0M0FQaG05dmhQ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2024-10-22T13:36:00Z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d1bfc2713212a91d772da0e1fcb76e30710fbfc5b30fea87be593f201a52af41</vt:lpwstr>
  </property>
</Properties>
</file>