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CC2DDA" w14:textId="7506081C" w:rsidR="00642037" w:rsidRDefault="00AE7F6B" w:rsidP="007D0420">
      <w:pPr>
        <w:spacing w:line="480" w:lineRule="auto"/>
        <w:jc w:val="center"/>
        <w:rPr>
          <w:b/>
          <w:bCs/>
          <w:u w:val="single"/>
        </w:rPr>
      </w:pPr>
      <w:r w:rsidRPr="007F067E">
        <w:rPr>
          <w:b/>
          <w:bCs/>
          <w:u w:val="single"/>
        </w:rPr>
        <w:t>Defamation Essay</w:t>
      </w:r>
    </w:p>
    <w:p w14:paraId="0372217F" w14:textId="4C7BBA69" w:rsidR="007F067E" w:rsidRDefault="007F067E" w:rsidP="007D0420">
      <w:pPr>
        <w:spacing w:line="480" w:lineRule="auto"/>
        <w:jc w:val="center"/>
        <w:rPr>
          <w:b/>
          <w:bCs/>
          <w:u w:val="single"/>
        </w:rPr>
      </w:pPr>
    </w:p>
    <w:p w14:paraId="27E9FFF4" w14:textId="5838FA50" w:rsidR="00C44CEC" w:rsidRDefault="00AE7F6B" w:rsidP="007D0420">
      <w:pPr>
        <w:spacing w:line="480" w:lineRule="auto"/>
        <w:jc w:val="both"/>
      </w:pPr>
      <w:r>
        <w:t xml:space="preserve">Article 10 of The Human Rights Act </w:t>
      </w:r>
      <w:r w:rsidR="0095171F">
        <w:t>(</w:t>
      </w:r>
      <w:r w:rsidR="00F73E7F">
        <w:t>1998</w:t>
      </w:r>
      <w:r w:rsidR="0095171F">
        <w:t>)</w:t>
      </w:r>
      <w:r>
        <w:t xml:space="preserve"> states that everyone has the right </w:t>
      </w:r>
      <w:r w:rsidR="00F73E7F">
        <w:t>to freedom of expression, this right allows the individual</w:t>
      </w:r>
      <w:r w:rsidR="009538CC">
        <w:t xml:space="preserve"> the right</w:t>
      </w:r>
      <w:r w:rsidR="00F73E7F">
        <w:t xml:space="preserve"> to express their views </w:t>
      </w:r>
      <w:r w:rsidR="00B9650E">
        <w:t xml:space="preserve">aloud </w:t>
      </w:r>
      <w:r w:rsidR="009538CC">
        <w:t xml:space="preserve">and </w:t>
      </w:r>
      <w:r w:rsidR="00B60D4E">
        <w:t>each individual</w:t>
      </w:r>
      <w:r w:rsidR="0049013B">
        <w:t xml:space="preserve"> </w:t>
      </w:r>
      <w:r w:rsidR="009538CC">
        <w:t xml:space="preserve">has </w:t>
      </w:r>
      <w:r w:rsidR="0049013B">
        <w:t>the right to exercise this freedom (</w:t>
      </w:r>
      <w:r w:rsidR="007F49E5">
        <w:t>The National Archives</w:t>
      </w:r>
      <w:r w:rsidR="0049013B">
        <w:t xml:space="preserve"> 2</w:t>
      </w:r>
      <w:r w:rsidR="007F49E5">
        <w:t>020). It has been argued that freedom of expression is the first and one of the world's most important freedoms, by allowing the press to report the facts and alert the public (Reporters without Borders 2020).</w:t>
      </w:r>
      <w:r w:rsidR="00296F4E">
        <w:t xml:space="preserve"> </w:t>
      </w:r>
      <w:r>
        <w:t xml:space="preserve">So how is the legitimacy of the reported word protected? This is largely due to the Defamation Act </w:t>
      </w:r>
      <w:r w:rsidR="0095171F">
        <w:t>(</w:t>
      </w:r>
      <w:r>
        <w:t>2013</w:t>
      </w:r>
      <w:r w:rsidR="0095171F">
        <w:t>)</w:t>
      </w:r>
      <w:r>
        <w:t xml:space="preserve">. </w:t>
      </w:r>
    </w:p>
    <w:p w14:paraId="69F67F38" w14:textId="6D0FA783" w:rsidR="00B9650E" w:rsidRDefault="00B9650E" w:rsidP="007D0420">
      <w:pPr>
        <w:spacing w:line="480" w:lineRule="auto"/>
        <w:jc w:val="both"/>
      </w:pPr>
    </w:p>
    <w:p w14:paraId="0C9A4321" w14:textId="6ECF50BE" w:rsidR="001C2CC7" w:rsidRDefault="00AE7F6B" w:rsidP="007D0420">
      <w:pPr>
        <w:spacing w:line="480" w:lineRule="auto"/>
        <w:jc w:val="both"/>
      </w:pPr>
      <w:r>
        <w:t xml:space="preserve">However, it </w:t>
      </w:r>
      <w:r w:rsidR="004707A8">
        <w:t xml:space="preserve">should be noted </w:t>
      </w:r>
      <w:r>
        <w:t xml:space="preserve">that under section 4 of The Defamation Act </w:t>
      </w:r>
      <w:r w:rsidR="0095171F">
        <w:t>(</w:t>
      </w:r>
      <w:r>
        <w:t>2013</w:t>
      </w:r>
      <w:r w:rsidR="0095171F">
        <w:t>)</w:t>
      </w:r>
      <w:r>
        <w:t xml:space="preserve"> there is a defence for public interest, </w:t>
      </w:r>
      <w:r w:rsidR="009538CC">
        <w:t>stating</w:t>
      </w:r>
      <w:r>
        <w:t xml:space="preserve"> if the defendant truly believed that publishing the statement was a matter of public </w:t>
      </w:r>
      <w:r w:rsidR="009538CC">
        <w:t>interest, they have a legitimate defence</w:t>
      </w:r>
      <w:r>
        <w:t xml:space="preserve">. Section 4 </w:t>
      </w:r>
      <w:r w:rsidR="009538CC">
        <w:t xml:space="preserve">of the Defamation Act </w:t>
      </w:r>
      <w:r w:rsidR="0095171F">
        <w:t>(</w:t>
      </w:r>
      <w:r w:rsidR="009538CC">
        <w:t>2013</w:t>
      </w:r>
      <w:r w:rsidR="0095171F">
        <w:t xml:space="preserve">) </w:t>
      </w:r>
      <w:r>
        <w:t>also states that this defence may also be relied upon whether the statement made was a statement of fact or a statement of opinion, with the introduction of the defence of 'Public interest' this abolishes the previous common law defence known as the 'Reynolds' defence as defined in section 4(6) of the act (The Defamation Act 2013).</w:t>
      </w:r>
      <w:r w:rsidR="00296F4E">
        <w:t xml:space="preserve"> Although s.4. Abolishes the common law defence known as the ‘Reynolds Defence’ however it is stated that case law is helpful when defining the statutory defence (‘Economou v de Freitas’ 2017). </w:t>
      </w:r>
    </w:p>
    <w:p w14:paraId="2382B436" w14:textId="6848474B" w:rsidR="009538CC" w:rsidRDefault="009538CC" w:rsidP="007D0420">
      <w:pPr>
        <w:spacing w:line="480" w:lineRule="auto"/>
        <w:jc w:val="both"/>
      </w:pPr>
    </w:p>
    <w:p w14:paraId="77851246" w14:textId="5B99A3D4" w:rsidR="00AF1164" w:rsidRDefault="00AE7F6B" w:rsidP="007D0420">
      <w:pPr>
        <w:spacing w:line="480" w:lineRule="auto"/>
        <w:jc w:val="both"/>
      </w:pPr>
      <w:r>
        <w:t>The 'Reynolds' defence was the result of a high-profile defamation case in which a defamation case was brought on the Times newspaper for publishing a report stating that the current Irish Prime Minister at the time Albert Reynolds had mislead the Irish Parliament 'Reynolds v. Times Newspaper</w:t>
      </w:r>
      <w:r w:rsidR="0028106F">
        <w:t xml:space="preserve"> Ltd</w:t>
      </w:r>
      <w:r>
        <w:t>' (</w:t>
      </w:r>
      <w:r w:rsidR="0028106F">
        <w:t>2001</w:t>
      </w:r>
      <w:r>
        <w:t xml:space="preserve">). </w:t>
      </w:r>
    </w:p>
    <w:p w14:paraId="302EF028" w14:textId="13BFF6D7" w:rsidR="00B30ED6" w:rsidRDefault="00B30ED6" w:rsidP="007D0420">
      <w:pPr>
        <w:spacing w:line="480" w:lineRule="auto"/>
        <w:jc w:val="both"/>
      </w:pPr>
    </w:p>
    <w:p w14:paraId="7EBB6806" w14:textId="5A53C968" w:rsidR="00B30ED6" w:rsidRDefault="00AE7F6B" w:rsidP="007D0420">
      <w:pPr>
        <w:spacing w:line="480" w:lineRule="auto"/>
        <w:jc w:val="both"/>
      </w:pPr>
      <w:r>
        <w:t>Following the case of 'Reynolds v Times Newspaper Ltd', the House of Lords ruled that there was a new defence known as the qualified privilege defence</w:t>
      </w:r>
      <w:r w:rsidR="00AD4E33">
        <w:t>. The qualified privilege defence allows free communication without the risk of an action for defamation. This allows a person to communicate a statement that has a legal, moral, or social duty to a recipient that has a mutual interest in receiving it the right to communicate without risk of a defamation action brought against them</w:t>
      </w:r>
      <w:r w:rsidR="00296F4E">
        <w:t xml:space="preserve"> (‘</w:t>
      </w:r>
      <w:proofErr w:type="spellStart"/>
      <w:r w:rsidR="00296F4E">
        <w:t>Loutchansky</w:t>
      </w:r>
      <w:proofErr w:type="spellEnd"/>
      <w:r w:rsidR="00296F4E">
        <w:t xml:space="preserve"> v Times Newspaper’ 2002)</w:t>
      </w:r>
      <w:r w:rsidR="00AD4E33">
        <w:t>. This defence serves many purposes and can be used in many scenarios however the defence cannot be used if the intention behind the statement was motivated by malice</w:t>
      </w:r>
      <w:r w:rsidR="00755706">
        <w:t xml:space="preserve">, with the ruling of the qualified privilege defence encourages responsible journalism as the journalist will need to show that the story is a matter of public interest </w:t>
      </w:r>
      <w:r w:rsidR="00296F4E">
        <w:t>(‘Flood v Times Newspapers Ltd’ 2002)</w:t>
      </w:r>
      <w:r w:rsidR="00755706">
        <w:t xml:space="preserve">. </w:t>
      </w:r>
    </w:p>
    <w:p w14:paraId="2122C6B3" w14:textId="18428C79" w:rsidR="009538CC" w:rsidRDefault="009538CC" w:rsidP="007D0420">
      <w:pPr>
        <w:spacing w:line="480" w:lineRule="auto"/>
        <w:jc w:val="both"/>
      </w:pPr>
    </w:p>
    <w:p w14:paraId="4214C586" w14:textId="2F7A6179" w:rsidR="00A2033E" w:rsidRDefault="00AE7F6B" w:rsidP="007D0420">
      <w:pPr>
        <w:spacing w:line="480" w:lineRule="auto"/>
        <w:jc w:val="both"/>
      </w:pPr>
      <w:r>
        <w:t>It c</w:t>
      </w:r>
      <w:r w:rsidR="00755706">
        <w:t>ould</w:t>
      </w:r>
      <w:r>
        <w:t xml:space="preserve"> be argued that </w:t>
      </w:r>
      <w:r w:rsidR="0095171F">
        <w:t>(</w:t>
      </w:r>
      <w:r>
        <w:t>1998</w:t>
      </w:r>
      <w:r w:rsidR="0095171F">
        <w:t>)</w:t>
      </w:r>
      <w:r>
        <w:t xml:space="preserve"> article 8 which states that everyone has a right to a private and family life this has somewhat changed how the press can report cases (Evans 2018). </w:t>
      </w:r>
      <w:r w:rsidR="000D07D9">
        <w:t xml:space="preserve"> </w:t>
      </w:r>
      <w:r>
        <w:t>Moreover,</w:t>
      </w:r>
      <w:r w:rsidR="000D07D9">
        <w:t xml:space="preserve"> with the consideration on section 8 of the Human Rights act </w:t>
      </w:r>
      <w:r w:rsidR="0095171F">
        <w:t>(</w:t>
      </w:r>
      <w:r w:rsidR="000D07D9">
        <w:t>1998</w:t>
      </w:r>
      <w:r w:rsidR="0095171F">
        <w:t>)</w:t>
      </w:r>
      <w:r w:rsidR="000D07D9">
        <w:t xml:space="preserve"> this does not omit news of an individual's personal life being reported as can be seen in the case of Garry Flintcroft</w:t>
      </w:r>
      <w:r w:rsidR="006531BA">
        <w:t xml:space="preserve"> who lost his appeal to a defamation case. Mr. Flintcroft at the time was a married premiership footballer who lost a year</w:t>
      </w:r>
      <w:r>
        <w:t>-</w:t>
      </w:r>
      <w:r w:rsidR="006531BA">
        <w:t>long battle to privacy after tabloids had reported of his extramarital affairs (Morris 2002)</w:t>
      </w:r>
      <w:r w:rsidR="000D07D9">
        <w:t>.</w:t>
      </w:r>
      <w:r>
        <w:t xml:space="preserve"> </w:t>
      </w:r>
    </w:p>
    <w:p w14:paraId="7D7CA2DB" w14:textId="77777777" w:rsidR="00A2033E" w:rsidRDefault="00A2033E" w:rsidP="007D0420">
      <w:pPr>
        <w:spacing w:line="480" w:lineRule="auto"/>
        <w:jc w:val="both"/>
      </w:pPr>
    </w:p>
    <w:p w14:paraId="14E284DC" w14:textId="64F47818" w:rsidR="006531BA" w:rsidRDefault="00AE7F6B" w:rsidP="007D0420">
      <w:pPr>
        <w:spacing w:line="480" w:lineRule="auto"/>
        <w:jc w:val="both"/>
      </w:pPr>
      <w:r>
        <w:t xml:space="preserve">Equally, there have been circumstances that have protected </w:t>
      </w:r>
      <w:r w:rsidR="00A2033E">
        <w:t xml:space="preserve">an individual's right as can be seen in the case of </w:t>
      </w:r>
      <w:proofErr w:type="spellStart"/>
      <w:r w:rsidR="00A2033E">
        <w:t>Lachaux</w:t>
      </w:r>
      <w:proofErr w:type="spellEnd"/>
      <w:r w:rsidR="00C01FA6">
        <w:t xml:space="preserve"> </w:t>
      </w:r>
      <w:r w:rsidR="0095171F">
        <w:t>a French aerospace engineer was</w:t>
      </w:r>
      <w:r w:rsidR="00C01FA6">
        <w:t xml:space="preserve"> living in the United Arab Emirates </w:t>
      </w:r>
      <w:r w:rsidR="00296F4E">
        <w:t xml:space="preserve">whom upon separating from his wife had some articles published about him in two </w:t>
      </w:r>
      <w:proofErr w:type="spellStart"/>
      <w:r w:rsidR="00296F4E">
        <w:t>british</w:t>
      </w:r>
      <w:proofErr w:type="spellEnd"/>
      <w:r w:rsidR="00296F4E">
        <w:t xml:space="preserve"> newspapers. </w:t>
      </w:r>
      <w:r w:rsidR="00280135">
        <w:t xml:space="preserve">Mr. </w:t>
      </w:r>
      <w:proofErr w:type="spellStart"/>
      <w:r w:rsidR="00280135">
        <w:t>Lachaux</w:t>
      </w:r>
      <w:proofErr w:type="spellEnd"/>
      <w:r w:rsidR="00280135">
        <w:t xml:space="preserve"> initiating libel proceedings against </w:t>
      </w:r>
      <w:r w:rsidR="00756965">
        <w:t xml:space="preserve">the newspapers to which </w:t>
      </w:r>
      <w:r w:rsidR="00756965">
        <w:lastRenderedPageBreak/>
        <w:t>he won</w:t>
      </w:r>
      <w:r w:rsidR="00296F4E">
        <w:t xml:space="preserve">, there are two types of defamation Libel and slander, Libel is defamation of a permanent form most commonly seen in cases involving the press or social media and slander is defamation of a temporary form usually a false statement to cause someone harm.   </w:t>
      </w:r>
      <w:r w:rsidR="00756965">
        <w:t xml:space="preserve"> '</w:t>
      </w:r>
      <w:proofErr w:type="spellStart"/>
      <w:r w:rsidR="00756965">
        <w:t>Lauchax</w:t>
      </w:r>
      <w:proofErr w:type="spellEnd"/>
      <w:r w:rsidR="00756965">
        <w:t xml:space="preserve"> v Independent Print Ltd' (2019). </w:t>
      </w:r>
    </w:p>
    <w:p w14:paraId="7C4C0429" w14:textId="0B489A99" w:rsidR="007B5CBC" w:rsidRDefault="007B5CBC" w:rsidP="007D0420">
      <w:pPr>
        <w:spacing w:line="480" w:lineRule="auto"/>
        <w:jc w:val="both"/>
      </w:pPr>
    </w:p>
    <w:p w14:paraId="5257AC38" w14:textId="3F83D6E0" w:rsidR="00A70ECC" w:rsidRDefault="00AE7F6B" w:rsidP="007D0420">
      <w:pPr>
        <w:spacing w:line="480" w:lineRule="auto"/>
        <w:jc w:val="both"/>
      </w:pPr>
      <w:r>
        <w:t>In the case of Lachaux, it is important to note the ruling applied the use of the 'Dingle Rule'. The Dingle rule is a judg</w:t>
      </w:r>
      <w:r w:rsidR="009E16D6">
        <w:t>e</w:t>
      </w:r>
      <w:r>
        <w:t xml:space="preserve">ment that was derived from a judgement made in the House of Lords in 1962 following the case of 'Dingle v Turner' (1972). The dingle rule is in place to 'treat evidence of damage to the claimant's reputation done by previous publications of the same matter as legally relevant' this is a key ruling as it cleared the reputation of Mr </w:t>
      </w:r>
    </w:p>
    <w:p w14:paraId="7B5FA33D" w14:textId="70216297" w:rsidR="007B5CBC" w:rsidRDefault="00AE7F6B" w:rsidP="007D0420">
      <w:pPr>
        <w:spacing w:line="480" w:lineRule="auto"/>
        <w:jc w:val="both"/>
      </w:pPr>
      <w:r>
        <w:t>Lachaux from all publications</w:t>
      </w:r>
      <w:r w:rsidR="00B95F26">
        <w:t xml:space="preserve"> </w:t>
      </w:r>
      <w:r>
        <w:t>made against him and not just the publication</w:t>
      </w:r>
      <w:r w:rsidR="00996401">
        <w:t>s</w:t>
      </w:r>
      <w:r>
        <w:t xml:space="preserve"> that the libel case </w:t>
      </w:r>
      <w:r w:rsidR="00996401">
        <w:t>had been</w:t>
      </w:r>
      <w:r>
        <w:t xml:space="preserve"> brought against </w:t>
      </w:r>
      <w:r w:rsidR="00B95F26">
        <w:t>('</w:t>
      </w:r>
      <w:proofErr w:type="spellStart"/>
      <w:r w:rsidR="00B95F26">
        <w:t>Lachaux</w:t>
      </w:r>
      <w:proofErr w:type="spellEnd"/>
      <w:r w:rsidR="00B95F26">
        <w:t xml:space="preserve"> v Inde</w:t>
      </w:r>
      <w:r w:rsidR="00A3186F">
        <w:t>pendent Print Ltd' 2019</w:t>
      </w:r>
      <w:r w:rsidR="00B95F26">
        <w:t>).</w:t>
      </w:r>
    </w:p>
    <w:p w14:paraId="4BD025B4" w14:textId="1156A4E4" w:rsidR="00A3186F" w:rsidRDefault="00A3186F" w:rsidP="007D0420">
      <w:pPr>
        <w:spacing w:line="480" w:lineRule="auto"/>
        <w:jc w:val="both"/>
      </w:pPr>
    </w:p>
    <w:p w14:paraId="4CC5DC36" w14:textId="0E957975" w:rsidR="001910BC" w:rsidRDefault="00AE7F6B" w:rsidP="007D0420">
      <w:pPr>
        <w:spacing w:line="480" w:lineRule="auto"/>
        <w:jc w:val="both"/>
      </w:pPr>
      <w:r>
        <w:t xml:space="preserve">Taking into consideration the position of </w:t>
      </w:r>
      <w:r w:rsidR="006455DB">
        <w:t>journa</w:t>
      </w:r>
      <w:r>
        <w:t>lists and their duty to report the facts to the public they also have protective legislation</w:t>
      </w:r>
      <w:r w:rsidR="006455DB">
        <w:t xml:space="preserve">. Section 10 of the Contempt of court Act </w:t>
      </w:r>
      <w:r w:rsidR="0095171F">
        <w:t>(</w:t>
      </w:r>
      <w:r w:rsidR="006455DB">
        <w:t>1981</w:t>
      </w:r>
      <w:r w:rsidR="0095171F">
        <w:t>)</w:t>
      </w:r>
      <w:r w:rsidR="006455DB">
        <w:t xml:space="preserve"> states that </w:t>
      </w:r>
      <w:r>
        <w:t>no court will require disclosure of information unless it is necessary for the interest of justice, National security, or prevention of a crime</w:t>
      </w:r>
      <w:r w:rsidR="00296F4E">
        <w:t xml:space="preserve"> (‘Secretary of State for Defence v Guardian Newspapers Ltd’ 1985)</w:t>
      </w:r>
      <w:r>
        <w:t>. This allows journalists and their sources some form of privacy as defined in section 10 of the act (</w:t>
      </w:r>
      <w:r w:rsidRPr="001910BC">
        <w:rPr>
          <w:i/>
          <w:iCs/>
        </w:rPr>
        <w:t>Contempt of Court Act 1981</w:t>
      </w:r>
      <w:r>
        <w:t xml:space="preserve">). </w:t>
      </w:r>
      <w:r w:rsidR="006455DB">
        <w:t xml:space="preserve">  </w:t>
      </w:r>
      <w:r w:rsidR="00D418DB">
        <w:t>There is some controversy surrounding the contempt of court act stating that giving journalists the right to withhold their sources does raise questions regarding the legitimacy of the source itself</w:t>
      </w:r>
      <w:r w:rsidR="00296F4E">
        <w:t xml:space="preserve"> there are a number of cases where this can be seen in practice</w:t>
      </w:r>
      <w:r w:rsidR="00FE20DF">
        <w:t xml:space="preserve"> </w:t>
      </w:r>
      <w:r w:rsidR="00D418DB">
        <w:t xml:space="preserve"> </w:t>
      </w:r>
      <w:r w:rsidR="00296F4E">
        <w:t>‘</w:t>
      </w:r>
      <w:proofErr w:type="spellStart"/>
      <w:r w:rsidR="00296F4E">
        <w:t>Interbrew</w:t>
      </w:r>
      <w:proofErr w:type="spellEnd"/>
      <w:r w:rsidR="00296F4E">
        <w:t xml:space="preserve"> SA v Financial times Ltd’ </w:t>
      </w:r>
      <w:r w:rsidR="00FE20DF">
        <w:t>(</w:t>
      </w:r>
      <w:r w:rsidR="00296F4E">
        <w:t>2002</w:t>
      </w:r>
      <w:r w:rsidR="00D418DB">
        <w:t>)</w:t>
      </w:r>
      <w:r w:rsidR="00FE20DF">
        <w:t xml:space="preserve"> and ‘</w:t>
      </w:r>
      <w:r w:rsidR="00296F4E">
        <w:t>Financial Times Ltd v UK</w:t>
      </w:r>
      <w:r w:rsidR="00FE20DF">
        <w:t>’</w:t>
      </w:r>
      <w:r w:rsidR="00296F4E">
        <w:t xml:space="preserve"> (2009)</w:t>
      </w:r>
      <w:r w:rsidR="00D418DB">
        <w:t>.</w:t>
      </w:r>
      <w:r w:rsidR="00296F4E">
        <w:t xml:space="preserve"> </w:t>
      </w:r>
      <w:r w:rsidR="00D418DB">
        <w:t xml:space="preserve"> </w:t>
      </w:r>
    </w:p>
    <w:p w14:paraId="46742995" w14:textId="716C0926" w:rsidR="00C0469E" w:rsidRDefault="00C0469E" w:rsidP="007D0420">
      <w:pPr>
        <w:spacing w:line="480" w:lineRule="auto"/>
        <w:jc w:val="both"/>
      </w:pPr>
    </w:p>
    <w:p w14:paraId="01DBEABB" w14:textId="77777777" w:rsidR="00296F4E" w:rsidRDefault="00296F4E" w:rsidP="00296F4E">
      <w:pPr>
        <w:spacing w:line="480" w:lineRule="auto"/>
        <w:jc w:val="both"/>
      </w:pPr>
    </w:p>
    <w:p w14:paraId="6DD5A547" w14:textId="77777777" w:rsidR="00296F4E" w:rsidRDefault="00296F4E" w:rsidP="00296F4E">
      <w:pPr>
        <w:spacing w:line="480" w:lineRule="auto"/>
        <w:jc w:val="both"/>
      </w:pPr>
    </w:p>
    <w:p w14:paraId="33318CB0" w14:textId="06F15B3D" w:rsidR="00296F4E" w:rsidRDefault="00296F4E" w:rsidP="00296F4E">
      <w:pPr>
        <w:spacing w:line="480" w:lineRule="auto"/>
        <w:jc w:val="both"/>
      </w:pPr>
      <w:r>
        <w:t xml:space="preserve">The Defamation Act </w:t>
      </w:r>
      <w:r w:rsidR="0095171F">
        <w:t>(</w:t>
      </w:r>
      <w:r>
        <w:t>2013</w:t>
      </w:r>
      <w:r w:rsidR="0095171F">
        <w:t>)</w:t>
      </w:r>
      <w:r>
        <w:t xml:space="preserve"> attempts to strike a balance between the right to freedom of expression and the protection of reputation (The Defamation Act 2013).</w:t>
      </w:r>
    </w:p>
    <w:p w14:paraId="58A7F6B5" w14:textId="5A6B9408" w:rsidR="00C0469E" w:rsidRDefault="00AE7F6B" w:rsidP="007D0420">
      <w:pPr>
        <w:spacing w:line="480" w:lineRule="auto"/>
        <w:jc w:val="both"/>
      </w:pPr>
      <w:r>
        <w:t xml:space="preserve">It could be argued that there is legislation in place to both protect </w:t>
      </w:r>
      <w:r w:rsidR="007A0823">
        <w:t>the reputation of an individual and allow for responsible journalism, the issues regarding defamatory cases tend to be where a journalist has been irresponsible or has breached an individual's right to a private life</w:t>
      </w:r>
      <w:r w:rsidR="00A20FB0">
        <w:t xml:space="preserve">. However, if the journalist or individual reporting the statement believes it is of fact and that of public interest then they have the freedom to express that fact or opinion with the inclusion of the relative legislation this arguably allows the balance of freedom of expression and reputational interests (Barendt 2012). </w:t>
      </w:r>
    </w:p>
    <w:p w14:paraId="0BC8214F" w14:textId="41D2EF3E" w:rsidR="00E43515" w:rsidRDefault="00E43515" w:rsidP="007F067E">
      <w:pPr>
        <w:jc w:val="both"/>
      </w:pPr>
    </w:p>
    <w:p w14:paraId="5430E9E0" w14:textId="77777777" w:rsidR="00755706" w:rsidRDefault="00755706" w:rsidP="007F067E">
      <w:pPr>
        <w:jc w:val="both"/>
      </w:pPr>
    </w:p>
    <w:p w14:paraId="36B95DDE" w14:textId="77777777" w:rsidR="00E43515" w:rsidRDefault="00E43515" w:rsidP="007F067E">
      <w:pPr>
        <w:jc w:val="both"/>
      </w:pPr>
    </w:p>
    <w:p w14:paraId="0AC75461" w14:textId="77777777" w:rsidR="001910BC" w:rsidRDefault="001910BC" w:rsidP="007F067E">
      <w:pPr>
        <w:jc w:val="both"/>
      </w:pPr>
    </w:p>
    <w:p w14:paraId="44006B30" w14:textId="0509D859" w:rsidR="00A3186F" w:rsidRDefault="00AE7F6B" w:rsidP="007F067E">
      <w:pPr>
        <w:jc w:val="both"/>
      </w:pPr>
      <w:r>
        <w:t xml:space="preserve"> </w:t>
      </w:r>
      <w:r w:rsidR="006455DB">
        <w:t xml:space="preserve">                                         </w:t>
      </w:r>
    </w:p>
    <w:p w14:paraId="2EBFDB8E" w14:textId="77777777" w:rsidR="00A3186F" w:rsidRDefault="00A3186F" w:rsidP="007F067E">
      <w:pPr>
        <w:jc w:val="both"/>
      </w:pPr>
    </w:p>
    <w:p w14:paraId="6FB17DA7" w14:textId="7315A253" w:rsidR="00756965" w:rsidRDefault="00756965" w:rsidP="007F067E">
      <w:pPr>
        <w:jc w:val="both"/>
      </w:pPr>
    </w:p>
    <w:p w14:paraId="41FBEC49" w14:textId="77777777" w:rsidR="007D0420" w:rsidRDefault="007D0420" w:rsidP="007F067E">
      <w:pPr>
        <w:jc w:val="both"/>
      </w:pPr>
    </w:p>
    <w:p w14:paraId="5B13C579" w14:textId="77777777" w:rsidR="007D0420" w:rsidRDefault="007D0420" w:rsidP="007F067E">
      <w:pPr>
        <w:jc w:val="both"/>
      </w:pPr>
    </w:p>
    <w:p w14:paraId="248E40D1" w14:textId="77777777" w:rsidR="007D0420" w:rsidRDefault="007D0420" w:rsidP="007F067E">
      <w:pPr>
        <w:jc w:val="both"/>
      </w:pPr>
    </w:p>
    <w:p w14:paraId="00A7D9F7" w14:textId="77777777" w:rsidR="007D0420" w:rsidRDefault="007D0420" w:rsidP="007F067E">
      <w:pPr>
        <w:jc w:val="both"/>
      </w:pPr>
    </w:p>
    <w:p w14:paraId="356914FD" w14:textId="77777777" w:rsidR="007D0420" w:rsidRDefault="007D0420" w:rsidP="007F067E">
      <w:pPr>
        <w:jc w:val="both"/>
      </w:pPr>
    </w:p>
    <w:p w14:paraId="71338C10" w14:textId="77777777" w:rsidR="007D0420" w:rsidRDefault="007D0420" w:rsidP="007F067E">
      <w:pPr>
        <w:jc w:val="both"/>
      </w:pPr>
    </w:p>
    <w:p w14:paraId="1A318123" w14:textId="77777777" w:rsidR="007D0420" w:rsidRDefault="007D0420" w:rsidP="007F067E">
      <w:pPr>
        <w:jc w:val="both"/>
      </w:pPr>
    </w:p>
    <w:p w14:paraId="78C563C5" w14:textId="77777777" w:rsidR="007D0420" w:rsidRDefault="007D0420" w:rsidP="007F067E">
      <w:pPr>
        <w:jc w:val="both"/>
      </w:pPr>
    </w:p>
    <w:p w14:paraId="3064463C" w14:textId="77777777" w:rsidR="007D0420" w:rsidRDefault="007D0420" w:rsidP="007F067E">
      <w:pPr>
        <w:jc w:val="both"/>
      </w:pPr>
    </w:p>
    <w:p w14:paraId="6BA76697" w14:textId="77777777" w:rsidR="007D0420" w:rsidRDefault="007D0420" w:rsidP="007F067E">
      <w:pPr>
        <w:jc w:val="both"/>
      </w:pPr>
    </w:p>
    <w:p w14:paraId="74596A29" w14:textId="77777777" w:rsidR="007D0420" w:rsidRDefault="007D0420" w:rsidP="007F067E">
      <w:pPr>
        <w:jc w:val="both"/>
      </w:pPr>
    </w:p>
    <w:p w14:paraId="3AF9676A" w14:textId="77777777" w:rsidR="007D0420" w:rsidRDefault="007D0420" w:rsidP="007F067E">
      <w:pPr>
        <w:jc w:val="both"/>
      </w:pPr>
    </w:p>
    <w:p w14:paraId="7FCDF8D2" w14:textId="77777777" w:rsidR="007D0420" w:rsidRDefault="007D0420" w:rsidP="007F067E">
      <w:pPr>
        <w:jc w:val="both"/>
      </w:pPr>
    </w:p>
    <w:p w14:paraId="03E16F38" w14:textId="77777777" w:rsidR="007D0420" w:rsidRDefault="007D0420" w:rsidP="007F067E">
      <w:pPr>
        <w:jc w:val="both"/>
      </w:pPr>
    </w:p>
    <w:p w14:paraId="5DD6FB9C" w14:textId="77777777" w:rsidR="007D0420" w:rsidRDefault="007D0420" w:rsidP="007F067E">
      <w:pPr>
        <w:jc w:val="both"/>
      </w:pPr>
    </w:p>
    <w:p w14:paraId="39597F8B" w14:textId="77777777" w:rsidR="00E44931" w:rsidRDefault="00E44931" w:rsidP="007F067E">
      <w:pPr>
        <w:jc w:val="both"/>
      </w:pPr>
    </w:p>
    <w:p w14:paraId="38910E2E" w14:textId="77777777" w:rsidR="0095171F" w:rsidRDefault="0095171F" w:rsidP="007F067E">
      <w:pPr>
        <w:jc w:val="both"/>
        <w:rPr>
          <w:b/>
          <w:bCs/>
          <w:u w:val="single"/>
        </w:rPr>
      </w:pPr>
    </w:p>
    <w:p w14:paraId="5317F2C1" w14:textId="77777777" w:rsidR="0095171F" w:rsidRDefault="0095171F" w:rsidP="007F067E">
      <w:pPr>
        <w:jc w:val="both"/>
        <w:rPr>
          <w:b/>
          <w:bCs/>
          <w:u w:val="single"/>
        </w:rPr>
      </w:pPr>
    </w:p>
    <w:p w14:paraId="63F60DB0" w14:textId="2FD9D6F3" w:rsidR="007F49E5" w:rsidRDefault="00AE7F6B" w:rsidP="007F067E">
      <w:pPr>
        <w:jc w:val="both"/>
        <w:rPr>
          <w:b/>
          <w:bCs/>
          <w:u w:val="single"/>
        </w:rPr>
      </w:pPr>
      <w:r w:rsidRPr="007F49E5">
        <w:rPr>
          <w:b/>
          <w:bCs/>
          <w:u w:val="single"/>
        </w:rPr>
        <w:lastRenderedPageBreak/>
        <w:t xml:space="preserve">Reference List </w:t>
      </w:r>
    </w:p>
    <w:p w14:paraId="1F4400AE" w14:textId="0EDAC6FD" w:rsidR="007F49E5" w:rsidRDefault="007F49E5" w:rsidP="007F067E">
      <w:pPr>
        <w:jc w:val="both"/>
      </w:pPr>
    </w:p>
    <w:p w14:paraId="5E1B4242" w14:textId="2F9F80FD" w:rsidR="007D0420" w:rsidRDefault="00AE7F6B" w:rsidP="007F067E">
      <w:pPr>
        <w:jc w:val="both"/>
      </w:pPr>
      <w:r>
        <w:t>Barendt, E. (2012) '</w:t>
      </w:r>
      <w:r w:rsidRPr="00A20FB0">
        <w:t>Balancing freedom of expression and the right to reputation: reflections on Reynolds and reportage</w:t>
      </w:r>
      <w:r>
        <w:t xml:space="preserve">', </w:t>
      </w:r>
      <w:r>
        <w:rPr>
          <w:i/>
          <w:iCs/>
        </w:rPr>
        <w:t xml:space="preserve">Northern Ireland Legal Quarterly, </w:t>
      </w:r>
      <w:r>
        <w:t xml:space="preserve">63(1), pp. 59 – 74.  Available at: </w:t>
      </w:r>
      <w:hyperlink r:id="rId4" w:history="1">
        <w:r w:rsidRPr="009D1BB2">
          <w:rPr>
            <w:rStyle w:val="Hyperlink"/>
          </w:rPr>
          <w:t>https://uk.westlaw.com/Document/ID01CBE80933511E190259E5E99703F3A/View/FullText.html?navigationPath=Search%2Fv1%2Fresults%2Fnavigation%2Fi0ad74014000001765310020b92611be9%3FNav%3DUK-JOURNALS-PUBLICATION%26fragmentIdentifier%3DID01CBE80933511E190259E5E99703F3A%26parentRank%3D0%26startIndex%3D1%26contextData%3D%2528sc.Default%2529%26transitionType%3DSearchItem&amp;listSource=Search&amp;listPageSource=afaedc0160e6365f1ce00c6031ee41bf&amp;list=UK-JOURNALS-PUBLICATION&amp;rank=1&amp;sessionScopeId=3d10dc3d6522b5d2ca6770736fe0e11780d8d445c7d12eaeea64e6427aa2b3ab&amp;originationContext=Search%20Result&amp;transitionType=SearchItem&amp;contextData=(sc.Default)&amp;comp=wluk&amp;navId=063CA8EDFB3F8A59B2FF5FE5B23DBE06</w:t>
        </w:r>
      </w:hyperlink>
      <w:r>
        <w:t xml:space="preserve"> (Accessed: 11 December 2020). </w:t>
      </w:r>
    </w:p>
    <w:p w14:paraId="4F4FC176" w14:textId="77777777" w:rsidR="007D0420" w:rsidRPr="00A20FB0" w:rsidRDefault="007D0420" w:rsidP="007F067E">
      <w:pPr>
        <w:jc w:val="both"/>
      </w:pPr>
    </w:p>
    <w:p w14:paraId="56C9D2CA" w14:textId="41BDB1EB" w:rsidR="007D0420" w:rsidRDefault="00AE7F6B" w:rsidP="007F067E">
      <w:pPr>
        <w:jc w:val="both"/>
      </w:pPr>
      <w:r>
        <w:t xml:space="preserve">Evans, M. (2018) 'Privacy vs Freedom of Expression: How the Law has developed', </w:t>
      </w:r>
      <w:r w:rsidRPr="00B60D4E">
        <w:rPr>
          <w:i/>
          <w:iCs/>
        </w:rPr>
        <w:t>The Telegraph</w:t>
      </w:r>
      <w:r>
        <w:rPr>
          <w:i/>
          <w:iCs/>
        </w:rPr>
        <w:t xml:space="preserve">, </w:t>
      </w:r>
      <w:r>
        <w:t xml:space="preserve">18 July. Available at: </w:t>
      </w:r>
      <w:hyperlink r:id="rId5" w:history="1">
        <w:r w:rsidRPr="009D1BB2">
          <w:rPr>
            <w:rStyle w:val="Hyperlink"/>
          </w:rPr>
          <w:t>https://www.telegraph.co.uk/news/2018/07/18/privacy-vs-freedom-expression-law-has-developed/</w:t>
        </w:r>
      </w:hyperlink>
      <w:r>
        <w:t xml:space="preserve"> (Accessed: 10 December 2020). </w:t>
      </w:r>
    </w:p>
    <w:p w14:paraId="721CF12F" w14:textId="77777777" w:rsidR="007D0420" w:rsidRDefault="007D0420" w:rsidP="007F067E">
      <w:pPr>
        <w:jc w:val="both"/>
      </w:pPr>
    </w:p>
    <w:p w14:paraId="33DF159C" w14:textId="5B5D8B9D" w:rsidR="007D0420" w:rsidRDefault="00AE7F6B" w:rsidP="007F067E">
      <w:pPr>
        <w:jc w:val="both"/>
      </w:pPr>
      <w:r>
        <w:t xml:space="preserve">Morris, S. (2002) 'footballer loses year-long fight for privacy' </w:t>
      </w:r>
      <w:r>
        <w:rPr>
          <w:i/>
          <w:iCs/>
        </w:rPr>
        <w:t xml:space="preserve">The Guardian, </w:t>
      </w:r>
      <w:r>
        <w:t xml:space="preserve">30 March. Available at: </w:t>
      </w:r>
      <w:hyperlink r:id="rId6" w:history="1">
        <w:r w:rsidRPr="009D1BB2">
          <w:rPr>
            <w:rStyle w:val="Hyperlink"/>
          </w:rPr>
          <w:t>https://www.theguardian.com/media/2002/mar/30/pressandpublishing.football1</w:t>
        </w:r>
      </w:hyperlink>
      <w:r>
        <w:t xml:space="preserve"> (Accessed: 10 December 2020). </w:t>
      </w:r>
    </w:p>
    <w:p w14:paraId="2EC1E379" w14:textId="77777777" w:rsidR="007D0420" w:rsidRDefault="007D0420" w:rsidP="007F067E">
      <w:pPr>
        <w:jc w:val="both"/>
      </w:pPr>
    </w:p>
    <w:p w14:paraId="104CE3AE" w14:textId="5F405FD6" w:rsidR="007D0420" w:rsidRDefault="00AE7F6B" w:rsidP="007F067E">
      <w:pPr>
        <w:jc w:val="both"/>
      </w:pPr>
      <w:r>
        <w:t xml:space="preserve">Reporters Without Borders (2020) </w:t>
      </w:r>
      <w:r>
        <w:rPr>
          <w:i/>
          <w:iCs/>
        </w:rPr>
        <w:t xml:space="preserve">Reporters without Borders (RSF), for freedom of information. </w:t>
      </w:r>
      <w:r>
        <w:t xml:space="preserve">Available at: </w:t>
      </w:r>
      <w:hyperlink r:id="rId7" w:history="1">
        <w:r w:rsidRPr="009D1BB2">
          <w:rPr>
            <w:rStyle w:val="Hyperlink"/>
          </w:rPr>
          <w:t>https://rsf.org/en/presentation</w:t>
        </w:r>
      </w:hyperlink>
      <w:r>
        <w:t xml:space="preserve"> (Accessed: 9 December 2020). </w:t>
      </w:r>
    </w:p>
    <w:p w14:paraId="43A98E80" w14:textId="77777777" w:rsidR="007D0420" w:rsidRDefault="007D0420" w:rsidP="007F067E">
      <w:pPr>
        <w:jc w:val="both"/>
      </w:pPr>
    </w:p>
    <w:p w14:paraId="25EBECB0" w14:textId="77777777" w:rsidR="007D0420" w:rsidRDefault="007D0420" w:rsidP="007F067E">
      <w:pPr>
        <w:jc w:val="both"/>
      </w:pPr>
    </w:p>
    <w:p w14:paraId="454536F2" w14:textId="77777777" w:rsidR="00C20287" w:rsidRDefault="00AE7F6B" w:rsidP="007F067E">
      <w:pPr>
        <w:jc w:val="both"/>
      </w:pPr>
      <w:r>
        <w:t xml:space="preserve">The Supreme Court (2019) 'Lachaux (Respondent) v Independent Print Ltd and other (Appellants)' S.25, Available at: </w:t>
      </w:r>
      <w:hyperlink r:id="rId8" w:history="1">
        <w:r w:rsidRPr="009D1BB2">
          <w:rPr>
            <w:rStyle w:val="Hyperlink"/>
          </w:rPr>
          <w:t>https://www.supremecourt.uk/cases/docs/uksc-2017-0175-judgment.pdf</w:t>
        </w:r>
      </w:hyperlink>
      <w:r>
        <w:t xml:space="preserve"> (Accessed: 11 December 2020). </w:t>
      </w:r>
    </w:p>
    <w:p w14:paraId="09F889DF" w14:textId="77777777" w:rsidR="00AE7F6B" w:rsidRDefault="00AE7F6B" w:rsidP="007F067E">
      <w:pPr>
        <w:jc w:val="both"/>
        <w:rPr>
          <w:b/>
          <w:bCs/>
          <w:u w:val="single"/>
        </w:rPr>
      </w:pPr>
    </w:p>
    <w:p w14:paraId="5C8E7938" w14:textId="77777777" w:rsidR="00AE7F6B" w:rsidRDefault="00AE7F6B" w:rsidP="007F067E">
      <w:pPr>
        <w:jc w:val="both"/>
        <w:rPr>
          <w:b/>
          <w:bCs/>
          <w:u w:val="single"/>
        </w:rPr>
      </w:pPr>
    </w:p>
    <w:p w14:paraId="3AFDA613" w14:textId="77777777" w:rsidR="00AE7F6B" w:rsidRDefault="00AE7F6B" w:rsidP="007F067E">
      <w:pPr>
        <w:jc w:val="both"/>
        <w:rPr>
          <w:b/>
          <w:bCs/>
          <w:u w:val="single"/>
        </w:rPr>
      </w:pPr>
    </w:p>
    <w:p w14:paraId="328B4FDF" w14:textId="77777777" w:rsidR="00AE7F6B" w:rsidRDefault="00AE7F6B" w:rsidP="007F067E">
      <w:pPr>
        <w:jc w:val="both"/>
        <w:rPr>
          <w:b/>
          <w:bCs/>
          <w:u w:val="single"/>
        </w:rPr>
      </w:pPr>
    </w:p>
    <w:p w14:paraId="5ED594A0" w14:textId="2FD8FDBF" w:rsidR="009200C4" w:rsidRPr="00C20287" w:rsidRDefault="00296F4E" w:rsidP="007F067E">
      <w:pPr>
        <w:jc w:val="both"/>
      </w:pPr>
      <w:r w:rsidRPr="00296F4E">
        <w:rPr>
          <w:b/>
          <w:bCs/>
          <w:u w:val="single"/>
        </w:rPr>
        <w:t>Case law</w:t>
      </w:r>
      <w:r>
        <w:rPr>
          <w:b/>
          <w:bCs/>
          <w:u w:val="single"/>
        </w:rPr>
        <w:t xml:space="preserve"> and legislation </w:t>
      </w:r>
    </w:p>
    <w:p w14:paraId="7E032826" w14:textId="77777777" w:rsidR="00296F4E" w:rsidRPr="00296F4E" w:rsidRDefault="00296F4E" w:rsidP="007F067E">
      <w:pPr>
        <w:jc w:val="both"/>
        <w:rPr>
          <w:b/>
          <w:bCs/>
          <w:u w:val="single"/>
        </w:rPr>
      </w:pPr>
    </w:p>
    <w:p w14:paraId="6530F578" w14:textId="05B7843A" w:rsidR="00296F4E" w:rsidRDefault="00296F4E" w:rsidP="00296F4E">
      <w:pPr>
        <w:jc w:val="both"/>
      </w:pPr>
      <w:r>
        <w:t>'Dingle v Turner' (1972)</w:t>
      </w:r>
      <w:r w:rsidR="00723389">
        <w:t xml:space="preserve"> </w:t>
      </w:r>
      <w:r w:rsidR="00337E16">
        <w:t>A.C 601</w:t>
      </w:r>
    </w:p>
    <w:p w14:paraId="64A4926F" w14:textId="189288B7" w:rsidR="00296F4E" w:rsidRDefault="00296F4E" w:rsidP="00296F4E">
      <w:pPr>
        <w:jc w:val="both"/>
      </w:pPr>
    </w:p>
    <w:p w14:paraId="48938688" w14:textId="3231014F" w:rsidR="00296F4E" w:rsidRDefault="00296F4E" w:rsidP="00296F4E">
      <w:pPr>
        <w:jc w:val="both"/>
      </w:pPr>
      <w:r>
        <w:t>‘Economou v de Freitas’</w:t>
      </w:r>
      <w:r w:rsidR="006A745F">
        <w:t>.</w:t>
      </w:r>
      <w:r>
        <w:t xml:space="preserve"> (2017)</w:t>
      </w:r>
      <w:r w:rsidR="00337E16">
        <w:t xml:space="preserve"> EWHC 1853</w:t>
      </w:r>
    </w:p>
    <w:p w14:paraId="3FDF247A" w14:textId="6E8722D3" w:rsidR="00296F4E" w:rsidRDefault="00296F4E" w:rsidP="00296F4E">
      <w:pPr>
        <w:jc w:val="both"/>
      </w:pPr>
    </w:p>
    <w:p w14:paraId="039AA047" w14:textId="52F64015" w:rsidR="00296F4E" w:rsidRDefault="00296F4E" w:rsidP="00296F4E">
      <w:pPr>
        <w:jc w:val="both"/>
      </w:pPr>
      <w:r>
        <w:t>‘Financial Times Ltd v UK’</w:t>
      </w:r>
      <w:r w:rsidR="006A745F">
        <w:t>.</w:t>
      </w:r>
      <w:r>
        <w:t xml:space="preserve"> (2009)</w:t>
      </w:r>
      <w:r w:rsidR="00337E16">
        <w:t xml:space="preserve"> </w:t>
      </w:r>
    </w:p>
    <w:p w14:paraId="6B26892C" w14:textId="4069547F" w:rsidR="00296F4E" w:rsidRDefault="00296F4E" w:rsidP="00296F4E">
      <w:pPr>
        <w:jc w:val="both"/>
      </w:pPr>
    </w:p>
    <w:p w14:paraId="23DB5B30" w14:textId="0B627DA0" w:rsidR="00296F4E" w:rsidRDefault="00296F4E" w:rsidP="00296F4E">
      <w:pPr>
        <w:jc w:val="both"/>
      </w:pPr>
      <w:r>
        <w:t>‘Flood v Times Newspapers Ltd’</w:t>
      </w:r>
      <w:r w:rsidR="006A745F">
        <w:t>.</w:t>
      </w:r>
      <w:r>
        <w:t xml:space="preserve"> (2012)</w:t>
      </w:r>
      <w:r w:rsidR="00337E16">
        <w:t xml:space="preserve"> UKSC 11</w:t>
      </w:r>
    </w:p>
    <w:p w14:paraId="514FF5EF" w14:textId="77777777" w:rsidR="00296F4E" w:rsidRDefault="00296F4E" w:rsidP="00296F4E">
      <w:pPr>
        <w:jc w:val="both"/>
        <w:rPr>
          <w:i/>
          <w:iCs/>
        </w:rPr>
      </w:pPr>
    </w:p>
    <w:p w14:paraId="3DB86397" w14:textId="240F9122" w:rsidR="00296F4E" w:rsidRDefault="00296F4E" w:rsidP="00296F4E">
      <w:pPr>
        <w:jc w:val="both"/>
      </w:pPr>
      <w:r>
        <w:lastRenderedPageBreak/>
        <w:t>‘</w:t>
      </w:r>
      <w:proofErr w:type="spellStart"/>
      <w:r>
        <w:t>Interbrew</w:t>
      </w:r>
      <w:proofErr w:type="spellEnd"/>
      <w:r>
        <w:t xml:space="preserve"> SA v Financial Times Ltd’</w:t>
      </w:r>
      <w:r w:rsidR="006A745F">
        <w:t>.</w:t>
      </w:r>
      <w:r>
        <w:t xml:space="preserve"> (2002</w:t>
      </w:r>
      <w:r w:rsidR="00337E16">
        <w:t xml:space="preserve">) EWCA </w:t>
      </w:r>
      <w:proofErr w:type="spellStart"/>
      <w:r w:rsidR="00337E16">
        <w:t>Civ</w:t>
      </w:r>
      <w:proofErr w:type="spellEnd"/>
      <w:r w:rsidR="00337E16">
        <w:t xml:space="preserve"> 274</w:t>
      </w:r>
    </w:p>
    <w:p w14:paraId="3E1DC71A" w14:textId="176BFA67" w:rsidR="00296F4E" w:rsidRDefault="00296F4E" w:rsidP="00296F4E">
      <w:pPr>
        <w:jc w:val="both"/>
      </w:pPr>
    </w:p>
    <w:p w14:paraId="4467D45F" w14:textId="57526762" w:rsidR="00296F4E" w:rsidRDefault="00296F4E" w:rsidP="00296F4E">
      <w:pPr>
        <w:jc w:val="both"/>
      </w:pPr>
      <w:r>
        <w:t>'</w:t>
      </w:r>
      <w:proofErr w:type="spellStart"/>
      <w:r>
        <w:t>Lachaux</w:t>
      </w:r>
      <w:proofErr w:type="spellEnd"/>
      <w:r>
        <w:t xml:space="preserve"> v Independent Print Ltd'. (2019)</w:t>
      </w:r>
      <w:r w:rsidR="00337E16">
        <w:t xml:space="preserve"> UKSC 27</w:t>
      </w:r>
    </w:p>
    <w:p w14:paraId="2471FF9C" w14:textId="77777777" w:rsidR="00296F4E" w:rsidRDefault="00296F4E" w:rsidP="00296F4E">
      <w:pPr>
        <w:jc w:val="both"/>
      </w:pPr>
    </w:p>
    <w:p w14:paraId="2AD7A44B" w14:textId="75EDBEBA" w:rsidR="00296F4E" w:rsidRDefault="00296F4E" w:rsidP="00296F4E">
      <w:pPr>
        <w:jc w:val="both"/>
      </w:pPr>
      <w:r>
        <w:t>‘</w:t>
      </w:r>
      <w:proofErr w:type="spellStart"/>
      <w:r>
        <w:t>Loutchansky</w:t>
      </w:r>
      <w:proofErr w:type="spellEnd"/>
      <w:r>
        <w:t xml:space="preserve"> v The Times Newspaper’</w:t>
      </w:r>
      <w:r w:rsidR="006A745F">
        <w:t>.</w:t>
      </w:r>
      <w:r>
        <w:t xml:space="preserve"> (2002). </w:t>
      </w:r>
      <w:r w:rsidR="00337E16">
        <w:t xml:space="preserve">EWCA </w:t>
      </w:r>
      <w:proofErr w:type="spellStart"/>
      <w:r w:rsidR="00337E16">
        <w:t>Civ</w:t>
      </w:r>
      <w:proofErr w:type="spellEnd"/>
      <w:r w:rsidR="00337E16">
        <w:t xml:space="preserve"> 1805</w:t>
      </w:r>
    </w:p>
    <w:p w14:paraId="75DDAE6B" w14:textId="547938A1" w:rsidR="00296F4E" w:rsidRDefault="00296F4E" w:rsidP="00296F4E">
      <w:pPr>
        <w:jc w:val="both"/>
      </w:pPr>
    </w:p>
    <w:p w14:paraId="112B8F88" w14:textId="7DB275EA" w:rsidR="00296F4E" w:rsidRDefault="00296F4E" w:rsidP="00296F4E">
      <w:pPr>
        <w:jc w:val="both"/>
      </w:pPr>
      <w:r>
        <w:t>'Reynolds v The Times Newspaper Ltd'. (2001)</w:t>
      </w:r>
      <w:r w:rsidR="00337E16">
        <w:t xml:space="preserve"> HL 28 AC 339</w:t>
      </w:r>
    </w:p>
    <w:p w14:paraId="326DBFD6" w14:textId="3765503B" w:rsidR="00296F4E" w:rsidRDefault="00296F4E" w:rsidP="00296F4E">
      <w:pPr>
        <w:jc w:val="both"/>
      </w:pPr>
    </w:p>
    <w:p w14:paraId="3CDE68A8" w14:textId="77777777" w:rsidR="00941B01" w:rsidRPr="00941B01" w:rsidRDefault="00296F4E" w:rsidP="00941B01">
      <w:pPr>
        <w:rPr>
          <w:rFonts w:ascii="Times New Roman" w:eastAsia="Times New Roman" w:hAnsi="Times New Roman" w:cs="Times New Roman"/>
          <w:lang w:eastAsia="en-GB"/>
        </w:rPr>
      </w:pPr>
      <w:r>
        <w:t>‘Secretary of State for Defence v Guardian newspapers Ltd’</w:t>
      </w:r>
      <w:r w:rsidR="006A745F">
        <w:t>.</w:t>
      </w:r>
      <w:r>
        <w:t xml:space="preserve"> (1985)</w:t>
      </w:r>
      <w:r w:rsidR="00941B01">
        <w:t xml:space="preserve"> </w:t>
      </w:r>
      <w:r w:rsidR="00941B01" w:rsidRPr="00941B01">
        <w:rPr>
          <w:rFonts w:ascii="Arial" w:eastAsia="Times New Roman" w:hAnsi="Arial" w:cs="Arial"/>
          <w:color w:val="000000" w:themeColor="text1"/>
          <w:sz w:val="21"/>
          <w:szCs w:val="21"/>
          <w:shd w:val="clear" w:color="auto" w:fill="FFFFFF"/>
          <w:lang w:eastAsia="en-GB"/>
        </w:rPr>
        <w:t>A.C. 3. 339</w:t>
      </w:r>
    </w:p>
    <w:p w14:paraId="44C3B8F5" w14:textId="3B61B745" w:rsidR="00296F4E" w:rsidRDefault="00296F4E" w:rsidP="00296F4E">
      <w:pPr>
        <w:jc w:val="both"/>
      </w:pPr>
    </w:p>
    <w:p w14:paraId="497E6668" w14:textId="77777777" w:rsidR="00296F4E" w:rsidRPr="00296F4E" w:rsidRDefault="00296F4E" w:rsidP="00296F4E">
      <w:pPr>
        <w:jc w:val="both"/>
      </w:pPr>
    </w:p>
    <w:p w14:paraId="3876C82B" w14:textId="77777777" w:rsidR="00296F4E" w:rsidRDefault="00296F4E" w:rsidP="00296F4E">
      <w:pPr>
        <w:jc w:val="both"/>
      </w:pPr>
      <w:r w:rsidRPr="001910BC">
        <w:rPr>
          <w:i/>
          <w:iCs/>
        </w:rPr>
        <w:t>The Contempt of Court Act 1981</w:t>
      </w:r>
      <w:r>
        <w:t xml:space="preserve">, </w:t>
      </w:r>
      <w:r w:rsidRPr="001910BC">
        <w:rPr>
          <w:i/>
          <w:iCs/>
        </w:rPr>
        <w:t>c.10.</w:t>
      </w:r>
      <w:r>
        <w:rPr>
          <w:i/>
          <w:iCs/>
        </w:rPr>
        <w:t xml:space="preserve"> </w:t>
      </w:r>
      <w:r>
        <w:t xml:space="preserve">Available at: </w:t>
      </w:r>
      <w:hyperlink r:id="rId9" w:history="1">
        <w:r w:rsidRPr="009D1BB2">
          <w:rPr>
            <w:rStyle w:val="Hyperlink"/>
          </w:rPr>
          <w:t>https://www.legislation.gov.uk/ukpga/1981/49/section/10</w:t>
        </w:r>
      </w:hyperlink>
      <w:r>
        <w:t xml:space="preserve"> (Accessed: 11 December 2020). </w:t>
      </w:r>
    </w:p>
    <w:p w14:paraId="3FE9E7B2" w14:textId="1864771B" w:rsidR="00296F4E" w:rsidRDefault="00296F4E" w:rsidP="00296F4E">
      <w:pPr>
        <w:jc w:val="both"/>
      </w:pPr>
      <w:r>
        <w:rPr>
          <w:i/>
          <w:iCs/>
        </w:rPr>
        <w:t xml:space="preserve">The Defamation Act 2013, c.26. </w:t>
      </w:r>
      <w:r>
        <w:t xml:space="preserve">Available at: </w:t>
      </w:r>
      <w:hyperlink r:id="rId10" w:history="1">
        <w:r w:rsidRPr="009D1BB2">
          <w:rPr>
            <w:rStyle w:val="Hyperlink"/>
          </w:rPr>
          <w:t>https://services.parliament.uk/bills/2012-13/defamation.html</w:t>
        </w:r>
      </w:hyperlink>
      <w:r>
        <w:t xml:space="preserve"> (Accessed: 10 December 2020). </w:t>
      </w:r>
    </w:p>
    <w:p w14:paraId="6139F8EF" w14:textId="080FD686" w:rsidR="00296F4E" w:rsidRDefault="00296F4E" w:rsidP="00296F4E">
      <w:pPr>
        <w:jc w:val="both"/>
      </w:pPr>
    </w:p>
    <w:p w14:paraId="62A58328" w14:textId="22ADDEA8" w:rsidR="00296F4E" w:rsidRDefault="00296F4E" w:rsidP="00296F4E">
      <w:pPr>
        <w:jc w:val="both"/>
      </w:pPr>
      <w:r>
        <w:rPr>
          <w:i/>
          <w:iCs/>
        </w:rPr>
        <w:t xml:space="preserve">The Defamation Act 2013, c.26. </w:t>
      </w:r>
      <w:r>
        <w:t xml:space="preserve">Available at: </w:t>
      </w:r>
      <w:hyperlink r:id="rId11" w:history="1">
        <w:r w:rsidRPr="009D1BB2">
          <w:rPr>
            <w:rStyle w:val="Hyperlink"/>
          </w:rPr>
          <w:t>https://www.legislation.gov.uk/ukpga/2013/26</w:t>
        </w:r>
      </w:hyperlink>
      <w:r>
        <w:t xml:space="preserve"> (Accessed: 10 December 2020). </w:t>
      </w:r>
    </w:p>
    <w:p w14:paraId="3607D2DB" w14:textId="0F1DE1B1" w:rsidR="00296F4E" w:rsidRDefault="00296F4E" w:rsidP="007F067E">
      <w:pPr>
        <w:jc w:val="both"/>
      </w:pPr>
    </w:p>
    <w:p w14:paraId="6669886A" w14:textId="77777777" w:rsidR="00296F4E" w:rsidRDefault="00296F4E" w:rsidP="00296F4E">
      <w:pPr>
        <w:jc w:val="both"/>
      </w:pPr>
      <w:r>
        <w:t xml:space="preserve">The National Archives (2020) </w:t>
      </w:r>
      <w:r>
        <w:rPr>
          <w:i/>
          <w:iCs/>
        </w:rPr>
        <w:t xml:space="preserve">Human Rights Act 1998. </w:t>
      </w:r>
      <w:r w:rsidRPr="007F49E5">
        <w:t>Available at:</w:t>
      </w:r>
      <w:r>
        <w:rPr>
          <w:i/>
          <w:iCs/>
        </w:rPr>
        <w:t xml:space="preserve"> </w:t>
      </w:r>
      <w:hyperlink r:id="rId12" w:history="1">
        <w:r w:rsidRPr="007F49E5">
          <w:rPr>
            <w:rStyle w:val="Hyperlink"/>
          </w:rPr>
          <w:t>https://www.legislation.gov.uk/ukpga/1998/42/schedule/1/part/I/chapter/9</w:t>
        </w:r>
      </w:hyperlink>
      <w:r w:rsidRPr="007F49E5">
        <w:t xml:space="preserve"> (Accessed: 10 December 2020)</w:t>
      </w:r>
      <w:r>
        <w:t>.</w:t>
      </w:r>
    </w:p>
    <w:p w14:paraId="1E3806CC" w14:textId="2F4743A0" w:rsidR="00296F4E" w:rsidRDefault="00296F4E" w:rsidP="007F067E">
      <w:pPr>
        <w:jc w:val="both"/>
      </w:pPr>
    </w:p>
    <w:p w14:paraId="5BFA15E8" w14:textId="1AAE5CAA" w:rsidR="00296F4E" w:rsidRDefault="00296F4E" w:rsidP="007F067E">
      <w:pPr>
        <w:jc w:val="both"/>
      </w:pPr>
    </w:p>
    <w:p w14:paraId="2E25AF1D" w14:textId="77777777" w:rsidR="00296F4E" w:rsidRDefault="00296F4E" w:rsidP="007F067E">
      <w:pPr>
        <w:jc w:val="both"/>
      </w:pPr>
    </w:p>
    <w:p w14:paraId="68FFFC91" w14:textId="3F89424F" w:rsidR="009200C4" w:rsidRDefault="009200C4" w:rsidP="007F067E">
      <w:pPr>
        <w:jc w:val="both"/>
      </w:pPr>
    </w:p>
    <w:p w14:paraId="0FC19F4D" w14:textId="12091535" w:rsidR="009200C4" w:rsidRDefault="009200C4" w:rsidP="007F067E">
      <w:pPr>
        <w:jc w:val="both"/>
      </w:pPr>
    </w:p>
    <w:p w14:paraId="017F49A1" w14:textId="0B3861E2" w:rsidR="009200C4" w:rsidRDefault="009200C4" w:rsidP="007F067E">
      <w:pPr>
        <w:jc w:val="both"/>
      </w:pPr>
    </w:p>
    <w:p w14:paraId="0D0FDE04" w14:textId="34C5064D" w:rsidR="009200C4" w:rsidRDefault="009200C4" w:rsidP="007F067E">
      <w:pPr>
        <w:jc w:val="both"/>
      </w:pPr>
    </w:p>
    <w:p w14:paraId="058F74B5" w14:textId="6B7CEC7A" w:rsidR="009200C4" w:rsidRDefault="009200C4" w:rsidP="007F067E">
      <w:pPr>
        <w:jc w:val="both"/>
      </w:pPr>
    </w:p>
    <w:p w14:paraId="3288E6AA" w14:textId="4905DE00" w:rsidR="009200C4" w:rsidRDefault="009200C4" w:rsidP="007F067E">
      <w:pPr>
        <w:jc w:val="both"/>
      </w:pPr>
    </w:p>
    <w:p w14:paraId="4DC2097D" w14:textId="77777777" w:rsidR="00E44931" w:rsidRDefault="00E44931" w:rsidP="006C72EE">
      <w:pPr>
        <w:spacing w:line="480" w:lineRule="auto"/>
        <w:jc w:val="center"/>
        <w:rPr>
          <w:b/>
          <w:bCs/>
          <w:u w:val="single"/>
        </w:rPr>
      </w:pPr>
    </w:p>
    <w:p w14:paraId="29DCA43C" w14:textId="77777777" w:rsidR="00E44931" w:rsidRDefault="00E44931" w:rsidP="006C72EE">
      <w:pPr>
        <w:spacing w:line="480" w:lineRule="auto"/>
        <w:jc w:val="center"/>
        <w:rPr>
          <w:b/>
          <w:bCs/>
          <w:u w:val="single"/>
        </w:rPr>
      </w:pPr>
    </w:p>
    <w:p w14:paraId="4DB6F040" w14:textId="77777777" w:rsidR="00E44931" w:rsidRDefault="00E44931" w:rsidP="006C72EE">
      <w:pPr>
        <w:spacing w:line="480" w:lineRule="auto"/>
        <w:jc w:val="center"/>
        <w:rPr>
          <w:b/>
          <w:bCs/>
          <w:u w:val="single"/>
        </w:rPr>
      </w:pPr>
    </w:p>
    <w:p w14:paraId="6C3430FD" w14:textId="77777777" w:rsidR="00E44931" w:rsidRDefault="00E44931" w:rsidP="006C72EE">
      <w:pPr>
        <w:spacing w:line="480" w:lineRule="auto"/>
        <w:jc w:val="center"/>
        <w:rPr>
          <w:b/>
          <w:bCs/>
          <w:u w:val="single"/>
        </w:rPr>
      </w:pPr>
    </w:p>
    <w:p w14:paraId="55D2F202" w14:textId="77777777" w:rsidR="00E44931" w:rsidRDefault="00E44931" w:rsidP="006C72EE">
      <w:pPr>
        <w:spacing w:line="480" w:lineRule="auto"/>
        <w:jc w:val="center"/>
        <w:rPr>
          <w:b/>
          <w:bCs/>
          <w:u w:val="single"/>
        </w:rPr>
      </w:pPr>
    </w:p>
    <w:p w14:paraId="11166DFF" w14:textId="77777777" w:rsidR="00E44931" w:rsidRDefault="00E44931" w:rsidP="006C72EE">
      <w:pPr>
        <w:spacing w:line="480" w:lineRule="auto"/>
        <w:jc w:val="center"/>
        <w:rPr>
          <w:b/>
          <w:bCs/>
          <w:u w:val="single"/>
        </w:rPr>
      </w:pPr>
    </w:p>
    <w:p w14:paraId="57BF9CF0" w14:textId="77777777" w:rsidR="00E44931" w:rsidRDefault="00E44931" w:rsidP="006C72EE">
      <w:pPr>
        <w:spacing w:line="480" w:lineRule="auto"/>
        <w:jc w:val="center"/>
        <w:rPr>
          <w:b/>
          <w:bCs/>
          <w:u w:val="single"/>
        </w:rPr>
      </w:pPr>
    </w:p>
    <w:p w14:paraId="7CF9C9DB" w14:textId="77777777" w:rsidR="00E44931" w:rsidRDefault="00E44931" w:rsidP="006C72EE">
      <w:pPr>
        <w:spacing w:line="480" w:lineRule="auto"/>
        <w:jc w:val="center"/>
        <w:rPr>
          <w:b/>
          <w:bCs/>
          <w:u w:val="single"/>
        </w:rPr>
      </w:pPr>
    </w:p>
    <w:p w14:paraId="461422B6" w14:textId="77777777" w:rsidR="00E44931" w:rsidRDefault="00E44931" w:rsidP="006C72EE">
      <w:pPr>
        <w:spacing w:line="480" w:lineRule="auto"/>
        <w:jc w:val="center"/>
        <w:rPr>
          <w:b/>
          <w:bCs/>
          <w:u w:val="single"/>
        </w:rPr>
      </w:pPr>
    </w:p>
    <w:p w14:paraId="2D86E658" w14:textId="77777777" w:rsidR="00E44931" w:rsidRDefault="00E44931" w:rsidP="006C72EE">
      <w:pPr>
        <w:spacing w:line="480" w:lineRule="auto"/>
        <w:jc w:val="center"/>
        <w:rPr>
          <w:b/>
          <w:bCs/>
          <w:u w:val="single"/>
        </w:rPr>
      </w:pPr>
    </w:p>
    <w:p w14:paraId="53443CA8" w14:textId="77777777" w:rsidR="00E44931" w:rsidRDefault="00E44931" w:rsidP="006C72EE">
      <w:pPr>
        <w:spacing w:line="480" w:lineRule="auto"/>
        <w:jc w:val="center"/>
        <w:rPr>
          <w:b/>
          <w:bCs/>
          <w:u w:val="single"/>
        </w:rPr>
      </w:pPr>
    </w:p>
    <w:p w14:paraId="23E0CE88" w14:textId="546574F2" w:rsidR="006C72EE" w:rsidRDefault="00AE7F6B" w:rsidP="006C72EE">
      <w:pPr>
        <w:spacing w:line="480" w:lineRule="auto"/>
        <w:jc w:val="center"/>
        <w:rPr>
          <w:b/>
          <w:bCs/>
          <w:u w:val="single"/>
        </w:rPr>
      </w:pPr>
      <w:r w:rsidRPr="009200C4">
        <w:rPr>
          <w:b/>
          <w:bCs/>
          <w:u w:val="single"/>
        </w:rPr>
        <w:t>Judicial Review Cases</w:t>
      </w:r>
    </w:p>
    <w:p w14:paraId="02600FFA" w14:textId="77777777" w:rsidR="006C72EE" w:rsidRDefault="006C72EE" w:rsidP="006C72EE">
      <w:pPr>
        <w:spacing w:line="480" w:lineRule="auto"/>
        <w:jc w:val="center"/>
        <w:rPr>
          <w:b/>
          <w:bCs/>
          <w:u w:val="single"/>
        </w:rPr>
      </w:pPr>
    </w:p>
    <w:p w14:paraId="3A51A8C3" w14:textId="77777777" w:rsidR="006C72EE" w:rsidRDefault="006C72EE" w:rsidP="006C72EE">
      <w:pPr>
        <w:spacing w:line="480" w:lineRule="auto"/>
        <w:jc w:val="center"/>
        <w:rPr>
          <w:b/>
          <w:bCs/>
          <w:u w:val="single"/>
        </w:rPr>
      </w:pPr>
    </w:p>
    <w:p w14:paraId="375101A3" w14:textId="7832F24A" w:rsidR="006C72EE" w:rsidRDefault="00AE7F6B" w:rsidP="006C72EE">
      <w:pPr>
        <w:spacing w:line="480" w:lineRule="auto"/>
        <w:jc w:val="both"/>
      </w:pPr>
      <w:r>
        <w:t xml:space="preserve">The Plastic Regulatory authority is a public body that has been granted the power to </w:t>
      </w:r>
      <w:r w:rsidR="00006BFA">
        <w:t>make decisions</w:t>
      </w:r>
      <w:r>
        <w:t xml:space="preserve"> under the Environmental Protection Act </w:t>
      </w:r>
      <w:r w:rsidR="0095171F">
        <w:t xml:space="preserve">2019, </w:t>
      </w:r>
      <w:r>
        <w:t xml:space="preserve">by granting licences to allow plastic recycling plants within certain areas. </w:t>
      </w:r>
      <w:r w:rsidR="00790F7D">
        <w:t xml:space="preserve">As </w:t>
      </w:r>
      <w:r w:rsidR="00664F92">
        <w:t>the role of the plastic Regulatory Authority is to perform</w:t>
      </w:r>
      <w:r w:rsidR="00790F7D">
        <w:t xml:space="preserve"> a public function </w:t>
      </w:r>
      <w:r w:rsidR="00664F92">
        <w:t>this</w:t>
      </w:r>
      <w:r w:rsidR="00790F7D">
        <w:t xml:space="preserve"> would be considered </w:t>
      </w:r>
      <w:r w:rsidR="00664F92">
        <w:t xml:space="preserve">a </w:t>
      </w:r>
      <w:r w:rsidR="00790F7D">
        <w:t xml:space="preserve">public law </w:t>
      </w:r>
      <w:r w:rsidR="00664F92">
        <w:t>issue</w:t>
      </w:r>
      <w:r w:rsidR="00342037">
        <w:t xml:space="preserve">, due to this being a public law matter any issues providing there are grounds are to be litigated by judicial review (O’Reilly v </w:t>
      </w:r>
      <w:proofErr w:type="spellStart"/>
      <w:r w:rsidR="00342037">
        <w:t>Mackman</w:t>
      </w:r>
      <w:proofErr w:type="spellEnd"/>
      <w:r w:rsidR="00342037">
        <w:t xml:space="preserve"> (1983)). </w:t>
      </w:r>
    </w:p>
    <w:p w14:paraId="4D687B50" w14:textId="3C4F7EB5" w:rsidR="00342037" w:rsidRDefault="00342037" w:rsidP="006C72EE">
      <w:pPr>
        <w:spacing w:line="480" w:lineRule="auto"/>
        <w:jc w:val="both"/>
      </w:pPr>
    </w:p>
    <w:p w14:paraId="39B88F60" w14:textId="3E6B54C9" w:rsidR="006C72EE" w:rsidRDefault="00AE7F6B" w:rsidP="006C72EE">
      <w:pPr>
        <w:spacing w:line="480" w:lineRule="auto"/>
        <w:jc w:val="both"/>
      </w:pPr>
      <w:r>
        <w:t>As the Plastic Regulatory Authority is a public body working under delegated powers this provides grounds for judicial review (R v Panel on Takeovers and Mergers, ex parte Datafin plc (1987).</w:t>
      </w:r>
    </w:p>
    <w:p w14:paraId="78612273" w14:textId="77777777" w:rsidR="006C72EE" w:rsidRDefault="00AE7F6B" w:rsidP="006C72EE">
      <w:pPr>
        <w:spacing w:line="480" w:lineRule="auto"/>
        <w:jc w:val="both"/>
      </w:pPr>
      <w:r>
        <w:t xml:space="preserve">The decision by the plastic regulatory authority to deny Norton Solution Plc a licence is open to judicial review under s.31 Senior Courts Act 1981.  </w:t>
      </w:r>
    </w:p>
    <w:p w14:paraId="4173880B" w14:textId="77777777" w:rsidR="006C72EE" w:rsidRDefault="006C72EE" w:rsidP="006C72EE">
      <w:pPr>
        <w:spacing w:line="480" w:lineRule="auto"/>
        <w:jc w:val="both"/>
      </w:pPr>
    </w:p>
    <w:p w14:paraId="0836E7FD" w14:textId="77777777" w:rsidR="006C72EE" w:rsidRDefault="00AE7F6B" w:rsidP="006C72EE">
      <w:pPr>
        <w:spacing w:line="480" w:lineRule="auto"/>
        <w:jc w:val="both"/>
        <w:rPr>
          <w:b/>
          <w:bCs/>
          <w:u w:val="single"/>
        </w:rPr>
      </w:pPr>
      <w:r w:rsidRPr="00C17925">
        <w:rPr>
          <w:b/>
          <w:bCs/>
          <w:u w:val="single"/>
        </w:rPr>
        <w:t xml:space="preserve">Norton Solutions plc </w:t>
      </w:r>
    </w:p>
    <w:p w14:paraId="3D6E8E28" w14:textId="77777777" w:rsidR="006C72EE" w:rsidRDefault="006C72EE" w:rsidP="006C72EE">
      <w:pPr>
        <w:spacing w:line="480" w:lineRule="auto"/>
        <w:jc w:val="both"/>
        <w:rPr>
          <w:b/>
          <w:bCs/>
          <w:u w:val="single"/>
        </w:rPr>
      </w:pPr>
    </w:p>
    <w:p w14:paraId="555065AD" w14:textId="3D0F4457" w:rsidR="006C72EE" w:rsidRDefault="00AE7F6B" w:rsidP="006C72EE">
      <w:pPr>
        <w:spacing w:line="480" w:lineRule="auto"/>
        <w:jc w:val="both"/>
      </w:pPr>
      <w:r>
        <w:t>When considering the position of Norton Solutions plc, factors to consider are the fairness of the decision, the legality of allowing two licences in one area</w:t>
      </w:r>
      <w:r w:rsidR="00006BFA">
        <w:t>.</w:t>
      </w:r>
    </w:p>
    <w:p w14:paraId="08599330" w14:textId="17977470" w:rsidR="006C72EE" w:rsidRDefault="00AE7F6B" w:rsidP="006C72EE">
      <w:pPr>
        <w:spacing w:line="480" w:lineRule="auto"/>
        <w:jc w:val="both"/>
      </w:pPr>
      <w:r>
        <w:lastRenderedPageBreak/>
        <w:t xml:space="preserve">A case to consider in respect of procedural impropriety is the Council of Civil Service Unions v Minister for the civil service (1985). </w:t>
      </w:r>
      <w:r w:rsidR="004F44F5">
        <w:t xml:space="preserve">In this case there were a number of grounds to consider for review such as illegality, irrationality and procedural unfairness. </w:t>
      </w:r>
    </w:p>
    <w:p w14:paraId="6F705D25" w14:textId="5F2DE603" w:rsidR="006C72EE" w:rsidRDefault="00AE7F6B" w:rsidP="006C72EE">
      <w:pPr>
        <w:spacing w:line="480" w:lineRule="auto"/>
        <w:jc w:val="both"/>
      </w:pPr>
      <w:r>
        <w:t xml:space="preserve">Procedural impropriety is the grounds to question whether the correct procedure has been followed and has the deciding body taking all necessary steps before reaching their decision to grant the licence to Westcross plc by ensuring they can meet the demands of the local area and support the volume of plastic recycling needed (vale of Glamorgan Borough Council v Palmer and Bowles (1983).   </w:t>
      </w:r>
    </w:p>
    <w:p w14:paraId="7EDDF96C" w14:textId="2A2F9789" w:rsidR="00342037" w:rsidRDefault="002A6BA5" w:rsidP="006C72EE">
      <w:pPr>
        <w:spacing w:line="480" w:lineRule="auto"/>
        <w:jc w:val="both"/>
      </w:pPr>
      <w:r>
        <w:t>An important ground to consider would be illegality in terms of fettering discretion as it appears not all facts within this case have been considered as a one size fits all policy should not be applied to all applicants, this will allow the decision to be challenged on the grounds that the decision has been made unlawfully</w:t>
      </w:r>
      <w:r w:rsidR="00CB37E6">
        <w:t xml:space="preserve"> or alternatively can by challenged on the grounds that the process undertaken to grant the decision was unfair or unreasonable </w:t>
      </w:r>
      <w:r w:rsidR="0033363B">
        <w:t xml:space="preserve">a case to consider would be ‘British oxygen v Minister of Technology’ (1970).  </w:t>
      </w:r>
    </w:p>
    <w:p w14:paraId="70B523D9" w14:textId="7B6BB160" w:rsidR="001B6400" w:rsidRDefault="00800180" w:rsidP="006C72EE">
      <w:pPr>
        <w:spacing w:line="480" w:lineRule="auto"/>
        <w:jc w:val="both"/>
      </w:pPr>
      <w:r>
        <w:t xml:space="preserve">A second ground to consider would be irrationality, would granting only one license in one given area have the ability or capacity to improve recycling. </w:t>
      </w:r>
      <w:r w:rsidR="001B6400">
        <w:t xml:space="preserve">A term derived from a key case on this topic is ‘Wednesday unreasonableness’ meaning would another reasonable decision maker or authority have reached the same conclusion (‘Associated Provincial Picture Houses Ltd v Wednesbury Corporation’ (1970)). </w:t>
      </w:r>
    </w:p>
    <w:p w14:paraId="0C2B8152" w14:textId="77777777" w:rsidR="00342037" w:rsidRDefault="00342037" w:rsidP="006C72EE">
      <w:pPr>
        <w:spacing w:line="480" w:lineRule="auto"/>
        <w:jc w:val="both"/>
      </w:pPr>
    </w:p>
    <w:p w14:paraId="44B243EF" w14:textId="4D849965" w:rsidR="006C72EE" w:rsidRDefault="006C72EE" w:rsidP="006C72EE">
      <w:pPr>
        <w:spacing w:line="480" w:lineRule="auto"/>
        <w:jc w:val="both"/>
      </w:pPr>
    </w:p>
    <w:p w14:paraId="05E50C75" w14:textId="77777777" w:rsidR="006C72EE" w:rsidRDefault="006C72EE" w:rsidP="006C72EE">
      <w:pPr>
        <w:spacing w:line="480" w:lineRule="auto"/>
        <w:jc w:val="both"/>
      </w:pPr>
    </w:p>
    <w:p w14:paraId="3F1B95CF" w14:textId="77777777" w:rsidR="006C72EE" w:rsidRDefault="006C72EE" w:rsidP="006C72EE">
      <w:pPr>
        <w:spacing w:line="480" w:lineRule="auto"/>
        <w:jc w:val="both"/>
        <w:rPr>
          <w:b/>
          <w:bCs/>
          <w:u w:val="single"/>
        </w:rPr>
      </w:pPr>
    </w:p>
    <w:p w14:paraId="569A1696" w14:textId="77777777" w:rsidR="00A827CC" w:rsidRDefault="00A827CC" w:rsidP="006C72EE">
      <w:pPr>
        <w:spacing w:line="480" w:lineRule="auto"/>
        <w:jc w:val="both"/>
        <w:rPr>
          <w:b/>
          <w:bCs/>
          <w:u w:val="single"/>
        </w:rPr>
      </w:pPr>
    </w:p>
    <w:p w14:paraId="61EAF524" w14:textId="77777777" w:rsidR="00A827CC" w:rsidRDefault="00A827CC" w:rsidP="006C72EE">
      <w:pPr>
        <w:spacing w:line="480" w:lineRule="auto"/>
        <w:jc w:val="both"/>
        <w:rPr>
          <w:b/>
          <w:bCs/>
          <w:u w:val="single"/>
        </w:rPr>
      </w:pPr>
    </w:p>
    <w:p w14:paraId="204EED9C" w14:textId="70615AF2" w:rsidR="006C72EE" w:rsidRDefault="00AE7F6B" w:rsidP="006C72EE">
      <w:pPr>
        <w:spacing w:line="480" w:lineRule="auto"/>
        <w:jc w:val="both"/>
        <w:rPr>
          <w:b/>
          <w:bCs/>
          <w:u w:val="single"/>
        </w:rPr>
      </w:pPr>
      <w:r w:rsidRPr="004C60C1">
        <w:rPr>
          <w:b/>
          <w:bCs/>
          <w:u w:val="single"/>
        </w:rPr>
        <w:t>The Nature Reserve Trust (NRT).</w:t>
      </w:r>
    </w:p>
    <w:p w14:paraId="0EFE311F" w14:textId="77777777" w:rsidR="006C72EE" w:rsidRDefault="006C72EE" w:rsidP="006C72EE">
      <w:pPr>
        <w:spacing w:line="480" w:lineRule="auto"/>
        <w:jc w:val="both"/>
        <w:rPr>
          <w:b/>
          <w:bCs/>
          <w:u w:val="single"/>
        </w:rPr>
      </w:pPr>
    </w:p>
    <w:p w14:paraId="266A9CFF" w14:textId="78124955" w:rsidR="00F6370B" w:rsidRDefault="00AE7F6B" w:rsidP="006C72EE">
      <w:pPr>
        <w:spacing w:line="480" w:lineRule="auto"/>
        <w:jc w:val="both"/>
      </w:pPr>
      <w:r>
        <w:t xml:space="preserve">Under the terms of Locus standi thus giving the Nature Reserve permission of the court noting the existence of prima facie due to the nature reserve having sufficient interest in the decision made to grant Lakerec Ltd a licence this would allow grounds to put forward a claim for Judicial review (R v Inland Revenue, ex parte National Federation of Self-employed and Small Business (1982). </w:t>
      </w:r>
    </w:p>
    <w:p w14:paraId="70943CAF" w14:textId="77777777" w:rsidR="00F6370B" w:rsidRDefault="00F6370B" w:rsidP="006C72EE">
      <w:pPr>
        <w:spacing w:line="480" w:lineRule="auto"/>
        <w:jc w:val="both"/>
      </w:pPr>
    </w:p>
    <w:p w14:paraId="48AF359F" w14:textId="76A978F7" w:rsidR="006C72EE" w:rsidRDefault="00F6370B" w:rsidP="006C72EE">
      <w:pPr>
        <w:spacing w:line="480" w:lineRule="auto"/>
        <w:jc w:val="both"/>
      </w:pPr>
      <w:r>
        <w:t xml:space="preserve">As a pressure group the Nature Reserve Trust are in a position where they aim to influence the government or a political </w:t>
      </w:r>
      <w:r w:rsidR="00A0722C">
        <w:t>party’s decision</w:t>
      </w:r>
      <w:r>
        <w:t xml:space="preserve">, a case to consider would be ‘R v Secretary of State for Foreign Affairs ex p. World Development Movement ltd (1995). </w:t>
      </w:r>
    </w:p>
    <w:p w14:paraId="78232A14" w14:textId="77777777" w:rsidR="00F6370B" w:rsidRDefault="00F6370B" w:rsidP="006C72EE">
      <w:pPr>
        <w:spacing w:line="480" w:lineRule="auto"/>
        <w:jc w:val="both"/>
      </w:pPr>
    </w:p>
    <w:p w14:paraId="70DDADD2" w14:textId="7DD0C8CC" w:rsidR="00C374C2" w:rsidRDefault="00AE7F6B" w:rsidP="006C72EE">
      <w:pPr>
        <w:spacing w:line="480" w:lineRule="auto"/>
        <w:jc w:val="both"/>
      </w:pPr>
      <w:r>
        <w:t>Considering LakeRec Ltd the correct procedure or lack thereof undertaken to grant a licence for the second recycling plant, as it is noted that the proper procedure was not followed. The legislation requires that before a licence being granted they must display the application on the proposed site, in a local newspaper, and online as this procedure was not followed this is grounds for procedural impropriety. The Environmental protection Act</w:t>
      </w:r>
      <w:r w:rsidR="0095171F">
        <w:t xml:space="preserve"> 2019</w:t>
      </w:r>
      <w:r>
        <w:t xml:space="preserve"> </w:t>
      </w:r>
      <w:r w:rsidR="00A14007">
        <w:t xml:space="preserve">created </w:t>
      </w:r>
      <w:r>
        <w:t xml:space="preserve">the Plastic Regulatory Authority to </w:t>
      </w:r>
      <w:r w:rsidR="00A14007">
        <w:t>regulate the number of</w:t>
      </w:r>
      <w:r>
        <w:t xml:space="preserve"> licence</w:t>
      </w:r>
      <w:r w:rsidR="00A14007">
        <w:t>s</w:t>
      </w:r>
      <w:r>
        <w:t xml:space="preserve"> </w:t>
      </w:r>
      <w:r w:rsidR="00A14007">
        <w:t xml:space="preserve">granted to </w:t>
      </w:r>
      <w:r>
        <w:t>recycling plant</w:t>
      </w:r>
      <w:r w:rsidR="00A14007">
        <w:t>s</w:t>
      </w:r>
      <w:r>
        <w:t xml:space="preserve"> within </w:t>
      </w:r>
      <w:r w:rsidR="00A14007">
        <w:t xml:space="preserve">one given </w:t>
      </w:r>
      <w:r>
        <w:t>area</w:t>
      </w:r>
      <w:r w:rsidR="00A14007">
        <w:t xml:space="preserve"> and it is a directory requirement that these procedures are followed</w:t>
      </w:r>
      <w:r>
        <w:t xml:space="preserve">. </w:t>
      </w:r>
    </w:p>
    <w:p w14:paraId="6922F70A" w14:textId="77777777" w:rsidR="00C374C2" w:rsidRDefault="00C374C2" w:rsidP="006C72EE">
      <w:pPr>
        <w:spacing w:line="480" w:lineRule="auto"/>
        <w:jc w:val="both"/>
      </w:pPr>
    </w:p>
    <w:p w14:paraId="04A8F9EB" w14:textId="7D6C2A92" w:rsidR="006C72EE" w:rsidRDefault="00AE7F6B" w:rsidP="006C72EE">
      <w:pPr>
        <w:spacing w:line="480" w:lineRule="auto"/>
        <w:jc w:val="both"/>
      </w:pPr>
      <w:r>
        <w:t xml:space="preserve">As already stipulated </w:t>
      </w:r>
      <w:proofErr w:type="spellStart"/>
      <w:r>
        <w:t>Westcross</w:t>
      </w:r>
      <w:proofErr w:type="spellEnd"/>
      <w:r>
        <w:t xml:space="preserve"> plc has been granted the licence for the Swansea area this does not give the Plastic Regulatory Authority the delegative powers to grant a secondary licence, in this case, they have exceeded their powers making this decision Ultra vires (R v </w:t>
      </w:r>
      <w:r>
        <w:lastRenderedPageBreak/>
        <w:t xml:space="preserve">Richmond upon Thames London Borough Council, ex parte Mcarthy and Stone (Developments) Ltd (1992). The Plastic Regulatory Authority has justified the decision stating that it would help economic growth which could be suggested as bias (Dimes v Grand Junction Canal (1852) it is also not within the delegated powers of the Plastic Regulatory  Authority to pass decisions on the economic position of the area in doing this they have again exceeded their powers in passing judgement on the depravity of the area by making unlawful decisions to improve the economic standing of Swansea considered as illegality Ulterior purpose. </w:t>
      </w:r>
    </w:p>
    <w:p w14:paraId="61886816" w14:textId="77777777" w:rsidR="006C72EE" w:rsidRDefault="006C72EE" w:rsidP="006C72EE">
      <w:pPr>
        <w:spacing w:line="480" w:lineRule="auto"/>
        <w:jc w:val="both"/>
      </w:pPr>
    </w:p>
    <w:p w14:paraId="490E0B47" w14:textId="2A5A1C2C" w:rsidR="006C72EE" w:rsidRDefault="00AE7F6B" w:rsidP="006C72EE">
      <w:pPr>
        <w:spacing w:line="480" w:lineRule="auto"/>
        <w:jc w:val="both"/>
      </w:pPr>
      <w:r>
        <w:t>It is important to consider the time frame</w:t>
      </w:r>
      <w:r w:rsidR="00723389">
        <w:t>. It is required that a claim in any event is filed within three months after the grounds to make the claim first arose, so</w:t>
      </w:r>
      <w:r>
        <w:t xml:space="preserve"> as the licence for lakeRec Ltd was granted three months ago this would suggest that the case for judicial review is time sensitive under the Civil Procedure Rule R.54. </w:t>
      </w:r>
      <w:r w:rsidR="00723389">
        <w:t xml:space="preserve">failure to bring the case forward </w:t>
      </w:r>
      <w:proofErr w:type="gramStart"/>
      <w:r w:rsidR="00723389">
        <w:t>promptly  may</w:t>
      </w:r>
      <w:proofErr w:type="gramEnd"/>
      <w:r w:rsidR="00723389">
        <w:t xml:space="preserve"> result in the refusal of judicial review. </w:t>
      </w:r>
    </w:p>
    <w:p w14:paraId="3AD3833A" w14:textId="77777777" w:rsidR="006C72EE" w:rsidRDefault="00AE7F6B" w:rsidP="006C72EE">
      <w:pPr>
        <w:spacing w:line="480" w:lineRule="auto"/>
        <w:jc w:val="both"/>
      </w:pPr>
      <w:r>
        <w:t xml:space="preserve">However, as the Nature Reserve Act had only become aware of the licence granted to LakeRec Ltd a few days ago (this being three months after the licence has been granted), </w:t>
      </w:r>
    </w:p>
    <w:p w14:paraId="5F5E1924" w14:textId="6D3956C4" w:rsidR="006C72EE" w:rsidRDefault="00AE7F6B" w:rsidP="006C72EE">
      <w:pPr>
        <w:spacing w:line="480" w:lineRule="auto"/>
        <w:jc w:val="both"/>
      </w:pPr>
      <w:r>
        <w:t>Providing the claim is brought forward promptly upon the claimant becoming aware of grounds for a challenge under the Civil Procedure Rule R.3(1) this could allow an extension to be granted for bringing the claim forward as lack of knowledge may be grounds for a claim outside of the three-month time frame</w:t>
      </w:r>
      <w:r w:rsidR="00723389">
        <w:t xml:space="preserve"> providing there is a good reason for the delay and that leave to apply out of time is granted (R v Stratford-on Avon District Council, ex p Jackson (1985))</w:t>
      </w:r>
      <w:r>
        <w:t xml:space="preserve">.   </w:t>
      </w:r>
    </w:p>
    <w:p w14:paraId="7FB3E690" w14:textId="77777777" w:rsidR="00D5042B" w:rsidRDefault="00D5042B" w:rsidP="006C72EE">
      <w:pPr>
        <w:spacing w:line="480" w:lineRule="auto"/>
        <w:jc w:val="both"/>
        <w:rPr>
          <w:b/>
          <w:bCs/>
          <w:u w:val="single"/>
        </w:rPr>
      </w:pPr>
    </w:p>
    <w:p w14:paraId="296ECC9C" w14:textId="1F1B91C5" w:rsidR="006C72EE" w:rsidRDefault="00AE7F6B" w:rsidP="006C72EE">
      <w:pPr>
        <w:spacing w:line="480" w:lineRule="auto"/>
        <w:jc w:val="both"/>
        <w:rPr>
          <w:b/>
          <w:bCs/>
          <w:u w:val="single"/>
        </w:rPr>
      </w:pPr>
      <w:r>
        <w:rPr>
          <w:b/>
          <w:bCs/>
          <w:u w:val="single"/>
        </w:rPr>
        <w:t>Remedy</w:t>
      </w:r>
    </w:p>
    <w:p w14:paraId="5387559C" w14:textId="480C2FD2" w:rsidR="007C49D5" w:rsidRDefault="00AE7F6B" w:rsidP="00D5042B">
      <w:pPr>
        <w:spacing w:line="480" w:lineRule="auto"/>
        <w:jc w:val="both"/>
      </w:pPr>
      <w:r>
        <w:t>Each claimant should apply for judicial review and a quashing order.</w:t>
      </w:r>
    </w:p>
    <w:p w14:paraId="087BC099" w14:textId="50CDDB8B" w:rsidR="000043F3" w:rsidRDefault="000043F3" w:rsidP="009200C4">
      <w:pPr>
        <w:jc w:val="both"/>
      </w:pPr>
    </w:p>
    <w:p w14:paraId="046C31F3" w14:textId="45C4F192" w:rsidR="000043F3" w:rsidRDefault="000043F3" w:rsidP="009200C4">
      <w:pPr>
        <w:jc w:val="both"/>
      </w:pPr>
    </w:p>
    <w:p w14:paraId="2F745405" w14:textId="77777777" w:rsidR="000043F3" w:rsidRDefault="000043F3" w:rsidP="009200C4">
      <w:pPr>
        <w:jc w:val="both"/>
      </w:pPr>
    </w:p>
    <w:p w14:paraId="096B301F" w14:textId="77777777" w:rsidR="000043F3" w:rsidRDefault="000043F3" w:rsidP="009200C4">
      <w:pPr>
        <w:jc w:val="both"/>
      </w:pPr>
    </w:p>
    <w:p w14:paraId="485CE878" w14:textId="2F4F3064" w:rsidR="001B2AFC" w:rsidRDefault="001B2AFC" w:rsidP="009200C4">
      <w:pPr>
        <w:jc w:val="both"/>
      </w:pPr>
    </w:p>
    <w:p w14:paraId="0C003C48" w14:textId="77777777" w:rsidR="001B2AFC" w:rsidRPr="009200C4" w:rsidRDefault="001B2AFC" w:rsidP="009200C4">
      <w:pPr>
        <w:jc w:val="both"/>
      </w:pPr>
    </w:p>
    <w:sectPr w:rsidR="001B2AFC" w:rsidRPr="009200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67E"/>
    <w:rsid w:val="000043F3"/>
    <w:rsid w:val="00006BFA"/>
    <w:rsid w:val="00055DEC"/>
    <w:rsid w:val="00057C2D"/>
    <w:rsid w:val="000814C2"/>
    <w:rsid w:val="000908F3"/>
    <w:rsid w:val="000D07D9"/>
    <w:rsid w:val="000F3B3A"/>
    <w:rsid w:val="001260F7"/>
    <w:rsid w:val="001910BC"/>
    <w:rsid w:val="001B1732"/>
    <w:rsid w:val="001B2AFC"/>
    <w:rsid w:val="001B6400"/>
    <w:rsid w:val="001C2CC7"/>
    <w:rsid w:val="002035DE"/>
    <w:rsid w:val="00280135"/>
    <w:rsid w:val="0028106F"/>
    <w:rsid w:val="00296F4E"/>
    <w:rsid w:val="002A6BA5"/>
    <w:rsid w:val="0033363B"/>
    <w:rsid w:val="00337E16"/>
    <w:rsid w:val="00342037"/>
    <w:rsid w:val="003B599D"/>
    <w:rsid w:val="003F262B"/>
    <w:rsid w:val="00416360"/>
    <w:rsid w:val="0044556F"/>
    <w:rsid w:val="00466714"/>
    <w:rsid w:val="004707A8"/>
    <w:rsid w:val="0049013B"/>
    <w:rsid w:val="004948E8"/>
    <w:rsid w:val="004C60C1"/>
    <w:rsid w:val="004F44F5"/>
    <w:rsid w:val="00642037"/>
    <w:rsid w:val="006455DB"/>
    <w:rsid w:val="006531BA"/>
    <w:rsid w:val="00664F92"/>
    <w:rsid w:val="00683038"/>
    <w:rsid w:val="006A745F"/>
    <w:rsid w:val="006C72EE"/>
    <w:rsid w:val="00723389"/>
    <w:rsid w:val="00736996"/>
    <w:rsid w:val="00752CE7"/>
    <w:rsid w:val="00755706"/>
    <w:rsid w:val="00756965"/>
    <w:rsid w:val="007766CA"/>
    <w:rsid w:val="00790F7D"/>
    <w:rsid w:val="007A0823"/>
    <w:rsid w:val="007B5CBC"/>
    <w:rsid w:val="007C49D5"/>
    <w:rsid w:val="007D0420"/>
    <w:rsid w:val="007F067E"/>
    <w:rsid w:val="007F49E5"/>
    <w:rsid w:val="00800180"/>
    <w:rsid w:val="008341FF"/>
    <w:rsid w:val="009200C4"/>
    <w:rsid w:val="00941B01"/>
    <w:rsid w:val="0095171F"/>
    <w:rsid w:val="009538CC"/>
    <w:rsid w:val="00996401"/>
    <w:rsid w:val="009A1749"/>
    <w:rsid w:val="009D1BB2"/>
    <w:rsid w:val="009E16D6"/>
    <w:rsid w:val="00A0722C"/>
    <w:rsid w:val="00A13AF9"/>
    <w:rsid w:val="00A14007"/>
    <w:rsid w:val="00A2033E"/>
    <w:rsid w:val="00A20FB0"/>
    <w:rsid w:val="00A315FC"/>
    <w:rsid w:val="00A3186F"/>
    <w:rsid w:val="00A5473F"/>
    <w:rsid w:val="00A70ECC"/>
    <w:rsid w:val="00A827CC"/>
    <w:rsid w:val="00AB3E27"/>
    <w:rsid w:val="00AD4E33"/>
    <w:rsid w:val="00AE7F6B"/>
    <w:rsid w:val="00AF1164"/>
    <w:rsid w:val="00B054BD"/>
    <w:rsid w:val="00B30ED6"/>
    <w:rsid w:val="00B60D4E"/>
    <w:rsid w:val="00B95F26"/>
    <w:rsid w:val="00B9650E"/>
    <w:rsid w:val="00BC103D"/>
    <w:rsid w:val="00BC6586"/>
    <w:rsid w:val="00BE3E8B"/>
    <w:rsid w:val="00BE751B"/>
    <w:rsid w:val="00C01FA6"/>
    <w:rsid w:val="00C0469E"/>
    <w:rsid w:val="00C17925"/>
    <w:rsid w:val="00C20287"/>
    <w:rsid w:val="00C374C2"/>
    <w:rsid w:val="00C44CEC"/>
    <w:rsid w:val="00CB37E6"/>
    <w:rsid w:val="00CD72EB"/>
    <w:rsid w:val="00D4096A"/>
    <w:rsid w:val="00D418DB"/>
    <w:rsid w:val="00D502D7"/>
    <w:rsid w:val="00D5042B"/>
    <w:rsid w:val="00E43515"/>
    <w:rsid w:val="00E44931"/>
    <w:rsid w:val="00F51603"/>
    <w:rsid w:val="00F6370B"/>
    <w:rsid w:val="00F73E7F"/>
    <w:rsid w:val="00F8198C"/>
    <w:rsid w:val="00FD1A61"/>
    <w:rsid w:val="00FE2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9410DB"/>
  <w15:chartTrackingRefBased/>
  <w15:docId w15:val="{F26EBF7F-EB35-A04B-BBF6-2DFD8BF8F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49E5"/>
    <w:rPr>
      <w:color w:val="0563C1" w:themeColor="hyperlink"/>
      <w:u w:val="single"/>
    </w:rPr>
  </w:style>
  <w:style w:type="character" w:customStyle="1" w:styleId="UnresolvedMention1">
    <w:name w:val="Unresolved Mention1"/>
    <w:basedOn w:val="DefaultParagraphFont"/>
    <w:uiPriority w:val="99"/>
    <w:semiHidden/>
    <w:unhideWhenUsed/>
    <w:rsid w:val="007F49E5"/>
    <w:rPr>
      <w:color w:val="605E5C"/>
      <w:shd w:val="clear" w:color="auto" w:fill="E1DFDD"/>
    </w:rPr>
  </w:style>
  <w:style w:type="paragraph" w:styleId="BalloonText">
    <w:name w:val="Balloon Text"/>
    <w:basedOn w:val="Normal"/>
    <w:link w:val="BalloonTextChar"/>
    <w:uiPriority w:val="99"/>
    <w:semiHidden/>
    <w:unhideWhenUsed/>
    <w:rsid w:val="009200C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200C4"/>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296F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9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remecourt.uk/cases/docs/uksc-2017-0175-judgment.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rsf.org/en/presentation" TargetMode="External"/><Relationship Id="rId12" Type="http://schemas.openxmlformats.org/officeDocument/2006/relationships/hyperlink" Target="https://www.legislation.gov.uk/ukpga/1998/42/schedule/1/part/I/chapter/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media/2002/mar/30/pressandpublishing.football1" TargetMode="External"/><Relationship Id="rId11" Type="http://schemas.openxmlformats.org/officeDocument/2006/relationships/hyperlink" Target="https://www.legislation.gov.uk/ukpga/2013/26" TargetMode="External"/><Relationship Id="rId5" Type="http://schemas.openxmlformats.org/officeDocument/2006/relationships/hyperlink" Target="https://www.telegraph.co.uk/news/2018/07/18/privacy-vs-freedom-expression-law-has-developed/" TargetMode="External"/><Relationship Id="rId10" Type="http://schemas.openxmlformats.org/officeDocument/2006/relationships/hyperlink" Target="https://services.parliament.uk/bills/2012-13/defamation.html" TargetMode="External"/><Relationship Id="rId4" Type="http://schemas.openxmlformats.org/officeDocument/2006/relationships/hyperlink" Target="https://uk.westlaw.com/Document/ID01CBE80933511E190259E5E99703F3A/View/FullText.html?navigationPath=Search%2Fv1%2Fresults%2Fnavigation%2Fi0ad74014000001765310020b92611be9%3FNav%3DUK-JOURNALS-PUBLICATION%26fragmentIdentifier%3DID01CBE80933511E190259E5E99703F3A%26parentRank%3D0%26startIndex%3D1%26contextData%3D%2528sc.Default%2529%26transitionType%3DSearchItem&amp;listSource=Search&amp;listPageSource=afaedc0160e6365f1ce00c6031ee41bf&amp;list=UK-JOURNALS-PUBLICATION&amp;rank=1&amp;sessionScopeId=3d10dc3d6522b5d2ca6770736fe0e11780d8d445c7d12eaeea64e6427aa2b3ab&amp;originationContext=Search%20Result&amp;transitionType=SearchItem&amp;contextData=(sc.Default)&amp;comp=wluk&amp;navId=063CA8EDFB3F8A59B2FF5FE5B23DBE06" TargetMode="External"/><Relationship Id="rId9" Type="http://schemas.openxmlformats.org/officeDocument/2006/relationships/hyperlink" Target="https://www.legislation.gov.uk/ukpga/1981/49/section/1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410</TotalTime>
  <Pages>11</Pages>
  <Words>2452</Words>
  <Characters>13981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Anne Kan (2017444)</dc:creator>
  <cp:lastModifiedBy>Teresa Anne Kan (2017444)</cp:lastModifiedBy>
  <cp:revision>32</cp:revision>
  <cp:lastPrinted>2020-12-29T18:10:00Z</cp:lastPrinted>
  <dcterms:created xsi:type="dcterms:W3CDTF">2020-12-13T17:07:00Z</dcterms:created>
  <dcterms:modified xsi:type="dcterms:W3CDTF">2021-01-07T18:11:00Z</dcterms:modified>
</cp:coreProperties>
</file>