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7AAE" w:rsidRPr="00243C13" w:rsidRDefault="00040322" w:rsidP="00EF7AAE">
      <w:pPr>
        <w:pStyle w:val="paragraph"/>
        <w:jc w:val="center"/>
        <w:textAlignment w:val="baseline"/>
        <w:rPr>
          <w:sz w:val="22"/>
          <w:u w:val="single"/>
          <w:lang w:val="en-US"/>
        </w:rPr>
      </w:pPr>
      <w:r>
        <w:rPr>
          <w:rStyle w:val="normaltextrun"/>
          <w:b/>
          <w:bCs/>
          <w:sz w:val="32"/>
          <w:szCs w:val="36"/>
          <w:u w:val="single"/>
          <w:lang w:val="en-US"/>
        </w:rPr>
        <w:t>FINANCIAL</w:t>
      </w:r>
      <w:r w:rsidR="00EF7AAE" w:rsidRPr="00243C13">
        <w:rPr>
          <w:rStyle w:val="normaltextrun"/>
          <w:b/>
          <w:bCs/>
          <w:sz w:val="32"/>
          <w:szCs w:val="36"/>
          <w:u w:val="single"/>
          <w:lang w:val="en-US"/>
        </w:rPr>
        <w:t xml:space="preserve"> MANAGEMENT – ASSESSMENT </w:t>
      </w:r>
      <w:r w:rsidR="00E5427F">
        <w:rPr>
          <w:rStyle w:val="normaltextrun"/>
          <w:b/>
          <w:bCs/>
          <w:sz w:val="32"/>
          <w:szCs w:val="36"/>
          <w:u w:val="single"/>
          <w:lang w:val="en-US"/>
        </w:rPr>
        <w:t>1</w:t>
      </w:r>
    </w:p>
    <w:p w:rsidR="00EF7AAE" w:rsidRDefault="00EF7AAE" w:rsidP="00EF7AAE">
      <w:pPr>
        <w:pStyle w:val="paragraph"/>
        <w:jc w:val="right"/>
        <w:textAlignment w:val="baseline"/>
        <w:rPr>
          <w:lang w:val="en-US"/>
        </w:rPr>
      </w:pPr>
      <w:r>
        <w:rPr>
          <w:rStyle w:val="eop"/>
          <w:lang w:val="en-US"/>
        </w:rPr>
        <w:t> </w:t>
      </w:r>
    </w:p>
    <w:p w:rsidR="00EF7AAE" w:rsidRDefault="00EF7AAE" w:rsidP="00EF7AAE">
      <w:pPr>
        <w:pStyle w:val="paragraph"/>
        <w:jc w:val="right"/>
        <w:textAlignment w:val="baseline"/>
        <w:rPr>
          <w:lang w:val="en-US"/>
        </w:rPr>
      </w:pPr>
      <w:r>
        <w:rPr>
          <w:rStyle w:val="eop"/>
          <w:lang w:val="en-US"/>
        </w:rPr>
        <w:t> </w:t>
      </w:r>
    </w:p>
    <w:p w:rsidR="00EF7AAE" w:rsidRDefault="00EF7AAE" w:rsidP="00EF7AAE">
      <w:pPr>
        <w:pStyle w:val="paragraph"/>
        <w:jc w:val="right"/>
        <w:textAlignment w:val="baseline"/>
        <w:rPr>
          <w:lang w:val="en-US"/>
        </w:rPr>
      </w:pPr>
      <w:r>
        <w:rPr>
          <w:rStyle w:val="eop"/>
          <w:lang w:val="en-US"/>
        </w:rPr>
        <w:t> </w:t>
      </w:r>
    </w:p>
    <w:p w:rsidR="00EF7AAE" w:rsidRDefault="00EF7AAE" w:rsidP="00EF7AAE">
      <w:pPr>
        <w:pStyle w:val="paragraph"/>
        <w:jc w:val="right"/>
        <w:textAlignment w:val="baseline"/>
        <w:rPr>
          <w:rStyle w:val="eop"/>
          <w:lang w:val="en-US"/>
        </w:rPr>
      </w:pPr>
    </w:p>
    <w:p w:rsidR="00EF7AAE" w:rsidRDefault="00EF7AAE" w:rsidP="00EF7AAE">
      <w:pPr>
        <w:pStyle w:val="paragraph"/>
        <w:jc w:val="right"/>
        <w:textAlignment w:val="baseline"/>
        <w:rPr>
          <w:rStyle w:val="eop"/>
          <w:lang w:val="en-US"/>
        </w:rPr>
      </w:pPr>
    </w:p>
    <w:p w:rsidR="00EF7AAE" w:rsidRDefault="00EF7AAE" w:rsidP="00EF7AAE">
      <w:pPr>
        <w:pStyle w:val="paragraph"/>
        <w:jc w:val="right"/>
        <w:textAlignment w:val="baseline"/>
        <w:rPr>
          <w:rStyle w:val="eop"/>
          <w:lang w:val="en-US"/>
        </w:rPr>
      </w:pPr>
    </w:p>
    <w:p w:rsidR="00EF7AAE" w:rsidRDefault="00EF7AAE" w:rsidP="00EF7AAE">
      <w:pPr>
        <w:pStyle w:val="paragraph"/>
        <w:jc w:val="right"/>
        <w:textAlignment w:val="baseline"/>
        <w:rPr>
          <w:rStyle w:val="eop"/>
          <w:lang w:val="en-US"/>
        </w:rPr>
      </w:pPr>
    </w:p>
    <w:p w:rsidR="00EF7AAE" w:rsidRDefault="00EF7AAE" w:rsidP="00EF7AAE">
      <w:pPr>
        <w:pStyle w:val="paragraph"/>
        <w:jc w:val="right"/>
        <w:textAlignment w:val="baseline"/>
        <w:rPr>
          <w:rStyle w:val="eop"/>
          <w:lang w:val="en-US"/>
        </w:rPr>
      </w:pPr>
    </w:p>
    <w:p w:rsidR="00EF7AAE" w:rsidRDefault="00EF7AAE" w:rsidP="00EF7AAE">
      <w:pPr>
        <w:pStyle w:val="paragraph"/>
        <w:jc w:val="right"/>
        <w:textAlignment w:val="baseline"/>
        <w:rPr>
          <w:rStyle w:val="eop"/>
          <w:lang w:val="en-US"/>
        </w:rPr>
      </w:pPr>
    </w:p>
    <w:p w:rsidR="00EF7AAE" w:rsidRDefault="00EF7AAE" w:rsidP="00EF7AAE">
      <w:pPr>
        <w:pStyle w:val="paragraph"/>
        <w:jc w:val="right"/>
        <w:textAlignment w:val="baseline"/>
        <w:rPr>
          <w:rStyle w:val="eop"/>
          <w:lang w:val="en-US"/>
        </w:rPr>
      </w:pPr>
    </w:p>
    <w:p w:rsidR="00EF7AAE" w:rsidRDefault="00EF7AAE" w:rsidP="00EF7AAE">
      <w:pPr>
        <w:pStyle w:val="paragraph"/>
        <w:jc w:val="right"/>
        <w:textAlignment w:val="baseline"/>
        <w:rPr>
          <w:rStyle w:val="eop"/>
          <w:lang w:val="en-US"/>
        </w:rPr>
      </w:pPr>
    </w:p>
    <w:p w:rsidR="00EF7AAE" w:rsidRDefault="00EF7AAE" w:rsidP="00EF7AAE">
      <w:pPr>
        <w:pStyle w:val="paragraph"/>
        <w:jc w:val="right"/>
        <w:textAlignment w:val="baseline"/>
        <w:rPr>
          <w:rStyle w:val="eop"/>
          <w:lang w:val="en-US"/>
        </w:rPr>
      </w:pPr>
    </w:p>
    <w:p w:rsidR="00EF7AAE" w:rsidRDefault="00EF7AAE" w:rsidP="00EF7AAE">
      <w:pPr>
        <w:pStyle w:val="paragraph"/>
        <w:jc w:val="right"/>
        <w:textAlignment w:val="baseline"/>
        <w:rPr>
          <w:rStyle w:val="eop"/>
          <w:lang w:val="en-US"/>
        </w:rPr>
      </w:pPr>
    </w:p>
    <w:p w:rsidR="00E5427F" w:rsidRDefault="00E5427F" w:rsidP="00EF7AAE">
      <w:pPr>
        <w:pStyle w:val="paragraph"/>
        <w:jc w:val="right"/>
        <w:textAlignment w:val="baseline"/>
        <w:rPr>
          <w:rStyle w:val="eop"/>
          <w:lang w:val="en-US"/>
        </w:rPr>
      </w:pPr>
    </w:p>
    <w:p w:rsidR="00E5427F" w:rsidRDefault="00E5427F" w:rsidP="00EF7AAE">
      <w:pPr>
        <w:pStyle w:val="paragraph"/>
        <w:jc w:val="right"/>
        <w:textAlignment w:val="baseline"/>
        <w:rPr>
          <w:rStyle w:val="eop"/>
          <w:lang w:val="en-US"/>
        </w:rPr>
      </w:pPr>
    </w:p>
    <w:p w:rsidR="00E5427F" w:rsidRDefault="00E5427F" w:rsidP="00EF7AAE">
      <w:pPr>
        <w:pStyle w:val="paragraph"/>
        <w:jc w:val="right"/>
        <w:textAlignment w:val="baseline"/>
        <w:rPr>
          <w:rStyle w:val="eop"/>
          <w:lang w:val="en-US"/>
        </w:rPr>
      </w:pPr>
    </w:p>
    <w:p w:rsidR="00EF7AAE" w:rsidRDefault="00EF7AAE" w:rsidP="00EF7AAE">
      <w:pPr>
        <w:pStyle w:val="paragraph"/>
        <w:jc w:val="right"/>
        <w:textAlignment w:val="baseline"/>
        <w:rPr>
          <w:lang w:val="en-US"/>
        </w:rPr>
      </w:pPr>
      <w:r>
        <w:rPr>
          <w:rStyle w:val="eop"/>
          <w:lang w:val="en-US"/>
        </w:rPr>
        <w:t> </w:t>
      </w:r>
    </w:p>
    <w:p w:rsidR="00EF7AAE" w:rsidRDefault="00EF7AAE" w:rsidP="00EF7AAE">
      <w:pPr>
        <w:pStyle w:val="paragraph"/>
        <w:jc w:val="right"/>
        <w:textAlignment w:val="baseline"/>
        <w:rPr>
          <w:lang w:val="en-US"/>
        </w:rPr>
      </w:pPr>
      <w:r>
        <w:rPr>
          <w:rStyle w:val="eop"/>
          <w:lang w:val="en-US"/>
        </w:rPr>
        <w:t> </w:t>
      </w:r>
    </w:p>
    <w:p w:rsidR="00EF7AAE" w:rsidRDefault="00EF7AAE" w:rsidP="00EF7AAE">
      <w:pPr>
        <w:pStyle w:val="paragraph"/>
        <w:jc w:val="right"/>
        <w:textAlignment w:val="baseline"/>
        <w:rPr>
          <w:lang w:val="en-US"/>
        </w:rPr>
      </w:pPr>
      <w:r>
        <w:rPr>
          <w:rStyle w:val="eop"/>
          <w:lang w:val="en-US"/>
        </w:rPr>
        <w:t> </w:t>
      </w:r>
    </w:p>
    <w:p w:rsidR="00EF7AAE" w:rsidRDefault="00EF7AAE" w:rsidP="00EF7AAE">
      <w:pPr>
        <w:pStyle w:val="paragraph"/>
        <w:jc w:val="right"/>
        <w:textAlignment w:val="baseline"/>
        <w:rPr>
          <w:lang w:val="en-US"/>
        </w:rPr>
      </w:pPr>
      <w:r>
        <w:rPr>
          <w:rStyle w:val="normaltextrun"/>
          <w:b/>
          <w:bCs/>
          <w:lang w:val="en-US"/>
        </w:rPr>
        <w:t>STUDENT NAME:</w:t>
      </w:r>
      <w:r>
        <w:rPr>
          <w:rStyle w:val="normaltextrun"/>
          <w:rFonts w:ascii="Arial" w:hAnsi="Arial" w:cs="Arial"/>
          <w:color w:val="000000"/>
          <w:sz w:val="19"/>
          <w:szCs w:val="19"/>
          <w:shd w:val="clear" w:color="auto" w:fill="FFFFFF"/>
          <w:lang w:val="en-US"/>
        </w:rPr>
        <w:t xml:space="preserve"> </w:t>
      </w:r>
      <w:r>
        <w:rPr>
          <w:rStyle w:val="normaltextrun"/>
          <w:b/>
          <w:bCs/>
          <w:lang w:val="en-US"/>
        </w:rPr>
        <w:t>JAINULABEDIN</w:t>
      </w:r>
      <w:r>
        <w:rPr>
          <w:rStyle w:val="normaltextrun"/>
          <w:rFonts w:ascii="Arial" w:hAnsi="Arial" w:cs="Arial"/>
          <w:color w:val="000000"/>
          <w:sz w:val="19"/>
          <w:szCs w:val="19"/>
          <w:shd w:val="clear" w:color="auto" w:fill="FFFFFF"/>
          <w:lang w:val="en-US"/>
        </w:rPr>
        <w:t xml:space="preserve"> </w:t>
      </w:r>
      <w:r>
        <w:rPr>
          <w:rStyle w:val="normaltextrun"/>
          <w:b/>
          <w:bCs/>
          <w:lang w:val="en-US"/>
        </w:rPr>
        <w:t>BAX</w:t>
      </w:r>
      <w:r>
        <w:rPr>
          <w:rStyle w:val="eop"/>
          <w:lang w:val="en-US"/>
        </w:rPr>
        <w:t> </w:t>
      </w:r>
    </w:p>
    <w:p w:rsidR="00EF7AAE" w:rsidRDefault="00EF7AAE" w:rsidP="00EF7AAE">
      <w:pPr>
        <w:pStyle w:val="paragraph"/>
        <w:jc w:val="right"/>
        <w:textAlignment w:val="baseline"/>
        <w:rPr>
          <w:lang w:val="en-US"/>
        </w:rPr>
      </w:pPr>
      <w:r>
        <w:rPr>
          <w:rStyle w:val="normaltextrun"/>
          <w:b/>
          <w:bCs/>
          <w:lang w:val="en-US"/>
        </w:rPr>
        <w:t>STUDENT ID: 1704862</w:t>
      </w:r>
      <w:r>
        <w:rPr>
          <w:rStyle w:val="eop"/>
          <w:lang w:val="en-US"/>
        </w:rPr>
        <w:t> </w:t>
      </w:r>
    </w:p>
    <w:p w:rsidR="00EF7AAE" w:rsidRDefault="00E5427F" w:rsidP="00EF7AAE">
      <w:pPr>
        <w:pStyle w:val="paragraph"/>
        <w:jc w:val="right"/>
        <w:textAlignment w:val="baseline"/>
        <w:rPr>
          <w:lang w:val="en-US"/>
        </w:rPr>
      </w:pPr>
      <w:r>
        <w:rPr>
          <w:rStyle w:val="normaltextrun"/>
          <w:b/>
          <w:bCs/>
          <w:lang w:val="en-US"/>
        </w:rPr>
        <w:t>MODULE CODE: SMBA7100</w:t>
      </w:r>
      <w:r w:rsidR="00EF7AAE">
        <w:rPr>
          <w:rStyle w:val="eop"/>
          <w:lang w:val="en-US"/>
        </w:rPr>
        <w:t> </w:t>
      </w:r>
    </w:p>
    <w:p w:rsidR="00EF7AAE" w:rsidRDefault="00E5427F" w:rsidP="00EF7AAE">
      <w:pPr>
        <w:pStyle w:val="paragraph"/>
        <w:jc w:val="right"/>
        <w:textAlignment w:val="baseline"/>
        <w:rPr>
          <w:lang w:val="en-US"/>
        </w:rPr>
      </w:pPr>
      <w:r>
        <w:rPr>
          <w:rStyle w:val="normaltextrun"/>
          <w:b/>
          <w:bCs/>
          <w:lang w:val="en-US"/>
        </w:rPr>
        <w:t>MODULE TITLE: FINANCIAL</w:t>
      </w:r>
      <w:r w:rsidR="00EF7AAE">
        <w:rPr>
          <w:rStyle w:val="normaltextrun"/>
          <w:b/>
          <w:bCs/>
          <w:lang w:val="en-US"/>
        </w:rPr>
        <w:t xml:space="preserve"> MANAGEMENT</w:t>
      </w:r>
      <w:r w:rsidR="00EF7AAE">
        <w:rPr>
          <w:rStyle w:val="eop"/>
          <w:lang w:val="en-US"/>
        </w:rPr>
        <w:t> </w:t>
      </w:r>
    </w:p>
    <w:p w:rsidR="00EF7AAE" w:rsidRDefault="00EF7AAE" w:rsidP="00EF7AAE">
      <w:pPr>
        <w:pStyle w:val="paragraph"/>
        <w:jc w:val="right"/>
        <w:textAlignment w:val="baseline"/>
        <w:rPr>
          <w:lang w:val="en-US"/>
        </w:rPr>
      </w:pPr>
      <w:r>
        <w:rPr>
          <w:rStyle w:val="normaltextrun"/>
          <w:b/>
          <w:bCs/>
          <w:lang w:val="en-US"/>
        </w:rPr>
        <w:t xml:space="preserve">LECTURER’S NAME: </w:t>
      </w:r>
      <w:r w:rsidR="00E5427F">
        <w:rPr>
          <w:rStyle w:val="normaltextrun"/>
          <w:b/>
          <w:bCs/>
          <w:lang w:val="en-US"/>
        </w:rPr>
        <w:t>ISAIAH OINO</w:t>
      </w:r>
    </w:p>
    <w:p w:rsidR="00EF7AAE" w:rsidRDefault="00EF7AAE">
      <w:pPr>
        <w:spacing w:line="276" w:lineRule="auto"/>
        <w:jc w:val="left"/>
        <w:rPr>
          <w:b/>
        </w:rPr>
      </w:pPr>
    </w:p>
    <w:p w:rsidR="00EF7AAE" w:rsidRDefault="00EF7AAE">
      <w:pPr>
        <w:spacing w:line="276" w:lineRule="auto"/>
        <w:jc w:val="left"/>
        <w:rPr>
          <w:b/>
        </w:rPr>
      </w:pPr>
    </w:p>
    <w:p w:rsidR="00EF7AAE" w:rsidRDefault="00EF7AAE">
      <w:pPr>
        <w:spacing w:line="276" w:lineRule="auto"/>
        <w:jc w:val="left"/>
        <w:rPr>
          <w:b/>
        </w:rPr>
      </w:pPr>
    </w:p>
    <w:p w:rsidR="00A54A5E" w:rsidRPr="00A54A5E" w:rsidRDefault="00A54A5E">
      <w:pPr>
        <w:spacing w:line="276" w:lineRule="auto"/>
        <w:jc w:val="left"/>
        <w:rPr>
          <w:b/>
        </w:rPr>
      </w:pPr>
      <w:r w:rsidRPr="00A54A5E">
        <w:rPr>
          <w:b/>
        </w:rPr>
        <w:t>Table of contents</w:t>
      </w:r>
    </w:p>
    <w:p w:rsidR="007C367B" w:rsidRDefault="00A54A5E">
      <w:pPr>
        <w:pStyle w:val="TableofFigures"/>
        <w:tabs>
          <w:tab w:val="right" w:leader="dot" w:pos="9016"/>
        </w:tabs>
        <w:rPr>
          <w:rFonts w:asciiTheme="minorHAnsi" w:eastAsiaTheme="minorEastAsia" w:hAnsiTheme="minorHAnsi" w:cstheme="minorBidi"/>
          <w:noProof/>
          <w:sz w:val="22"/>
          <w:lang w:val="en-IN" w:eastAsia="en-IN"/>
        </w:rPr>
      </w:pPr>
      <w:r>
        <w:fldChar w:fldCharType="begin"/>
      </w:r>
      <w:r>
        <w:instrText xml:space="preserve"> TOC \h \z \t "Heading 1" \c </w:instrText>
      </w:r>
      <w:r>
        <w:fldChar w:fldCharType="separate"/>
      </w:r>
      <w:hyperlink w:anchor="_Toc512979915" w:history="1">
        <w:r w:rsidR="007C367B" w:rsidRPr="00F2786B">
          <w:rPr>
            <w:rStyle w:val="Hyperlink"/>
            <w:noProof/>
          </w:rPr>
          <w:t>Section A</w:t>
        </w:r>
        <w:r w:rsidR="007C367B">
          <w:rPr>
            <w:noProof/>
            <w:webHidden/>
          </w:rPr>
          <w:tab/>
        </w:r>
        <w:r w:rsidR="007C367B">
          <w:rPr>
            <w:noProof/>
            <w:webHidden/>
          </w:rPr>
          <w:fldChar w:fldCharType="begin"/>
        </w:r>
        <w:r w:rsidR="007C367B">
          <w:rPr>
            <w:noProof/>
            <w:webHidden/>
          </w:rPr>
          <w:instrText xml:space="preserve"> PAGEREF _Toc512979915 \h </w:instrText>
        </w:r>
        <w:r w:rsidR="007C367B">
          <w:rPr>
            <w:noProof/>
            <w:webHidden/>
          </w:rPr>
        </w:r>
        <w:r w:rsidR="007C367B">
          <w:rPr>
            <w:noProof/>
            <w:webHidden/>
          </w:rPr>
          <w:fldChar w:fldCharType="separate"/>
        </w:r>
        <w:r w:rsidR="007C367B">
          <w:rPr>
            <w:noProof/>
            <w:webHidden/>
          </w:rPr>
          <w:t>3</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16" w:history="1">
        <w:r w:rsidR="007C367B" w:rsidRPr="00F2786B">
          <w:rPr>
            <w:rStyle w:val="Hyperlink"/>
            <w:noProof/>
          </w:rPr>
          <w:t>Introduction</w:t>
        </w:r>
        <w:r w:rsidR="007C367B">
          <w:rPr>
            <w:noProof/>
            <w:webHidden/>
          </w:rPr>
          <w:tab/>
        </w:r>
        <w:r w:rsidR="007C367B">
          <w:rPr>
            <w:noProof/>
            <w:webHidden/>
          </w:rPr>
          <w:fldChar w:fldCharType="begin"/>
        </w:r>
        <w:r w:rsidR="007C367B">
          <w:rPr>
            <w:noProof/>
            <w:webHidden/>
          </w:rPr>
          <w:instrText xml:space="preserve"> PAGEREF _Toc512979916 \h </w:instrText>
        </w:r>
        <w:r w:rsidR="007C367B">
          <w:rPr>
            <w:noProof/>
            <w:webHidden/>
          </w:rPr>
        </w:r>
        <w:r w:rsidR="007C367B">
          <w:rPr>
            <w:noProof/>
            <w:webHidden/>
          </w:rPr>
          <w:fldChar w:fldCharType="separate"/>
        </w:r>
        <w:r w:rsidR="007C367B">
          <w:rPr>
            <w:noProof/>
            <w:webHidden/>
          </w:rPr>
          <w:t>3</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17" w:history="1">
        <w:r w:rsidR="007C367B" w:rsidRPr="00F2786B">
          <w:rPr>
            <w:rStyle w:val="Hyperlink"/>
            <w:noProof/>
          </w:rPr>
          <w:t>a. Financial analysis of both the companies</w:t>
        </w:r>
        <w:r w:rsidR="007C367B">
          <w:rPr>
            <w:noProof/>
            <w:webHidden/>
          </w:rPr>
          <w:tab/>
        </w:r>
        <w:r w:rsidR="007C367B">
          <w:rPr>
            <w:noProof/>
            <w:webHidden/>
          </w:rPr>
          <w:fldChar w:fldCharType="begin"/>
        </w:r>
        <w:r w:rsidR="007C367B">
          <w:rPr>
            <w:noProof/>
            <w:webHidden/>
          </w:rPr>
          <w:instrText xml:space="preserve"> PAGEREF _Toc512979917 \h </w:instrText>
        </w:r>
        <w:r w:rsidR="007C367B">
          <w:rPr>
            <w:noProof/>
            <w:webHidden/>
          </w:rPr>
        </w:r>
        <w:r w:rsidR="007C367B">
          <w:rPr>
            <w:noProof/>
            <w:webHidden/>
          </w:rPr>
          <w:fldChar w:fldCharType="separate"/>
        </w:r>
        <w:r w:rsidR="007C367B">
          <w:rPr>
            <w:noProof/>
            <w:webHidden/>
          </w:rPr>
          <w:t>3</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18" w:history="1">
        <w:r w:rsidR="007C367B" w:rsidRPr="00F2786B">
          <w:rPr>
            <w:rStyle w:val="Hyperlink"/>
            <w:noProof/>
          </w:rPr>
          <w:t>I. Financial performance and position analysis</w:t>
        </w:r>
        <w:r w:rsidR="007C367B">
          <w:rPr>
            <w:noProof/>
            <w:webHidden/>
          </w:rPr>
          <w:tab/>
        </w:r>
        <w:r w:rsidR="007C367B">
          <w:rPr>
            <w:noProof/>
            <w:webHidden/>
          </w:rPr>
          <w:fldChar w:fldCharType="begin"/>
        </w:r>
        <w:r w:rsidR="007C367B">
          <w:rPr>
            <w:noProof/>
            <w:webHidden/>
          </w:rPr>
          <w:instrText xml:space="preserve"> PAGEREF _Toc512979918 \h </w:instrText>
        </w:r>
        <w:r w:rsidR="007C367B">
          <w:rPr>
            <w:noProof/>
            <w:webHidden/>
          </w:rPr>
        </w:r>
        <w:r w:rsidR="007C367B">
          <w:rPr>
            <w:noProof/>
            <w:webHidden/>
          </w:rPr>
          <w:fldChar w:fldCharType="separate"/>
        </w:r>
        <w:r w:rsidR="007C367B">
          <w:rPr>
            <w:noProof/>
            <w:webHidden/>
          </w:rPr>
          <w:t>3</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19" w:history="1">
        <w:r w:rsidR="007C367B" w:rsidRPr="00F2786B">
          <w:rPr>
            <w:rStyle w:val="Hyperlink"/>
            <w:noProof/>
          </w:rPr>
          <w:t>b. Recommendation to Tim</w:t>
        </w:r>
        <w:r w:rsidR="007C367B">
          <w:rPr>
            <w:noProof/>
            <w:webHidden/>
          </w:rPr>
          <w:tab/>
        </w:r>
        <w:r w:rsidR="007C367B">
          <w:rPr>
            <w:noProof/>
            <w:webHidden/>
          </w:rPr>
          <w:fldChar w:fldCharType="begin"/>
        </w:r>
        <w:r w:rsidR="007C367B">
          <w:rPr>
            <w:noProof/>
            <w:webHidden/>
          </w:rPr>
          <w:instrText xml:space="preserve"> PAGEREF _Toc512979919 \h </w:instrText>
        </w:r>
        <w:r w:rsidR="007C367B">
          <w:rPr>
            <w:noProof/>
            <w:webHidden/>
          </w:rPr>
        </w:r>
        <w:r w:rsidR="007C367B">
          <w:rPr>
            <w:noProof/>
            <w:webHidden/>
          </w:rPr>
          <w:fldChar w:fldCharType="separate"/>
        </w:r>
        <w:r w:rsidR="007C367B">
          <w:rPr>
            <w:noProof/>
            <w:webHidden/>
          </w:rPr>
          <w:t>12</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20" w:history="1">
        <w:r w:rsidR="007C367B" w:rsidRPr="00F2786B">
          <w:rPr>
            <w:rStyle w:val="Hyperlink"/>
            <w:noProof/>
          </w:rPr>
          <w:t>Conclusion</w:t>
        </w:r>
        <w:r w:rsidR="007C367B">
          <w:rPr>
            <w:noProof/>
            <w:webHidden/>
          </w:rPr>
          <w:tab/>
        </w:r>
        <w:r w:rsidR="007C367B">
          <w:rPr>
            <w:noProof/>
            <w:webHidden/>
          </w:rPr>
          <w:fldChar w:fldCharType="begin"/>
        </w:r>
        <w:r w:rsidR="007C367B">
          <w:rPr>
            <w:noProof/>
            <w:webHidden/>
          </w:rPr>
          <w:instrText xml:space="preserve"> PAGEREF _Toc512979920 \h </w:instrText>
        </w:r>
        <w:r w:rsidR="007C367B">
          <w:rPr>
            <w:noProof/>
            <w:webHidden/>
          </w:rPr>
        </w:r>
        <w:r w:rsidR="007C367B">
          <w:rPr>
            <w:noProof/>
            <w:webHidden/>
          </w:rPr>
          <w:fldChar w:fldCharType="separate"/>
        </w:r>
        <w:r w:rsidR="007C367B">
          <w:rPr>
            <w:noProof/>
            <w:webHidden/>
          </w:rPr>
          <w:t>13</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21" w:history="1">
        <w:r w:rsidR="007C367B" w:rsidRPr="00F2786B">
          <w:rPr>
            <w:rStyle w:val="Hyperlink"/>
            <w:noProof/>
          </w:rPr>
          <w:t>Section B</w:t>
        </w:r>
        <w:r w:rsidR="007C367B">
          <w:rPr>
            <w:noProof/>
            <w:webHidden/>
          </w:rPr>
          <w:tab/>
        </w:r>
        <w:r w:rsidR="007C367B">
          <w:rPr>
            <w:noProof/>
            <w:webHidden/>
          </w:rPr>
          <w:fldChar w:fldCharType="begin"/>
        </w:r>
        <w:r w:rsidR="007C367B">
          <w:rPr>
            <w:noProof/>
            <w:webHidden/>
          </w:rPr>
          <w:instrText xml:space="preserve"> PAGEREF _Toc512979921 \h </w:instrText>
        </w:r>
        <w:r w:rsidR="007C367B">
          <w:rPr>
            <w:noProof/>
            <w:webHidden/>
          </w:rPr>
        </w:r>
        <w:r w:rsidR="007C367B">
          <w:rPr>
            <w:noProof/>
            <w:webHidden/>
          </w:rPr>
          <w:fldChar w:fldCharType="separate"/>
        </w:r>
        <w:r w:rsidR="007C367B">
          <w:rPr>
            <w:noProof/>
            <w:webHidden/>
          </w:rPr>
          <w:t>14</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22" w:history="1">
        <w:r w:rsidR="007C367B" w:rsidRPr="00F2786B">
          <w:rPr>
            <w:rStyle w:val="Hyperlink"/>
            <w:noProof/>
          </w:rPr>
          <w:t>Introduction</w:t>
        </w:r>
        <w:r w:rsidR="007C367B">
          <w:rPr>
            <w:noProof/>
            <w:webHidden/>
          </w:rPr>
          <w:tab/>
        </w:r>
        <w:r w:rsidR="007C367B">
          <w:rPr>
            <w:noProof/>
            <w:webHidden/>
          </w:rPr>
          <w:fldChar w:fldCharType="begin"/>
        </w:r>
        <w:r w:rsidR="007C367B">
          <w:rPr>
            <w:noProof/>
            <w:webHidden/>
          </w:rPr>
          <w:instrText xml:space="preserve"> PAGEREF _Toc512979922 \h </w:instrText>
        </w:r>
        <w:r w:rsidR="007C367B">
          <w:rPr>
            <w:noProof/>
            <w:webHidden/>
          </w:rPr>
        </w:r>
        <w:r w:rsidR="007C367B">
          <w:rPr>
            <w:noProof/>
            <w:webHidden/>
          </w:rPr>
          <w:fldChar w:fldCharType="separate"/>
        </w:r>
        <w:r w:rsidR="007C367B">
          <w:rPr>
            <w:noProof/>
            <w:webHidden/>
          </w:rPr>
          <w:t>14</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23" w:history="1">
        <w:r w:rsidR="007C367B" w:rsidRPr="00F2786B">
          <w:rPr>
            <w:rStyle w:val="Hyperlink"/>
            <w:noProof/>
          </w:rPr>
          <w:t>a. Determine the Payback and the Net Present Value (NPV) of the two proposals. Use a discount rate of 7% for the NPV calculation</w:t>
        </w:r>
        <w:r w:rsidR="007C367B">
          <w:rPr>
            <w:noProof/>
            <w:webHidden/>
          </w:rPr>
          <w:tab/>
        </w:r>
        <w:r w:rsidR="007C367B">
          <w:rPr>
            <w:noProof/>
            <w:webHidden/>
          </w:rPr>
          <w:fldChar w:fldCharType="begin"/>
        </w:r>
        <w:r w:rsidR="007C367B">
          <w:rPr>
            <w:noProof/>
            <w:webHidden/>
          </w:rPr>
          <w:instrText xml:space="preserve"> PAGEREF _Toc512979923 \h </w:instrText>
        </w:r>
        <w:r w:rsidR="007C367B">
          <w:rPr>
            <w:noProof/>
            <w:webHidden/>
          </w:rPr>
        </w:r>
        <w:r w:rsidR="007C367B">
          <w:rPr>
            <w:noProof/>
            <w:webHidden/>
          </w:rPr>
          <w:fldChar w:fldCharType="separate"/>
        </w:r>
        <w:r w:rsidR="007C367B">
          <w:rPr>
            <w:noProof/>
            <w:webHidden/>
          </w:rPr>
          <w:t>14</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24" w:history="1">
        <w:r w:rsidR="007C367B" w:rsidRPr="00F2786B">
          <w:rPr>
            <w:rStyle w:val="Hyperlink"/>
            <w:noProof/>
          </w:rPr>
          <w:t>b. Determine the Accounting Rate of Return (ARR) for each project</w:t>
        </w:r>
        <w:r w:rsidR="007C367B">
          <w:rPr>
            <w:noProof/>
            <w:webHidden/>
          </w:rPr>
          <w:tab/>
        </w:r>
        <w:r w:rsidR="007C367B">
          <w:rPr>
            <w:noProof/>
            <w:webHidden/>
          </w:rPr>
          <w:fldChar w:fldCharType="begin"/>
        </w:r>
        <w:r w:rsidR="007C367B">
          <w:rPr>
            <w:noProof/>
            <w:webHidden/>
          </w:rPr>
          <w:instrText xml:space="preserve"> PAGEREF _Toc512979924 \h </w:instrText>
        </w:r>
        <w:r w:rsidR="007C367B">
          <w:rPr>
            <w:noProof/>
            <w:webHidden/>
          </w:rPr>
        </w:r>
        <w:r w:rsidR="007C367B">
          <w:rPr>
            <w:noProof/>
            <w:webHidden/>
          </w:rPr>
          <w:fldChar w:fldCharType="separate"/>
        </w:r>
        <w:r w:rsidR="007C367B">
          <w:rPr>
            <w:noProof/>
            <w:webHidden/>
          </w:rPr>
          <w:t>16</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25" w:history="1">
        <w:r w:rsidR="007C367B" w:rsidRPr="00F2786B">
          <w:rPr>
            <w:rStyle w:val="Hyperlink"/>
            <w:noProof/>
          </w:rPr>
          <w:t>c. Evaluate the results of part (a) and (b) above. Recommend with reasons the project that should be adopted</w:t>
        </w:r>
        <w:r w:rsidR="007C367B">
          <w:rPr>
            <w:noProof/>
            <w:webHidden/>
          </w:rPr>
          <w:tab/>
        </w:r>
        <w:r w:rsidR="007C367B">
          <w:rPr>
            <w:noProof/>
            <w:webHidden/>
          </w:rPr>
          <w:fldChar w:fldCharType="begin"/>
        </w:r>
        <w:r w:rsidR="007C367B">
          <w:rPr>
            <w:noProof/>
            <w:webHidden/>
          </w:rPr>
          <w:instrText xml:space="preserve"> PAGEREF _Toc512979925 \h </w:instrText>
        </w:r>
        <w:r w:rsidR="007C367B">
          <w:rPr>
            <w:noProof/>
            <w:webHidden/>
          </w:rPr>
        </w:r>
        <w:r w:rsidR="007C367B">
          <w:rPr>
            <w:noProof/>
            <w:webHidden/>
          </w:rPr>
          <w:fldChar w:fldCharType="separate"/>
        </w:r>
        <w:r w:rsidR="007C367B">
          <w:rPr>
            <w:noProof/>
            <w:webHidden/>
          </w:rPr>
          <w:t>18</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26" w:history="1">
        <w:r w:rsidR="007C367B" w:rsidRPr="00F2786B">
          <w:rPr>
            <w:rStyle w:val="Hyperlink"/>
            <w:noProof/>
          </w:rPr>
          <w:t>d. Critically discuss the advantages and shortcomings of the Payback and NPV techniques as ways of evaluating capital projects</w:t>
        </w:r>
        <w:r w:rsidR="007C367B">
          <w:rPr>
            <w:noProof/>
            <w:webHidden/>
          </w:rPr>
          <w:tab/>
        </w:r>
        <w:r w:rsidR="007C367B">
          <w:rPr>
            <w:noProof/>
            <w:webHidden/>
          </w:rPr>
          <w:fldChar w:fldCharType="begin"/>
        </w:r>
        <w:r w:rsidR="007C367B">
          <w:rPr>
            <w:noProof/>
            <w:webHidden/>
          </w:rPr>
          <w:instrText xml:space="preserve"> PAGEREF _Toc512979926 \h </w:instrText>
        </w:r>
        <w:r w:rsidR="007C367B">
          <w:rPr>
            <w:noProof/>
            <w:webHidden/>
          </w:rPr>
        </w:r>
        <w:r w:rsidR="007C367B">
          <w:rPr>
            <w:noProof/>
            <w:webHidden/>
          </w:rPr>
          <w:fldChar w:fldCharType="separate"/>
        </w:r>
        <w:r w:rsidR="007C367B">
          <w:rPr>
            <w:noProof/>
            <w:webHidden/>
          </w:rPr>
          <w:t>19</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27" w:history="1">
        <w:r w:rsidR="007C367B" w:rsidRPr="00F2786B">
          <w:rPr>
            <w:rStyle w:val="Hyperlink"/>
            <w:noProof/>
          </w:rPr>
          <w:t>e. Discuss the non-financial factors that need to be considered in investment appraisal process</w:t>
        </w:r>
        <w:r w:rsidR="007C367B">
          <w:rPr>
            <w:noProof/>
            <w:webHidden/>
          </w:rPr>
          <w:tab/>
        </w:r>
        <w:r w:rsidR="007C367B">
          <w:rPr>
            <w:noProof/>
            <w:webHidden/>
          </w:rPr>
          <w:fldChar w:fldCharType="begin"/>
        </w:r>
        <w:r w:rsidR="007C367B">
          <w:rPr>
            <w:noProof/>
            <w:webHidden/>
          </w:rPr>
          <w:instrText xml:space="preserve"> PAGEREF _Toc512979927 \h </w:instrText>
        </w:r>
        <w:r w:rsidR="007C367B">
          <w:rPr>
            <w:noProof/>
            <w:webHidden/>
          </w:rPr>
        </w:r>
        <w:r w:rsidR="007C367B">
          <w:rPr>
            <w:noProof/>
            <w:webHidden/>
          </w:rPr>
          <w:fldChar w:fldCharType="separate"/>
        </w:r>
        <w:r w:rsidR="007C367B">
          <w:rPr>
            <w:noProof/>
            <w:webHidden/>
          </w:rPr>
          <w:t>21</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28" w:history="1">
        <w:r w:rsidR="007C367B" w:rsidRPr="00F2786B">
          <w:rPr>
            <w:rStyle w:val="Hyperlink"/>
            <w:noProof/>
          </w:rPr>
          <w:t>Conclusion</w:t>
        </w:r>
        <w:r w:rsidR="007C367B">
          <w:rPr>
            <w:noProof/>
            <w:webHidden/>
          </w:rPr>
          <w:tab/>
        </w:r>
        <w:r w:rsidR="007C367B">
          <w:rPr>
            <w:noProof/>
            <w:webHidden/>
          </w:rPr>
          <w:fldChar w:fldCharType="begin"/>
        </w:r>
        <w:r w:rsidR="007C367B">
          <w:rPr>
            <w:noProof/>
            <w:webHidden/>
          </w:rPr>
          <w:instrText xml:space="preserve"> PAGEREF _Toc512979928 \h </w:instrText>
        </w:r>
        <w:r w:rsidR="007C367B">
          <w:rPr>
            <w:noProof/>
            <w:webHidden/>
          </w:rPr>
        </w:r>
        <w:r w:rsidR="007C367B">
          <w:rPr>
            <w:noProof/>
            <w:webHidden/>
          </w:rPr>
          <w:fldChar w:fldCharType="separate"/>
        </w:r>
        <w:r w:rsidR="007C367B">
          <w:rPr>
            <w:noProof/>
            <w:webHidden/>
          </w:rPr>
          <w:t>22</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29" w:history="1">
        <w:r w:rsidR="007C367B" w:rsidRPr="00F2786B">
          <w:rPr>
            <w:rStyle w:val="Hyperlink"/>
            <w:noProof/>
          </w:rPr>
          <w:t>Reference list</w:t>
        </w:r>
        <w:r w:rsidR="007C367B">
          <w:rPr>
            <w:noProof/>
            <w:webHidden/>
          </w:rPr>
          <w:tab/>
        </w:r>
        <w:r w:rsidR="007C367B">
          <w:rPr>
            <w:noProof/>
            <w:webHidden/>
          </w:rPr>
          <w:fldChar w:fldCharType="begin"/>
        </w:r>
        <w:r w:rsidR="007C367B">
          <w:rPr>
            <w:noProof/>
            <w:webHidden/>
          </w:rPr>
          <w:instrText xml:space="preserve"> PAGEREF _Toc512979929 \h </w:instrText>
        </w:r>
        <w:r w:rsidR="007C367B">
          <w:rPr>
            <w:noProof/>
            <w:webHidden/>
          </w:rPr>
        </w:r>
        <w:r w:rsidR="007C367B">
          <w:rPr>
            <w:noProof/>
            <w:webHidden/>
          </w:rPr>
          <w:fldChar w:fldCharType="separate"/>
        </w:r>
        <w:r w:rsidR="007C367B">
          <w:rPr>
            <w:noProof/>
            <w:webHidden/>
          </w:rPr>
          <w:t>23</w:t>
        </w:r>
        <w:r w:rsidR="007C367B">
          <w:rPr>
            <w:noProof/>
            <w:webHidden/>
          </w:rPr>
          <w:fldChar w:fldCharType="end"/>
        </w:r>
      </w:hyperlink>
    </w:p>
    <w:p w:rsidR="007C367B" w:rsidRDefault="00E43EC5">
      <w:pPr>
        <w:pStyle w:val="TableofFigures"/>
        <w:tabs>
          <w:tab w:val="right" w:leader="dot" w:pos="9016"/>
        </w:tabs>
        <w:rPr>
          <w:rFonts w:asciiTheme="minorHAnsi" w:eastAsiaTheme="minorEastAsia" w:hAnsiTheme="minorHAnsi" w:cstheme="minorBidi"/>
          <w:noProof/>
          <w:sz w:val="22"/>
          <w:lang w:val="en-IN" w:eastAsia="en-IN"/>
        </w:rPr>
      </w:pPr>
      <w:hyperlink w:anchor="_Toc512979930" w:history="1">
        <w:r w:rsidR="007C367B" w:rsidRPr="00F2786B">
          <w:rPr>
            <w:rStyle w:val="Hyperlink"/>
            <w:noProof/>
          </w:rPr>
          <w:t>Appendix</w:t>
        </w:r>
        <w:r w:rsidR="007C367B">
          <w:rPr>
            <w:noProof/>
            <w:webHidden/>
          </w:rPr>
          <w:tab/>
        </w:r>
        <w:r w:rsidR="007C367B">
          <w:rPr>
            <w:noProof/>
            <w:webHidden/>
          </w:rPr>
          <w:fldChar w:fldCharType="begin"/>
        </w:r>
        <w:r w:rsidR="007C367B">
          <w:rPr>
            <w:noProof/>
            <w:webHidden/>
          </w:rPr>
          <w:instrText xml:space="preserve"> PAGEREF _Toc512979930 \h </w:instrText>
        </w:r>
        <w:r w:rsidR="007C367B">
          <w:rPr>
            <w:noProof/>
            <w:webHidden/>
          </w:rPr>
        </w:r>
        <w:r w:rsidR="007C367B">
          <w:rPr>
            <w:noProof/>
            <w:webHidden/>
          </w:rPr>
          <w:fldChar w:fldCharType="separate"/>
        </w:r>
        <w:r w:rsidR="007C367B">
          <w:rPr>
            <w:noProof/>
            <w:webHidden/>
          </w:rPr>
          <w:t>25</w:t>
        </w:r>
        <w:r w:rsidR="007C367B">
          <w:rPr>
            <w:noProof/>
            <w:webHidden/>
          </w:rPr>
          <w:fldChar w:fldCharType="end"/>
        </w:r>
      </w:hyperlink>
    </w:p>
    <w:p w:rsidR="00095627" w:rsidRDefault="00A54A5E">
      <w:pPr>
        <w:spacing w:line="276" w:lineRule="auto"/>
        <w:jc w:val="left"/>
      </w:pPr>
      <w:r>
        <w:fldChar w:fldCharType="end"/>
      </w:r>
      <w:r w:rsidR="00095627">
        <w:br w:type="page"/>
      </w:r>
    </w:p>
    <w:p w:rsidR="00095627" w:rsidRDefault="00095627" w:rsidP="00095627">
      <w:pPr>
        <w:pStyle w:val="Heading1"/>
      </w:pPr>
      <w:bookmarkStart w:id="0" w:name="_Toc512979915"/>
      <w:r>
        <w:lastRenderedPageBreak/>
        <w:t>Section A</w:t>
      </w:r>
      <w:bookmarkEnd w:id="0"/>
    </w:p>
    <w:p w:rsidR="00910236" w:rsidRDefault="00910236" w:rsidP="00095627">
      <w:pPr>
        <w:pStyle w:val="Heading1"/>
      </w:pPr>
      <w:bookmarkStart w:id="1" w:name="_Toc512979916"/>
      <w:r>
        <w:t>Introduction</w:t>
      </w:r>
      <w:bookmarkEnd w:id="1"/>
    </w:p>
    <w:p w:rsidR="00910236" w:rsidRDefault="00910236" w:rsidP="00A54A5E">
      <w:pPr>
        <w:ind w:firstLine="720"/>
      </w:pPr>
      <w:r>
        <w:t>Investing in a particular company a business can strengthen its market position. However, making an investment decision is not that simple. The companies or the individual investors need to consider several factors before investing in a particular company</w:t>
      </w:r>
      <w:r w:rsidR="00AF0B71">
        <w:t xml:space="preserve"> (</w:t>
      </w:r>
      <w:r w:rsidR="00AF0B71" w:rsidRPr="00FD547D">
        <w:rPr>
          <w:szCs w:val="24"/>
        </w:rPr>
        <w:t>Chen</w:t>
      </w:r>
      <w:r w:rsidR="00AF0B71">
        <w:rPr>
          <w:szCs w:val="24"/>
        </w:rPr>
        <w:t xml:space="preserve"> </w:t>
      </w:r>
      <w:r w:rsidR="00AF0B71" w:rsidRPr="00AF0B71">
        <w:rPr>
          <w:i/>
          <w:szCs w:val="24"/>
        </w:rPr>
        <w:t>et al.</w:t>
      </w:r>
      <w:r w:rsidR="00AF0B71">
        <w:rPr>
          <w:szCs w:val="24"/>
        </w:rPr>
        <w:t xml:space="preserve"> 2018</w:t>
      </w:r>
      <w:r w:rsidR="00AF0B71">
        <w:t>)</w:t>
      </w:r>
      <w:r>
        <w:t xml:space="preserve">. The most important factor that the companies must consider is the financial position of the business in respect to the industry’s position. Here, in this assignment, the discussion and analysis will be made on behalf of Tim Farrow, who is a client of World Wealth Management and wants to invest in the travel and leisure sector in UK. The companies on which he wants to invest are William Hill Plc and Paddy Power </w:t>
      </w:r>
      <w:proofErr w:type="spellStart"/>
      <w:r>
        <w:t>Betfair</w:t>
      </w:r>
      <w:proofErr w:type="spellEnd"/>
      <w:r>
        <w:t xml:space="preserve"> Plc. Therefore, during this study the financial performances of these two companies will be </w:t>
      </w:r>
      <w:proofErr w:type="spellStart"/>
      <w:r>
        <w:t>analyzed</w:t>
      </w:r>
      <w:proofErr w:type="spellEnd"/>
      <w:r>
        <w:t xml:space="preserve"> using financial ratios.</w:t>
      </w:r>
    </w:p>
    <w:p w:rsidR="00910236" w:rsidRDefault="00910236" w:rsidP="00095627">
      <w:pPr>
        <w:pStyle w:val="Heading1"/>
      </w:pPr>
      <w:bookmarkStart w:id="2" w:name="_Toc512979917"/>
      <w:r>
        <w:t>a. Financial analysis of both the companies</w:t>
      </w:r>
      <w:bookmarkEnd w:id="2"/>
    </w:p>
    <w:p w:rsidR="00910236" w:rsidRDefault="00910236" w:rsidP="00910236">
      <w:r>
        <w:t>(For c</w:t>
      </w:r>
      <w:r w:rsidR="00A54A5E">
        <w:t>alculations refers to appendix</w:t>
      </w:r>
      <w:r>
        <w:t>)</w:t>
      </w:r>
    </w:p>
    <w:p w:rsidR="00910236" w:rsidRDefault="00910236" w:rsidP="00095627">
      <w:pPr>
        <w:pStyle w:val="Heading1"/>
      </w:pPr>
      <w:bookmarkStart w:id="3" w:name="_Toc512979918"/>
      <w:r>
        <w:t>I. Financial performance and position analysis</w:t>
      </w:r>
      <w:bookmarkEnd w:id="3"/>
    </w:p>
    <w:p w:rsidR="00910236" w:rsidRDefault="00910236" w:rsidP="00A54A5E">
      <w:pPr>
        <w:ind w:firstLine="720"/>
      </w:pPr>
      <w:r>
        <w:t xml:space="preserve">Paddy Power </w:t>
      </w:r>
      <w:proofErr w:type="spellStart"/>
      <w:r>
        <w:t>Betfair</w:t>
      </w:r>
      <w:proofErr w:type="spellEnd"/>
      <w:r>
        <w:t xml:space="preserve"> Plc and William Hill Plc are two </w:t>
      </w:r>
      <w:proofErr w:type="spellStart"/>
      <w:r>
        <w:t>well known</w:t>
      </w:r>
      <w:proofErr w:type="spellEnd"/>
      <w:r>
        <w:t xml:space="preserve"> and large organizations in the international betting industry. The companies are comparatively new and based on modern business ideas. At the same time, the growth rates of the two companies are almost similar. However, in order to make investment decision, it is important to make or conduct some analysis on the financial performance of the two companies. Financial performance analysis is important because the future of the investment and safety of the investment highly depend on the financial position of the company in the national and international market. </w:t>
      </w:r>
    </w:p>
    <w:p w:rsidR="00910236" w:rsidRDefault="00910236" w:rsidP="00A54A5E">
      <w:pPr>
        <w:ind w:firstLine="720"/>
      </w:pPr>
      <w:r>
        <w:t>Financial ratio analysis is the best way to understand the financial performance standard of a company during a certain period of time</w:t>
      </w:r>
      <w:r w:rsidR="00AF0B71">
        <w:t xml:space="preserve"> (</w:t>
      </w:r>
      <w:r w:rsidR="00AF0B71" w:rsidRPr="00FD547D">
        <w:rPr>
          <w:color w:val="222222"/>
          <w:szCs w:val="24"/>
          <w:shd w:val="clear" w:color="auto" w:fill="FFFFFF"/>
        </w:rPr>
        <w:t>Titman</w:t>
      </w:r>
      <w:r w:rsidR="00AF0B71">
        <w:rPr>
          <w:color w:val="222222"/>
          <w:szCs w:val="24"/>
          <w:shd w:val="clear" w:color="auto" w:fill="FFFFFF"/>
        </w:rPr>
        <w:t xml:space="preserve"> </w:t>
      </w:r>
      <w:r w:rsidR="00AF0B71" w:rsidRPr="00AF0B71">
        <w:rPr>
          <w:i/>
          <w:szCs w:val="24"/>
        </w:rPr>
        <w:t>et al.</w:t>
      </w:r>
      <w:r w:rsidR="00AF0B71">
        <w:rPr>
          <w:szCs w:val="24"/>
        </w:rPr>
        <w:t xml:space="preserve"> 2017</w:t>
      </w:r>
      <w:r w:rsidR="00AF0B71">
        <w:t>)</w:t>
      </w:r>
      <w:r>
        <w:t xml:space="preserve">. In the case of Tim Farrow, financial decision can be easily made by identifying and computing financial ratios of the two companies that Tim has selected for investment purpose. Below, the financial performances of the two companies are </w:t>
      </w:r>
      <w:proofErr w:type="spellStart"/>
      <w:r>
        <w:t>analyzed</w:t>
      </w:r>
      <w:proofErr w:type="spellEnd"/>
      <w:r>
        <w:t xml:space="preserve"> and compared using diagrams:</w:t>
      </w:r>
    </w:p>
    <w:p w:rsidR="00910236" w:rsidRDefault="00910236" w:rsidP="00910236">
      <w:r>
        <w:t>Profitability analysis:</w:t>
      </w:r>
    </w:p>
    <w:p w:rsidR="00910236" w:rsidRDefault="00910236" w:rsidP="00A54A5E">
      <w:pPr>
        <w:ind w:firstLine="720"/>
      </w:pPr>
      <w:r>
        <w:lastRenderedPageBreak/>
        <w:t>Profitability is one of the key factors or indicators that denote the financial performance of a company during a specific time span. The profitability analysis of the companies indicates how effectively the companies or their managements have handled or managed the financial activities of the business</w:t>
      </w:r>
      <w:r w:rsidR="00AF0B71">
        <w:t xml:space="preserve"> (</w:t>
      </w:r>
      <w:r w:rsidR="00AF0B71">
        <w:rPr>
          <w:color w:val="222222"/>
          <w:szCs w:val="24"/>
          <w:shd w:val="clear" w:color="auto" w:fill="FFFFFF"/>
        </w:rPr>
        <w:t>Warren</w:t>
      </w:r>
      <w:r w:rsidR="00AF0B71" w:rsidRPr="00FD547D">
        <w:rPr>
          <w:color w:val="222222"/>
          <w:szCs w:val="24"/>
          <w:shd w:val="clear" w:color="auto" w:fill="FFFFFF"/>
        </w:rPr>
        <w:t xml:space="preserve"> and Jones</w:t>
      </w:r>
      <w:r w:rsidR="00AF0B71">
        <w:rPr>
          <w:color w:val="222222"/>
          <w:szCs w:val="24"/>
          <w:shd w:val="clear" w:color="auto" w:fill="FFFFFF"/>
        </w:rPr>
        <w:t xml:space="preserve"> 2018</w:t>
      </w:r>
      <w:r w:rsidR="00AF0B71">
        <w:t>)</w:t>
      </w:r>
      <w:r>
        <w:t>. For example, the profitability analysis indicates that to what extent the management has focused on the revenue earnings of the business and to what extent the management has focused on controlling the cost levels of the business. Higher level of profitability indicates that the companies are able to satisfy their investors and vice-versa</w:t>
      </w:r>
      <w:r w:rsidR="00AF0B71">
        <w:t xml:space="preserve"> (</w:t>
      </w:r>
      <w:proofErr w:type="spellStart"/>
      <w:r w:rsidR="00AF0B71">
        <w:rPr>
          <w:color w:val="222222"/>
          <w:szCs w:val="24"/>
          <w:shd w:val="clear" w:color="auto" w:fill="FFFFFF"/>
        </w:rPr>
        <w:t>Minnis</w:t>
      </w:r>
      <w:proofErr w:type="spellEnd"/>
      <w:r w:rsidR="00AF0B71" w:rsidRPr="00FD547D">
        <w:rPr>
          <w:color w:val="222222"/>
          <w:szCs w:val="24"/>
          <w:shd w:val="clear" w:color="auto" w:fill="FFFFFF"/>
        </w:rPr>
        <w:t xml:space="preserve"> and Sutherland</w:t>
      </w:r>
      <w:r w:rsidR="00AF0B71">
        <w:rPr>
          <w:color w:val="222222"/>
          <w:szCs w:val="24"/>
          <w:shd w:val="clear" w:color="auto" w:fill="FFFFFF"/>
        </w:rPr>
        <w:t xml:space="preserve"> 2017</w:t>
      </w:r>
      <w:r w:rsidR="00AF0B71">
        <w:t>)</w:t>
      </w:r>
      <w:r>
        <w:t xml:space="preserve">. Therefore, in order to provide guidance to Tim’s investment decision, it is important to </w:t>
      </w:r>
      <w:proofErr w:type="spellStart"/>
      <w:r>
        <w:t>analyze</w:t>
      </w:r>
      <w:proofErr w:type="spellEnd"/>
      <w:r>
        <w:t xml:space="preserve"> the profitability of the two business houses.</w:t>
      </w:r>
    </w:p>
    <w:p w:rsidR="00910236" w:rsidRDefault="00910236" w:rsidP="00910236">
      <w:r>
        <w:t>Profitability ratios of William Hill Plc:</w:t>
      </w:r>
    </w:p>
    <w:p w:rsidR="00910236" w:rsidRDefault="00910236" w:rsidP="00910236">
      <w:pPr>
        <w:jc w:val="center"/>
      </w:pPr>
      <w:r w:rsidRPr="00794FF3">
        <w:rPr>
          <w:noProof/>
          <w:lang w:eastAsia="en-GB"/>
        </w:rPr>
        <w:drawing>
          <wp:inline distT="0" distB="0" distL="0" distR="0">
            <wp:extent cx="4576430" cy="2307265"/>
            <wp:effectExtent l="19050" t="0" r="1462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F0B71" w:rsidRDefault="00AF0B71" w:rsidP="00910236">
      <w:pPr>
        <w:jc w:val="center"/>
      </w:pPr>
      <w:r>
        <w:t xml:space="preserve">(Source: </w:t>
      </w:r>
      <w:r>
        <w:rPr>
          <w:szCs w:val="24"/>
        </w:rPr>
        <w:t>W</w:t>
      </w:r>
      <w:r w:rsidRPr="00FD547D">
        <w:rPr>
          <w:szCs w:val="24"/>
        </w:rPr>
        <w:t>illiamhillplc.com</w:t>
      </w:r>
      <w:r>
        <w:rPr>
          <w:szCs w:val="24"/>
        </w:rPr>
        <w:t xml:space="preserve"> 2018</w:t>
      </w:r>
      <w:r>
        <w:t>)</w:t>
      </w:r>
    </w:p>
    <w:p w:rsidR="00910236" w:rsidRDefault="00910236" w:rsidP="00910236">
      <w:r>
        <w:t xml:space="preserve">Profitability ratios of Paddy Power </w:t>
      </w:r>
      <w:proofErr w:type="spellStart"/>
      <w:r>
        <w:t>Betfair</w:t>
      </w:r>
      <w:proofErr w:type="spellEnd"/>
      <w:r>
        <w:t xml:space="preserve"> Plc:</w:t>
      </w:r>
    </w:p>
    <w:p w:rsidR="00910236" w:rsidRDefault="00910236" w:rsidP="00AF0B71">
      <w:pPr>
        <w:jc w:val="center"/>
      </w:pPr>
      <w:r w:rsidRPr="00794FF3">
        <w:rPr>
          <w:noProof/>
          <w:lang w:eastAsia="en-GB"/>
        </w:rPr>
        <w:lastRenderedPageBreak/>
        <w:drawing>
          <wp:inline distT="0" distB="0" distL="0" distR="0">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AF0B71" w:rsidRDefault="00AF0B71" w:rsidP="00AF0B71">
      <w:pPr>
        <w:jc w:val="center"/>
      </w:pPr>
      <w:r>
        <w:t xml:space="preserve">(Source: </w:t>
      </w:r>
      <w:r>
        <w:rPr>
          <w:szCs w:val="24"/>
        </w:rPr>
        <w:t>P</w:t>
      </w:r>
      <w:r w:rsidRPr="00FD547D">
        <w:rPr>
          <w:szCs w:val="24"/>
        </w:rPr>
        <w:t>addypowerbetfair.com</w:t>
      </w:r>
      <w:r>
        <w:rPr>
          <w:szCs w:val="24"/>
        </w:rPr>
        <w:t xml:space="preserve"> 2018</w:t>
      </w:r>
      <w:r>
        <w:t>)</w:t>
      </w:r>
    </w:p>
    <w:p w:rsidR="00910236" w:rsidRDefault="00910236" w:rsidP="00A54A5E">
      <w:pPr>
        <w:ind w:firstLine="720"/>
      </w:pPr>
      <w:r>
        <w:t xml:space="preserve">If the above diagrams are considered, it can be stated that the profitability position of Paddy Power </w:t>
      </w:r>
      <w:proofErr w:type="spellStart"/>
      <w:r>
        <w:t>Betfair</w:t>
      </w:r>
      <w:proofErr w:type="spellEnd"/>
      <w:r>
        <w:t xml:space="preserve"> Plc was better than the profitability position of William Hill Plc. Considering the gross profit ratios of the business, it can be stated that in the case of William Hill Plc, the gross profit ratio of the business has decreased from 2015 to 2017; whereas, in the case of Paddy Power </w:t>
      </w:r>
      <w:proofErr w:type="spellStart"/>
      <w:r>
        <w:t>Betfair</w:t>
      </w:r>
      <w:proofErr w:type="spellEnd"/>
      <w:r>
        <w:t xml:space="preserve"> Plc, the performance of the business has improved in terms of gross profit ratio from 2015 to 2017. It is indicating that the management of Paddy Power </w:t>
      </w:r>
      <w:proofErr w:type="spellStart"/>
      <w:r>
        <w:t>Betfair</w:t>
      </w:r>
      <w:proofErr w:type="spellEnd"/>
      <w:r>
        <w:t xml:space="preserve"> Plc has handled the direct costs level of the business in a better way than the indirect cost levels. At the same time, it can also be stated that the Paddy Power </w:t>
      </w:r>
      <w:proofErr w:type="spellStart"/>
      <w:r>
        <w:t>Betfair</w:t>
      </w:r>
      <w:proofErr w:type="spellEnd"/>
      <w:r>
        <w:t xml:space="preserve"> Plc was more effective in enhancing its revenue level to the higher extent to solve the problem of financial loss in 2016; whereas, the management of William Hill Plc became inefficient in handling the direct costs and enhancing the revenue levels of the business.</w:t>
      </w:r>
    </w:p>
    <w:p w:rsidR="00910236" w:rsidRDefault="00910236" w:rsidP="00A54A5E">
      <w:pPr>
        <w:ind w:firstLine="720"/>
      </w:pPr>
      <w:r>
        <w:t>On the other hand, if the net profit ratios of the two companies are considered, it can be identified that in the financial year 2017, the net profit position of the business of William Hill Plc has declined and the company has faced loss in 2017. However, in the case of Paddy Power, the performance of the company has improved from 2016 to 2017. It means the net profit position of Paddy Power was better than that of William Hill Plc. Lower level of net profit ratios are indicating that the management of William Hill Plc has failed to control their indirect costs also. As the indirect costs of the company have not controlled properly, the company could not improve its financial performance and position in the last year that is 2017.</w:t>
      </w:r>
    </w:p>
    <w:p w:rsidR="00910236" w:rsidRDefault="00910236" w:rsidP="00A54A5E">
      <w:pPr>
        <w:ind w:firstLine="720"/>
      </w:pPr>
      <w:r>
        <w:lastRenderedPageBreak/>
        <w:t>Considering the overall profitability of the two companies, it can be stated that the Paddy Power has performed better than William Hill Plc. From this point of view, it can be mentioned that the management of Paddy Power is better than that of William Hill Plc. Therefore, it can be stated that Paddy Power is better option for investment in terms of profitability.</w:t>
      </w:r>
    </w:p>
    <w:p w:rsidR="00910236" w:rsidRDefault="00910236" w:rsidP="00910236">
      <w:r>
        <w:t>Liquidity ratios:</w:t>
      </w:r>
    </w:p>
    <w:p w:rsidR="00910236" w:rsidRDefault="00910236" w:rsidP="00A54A5E">
      <w:pPr>
        <w:ind w:firstLine="720"/>
      </w:pPr>
      <w:r>
        <w:t>Liquidity ratios are also the strong measurement for the financial performance and positions of the business. Liquidity ratios indicate the short-term financial position of a company in the market. Liquidity ratios of the business also indicate the survival capacity of the company</w:t>
      </w:r>
      <w:r w:rsidR="00AF0B71">
        <w:t xml:space="preserve"> (</w:t>
      </w:r>
      <w:proofErr w:type="spellStart"/>
      <w:r w:rsidR="00AF0B71" w:rsidRPr="00FD547D">
        <w:rPr>
          <w:color w:val="222222"/>
          <w:szCs w:val="24"/>
          <w:shd w:val="clear" w:color="auto" w:fill="FFFFFF"/>
        </w:rPr>
        <w:t>Trianni</w:t>
      </w:r>
      <w:proofErr w:type="spellEnd"/>
      <w:r w:rsidR="00AF0B71">
        <w:rPr>
          <w:color w:val="222222"/>
          <w:szCs w:val="24"/>
          <w:shd w:val="clear" w:color="auto" w:fill="FFFFFF"/>
        </w:rPr>
        <w:t xml:space="preserve"> </w:t>
      </w:r>
      <w:r w:rsidR="00AF0B71" w:rsidRPr="00AF0B71">
        <w:rPr>
          <w:i/>
          <w:color w:val="222222"/>
          <w:szCs w:val="24"/>
          <w:shd w:val="clear" w:color="auto" w:fill="FFFFFF"/>
        </w:rPr>
        <w:t>et al.</w:t>
      </w:r>
      <w:r w:rsidR="00AF0B71">
        <w:rPr>
          <w:color w:val="222222"/>
          <w:szCs w:val="24"/>
          <w:shd w:val="clear" w:color="auto" w:fill="FFFFFF"/>
        </w:rPr>
        <w:t xml:space="preserve"> 2017</w:t>
      </w:r>
      <w:r w:rsidR="00AF0B71">
        <w:t>)</w:t>
      </w:r>
      <w:r>
        <w:t xml:space="preserve">. A company with lower level of liquidity that the business is suffering from lack of liquid assets, which are required for paying back the current or short-term liabilities of the business. Lack of liquidity means shortage of working capital and if the business suffers from shortage of working capital, it will never be able to operate </w:t>
      </w:r>
      <w:proofErr w:type="spellStart"/>
      <w:r>
        <w:t>everyday’s</w:t>
      </w:r>
      <w:proofErr w:type="spellEnd"/>
      <w:r>
        <w:t xml:space="preserve"> activities of the business</w:t>
      </w:r>
      <w:r w:rsidR="00AF0B71">
        <w:t xml:space="preserve"> (</w:t>
      </w:r>
      <w:proofErr w:type="spellStart"/>
      <w:r w:rsidR="00AF0B71" w:rsidRPr="00FD547D">
        <w:rPr>
          <w:color w:val="222222"/>
          <w:szCs w:val="24"/>
          <w:shd w:val="clear" w:color="auto" w:fill="FFFFFF"/>
        </w:rPr>
        <w:t>Yuniningsih</w:t>
      </w:r>
      <w:proofErr w:type="spellEnd"/>
      <w:r w:rsidR="00AF0B71">
        <w:rPr>
          <w:color w:val="222222"/>
          <w:szCs w:val="24"/>
          <w:shd w:val="clear" w:color="auto" w:fill="FFFFFF"/>
        </w:rPr>
        <w:t xml:space="preserve"> </w:t>
      </w:r>
      <w:r w:rsidR="00AF0B71" w:rsidRPr="00AF0B71">
        <w:rPr>
          <w:i/>
          <w:color w:val="222222"/>
          <w:szCs w:val="24"/>
          <w:shd w:val="clear" w:color="auto" w:fill="FFFFFF"/>
        </w:rPr>
        <w:t>et al.</w:t>
      </w:r>
      <w:r w:rsidR="00AF0B71">
        <w:rPr>
          <w:color w:val="222222"/>
          <w:szCs w:val="24"/>
          <w:shd w:val="clear" w:color="auto" w:fill="FFFFFF"/>
        </w:rPr>
        <w:t xml:space="preserve"> 2017</w:t>
      </w:r>
      <w:r w:rsidR="00AF0B71">
        <w:t>)</w:t>
      </w:r>
      <w:r>
        <w:t xml:space="preserve">. Therefore, it must be stated that before investing in an organization, it is important to </w:t>
      </w:r>
      <w:proofErr w:type="spellStart"/>
      <w:r>
        <w:t>analyze</w:t>
      </w:r>
      <w:proofErr w:type="spellEnd"/>
      <w:r>
        <w:t xml:space="preserve"> the liquidity position of the company in the market. </w:t>
      </w:r>
    </w:p>
    <w:p w:rsidR="00910236" w:rsidRDefault="00910236" w:rsidP="00910236">
      <w:proofErr w:type="spellStart"/>
      <w:r>
        <w:t>Analyzing</w:t>
      </w:r>
      <w:proofErr w:type="spellEnd"/>
      <w:r>
        <w:t xml:space="preserve"> liquidity ratios of William Hill Plc:</w:t>
      </w:r>
    </w:p>
    <w:p w:rsidR="00910236" w:rsidRDefault="00910236" w:rsidP="00AF0B71">
      <w:pPr>
        <w:jc w:val="center"/>
      </w:pPr>
      <w:r w:rsidRPr="00EE75F8">
        <w:rPr>
          <w:noProof/>
          <w:lang w:eastAsia="en-GB"/>
        </w:rPr>
        <w:drawing>
          <wp:inline distT="0" distB="0" distL="0" distR="0">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F0B71" w:rsidRDefault="00AF0B71" w:rsidP="00AF0B71">
      <w:pPr>
        <w:jc w:val="center"/>
      </w:pPr>
      <w:r>
        <w:t xml:space="preserve">(Source: </w:t>
      </w:r>
      <w:r>
        <w:rPr>
          <w:szCs w:val="24"/>
        </w:rPr>
        <w:t>W</w:t>
      </w:r>
      <w:r w:rsidRPr="00FD547D">
        <w:rPr>
          <w:szCs w:val="24"/>
        </w:rPr>
        <w:t>illiamhillplc.com</w:t>
      </w:r>
      <w:r>
        <w:rPr>
          <w:szCs w:val="24"/>
        </w:rPr>
        <w:t xml:space="preserve"> 2018</w:t>
      </w:r>
      <w:r>
        <w:t>)</w:t>
      </w:r>
    </w:p>
    <w:p w:rsidR="00910236" w:rsidRDefault="00910236" w:rsidP="00910236">
      <w:proofErr w:type="spellStart"/>
      <w:r>
        <w:t>Analyzing</w:t>
      </w:r>
      <w:proofErr w:type="spellEnd"/>
      <w:r>
        <w:t xml:space="preserve"> liquidity ratios of Paddy Power </w:t>
      </w:r>
      <w:proofErr w:type="spellStart"/>
      <w:r>
        <w:t>Betfair</w:t>
      </w:r>
      <w:proofErr w:type="spellEnd"/>
      <w:r>
        <w:t xml:space="preserve"> Plc:</w:t>
      </w:r>
    </w:p>
    <w:p w:rsidR="00910236" w:rsidRDefault="00910236" w:rsidP="00AF0B71">
      <w:pPr>
        <w:jc w:val="center"/>
        <w:rPr>
          <w:b/>
        </w:rPr>
      </w:pPr>
      <w:r w:rsidRPr="00EE75F8">
        <w:rPr>
          <w:noProof/>
          <w:lang w:eastAsia="en-GB"/>
        </w:rPr>
        <w:lastRenderedPageBreak/>
        <w:drawing>
          <wp:inline distT="0" distB="0" distL="0" distR="0">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F0B71" w:rsidRDefault="00AF0B71" w:rsidP="00AF0B71">
      <w:pPr>
        <w:jc w:val="center"/>
        <w:rPr>
          <w:b/>
        </w:rPr>
      </w:pPr>
      <w:r>
        <w:t xml:space="preserve">(Source: </w:t>
      </w:r>
      <w:r>
        <w:rPr>
          <w:szCs w:val="24"/>
        </w:rPr>
        <w:t>P</w:t>
      </w:r>
      <w:r w:rsidRPr="00FD547D">
        <w:rPr>
          <w:szCs w:val="24"/>
        </w:rPr>
        <w:t>addypowerbetfair.com</w:t>
      </w:r>
      <w:r>
        <w:rPr>
          <w:szCs w:val="24"/>
        </w:rPr>
        <w:t xml:space="preserve"> 2018</w:t>
      </w:r>
      <w:r>
        <w:t>)</w:t>
      </w:r>
    </w:p>
    <w:p w:rsidR="00910236" w:rsidRDefault="00910236" w:rsidP="00A54A5E">
      <w:pPr>
        <w:ind w:firstLine="720"/>
      </w:pPr>
      <w:r w:rsidRPr="00C46804">
        <w:t xml:space="preserve">If the liquidity ratios of the </w:t>
      </w:r>
      <w:r>
        <w:t xml:space="preserve">two companies are considered, it can be stated that the liquidity position of Paddy Power </w:t>
      </w:r>
      <w:proofErr w:type="spellStart"/>
      <w:r>
        <w:t>Betfair</w:t>
      </w:r>
      <w:proofErr w:type="spellEnd"/>
      <w:r>
        <w:t xml:space="preserve"> Plc was better than William Hill Plc. from 2015 to 2017, the current and quick ratios of Paddy Power </w:t>
      </w:r>
      <w:proofErr w:type="spellStart"/>
      <w:r>
        <w:t>Betfair</w:t>
      </w:r>
      <w:proofErr w:type="spellEnd"/>
      <w:r>
        <w:t xml:space="preserve"> Plc were more than that of William Hill Plc. There were no difference between the current ratios and quick ratios of the business houses because the amount of inventory of the companies was zero. As the companies are operating businesses in the travel and leisure industry, it is obvious that the inventory level of the business is zero. It is indicating that the capacity of Paddy Power </w:t>
      </w:r>
      <w:proofErr w:type="spellStart"/>
      <w:r>
        <w:t>Betfair</w:t>
      </w:r>
      <w:proofErr w:type="spellEnd"/>
      <w:r>
        <w:t xml:space="preserve"> Plc in meeting or paying back the short-term liabilities was higher than that of William Hill Plc. However, in this context, it must be stated that none of the business has achieved the industry average during these three years in terms of current ratios and quick ratios.</w:t>
      </w:r>
    </w:p>
    <w:p w:rsidR="00910236" w:rsidRDefault="00910236" w:rsidP="00A54A5E">
      <w:pPr>
        <w:ind w:firstLine="720"/>
      </w:pPr>
      <w:r>
        <w:t xml:space="preserve">At the same time, it can also be stated that lack of liquidity in the business indicates that the companies faced difficulties in operating their everyday business activities. However, as both the companies are well known in the market, it can be considered that they will not face survival problems within few years. However, the management of William Hill Plc must be conscious enough to improve the liquidity position of the company. This is also applicable to Paddy Power </w:t>
      </w:r>
      <w:proofErr w:type="spellStart"/>
      <w:r>
        <w:t>Betfair</w:t>
      </w:r>
      <w:proofErr w:type="spellEnd"/>
      <w:r>
        <w:t xml:space="preserve"> Plc. However, if the comparison is made more closely, it can be stated that Paddy Power </w:t>
      </w:r>
      <w:proofErr w:type="spellStart"/>
      <w:r>
        <w:t>Betfair</w:t>
      </w:r>
      <w:proofErr w:type="spellEnd"/>
      <w:r>
        <w:t xml:space="preserve"> Plc is better option than William Hill Plc in terms of liquidity. </w:t>
      </w:r>
    </w:p>
    <w:p w:rsidR="00040322" w:rsidRDefault="00040322" w:rsidP="00910236"/>
    <w:p w:rsidR="00040322" w:rsidRDefault="00040322" w:rsidP="00910236"/>
    <w:p w:rsidR="00910236" w:rsidRDefault="00910236" w:rsidP="00910236">
      <w:r>
        <w:lastRenderedPageBreak/>
        <w:t>Gearing ratios:</w:t>
      </w:r>
    </w:p>
    <w:p w:rsidR="00910236" w:rsidRDefault="00910236" w:rsidP="00A54A5E">
      <w:pPr>
        <w:ind w:firstLine="720"/>
      </w:pPr>
      <w:r>
        <w:t>Gearing ratios of the business indicates the level of solvency and level of risks in the business. With the help of gearing ratios, the investors can understand how far the company and its business are dependent on the debt capital</w:t>
      </w:r>
      <w:r w:rsidR="0007431A">
        <w:t xml:space="preserve"> (</w:t>
      </w:r>
      <w:r w:rsidR="0007431A" w:rsidRPr="00FD547D">
        <w:rPr>
          <w:color w:val="222222"/>
          <w:szCs w:val="24"/>
          <w:shd w:val="clear" w:color="auto" w:fill="FFFFFF"/>
        </w:rPr>
        <w:t>Graham</w:t>
      </w:r>
      <w:r w:rsidR="0007431A">
        <w:rPr>
          <w:color w:val="222222"/>
          <w:szCs w:val="24"/>
          <w:shd w:val="clear" w:color="auto" w:fill="FFFFFF"/>
        </w:rPr>
        <w:t xml:space="preserve"> </w:t>
      </w:r>
      <w:r w:rsidR="0007431A" w:rsidRPr="0007431A">
        <w:rPr>
          <w:i/>
          <w:color w:val="222222"/>
          <w:szCs w:val="24"/>
          <w:shd w:val="clear" w:color="auto" w:fill="FFFFFF"/>
        </w:rPr>
        <w:t>et al.</w:t>
      </w:r>
      <w:r w:rsidR="0007431A">
        <w:rPr>
          <w:color w:val="222222"/>
          <w:szCs w:val="24"/>
          <w:shd w:val="clear" w:color="auto" w:fill="FFFFFF"/>
        </w:rPr>
        <w:t xml:space="preserve"> 2017</w:t>
      </w:r>
      <w:r w:rsidR="0007431A">
        <w:t>)</w:t>
      </w:r>
      <w:r>
        <w:t xml:space="preserve">. Higher level of dependence on the debt capital always indicates the solvency level is low because debt capital is the liability of the business and higher level of liability is a risk to the company. Due to this, when the value of liability is high, solvency of the company reduces. Hence, while making any investment decision, it is important to the investors to </w:t>
      </w:r>
      <w:proofErr w:type="spellStart"/>
      <w:r>
        <w:t>analyze</w:t>
      </w:r>
      <w:proofErr w:type="spellEnd"/>
      <w:r>
        <w:t xml:space="preserve"> the gearing ratios properly.</w:t>
      </w:r>
    </w:p>
    <w:p w:rsidR="00910236" w:rsidRDefault="00910236" w:rsidP="00910236">
      <w:proofErr w:type="spellStart"/>
      <w:r>
        <w:t>Analyzing</w:t>
      </w:r>
      <w:proofErr w:type="spellEnd"/>
      <w:r>
        <w:t xml:space="preserve"> gearing ratios of William Hill Plc:</w:t>
      </w:r>
    </w:p>
    <w:p w:rsidR="00910236" w:rsidRDefault="00910236" w:rsidP="0007431A">
      <w:pPr>
        <w:jc w:val="center"/>
      </w:pPr>
      <w:r w:rsidRPr="00540114">
        <w:rPr>
          <w:noProof/>
          <w:lang w:eastAsia="en-GB"/>
        </w:rPr>
        <w:drawing>
          <wp:inline distT="0" distB="0" distL="0" distR="0">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07431A" w:rsidRDefault="0007431A" w:rsidP="0007431A">
      <w:pPr>
        <w:jc w:val="center"/>
      </w:pPr>
      <w:r>
        <w:t xml:space="preserve">(Source: </w:t>
      </w:r>
      <w:r>
        <w:rPr>
          <w:szCs w:val="24"/>
        </w:rPr>
        <w:t>W</w:t>
      </w:r>
      <w:r w:rsidRPr="00FD547D">
        <w:rPr>
          <w:szCs w:val="24"/>
        </w:rPr>
        <w:t>illiamhillplc.com</w:t>
      </w:r>
      <w:r>
        <w:rPr>
          <w:szCs w:val="24"/>
        </w:rPr>
        <w:t xml:space="preserve"> 2018</w:t>
      </w:r>
      <w:r>
        <w:t>)</w:t>
      </w:r>
    </w:p>
    <w:p w:rsidR="00910236" w:rsidRDefault="00910236" w:rsidP="00910236">
      <w:proofErr w:type="spellStart"/>
      <w:r>
        <w:t>Analyzing</w:t>
      </w:r>
      <w:proofErr w:type="spellEnd"/>
      <w:r>
        <w:t xml:space="preserve"> gearing ratios of Paddy Power </w:t>
      </w:r>
      <w:proofErr w:type="spellStart"/>
      <w:r>
        <w:t>Betfair</w:t>
      </w:r>
      <w:proofErr w:type="spellEnd"/>
      <w:r>
        <w:t xml:space="preserve"> Plc:</w:t>
      </w:r>
    </w:p>
    <w:p w:rsidR="00910236" w:rsidRDefault="00910236" w:rsidP="0007431A">
      <w:pPr>
        <w:jc w:val="center"/>
      </w:pPr>
      <w:r w:rsidRPr="00CB3DAD">
        <w:rPr>
          <w:noProof/>
          <w:lang w:eastAsia="en-GB"/>
        </w:rPr>
        <w:lastRenderedPageBreak/>
        <w:drawing>
          <wp:inline distT="0" distB="0" distL="0" distR="0">
            <wp:extent cx="4572000" cy="27432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07431A" w:rsidRDefault="0007431A" w:rsidP="0007431A">
      <w:pPr>
        <w:jc w:val="center"/>
      </w:pPr>
      <w:r>
        <w:t xml:space="preserve">(Source: </w:t>
      </w:r>
      <w:r>
        <w:rPr>
          <w:szCs w:val="24"/>
        </w:rPr>
        <w:t>P</w:t>
      </w:r>
      <w:r w:rsidRPr="00FD547D">
        <w:rPr>
          <w:szCs w:val="24"/>
        </w:rPr>
        <w:t>addypowerbetfair.com</w:t>
      </w:r>
      <w:r>
        <w:rPr>
          <w:szCs w:val="24"/>
        </w:rPr>
        <w:t xml:space="preserve"> 2018</w:t>
      </w:r>
      <w:r>
        <w:t>)</w:t>
      </w:r>
    </w:p>
    <w:p w:rsidR="00910236" w:rsidRDefault="00910236" w:rsidP="00A54A5E">
      <w:pPr>
        <w:ind w:firstLine="720"/>
      </w:pPr>
      <w:r>
        <w:t xml:space="preserve">Considering the gearing ratios of the two companies in the above two diagrams, it can be stated that the performance of Paddy Power </w:t>
      </w:r>
      <w:proofErr w:type="spellStart"/>
      <w:r>
        <w:t>Betfair</w:t>
      </w:r>
      <w:proofErr w:type="spellEnd"/>
      <w:r>
        <w:t xml:space="preserve"> Plc is more attractive to Tim than that of William Hill Plc. it is because the debt to equity ratios of both the companies are indicating that the management of Paddy Power </w:t>
      </w:r>
      <w:proofErr w:type="spellStart"/>
      <w:r>
        <w:t>Betfair</w:t>
      </w:r>
      <w:proofErr w:type="spellEnd"/>
      <w:r>
        <w:t xml:space="preserve"> Plc has included less debt capital in the capital structure of the business; whereas, the management of William Hill Plc has included higher amount of debt capital in the capital structure. It means the capital structure of William Hill Plc is riskier than the capital structure of Paddy Power </w:t>
      </w:r>
      <w:proofErr w:type="spellStart"/>
      <w:r>
        <w:t>Betfair</w:t>
      </w:r>
      <w:proofErr w:type="spellEnd"/>
      <w:r>
        <w:t xml:space="preserve"> Plc. As Tim is risk averse, he will definitely prefer to invest in Paddy Power </w:t>
      </w:r>
      <w:proofErr w:type="spellStart"/>
      <w:r>
        <w:t>Betfair</w:t>
      </w:r>
      <w:proofErr w:type="spellEnd"/>
      <w:r>
        <w:t xml:space="preserve"> Plc because it involves less risk.</w:t>
      </w:r>
    </w:p>
    <w:p w:rsidR="00910236" w:rsidRDefault="00910236" w:rsidP="00A54A5E">
      <w:pPr>
        <w:ind w:firstLine="720"/>
      </w:pPr>
      <w:r>
        <w:t xml:space="preserve">On the other hand, if the debt to assets ratios of the two companies is considered, then it will be again identified that the assets of Paddy Power </w:t>
      </w:r>
      <w:proofErr w:type="spellStart"/>
      <w:r>
        <w:t>Betfair</w:t>
      </w:r>
      <w:proofErr w:type="spellEnd"/>
      <w:r>
        <w:t xml:space="preserve"> Plc was riskier than the assets of William Hill Plc. It is because the management of Paddy Power </w:t>
      </w:r>
      <w:proofErr w:type="spellStart"/>
      <w:r>
        <w:t>Betfair</w:t>
      </w:r>
      <w:proofErr w:type="spellEnd"/>
      <w:r>
        <w:t xml:space="preserve"> Plc has used less debt capital while purchasing the total assets of the company; whereas, the management of William Hill Plc has used debt capital to purchase the assets of the company higher than Paddy Power </w:t>
      </w:r>
      <w:proofErr w:type="spellStart"/>
      <w:r>
        <w:t>Betfair</w:t>
      </w:r>
      <w:proofErr w:type="spellEnd"/>
      <w:r>
        <w:t xml:space="preserve"> Plc. Using higher amount of debt capital, the management of William Hill Plc has increased the liabilities of the business and due to that the liquidity and solvency positions of the business have been hampered badly. Therefore, from this point of view again Paddy Power </w:t>
      </w:r>
      <w:proofErr w:type="spellStart"/>
      <w:r>
        <w:t>Betfair</w:t>
      </w:r>
      <w:proofErr w:type="spellEnd"/>
      <w:r>
        <w:t xml:space="preserve"> Plc is more attractive to Tim than William Hill Plc.</w:t>
      </w:r>
    </w:p>
    <w:p w:rsidR="00040322" w:rsidRDefault="00040322" w:rsidP="00910236"/>
    <w:p w:rsidR="00040322" w:rsidRDefault="00040322" w:rsidP="00910236"/>
    <w:p w:rsidR="00910236" w:rsidRDefault="00910236" w:rsidP="00910236">
      <w:r>
        <w:lastRenderedPageBreak/>
        <w:t>Investor ratios:</w:t>
      </w:r>
    </w:p>
    <w:p w:rsidR="00910236" w:rsidRDefault="00910236" w:rsidP="00A54A5E">
      <w:pPr>
        <w:ind w:firstLine="720"/>
      </w:pPr>
      <w:r>
        <w:t>Investor ratios are also very important because these ratios indicate to what extent the share of a company is attractive in the market. At the same time, it can also be stated that investor ratios of a business indicates how far the company is able to satisfy its shareholders and investors</w:t>
      </w:r>
      <w:r w:rsidR="0007431A">
        <w:t xml:space="preserve"> (</w:t>
      </w:r>
      <w:r w:rsidR="0007431A">
        <w:rPr>
          <w:color w:val="222222"/>
          <w:szCs w:val="24"/>
          <w:shd w:val="clear" w:color="auto" w:fill="FFFFFF"/>
        </w:rPr>
        <w:t>Warren</w:t>
      </w:r>
      <w:r w:rsidR="0007431A" w:rsidRPr="00FD547D">
        <w:rPr>
          <w:color w:val="222222"/>
          <w:szCs w:val="24"/>
          <w:shd w:val="clear" w:color="auto" w:fill="FFFFFF"/>
        </w:rPr>
        <w:t xml:space="preserve"> and Jones</w:t>
      </w:r>
      <w:r w:rsidR="0007431A">
        <w:rPr>
          <w:color w:val="222222"/>
          <w:szCs w:val="24"/>
          <w:shd w:val="clear" w:color="auto" w:fill="FFFFFF"/>
        </w:rPr>
        <w:t xml:space="preserve"> 2017</w:t>
      </w:r>
      <w:r w:rsidR="0007431A">
        <w:t>)</w:t>
      </w:r>
      <w:r>
        <w:t xml:space="preserve">. If the investor ratios are high, it is considered that the company is able to satisfy its shareholders in a better way and vice-versa. The ups and down in the share prices or performances in the shares can also be understood by </w:t>
      </w:r>
      <w:proofErr w:type="spellStart"/>
      <w:r>
        <w:t>analyzing</w:t>
      </w:r>
      <w:proofErr w:type="spellEnd"/>
      <w:r>
        <w:t xml:space="preserve"> the investor ratios. Therefore, it can be stated that </w:t>
      </w:r>
      <w:proofErr w:type="spellStart"/>
      <w:r>
        <w:t>analyzing</w:t>
      </w:r>
      <w:proofErr w:type="spellEnd"/>
      <w:r>
        <w:t xml:space="preserve"> investor ratios is very crucial for making investment decisions.</w:t>
      </w:r>
    </w:p>
    <w:p w:rsidR="00910236" w:rsidRDefault="00910236" w:rsidP="00910236">
      <w:proofErr w:type="spellStart"/>
      <w:r>
        <w:t>Analyzing</w:t>
      </w:r>
      <w:proofErr w:type="spellEnd"/>
      <w:r>
        <w:t xml:space="preserve"> investor ratios of William Hill Plc:</w:t>
      </w:r>
    </w:p>
    <w:p w:rsidR="00910236" w:rsidRDefault="00910236" w:rsidP="0007431A">
      <w:pPr>
        <w:jc w:val="center"/>
      </w:pPr>
      <w:r w:rsidRPr="0087793C">
        <w:rPr>
          <w:noProof/>
          <w:lang w:eastAsia="en-GB"/>
        </w:rPr>
        <w:drawing>
          <wp:inline distT="0" distB="0" distL="0" distR="0">
            <wp:extent cx="4572000" cy="27432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07431A" w:rsidRDefault="0007431A" w:rsidP="0007431A">
      <w:pPr>
        <w:jc w:val="center"/>
      </w:pPr>
      <w:r>
        <w:t xml:space="preserve">(Source: </w:t>
      </w:r>
      <w:r>
        <w:rPr>
          <w:szCs w:val="24"/>
        </w:rPr>
        <w:t>W</w:t>
      </w:r>
      <w:r w:rsidRPr="00FD547D">
        <w:rPr>
          <w:szCs w:val="24"/>
        </w:rPr>
        <w:t>illiamhillplc.com</w:t>
      </w:r>
      <w:r>
        <w:rPr>
          <w:szCs w:val="24"/>
        </w:rPr>
        <w:t xml:space="preserve"> 2018</w:t>
      </w:r>
      <w:r>
        <w:t>)</w:t>
      </w:r>
    </w:p>
    <w:p w:rsidR="00910236" w:rsidRDefault="00910236" w:rsidP="00910236">
      <w:proofErr w:type="spellStart"/>
      <w:r>
        <w:t>Analyzing</w:t>
      </w:r>
      <w:proofErr w:type="spellEnd"/>
      <w:r>
        <w:t xml:space="preserve"> investor ratios of Paddy Power </w:t>
      </w:r>
      <w:proofErr w:type="spellStart"/>
      <w:r>
        <w:t>Betfair</w:t>
      </w:r>
      <w:proofErr w:type="spellEnd"/>
      <w:r>
        <w:t xml:space="preserve"> Plc:</w:t>
      </w:r>
    </w:p>
    <w:p w:rsidR="00910236" w:rsidRDefault="00910236" w:rsidP="0007431A">
      <w:pPr>
        <w:jc w:val="center"/>
      </w:pPr>
      <w:r w:rsidRPr="0087793C">
        <w:rPr>
          <w:noProof/>
          <w:lang w:eastAsia="en-GB"/>
        </w:rPr>
        <w:lastRenderedPageBreak/>
        <w:drawing>
          <wp:inline distT="0" distB="0" distL="0" distR="0">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07431A" w:rsidRDefault="0007431A" w:rsidP="0007431A">
      <w:pPr>
        <w:jc w:val="center"/>
      </w:pPr>
      <w:r>
        <w:t xml:space="preserve">(Source: </w:t>
      </w:r>
      <w:r>
        <w:rPr>
          <w:szCs w:val="24"/>
        </w:rPr>
        <w:t>P</w:t>
      </w:r>
      <w:r w:rsidRPr="00FD547D">
        <w:rPr>
          <w:szCs w:val="24"/>
        </w:rPr>
        <w:t>addypowerbetfair.com</w:t>
      </w:r>
      <w:r>
        <w:rPr>
          <w:szCs w:val="24"/>
        </w:rPr>
        <w:t xml:space="preserve"> 2018</w:t>
      </w:r>
      <w:r>
        <w:t>)</w:t>
      </w:r>
    </w:p>
    <w:p w:rsidR="00910236" w:rsidRDefault="00910236" w:rsidP="00A54A5E">
      <w:pPr>
        <w:ind w:firstLine="720"/>
      </w:pPr>
      <w:r>
        <w:t xml:space="preserve">Considering the investor ratios of the two companies, again it can be stated that the performance of Paddy Power </w:t>
      </w:r>
      <w:proofErr w:type="spellStart"/>
      <w:r>
        <w:t>Betfair</w:t>
      </w:r>
      <w:proofErr w:type="spellEnd"/>
      <w:r>
        <w:t xml:space="preserve"> Plc was better than the performance of William Hill Plc. Considering the EPS of the two companies are clearly indicating that from 2016 to 2017, the EPS of Paddy Power </w:t>
      </w:r>
      <w:proofErr w:type="spellStart"/>
      <w:r>
        <w:t>Betfair</w:t>
      </w:r>
      <w:proofErr w:type="spellEnd"/>
      <w:r>
        <w:t xml:space="preserve"> Plc has increased; whereas, the EPS of William Hill Plc has decreased. It means the Paddy Power </w:t>
      </w:r>
      <w:proofErr w:type="spellStart"/>
      <w:r>
        <w:t>Betfair</w:t>
      </w:r>
      <w:proofErr w:type="spellEnd"/>
      <w:r>
        <w:t xml:space="preserve"> Plc has satisfied the shareholders and investors more than William Hill Plc. Moreover, it can also be stated that the share of Paddy Power </w:t>
      </w:r>
      <w:proofErr w:type="spellStart"/>
      <w:r>
        <w:t>Betfair</w:t>
      </w:r>
      <w:proofErr w:type="spellEnd"/>
      <w:r>
        <w:t xml:space="preserve"> Plc has performed better than the share of William Hill Plc.</w:t>
      </w:r>
    </w:p>
    <w:p w:rsidR="00910236" w:rsidRDefault="00910236" w:rsidP="00A54A5E">
      <w:pPr>
        <w:ind w:firstLine="720"/>
      </w:pPr>
      <w:r>
        <w:t xml:space="preserve">On the other hand, considering the P/E Ratios of the two companies, it can be stated that the performance of Paddy Power </w:t>
      </w:r>
      <w:proofErr w:type="spellStart"/>
      <w:r>
        <w:t>Betfair</w:t>
      </w:r>
      <w:proofErr w:type="spellEnd"/>
      <w:r>
        <w:t xml:space="preserve"> Plc was much better than that of William Hill Plc. it means the value of Paddy Power </w:t>
      </w:r>
      <w:proofErr w:type="spellStart"/>
      <w:r>
        <w:t>Betfair</w:t>
      </w:r>
      <w:proofErr w:type="spellEnd"/>
      <w:r>
        <w:t xml:space="preserve"> Plc’s share was higher than the other company that is William Hill Plc. It is clearly showing that the investment in the shares of Paddy Power </w:t>
      </w:r>
      <w:proofErr w:type="spellStart"/>
      <w:r>
        <w:t>Betfair</w:t>
      </w:r>
      <w:proofErr w:type="spellEnd"/>
      <w:r>
        <w:t xml:space="preserve"> Plc will be more profitable to Tim than that of investment in William Hill Plc. </w:t>
      </w:r>
    </w:p>
    <w:p w:rsidR="00910236" w:rsidRDefault="00910236" w:rsidP="00A54A5E">
      <w:pPr>
        <w:ind w:firstLine="720"/>
      </w:pPr>
      <w:r>
        <w:t xml:space="preserve">In the above discussion and analysis, it has been identified that there are some differences between the financial performances of the companies that are Paddy Power </w:t>
      </w:r>
      <w:proofErr w:type="spellStart"/>
      <w:r>
        <w:t>Betfair</w:t>
      </w:r>
      <w:proofErr w:type="spellEnd"/>
      <w:r>
        <w:t xml:space="preserve"> Plc and William Hill Plc. Considering the differences between the financial performances of the two companies, it can be easily stated that the Paddy Power </w:t>
      </w:r>
      <w:proofErr w:type="spellStart"/>
      <w:r>
        <w:t>Betfair</w:t>
      </w:r>
      <w:proofErr w:type="spellEnd"/>
      <w:r>
        <w:t xml:space="preserve"> Plc has performed better than that of William Hill Plc.</w:t>
      </w:r>
    </w:p>
    <w:p w:rsidR="00910236" w:rsidRDefault="00095627" w:rsidP="00095627">
      <w:pPr>
        <w:pStyle w:val="Heading1"/>
      </w:pPr>
      <w:bookmarkStart w:id="4" w:name="_Toc512979919"/>
      <w:r>
        <w:lastRenderedPageBreak/>
        <w:t xml:space="preserve">b. </w:t>
      </w:r>
      <w:r w:rsidR="00910236">
        <w:t>Recommendation to Tim</w:t>
      </w:r>
      <w:bookmarkEnd w:id="4"/>
      <w:r w:rsidR="00910236">
        <w:t xml:space="preserve"> </w:t>
      </w:r>
    </w:p>
    <w:p w:rsidR="00910236" w:rsidRDefault="00910236" w:rsidP="00A54A5E">
      <w:pPr>
        <w:ind w:firstLine="720"/>
      </w:pPr>
      <w:r>
        <w:t xml:space="preserve">If the above analysis of the financial ratios of the company is considered, it can be stated that the financial performance of Paddy Power </w:t>
      </w:r>
      <w:proofErr w:type="spellStart"/>
      <w:r>
        <w:t>Betfair</w:t>
      </w:r>
      <w:proofErr w:type="spellEnd"/>
      <w:r>
        <w:t xml:space="preserve"> Plc was better than William Hill Plc in the last three financial years. The risk level in the business of Paddy Power </w:t>
      </w:r>
      <w:proofErr w:type="spellStart"/>
      <w:r>
        <w:t>Betfair</w:t>
      </w:r>
      <w:proofErr w:type="spellEnd"/>
      <w:r>
        <w:t xml:space="preserve"> Plc was low because the company used lesser amount of debt capital. If the particular case of Tim is considered, it can be identified that Tim is a risk adverse person. It means, Tim will never prefer to invest in such a company in which the risk level is high. However, in this context, it is important to be mentioned that if the risk is low, return is also low</w:t>
      </w:r>
      <w:r w:rsidR="0007431A">
        <w:t xml:space="preserve"> (</w:t>
      </w:r>
      <w:proofErr w:type="spellStart"/>
      <w:r w:rsidR="0007431A">
        <w:rPr>
          <w:color w:val="222222"/>
          <w:szCs w:val="24"/>
          <w:shd w:val="clear" w:color="auto" w:fill="FFFFFF"/>
        </w:rPr>
        <w:t>Minnis</w:t>
      </w:r>
      <w:proofErr w:type="spellEnd"/>
      <w:r w:rsidR="0007431A" w:rsidRPr="00FD547D">
        <w:rPr>
          <w:color w:val="222222"/>
          <w:szCs w:val="24"/>
          <w:shd w:val="clear" w:color="auto" w:fill="FFFFFF"/>
        </w:rPr>
        <w:t xml:space="preserve"> and Sutherland</w:t>
      </w:r>
      <w:r w:rsidR="0007431A">
        <w:rPr>
          <w:color w:val="222222"/>
          <w:szCs w:val="24"/>
          <w:shd w:val="clear" w:color="auto" w:fill="FFFFFF"/>
        </w:rPr>
        <w:t xml:space="preserve"> 2017</w:t>
      </w:r>
      <w:r w:rsidR="0007431A">
        <w:t>)</w:t>
      </w:r>
      <w:r>
        <w:t xml:space="preserve">. Therefore, it can be stated that if Tim invest in a company with low risk, he will not be able to gain higher amount of money in the future. On the other hand, it can also be considered that between Paddy Power </w:t>
      </w:r>
      <w:proofErr w:type="spellStart"/>
      <w:r>
        <w:t>Betfair</w:t>
      </w:r>
      <w:proofErr w:type="spellEnd"/>
      <w:r>
        <w:t xml:space="preserve"> Plc and William Hill Plc, the profitability is higher in Paddy Power </w:t>
      </w:r>
      <w:proofErr w:type="spellStart"/>
      <w:r>
        <w:t>Betfair</w:t>
      </w:r>
      <w:proofErr w:type="spellEnd"/>
      <w:r>
        <w:t xml:space="preserve"> Plc. It means the company has more capacity to pay higher percentage of return to the investors.</w:t>
      </w:r>
    </w:p>
    <w:p w:rsidR="00910236" w:rsidRDefault="00910236" w:rsidP="00A54A5E">
      <w:pPr>
        <w:ind w:firstLine="720"/>
      </w:pPr>
      <w:r>
        <w:t xml:space="preserve">If the concentration is made on the liquidity condition, it can also be noticed that the liquidity of Paddy Power </w:t>
      </w:r>
      <w:proofErr w:type="spellStart"/>
      <w:r>
        <w:t>Betfair</w:t>
      </w:r>
      <w:proofErr w:type="spellEnd"/>
      <w:r>
        <w:t xml:space="preserve"> Plc was low during the last three years. However, compared to Paddy Power </w:t>
      </w:r>
      <w:proofErr w:type="spellStart"/>
      <w:r>
        <w:t>Betfair</w:t>
      </w:r>
      <w:proofErr w:type="spellEnd"/>
      <w:r>
        <w:t xml:space="preserve"> Plc, liquidity of William Hill was lower. It means sustainability of William Hill Plc is more at a risk. Therefore, from the overall analysis, it can be stated that Paddy Power </w:t>
      </w:r>
      <w:proofErr w:type="spellStart"/>
      <w:r>
        <w:t>Betfair</w:t>
      </w:r>
      <w:proofErr w:type="spellEnd"/>
      <w:r>
        <w:t xml:space="preserve"> Plc is the more suitable investment option for Tim.</w:t>
      </w:r>
    </w:p>
    <w:p w:rsidR="00910236" w:rsidRDefault="00910236" w:rsidP="00A54A5E">
      <w:pPr>
        <w:ind w:firstLine="720"/>
      </w:pPr>
      <w:r>
        <w:t xml:space="preserve">However, it is also important to be mentioned that though the financial performance of Paddy Power </w:t>
      </w:r>
      <w:proofErr w:type="spellStart"/>
      <w:r>
        <w:t>Betfair</w:t>
      </w:r>
      <w:proofErr w:type="spellEnd"/>
      <w:r>
        <w:t xml:space="preserve"> Plc was better than the financial performance of William Hill Plc, it must be noted that there were instability in the financial performance of the company. In 2015 the performance of the company was at a standard level; however, in 2016, financial performance of Paddy Power </w:t>
      </w:r>
      <w:proofErr w:type="spellStart"/>
      <w:r>
        <w:t>Betfair</w:t>
      </w:r>
      <w:proofErr w:type="spellEnd"/>
      <w:r>
        <w:t xml:space="preserve"> Plc declined by higher proportion. Huge loss was faced by the company, which affected the financial position of Paddy Power </w:t>
      </w:r>
      <w:proofErr w:type="spellStart"/>
      <w:r>
        <w:t>Betfair</w:t>
      </w:r>
      <w:proofErr w:type="spellEnd"/>
      <w:r>
        <w:t xml:space="preserve"> Plc badly. Moreover, in none of the years, the company has achieved the financial results as per the industry standard. There were several loopholes in the financial performance of the company.</w:t>
      </w:r>
    </w:p>
    <w:p w:rsidR="00910236" w:rsidRDefault="00910236" w:rsidP="00A54A5E">
      <w:pPr>
        <w:ind w:firstLine="720"/>
      </w:pPr>
      <w:r>
        <w:t xml:space="preserve">Therefore, considering the overall financial performance of Paddy Power </w:t>
      </w:r>
      <w:proofErr w:type="spellStart"/>
      <w:r>
        <w:t>Betfair</w:t>
      </w:r>
      <w:proofErr w:type="spellEnd"/>
      <w:r>
        <w:t xml:space="preserve"> Plc and William Hill Plc and considering the requirements of Tim, it must be stated that it will be better to invest in Paddy Power </w:t>
      </w:r>
      <w:proofErr w:type="spellStart"/>
      <w:r>
        <w:t>Betfair</w:t>
      </w:r>
      <w:proofErr w:type="spellEnd"/>
      <w:r>
        <w:t xml:space="preserve"> Plc. However, Tim must not make huge amount of investment in this company because of the instable performance record of the business.</w:t>
      </w:r>
    </w:p>
    <w:p w:rsidR="00910236" w:rsidRDefault="00910236" w:rsidP="001F3BFE">
      <w:pPr>
        <w:pStyle w:val="Heading1"/>
      </w:pPr>
      <w:bookmarkStart w:id="5" w:name="_Toc512979920"/>
      <w:r>
        <w:lastRenderedPageBreak/>
        <w:t>Conclusion</w:t>
      </w:r>
      <w:bookmarkEnd w:id="5"/>
    </w:p>
    <w:p w:rsidR="006311C7" w:rsidRDefault="00910236" w:rsidP="00A54A5E">
      <w:pPr>
        <w:ind w:firstLine="720"/>
      </w:pPr>
      <w:r>
        <w:t xml:space="preserve">The discussion in this study has indicated that the financial performances of the two companies were not so attractive during the last three years. However, the performance of Paddy Power </w:t>
      </w:r>
      <w:proofErr w:type="spellStart"/>
      <w:r>
        <w:t>Betfair</w:t>
      </w:r>
      <w:proofErr w:type="spellEnd"/>
      <w:r>
        <w:t xml:space="preserve"> Plc was better than the performance of William Hill Plc. As Tim is a risk adverse person, the study has suggested Tim to invest his funds in Paddy Power </w:t>
      </w:r>
      <w:proofErr w:type="spellStart"/>
      <w:r>
        <w:t>Betfair</w:t>
      </w:r>
      <w:proofErr w:type="spellEnd"/>
      <w:r>
        <w:t xml:space="preserve"> Plc because the risk level in this business is low and at the same time, the financial performance of the company is much better than William Hill.</w:t>
      </w:r>
    </w:p>
    <w:p w:rsidR="0007431A" w:rsidRDefault="0007431A">
      <w:pPr>
        <w:spacing w:line="276" w:lineRule="auto"/>
        <w:jc w:val="left"/>
      </w:pPr>
      <w:r>
        <w:br w:type="page"/>
      </w:r>
    </w:p>
    <w:p w:rsidR="007C367B" w:rsidRDefault="007C367B" w:rsidP="007C367B">
      <w:pPr>
        <w:pStyle w:val="Heading1"/>
      </w:pPr>
      <w:bookmarkStart w:id="6" w:name="_Toc511943446"/>
      <w:bookmarkStart w:id="7" w:name="_Toc512979921"/>
      <w:r>
        <w:lastRenderedPageBreak/>
        <w:t>Section B</w:t>
      </w:r>
      <w:bookmarkEnd w:id="6"/>
      <w:bookmarkEnd w:id="7"/>
    </w:p>
    <w:p w:rsidR="007C367B" w:rsidRDefault="007C367B" w:rsidP="007C367B">
      <w:pPr>
        <w:pStyle w:val="Heading1"/>
      </w:pPr>
      <w:bookmarkStart w:id="8" w:name="_Toc511943447"/>
      <w:bookmarkStart w:id="9" w:name="_Toc512979922"/>
      <w:r>
        <w:t>Introduction</w:t>
      </w:r>
      <w:bookmarkEnd w:id="8"/>
      <w:bookmarkEnd w:id="9"/>
    </w:p>
    <w:p w:rsidR="007C367B" w:rsidRDefault="007C367B" w:rsidP="007C367B">
      <w:r>
        <w:t xml:space="preserve">Investment appraisal plays a major role in the process of making investment decision. There are several investment appraisal techniques that are generally used by the investors. Some of the investment appraisal techniques are – NPV, IRR, ARR and payback period. In this study, discussion has been made on the investment appraisal techniques and there usability in respect to the business to the business of Patel </w:t>
      </w:r>
      <w:proofErr w:type="spellStart"/>
      <w:r>
        <w:t>Mintro</w:t>
      </w:r>
      <w:proofErr w:type="spellEnd"/>
      <w:r>
        <w:t>.</w:t>
      </w:r>
    </w:p>
    <w:p w:rsidR="007C367B" w:rsidRDefault="007C367B" w:rsidP="007C367B">
      <w:pPr>
        <w:pStyle w:val="Heading1"/>
      </w:pPr>
      <w:bookmarkStart w:id="10" w:name="_Toc511943448"/>
      <w:bookmarkStart w:id="11" w:name="_Toc512979923"/>
      <w:r>
        <w:t xml:space="preserve">a. </w:t>
      </w:r>
      <w:r w:rsidRPr="005D3409">
        <w:t>Determine the Payback and the Net Present Value (NPV) of the two proposals. Use a discount rate of 7% for the NPV calculation</w:t>
      </w:r>
      <w:bookmarkEnd w:id="10"/>
      <w:bookmarkEnd w:id="11"/>
    </w:p>
    <w:p w:rsidR="007C367B" w:rsidRDefault="007C367B" w:rsidP="007C367B">
      <w:r>
        <w:t xml:space="preserve">While making any investment decision, it is important to </w:t>
      </w:r>
      <w:proofErr w:type="spellStart"/>
      <w:r>
        <w:t>analyze</w:t>
      </w:r>
      <w:proofErr w:type="spellEnd"/>
      <w:r>
        <w:t xml:space="preserve"> the investment option using different investment appraisal techniques. The investment appraisal techniques make the investment decision easier for the management or the business or for the individual investors (</w:t>
      </w:r>
      <w:r>
        <w:rPr>
          <w:szCs w:val="24"/>
        </w:rPr>
        <w:t>Li</w:t>
      </w:r>
      <w:r w:rsidRPr="00B51CAA">
        <w:rPr>
          <w:szCs w:val="24"/>
        </w:rPr>
        <w:t xml:space="preserve"> and </w:t>
      </w:r>
      <w:proofErr w:type="spellStart"/>
      <w:r w:rsidRPr="00B51CAA">
        <w:rPr>
          <w:szCs w:val="24"/>
        </w:rPr>
        <w:t>Trutnevyte</w:t>
      </w:r>
      <w:proofErr w:type="spellEnd"/>
      <w:r>
        <w:rPr>
          <w:szCs w:val="24"/>
        </w:rPr>
        <w:t xml:space="preserve"> 2017</w:t>
      </w:r>
      <w:r>
        <w:t xml:space="preserve">). There are different types of investment appraisal techniques available to Patel </w:t>
      </w:r>
      <w:proofErr w:type="spellStart"/>
      <w:r>
        <w:t>Mintro</w:t>
      </w:r>
      <w:proofErr w:type="spellEnd"/>
      <w:r>
        <w:t xml:space="preserve"> for making the particular investment decision that whether he should invest in project A or he should invest in project B. Payback period method and Net present value method are the two most useful investment appraisal method that Patel </w:t>
      </w:r>
      <w:proofErr w:type="spellStart"/>
      <w:r>
        <w:t>Mintro</w:t>
      </w:r>
      <w:proofErr w:type="spellEnd"/>
      <w:r>
        <w:t xml:space="preserve"> can use while making the investment decision. The investment of Patel </w:t>
      </w:r>
      <w:proofErr w:type="spellStart"/>
      <w:r>
        <w:t>Mintro</w:t>
      </w:r>
      <w:proofErr w:type="spellEnd"/>
      <w:r>
        <w:t xml:space="preserve"> in respect to project A and project B is </w:t>
      </w:r>
      <w:proofErr w:type="spellStart"/>
      <w:r>
        <w:t>analyzed</w:t>
      </w:r>
      <w:proofErr w:type="spellEnd"/>
      <w:r>
        <w:t xml:space="preserve"> below using payback period method and net present value method.</w:t>
      </w:r>
    </w:p>
    <w:p w:rsidR="007C367B" w:rsidRDefault="007C367B" w:rsidP="007C367B">
      <w:r w:rsidRPr="00BE4D57">
        <w:rPr>
          <w:b/>
          <w:i/>
        </w:rPr>
        <w:t>Payback period method –</w:t>
      </w:r>
      <w:r>
        <w:t xml:space="preserve"> Payback period method </w:t>
      </w:r>
      <w:proofErr w:type="spellStart"/>
      <w:r>
        <w:t>analyzes</w:t>
      </w:r>
      <w:proofErr w:type="spellEnd"/>
      <w:r>
        <w:t xml:space="preserve"> the investment options by identifying the time span or the number of years that the project or investment option will take to payback the initial investment of the company or the investor (</w:t>
      </w:r>
      <w:r w:rsidRPr="00B51CAA">
        <w:rPr>
          <w:szCs w:val="24"/>
        </w:rPr>
        <w:t>Hicks</w:t>
      </w:r>
      <w:r>
        <w:rPr>
          <w:szCs w:val="24"/>
        </w:rPr>
        <w:t xml:space="preserve"> 2017</w:t>
      </w:r>
      <w:r>
        <w:t xml:space="preserve">). Calculation of payback period is easy and universally accepted. In order to </w:t>
      </w:r>
      <w:proofErr w:type="spellStart"/>
      <w:r>
        <w:t>analyze</w:t>
      </w:r>
      <w:proofErr w:type="spellEnd"/>
      <w:r>
        <w:t xml:space="preserve"> the project using the payback period method, the following formula is needed to be followed:</w:t>
      </w:r>
    </w:p>
    <w:p w:rsidR="007C367B" w:rsidRDefault="007C367B" w:rsidP="007C367B">
      <w:r>
        <w:t>Payback period method = Initial investment / Average annual net cash inflow</w:t>
      </w:r>
    </w:p>
    <w:p w:rsidR="007C367B" w:rsidRDefault="007C367B" w:rsidP="007C367B">
      <w:r>
        <w:t>Therefore, payback period of project A = £160000 / £48333 = 3.31 years</w:t>
      </w:r>
    </w:p>
    <w:p w:rsidR="007C367B" w:rsidRDefault="007C367B" w:rsidP="007C367B">
      <w:r>
        <w:t>Therefore, payback period of project B = £220000 / £61667 = 3.57 years</w:t>
      </w:r>
    </w:p>
    <w:p w:rsidR="007C367B" w:rsidRDefault="007C367B" w:rsidP="007C367B">
      <w:r>
        <w:t xml:space="preserve">Considering the above calculations of the payback periods for project A and project B, it can be stated that the project A will be able to return the investment money of Patel </w:t>
      </w:r>
      <w:proofErr w:type="spellStart"/>
      <w:r>
        <w:t>Mintro</w:t>
      </w:r>
      <w:proofErr w:type="spellEnd"/>
      <w:r>
        <w:t xml:space="preserve"> quicker </w:t>
      </w:r>
      <w:r>
        <w:lastRenderedPageBreak/>
        <w:t>than project B. Therefore, from the point of view of payback period, project A is more suitable than project B.</w:t>
      </w:r>
    </w:p>
    <w:p w:rsidR="007C367B" w:rsidRDefault="007C367B" w:rsidP="007C367B">
      <w:r w:rsidRPr="00BE4D57">
        <w:rPr>
          <w:b/>
          <w:i/>
        </w:rPr>
        <w:t>Net Present Value method –</w:t>
      </w:r>
      <w:r>
        <w:t xml:space="preserve"> This is another most effective method of investment appraisal. Under this particular method, the investment options or projects are </w:t>
      </w:r>
      <w:proofErr w:type="spellStart"/>
      <w:r>
        <w:t>analyzed</w:t>
      </w:r>
      <w:proofErr w:type="spellEnd"/>
      <w:r>
        <w:t xml:space="preserve"> by considering the profitability factor and time value of money (</w:t>
      </w:r>
      <w:proofErr w:type="spellStart"/>
      <w:r w:rsidRPr="00B51CAA">
        <w:rPr>
          <w:szCs w:val="24"/>
        </w:rPr>
        <w:t>Kengathara</w:t>
      </w:r>
      <w:r>
        <w:rPr>
          <w:szCs w:val="24"/>
        </w:rPr>
        <w:t>n</w:t>
      </w:r>
      <w:proofErr w:type="spellEnd"/>
      <w:r w:rsidRPr="00B51CAA">
        <w:rPr>
          <w:szCs w:val="24"/>
        </w:rPr>
        <w:t xml:space="preserve"> and </w:t>
      </w:r>
      <w:proofErr w:type="spellStart"/>
      <w:r w:rsidRPr="00B51CAA">
        <w:rPr>
          <w:szCs w:val="24"/>
        </w:rPr>
        <w:t>Clamenthu</w:t>
      </w:r>
      <w:proofErr w:type="spellEnd"/>
      <w:r>
        <w:rPr>
          <w:szCs w:val="24"/>
        </w:rPr>
        <w:t xml:space="preserve"> 2017</w:t>
      </w:r>
      <w:r>
        <w:t xml:space="preserve">). This method is bit critical than the payback period method. In order to </w:t>
      </w:r>
      <w:proofErr w:type="spellStart"/>
      <w:r>
        <w:t>analyze</w:t>
      </w:r>
      <w:proofErr w:type="spellEnd"/>
      <w:r>
        <w:t xml:space="preserve"> the investment options using the net present value method, the following formula needs to be prepared:</w:t>
      </w:r>
    </w:p>
    <w:p w:rsidR="007C367B" w:rsidRDefault="007C367B" w:rsidP="007C367B">
      <w:r>
        <w:t>NPV = C</w:t>
      </w:r>
      <w:r w:rsidRPr="00D55819">
        <w:rPr>
          <w:vertAlign w:val="subscript"/>
        </w:rPr>
        <w:t>0</w:t>
      </w:r>
      <w:r>
        <w:t xml:space="preserve"> + {C</w:t>
      </w:r>
      <w:r w:rsidRPr="00D55819">
        <w:rPr>
          <w:vertAlign w:val="subscript"/>
        </w:rPr>
        <w:t>1</w:t>
      </w:r>
      <w:r>
        <w:t xml:space="preserve"> / (1 + r</w:t>
      </w:r>
      <w:proofErr w:type="gramStart"/>
      <w:r>
        <w:t>)</w:t>
      </w:r>
      <w:r w:rsidRPr="00D55819">
        <w:rPr>
          <w:vertAlign w:val="superscript"/>
        </w:rPr>
        <w:t>1</w:t>
      </w:r>
      <w:proofErr w:type="gramEnd"/>
      <w:r>
        <w:t>} + {C</w:t>
      </w:r>
      <w:r>
        <w:rPr>
          <w:vertAlign w:val="subscript"/>
        </w:rPr>
        <w:t>2</w:t>
      </w:r>
      <w:r>
        <w:t xml:space="preserve"> / (1 + r)</w:t>
      </w:r>
      <w:r>
        <w:rPr>
          <w:vertAlign w:val="superscript"/>
        </w:rPr>
        <w:t>2</w:t>
      </w:r>
      <w:r>
        <w:t>} + …… {C</w:t>
      </w:r>
      <w:r>
        <w:rPr>
          <w:vertAlign w:val="subscript"/>
        </w:rPr>
        <w:t>n</w:t>
      </w:r>
      <w:r>
        <w:t xml:space="preserve"> / (1 + r</w:t>
      </w:r>
      <w:proofErr w:type="gramStart"/>
      <w:r>
        <w:t>)</w:t>
      </w:r>
      <w:r>
        <w:rPr>
          <w:vertAlign w:val="superscript"/>
        </w:rPr>
        <w:t>n</w:t>
      </w:r>
      <w:proofErr w:type="gramEnd"/>
      <w:r>
        <w:t>}</w:t>
      </w:r>
    </w:p>
    <w:p w:rsidR="007C367B" w:rsidRDefault="007C367B" w:rsidP="007C367B">
      <w:r>
        <w:t>Where, C</w:t>
      </w:r>
      <w:r w:rsidRPr="00D55819">
        <w:rPr>
          <w:vertAlign w:val="subscript"/>
        </w:rPr>
        <w:t>0</w:t>
      </w:r>
      <w:r>
        <w:rPr>
          <w:vertAlign w:val="subscript"/>
        </w:rPr>
        <w:t xml:space="preserve"> </w:t>
      </w:r>
      <w:r>
        <w:t>= Initial cash outflow for the project</w:t>
      </w:r>
    </w:p>
    <w:p w:rsidR="007C367B" w:rsidRDefault="007C367B" w:rsidP="007C367B">
      <w:r>
        <w:t>C = Cash inflow in every year</w:t>
      </w:r>
    </w:p>
    <w:p w:rsidR="007C367B" w:rsidRDefault="007C367B" w:rsidP="007C367B">
      <w:r>
        <w:t>r = Cost of capital or discounting rate</w:t>
      </w:r>
    </w:p>
    <w:p w:rsidR="007C367B" w:rsidRDefault="007C367B" w:rsidP="007C367B">
      <w:r>
        <w:t>n = Total number of years</w:t>
      </w:r>
    </w:p>
    <w:p w:rsidR="007C367B" w:rsidRDefault="007C367B" w:rsidP="007C367B">
      <w:r>
        <w:t>Therefore, the net present value of project A is as follows:</w:t>
      </w:r>
    </w:p>
    <w:tbl>
      <w:tblPr>
        <w:tblStyle w:val="TableGrid"/>
        <w:tblW w:w="0" w:type="auto"/>
        <w:jc w:val="center"/>
        <w:tblLook w:val="04A0" w:firstRow="1" w:lastRow="0" w:firstColumn="1" w:lastColumn="0" w:noHBand="0" w:noVBand="1"/>
      </w:tblPr>
      <w:tblGrid>
        <w:gridCol w:w="2380"/>
        <w:gridCol w:w="1460"/>
      </w:tblGrid>
      <w:tr w:rsidR="007C367B" w:rsidRPr="00E133D3" w:rsidTr="001A22F4">
        <w:trPr>
          <w:trHeight w:val="315"/>
          <w:jc w:val="center"/>
        </w:trPr>
        <w:tc>
          <w:tcPr>
            <w:tcW w:w="2380" w:type="dxa"/>
            <w:noWrap/>
            <w:hideMark/>
          </w:tcPr>
          <w:p w:rsidR="007C367B" w:rsidRPr="00E133D3" w:rsidRDefault="007C367B" w:rsidP="001A22F4">
            <w:r w:rsidRPr="00E133D3">
              <w:t> </w:t>
            </w:r>
          </w:p>
        </w:tc>
        <w:tc>
          <w:tcPr>
            <w:tcW w:w="1460" w:type="dxa"/>
            <w:noWrap/>
            <w:hideMark/>
          </w:tcPr>
          <w:p w:rsidR="007C367B" w:rsidRPr="00E133D3" w:rsidRDefault="007C367B" w:rsidP="001A22F4">
            <w:r w:rsidRPr="00E133D3">
              <w:t>Project A in £</w:t>
            </w:r>
          </w:p>
        </w:tc>
      </w:tr>
      <w:tr w:rsidR="007C367B" w:rsidRPr="00E133D3" w:rsidTr="001A22F4">
        <w:trPr>
          <w:trHeight w:val="315"/>
          <w:jc w:val="center"/>
        </w:trPr>
        <w:tc>
          <w:tcPr>
            <w:tcW w:w="2380" w:type="dxa"/>
            <w:noWrap/>
            <w:hideMark/>
          </w:tcPr>
          <w:p w:rsidR="007C367B" w:rsidRPr="00E133D3" w:rsidRDefault="007C367B" w:rsidP="001A22F4">
            <w:r w:rsidRPr="00E133D3">
              <w:t> </w:t>
            </w:r>
          </w:p>
        </w:tc>
        <w:tc>
          <w:tcPr>
            <w:tcW w:w="1460" w:type="dxa"/>
            <w:noWrap/>
            <w:hideMark/>
          </w:tcPr>
          <w:p w:rsidR="007C367B" w:rsidRPr="00E133D3" w:rsidRDefault="007C367B" w:rsidP="001A22F4">
            <w:r w:rsidRPr="00E133D3">
              <w:t> </w:t>
            </w:r>
          </w:p>
        </w:tc>
      </w:tr>
      <w:tr w:rsidR="007C367B" w:rsidRPr="00E133D3" w:rsidTr="001A22F4">
        <w:trPr>
          <w:trHeight w:val="315"/>
          <w:jc w:val="center"/>
        </w:trPr>
        <w:tc>
          <w:tcPr>
            <w:tcW w:w="2380" w:type="dxa"/>
            <w:noWrap/>
            <w:hideMark/>
          </w:tcPr>
          <w:p w:rsidR="007C367B" w:rsidRPr="00E133D3" w:rsidRDefault="007C367B" w:rsidP="001A22F4">
            <w:r w:rsidRPr="00E133D3">
              <w:t>Cash inflow in year 0</w:t>
            </w:r>
          </w:p>
        </w:tc>
        <w:tc>
          <w:tcPr>
            <w:tcW w:w="1460" w:type="dxa"/>
            <w:noWrap/>
            <w:hideMark/>
          </w:tcPr>
          <w:p w:rsidR="007C367B" w:rsidRPr="00E133D3" w:rsidRDefault="007C367B" w:rsidP="001A22F4">
            <w:r w:rsidRPr="00E133D3">
              <w:t>-160000</w:t>
            </w:r>
          </w:p>
        </w:tc>
      </w:tr>
      <w:tr w:rsidR="007C367B" w:rsidRPr="00E133D3" w:rsidTr="001A22F4">
        <w:trPr>
          <w:trHeight w:val="315"/>
          <w:jc w:val="center"/>
        </w:trPr>
        <w:tc>
          <w:tcPr>
            <w:tcW w:w="2380" w:type="dxa"/>
            <w:noWrap/>
            <w:hideMark/>
          </w:tcPr>
          <w:p w:rsidR="007C367B" w:rsidRPr="00E133D3" w:rsidRDefault="007C367B" w:rsidP="001A22F4">
            <w:r w:rsidRPr="00E133D3">
              <w:t>Cash inflow in year 1</w:t>
            </w:r>
          </w:p>
        </w:tc>
        <w:tc>
          <w:tcPr>
            <w:tcW w:w="1460" w:type="dxa"/>
            <w:noWrap/>
            <w:hideMark/>
          </w:tcPr>
          <w:p w:rsidR="007C367B" w:rsidRPr="00E133D3" w:rsidRDefault="007C367B" w:rsidP="001A22F4">
            <w:r w:rsidRPr="00E133D3">
              <w:t>45000</w:t>
            </w:r>
          </w:p>
        </w:tc>
      </w:tr>
      <w:tr w:rsidR="007C367B" w:rsidRPr="00E133D3" w:rsidTr="001A22F4">
        <w:trPr>
          <w:trHeight w:val="315"/>
          <w:jc w:val="center"/>
        </w:trPr>
        <w:tc>
          <w:tcPr>
            <w:tcW w:w="2380" w:type="dxa"/>
            <w:noWrap/>
            <w:hideMark/>
          </w:tcPr>
          <w:p w:rsidR="007C367B" w:rsidRPr="00E133D3" w:rsidRDefault="007C367B" w:rsidP="001A22F4">
            <w:r w:rsidRPr="00E133D3">
              <w:t>Cash inflow in year 2</w:t>
            </w:r>
          </w:p>
        </w:tc>
        <w:tc>
          <w:tcPr>
            <w:tcW w:w="1460" w:type="dxa"/>
            <w:noWrap/>
            <w:hideMark/>
          </w:tcPr>
          <w:p w:rsidR="007C367B" w:rsidRPr="00E133D3" w:rsidRDefault="007C367B" w:rsidP="001A22F4">
            <w:r w:rsidRPr="00E133D3">
              <w:t>45000</w:t>
            </w:r>
          </w:p>
        </w:tc>
      </w:tr>
      <w:tr w:rsidR="007C367B" w:rsidRPr="00E133D3" w:rsidTr="001A22F4">
        <w:trPr>
          <w:trHeight w:val="315"/>
          <w:jc w:val="center"/>
        </w:trPr>
        <w:tc>
          <w:tcPr>
            <w:tcW w:w="2380" w:type="dxa"/>
            <w:noWrap/>
            <w:hideMark/>
          </w:tcPr>
          <w:p w:rsidR="007C367B" w:rsidRPr="00E133D3" w:rsidRDefault="007C367B" w:rsidP="001A22F4">
            <w:r w:rsidRPr="00E133D3">
              <w:t xml:space="preserve"> Cash inflow in year3</w:t>
            </w:r>
          </w:p>
        </w:tc>
        <w:tc>
          <w:tcPr>
            <w:tcW w:w="1460" w:type="dxa"/>
            <w:noWrap/>
            <w:hideMark/>
          </w:tcPr>
          <w:p w:rsidR="007C367B" w:rsidRPr="00E133D3" w:rsidRDefault="007C367B" w:rsidP="001A22F4">
            <w:r w:rsidRPr="00E133D3">
              <w:t>45000</w:t>
            </w:r>
          </w:p>
        </w:tc>
      </w:tr>
      <w:tr w:rsidR="007C367B" w:rsidRPr="00E133D3" w:rsidTr="001A22F4">
        <w:trPr>
          <w:trHeight w:val="315"/>
          <w:jc w:val="center"/>
        </w:trPr>
        <w:tc>
          <w:tcPr>
            <w:tcW w:w="2380" w:type="dxa"/>
            <w:noWrap/>
            <w:hideMark/>
          </w:tcPr>
          <w:p w:rsidR="007C367B" w:rsidRPr="00E133D3" w:rsidRDefault="007C367B" w:rsidP="001A22F4">
            <w:r w:rsidRPr="00E133D3">
              <w:t>Cash inflow in year 4</w:t>
            </w:r>
          </w:p>
        </w:tc>
        <w:tc>
          <w:tcPr>
            <w:tcW w:w="1460" w:type="dxa"/>
            <w:noWrap/>
            <w:hideMark/>
          </w:tcPr>
          <w:p w:rsidR="007C367B" w:rsidRPr="00E133D3" w:rsidRDefault="007C367B" w:rsidP="001A22F4">
            <w:r w:rsidRPr="00E133D3">
              <w:t>45000</w:t>
            </w:r>
          </w:p>
        </w:tc>
      </w:tr>
      <w:tr w:rsidR="007C367B" w:rsidRPr="00E133D3" w:rsidTr="001A22F4">
        <w:trPr>
          <w:trHeight w:val="315"/>
          <w:jc w:val="center"/>
        </w:trPr>
        <w:tc>
          <w:tcPr>
            <w:tcW w:w="2380" w:type="dxa"/>
            <w:noWrap/>
            <w:hideMark/>
          </w:tcPr>
          <w:p w:rsidR="007C367B" w:rsidRPr="00E133D3" w:rsidRDefault="007C367B" w:rsidP="001A22F4">
            <w:r w:rsidRPr="00E133D3">
              <w:t>Cash inflow in year 5</w:t>
            </w:r>
          </w:p>
        </w:tc>
        <w:tc>
          <w:tcPr>
            <w:tcW w:w="1460" w:type="dxa"/>
            <w:noWrap/>
            <w:hideMark/>
          </w:tcPr>
          <w:p w:rsidR="007C367B" w:rsidRPr="00E133D3" w:rsidRDefault="007C367B" w:rsidP="001A22F4">
            <w:r w:rsidRPr="00E133D3">
              <w:t>45000</w:t>
            </w:r>
          </w:p>
        </w:tc>
      </w:tr>
      <w:tr w:rsidR="007C367B" w:rsidRPr="00E133D3" w:rsidTr="001A22F4">
        <w:trPr>
          <w:trHeight w:val="315"/>
          <w:jc w:val="center"/>
        </w:trPr>
        <w:tc>
          <w:tcPr>
            <w:tcW w:w="2380" w:type="dxa"/>
            <w:noWrap/>
            <w:hideMark/>
          </w:tcPr>
          <w:p w:rsidR="007C367B" w:rsidRPr="00E133D3" w:rsidRDefault="007C367B" w:rsidP="001A22F4">
            <w:r w:rsidRPr="00E133D3">
              <w:t>Cash inflow in year 6</w:t>
            </w:r>
          </w:p>
        </w:tc>
        <w:tc>
          <w:tcPr>
            <w:tcW w:w="1460" w:type="dxa"/>
            <w:noWrap/>
            <w:hideMark/>
          </w:tcPr>
          <w:p w:rsidR="007C367B" w:rsidRPr="00E133D3" w:rsidRDefault="007C367B" w:rsidP="001A22F4">
            <w:r w:rsidRPr="00E133D3">
              <w:t>65000</w:t>
            </w:r>
          </w:p>
        </w:tc>
      </w:tr>
      <w:tr w:rsidR="007C367B" w:rsidRPr="00E133D3" w:rsidTr="001A22F4">
        <w:trPr>
          <w:trHeight w:val="315"/>
          <w:jc w:val="center"/>
        </w:trPr>
        <w:tc>
          <w:tcPr>
            <w:tcW w:w="2380" w:type="dxa"/>
            <w:noWrap/>
            <w:hideMark/>
          </w:tcPr>
          <w:p w:rsidR="007C367B" w:rsidRPr="00E133D3" w:rsidRDefault="007C367B" w:rsidP="001A22F4">
            <w:r w:rsidRPr="00E133D3">
              <w:t> </w:t>
            </w:r>
          </w:p>
        </w:tc>
        <w:tc>
          <w:tcPr>
            <w:tcW w:w="1460" w:type="dxa"/>
            <w:noWrap/>
            <w:hideMark/>
          </w:tcPr>
          <w:p w:rsidR="007C367B" w:rsidRPr="00E133D3" w:rsidRDefault="007C367B" w:rsidP="001A22F4">
            <w:r w:rsidRPr="00E133D3">
              <w:t> </w:t>
            </w:r>
          </w:p>
        </w:tc>
      </w:tr>
      <w:tr w:rsidR="007C367B" w:rsidRPr="00E133D3" w:rsidTr="001A22F4">
        <w:trPr>
          <w:trHeight w:val="315"/>
          <w:jc w:val="center"/>
        </w:trPr>
        <w:tc>
          <w:tcPr>
            <w:tcW w:w="2380" w:type="dxa"/>
            <w:noWrap/>
            <w:hideMark/>
          </w:tcPr>
          <w:p w:rsidR="007C367B" w:rsidRPr="00E133D3" w:rsidRDefault="007C367B" w:rsidP="001A22F4">
            <w:r w:rsidRPr="00E133D3">
              <w:t>Cost of capital</w:t>
            </w:r>
          </w:p>
        </w:tc>
        <w:tc>
          <w:tcPr>
            <w:tcW w:w="1460" w:type="dxa"/>
            <w:noWrap/>
            <w:hideMark/>
          </w:tcPr>
          <w:p w:rsidR="007C367B" w:rsidRPr="00E133D3" w:rsidRDefault="007C367B" w:rsidP="001A22F4">
            <w:r w:rsidRPr="00E133D3">
              <w:t>7%</w:t>
            </w:r>
          </w:p>
        </w:tc>
      </w:tr>
      <w:tr w:rsidR="007C367B" w:rsidRPr="00E133D3" w:rsidTr="001A22F4">
        <w:trPr>
          <w:trHeight w:val="315"/>
          <w:jc w:val="center"/>
        </w:trPr>
        <w:tc>
          <w:tcPr>
            <w:tcW w:w="2380" w:type="dxa"/>
            <w:noWrap/>
            <w:hideMark/>
          </w:tcPr>
          <w:p w:rsidR="007C367B" w:rsidRPr="00E133D3" w:rsidRDefault="007C367B" w:rsidP="001A22F4">
            <w:r w:rsidRPr="00E133D3">
              <w:t> </w:t>
            </w:r>
          </w:p>
        </w:tc>
        <w:tc>
          <w:tcPr>
            <w:tcW w:w="1460" w:type="dxa"/>
            <w:noWrap/>
            <w:hideMark/>
          </w:tcPr>
          <w:p w:rsidR="007C367B" w:rsidRPr="00E133D3" w:rsidRDefault="007C367B" w:rsidP="001A22F4">
            <w:r w:rsidRPr="00E133D3">
              <w:t> </w:t>
            </w:r>
          </w:p>
        </w:tc>
      </w:tr>
      <w:tr w:rsidR="007C367B" w:rsidRPr="00E133D3" w:rsidTr="001A22F4">
        <w:trPr>
          <w:trHeight w:val="315"/>
          <w:jc w:val="center"/>
        </w:trPr>
        <w:tc>
          <w:tcPr>
            <w:tcW w:w="2380" w:type="dxa"/>
            <w:noWrap/>
            <w:hideMark/>
          </w:tcPr>
          <w:p w:rsidR="007C367B" w:rsidRPr="00E133D3" w:rsidRDefault="007C367B" w:rsidP="001A22F4">
            <w:r w:rsidRPr="00E133D3">
              <w:t>Net Present Value</w:t>
            </w:r>
          </w:p>
        </w:tc>
        <w:tc>
          <w:tcPr>
            <w:tcW w:w="1460" w:type="dxa"/>
            <w:noWrap/>
            <w:hideMark/>
          </w:tcPr>
          <w:p w:rsidR="007C367B" w:rsidRPr="00E133D3" w:rsidRDefault="007C367B" w:rsidP="001A22F4">
            <w:r w:rsidRPr="00E133D3">
              <w:t xml:space="preserve"> 63,384.23</w:t>
            </w:r>
          </w:p>
        </w:tc>
      </w:tr>
    </w:tbl>
    <w:p w:rsidR="007C367B" w:rsidRDefault="007C367B" w:rsidP="007C367B"/>
    <w:p w:rsidR="007C367B" w:rsidRDefault="007C367B" w:rsidP="007C367B">
      <w:r w:rsidRPr="00254746">
        <w:t xml:space="preserve">Therefore, the net present value of project </w:t>
      </w:r>
      <w:r>
        <w:t>B</w:t>
      </w:r>
      <w:r w:rsidRPr="00254746">
        <w:t xml:space="preserve"> is as follows:</w:t>
      </w:r>
    </w:p>
    <w:tbl>
      <w:tblPr>
        <w:tblW w:w="4040" w:type="dxa"/>
        <w:jc w:val="center"/>
        <w:tblLook w:val="04A0" w:firstRow="1" w:lastRow="0" w:firstColumn="1" w:lastColumn="0" w:noHBand="0" w:noVBand="1"/>
      </w:tblPr>
      <w:tblGrid>
        <w:gridCol w:w="2380"/>
        <w:gridCol w:w="1660"/>
      </w:tblGrid>
      <w:tr w:rsidR="007C367B" w:rsidRPr="00254746" w:rsidTr="001A22F4">
        <w:trPr>
          <w:trHeight w:val="315"/>
          <w:jc w:val="center"/>
        </w:trPr>
        <w:tc>
          <w:tcPr>
            <w:tcW w:w="2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lastRenderedPageBreak/>
              <w:t> </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Project B in £</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 </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 </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Cash inflow in year 0</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right"/>
              <w:rPr>
                <w:rFonts w:eastAsia="Times New Roman"/>
                <w:color w:val="000000"/>
                <w:szCs w:val="24"/>
              </w:rPr>
            </w:pPr>
            <w:r w:rsidRPr="00254746">
              <w:rPr>
                <w:rFonts w:eastAsia="Times New Roman"/>
                <w:color w:val="000000"/>
                <w:szCs w:val="24"/>
              </w:rPr>
              <w:t>-220000</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Cash inflow in year 1</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right"/>
              <w:rPr>
                <w:rFonts w:eastAsia="Times New Roman"/>
                <w:color w:val="000000"/>
                <w:szCs w:val="24"/>
              </w:rPr>
            </w:pPr>
            <w:r w:rsidRPr="00254746">
              <w:rPr>
                <w:rFonts w:eastAsia="Times New Roman"/>
                <w:color w:val="000000"/>
                <w:szCs w:val="24"/>
              </w:rPr>
              <w:t>60000</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Cash inflow in year 2</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right"/>
              <w:rPr>
                <w:rFonts w:eastAsia="Times New Roman"/>
                <w:color w:val="000000"/>
                <w:szCs w:val="24"/>
              </w:rPr>
            </w:pPr>
            <w:r w:rsidRPr="00254746">
              <w:rPr>
                <w:rFonts w:eastAsia="Times New Roman"/>
                <w:color w:val="000000"/>
                <w:szCs w:val="24"/>
              </w:rPr>
              <w:t>60000</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 xml:space="preserve"> Cash inflow in year3</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right"/>
              <w:rPr>
                <w:rFonts w:eastAsia="Times New Roman"/>
                <w:color w:val="000000"/>
                <w:szCs w:val="24"/>
              </w:rPr>
            </w:pPr>
            <w:r w:rsidRPr="00254746">
              <w:rPr>
                <w:rFonts w:eastAsia="Times New Roman"/>
                <w:color w:val="000000"/>
                <w:szCs w:val="24"/>
              </w:rPr>
              <w:t>60000</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Cash inflow in year 4</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right"/>
              <w:rPr>
                <w:rFonts w:eastAsia="Times New Roman"/>
                <w:color w:val="000000"/>
                <w:szCs w:val="24"/>
              </w:rPr>
            </w:pPr>
            <w:r w:rsidRPr="00254746">
              <w:rPr>
                <w:rFonts w:eastAsia="Times New Roman"/>
                <w:color w:val="000000"/>
                <w:szCs w:val="24"/>
              </w:rPr>
              <w:t>60000</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Cash inflow in year 5</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right"/>
              <w:rPr>
                <w:rFonts w:eastAsia="Times New Roman"/>
                <w:color w:val="000000"/>
                <w:szCs w:val="24"/>
              </w:rPr>
            </w:pPr>
            <w:r w:rsidRPr="00254746">
              <w:rPr>
                <w:rFonts w:eastAsia="Times New Roman"/>
                <w:color w:val="000000"/>
                <w:szCs w:val="24"/>
              </w:rPr>
              <w:t>60000</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Cash inflow in year 6</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right"/>
              <w:rPr>
                <w:rFonts w:eastAsia="Times New Roman"/>
                <w:color w:val="000000"/>
                <w:szCs w:val="24"/>
              </w:rPr>
            </w:pPr>
            <w:r w:rsidRPr="00254746">
              <w:rPr>
                <w:rFonts w:eastAsia="Times New Roman"/>
                <w:color w:val="000000"/>
                <w:szCs w:val="24"/>
              </w:rPr>
              <w:t>70000</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 </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 </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Cost of capital</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right"/>
              <w:rPr>
                <w:rFonts w:eastAsia="Times New Roman"/>
                <w:color w:val="000000"/>
                <w:szCs w:val="24"/>
              </w:rPr>
            </w:pPr>
            <w:r w:rsidRPr="00254746">
              <w:rPr>
                <w:rFonts w:eastAsia="Times New Roman"/>
                <w:color w:val="000000"/>
                <w:szCs w:val="24"/>
              </w:rPr>
              <w:t>7%</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 </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 </w:t>
            </w:r>
          </w:p>
        </w:tc>
      </w:tr>
      <w:tr w:rsidR="007C367B" w:rsidRPr="00254746" w:rsidTr="001A22F4">
        <w:trPr>
          <w:trHeight w:val="315"/>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rsidR="007C367B" w:rsidRPr="00254746" w:rsidRDefault="007C367B" w:rsidP="001A22F4">
            <w:pPr>
              <w:spacing w:after="0"/>
              <w:jc w:val="left"/>
              <w:rPr>
                <w:rFonts w:eastAsia="Times New Roman"/>
                <w:color w:val="000000"/>
                <w:szCs w:val="24"/>
              </w:rPr>
            </w:pPr>
            <w:r w:rsidRPr="00254746">
              <w:rPr>
                <w:rFonts w:eastAsia="Times New Roman"/>
                <w:color w:val="000000"/>
                <w:szCs w:val="24"/>
              </w:rPr>
              <w:t>Net Present Value</w:t>
            </w:r>
          </w:p>
        </w:tc>
        <w:tc>
          <w:tcPr>
            <w:tcW w:w="1660" w:type="dxa"/>
            <w:tcBorders>
              <w:top w:val="nil"/>
              <w:left w:val="nil"/>
              <w:bottom w:val="single" w:sz="4" w:space="0" w:color="auto"/>
              <w:right w:val="single" w:sz="4" w:space="0" w:color="auto"/>
            </w:tcBorders>
            <w:shd w:val="clear" w:color="auto" w:fill="auto"/>
            <w:noWrap/>
            <w:vAlign w:val="bottom"/>
            <w:hideMark/>
          </w:tcPr>
          <w:p w:rsidR="007C367B" w:rsidRPr="00254746" w:rsidRDefault="007C367B" w:rsidP="001A22F4">
            <w:pPr>
              <w:spacing w:after="0"/>
              <w:jc w:val="right"/>
              <w:rPr>
                <w:rFonts w:eastAsia="Times New Roman"/>
                <w:color w:val="000000"/>
                <w:szCs w:val="24"/>
              </w:rPr>
            </w:pPr>
            <w:r w:rsidRPr="00254746">
              <w:rPr>
                <w:rFonts w:eastAsia="Times New Roman"/>
                <w:color w:val="000000"/>
                <w:szCs w:val="24"/>
              </w:rPr>
              <w:t xml:space="preserve"> 67,902.62 </w:t>
            </w:r>
          </w:p>
        </w:tc>
      </w:tr>
    </w:tbl>
    <w:p w:rsidR="007C367B" w:rsidRDefault="007C367B" w:rsidP="007C367B"/>
    <w:p w:rsidR="007C367B" w:rsidRPr="00D55819" w:rsidRDefault="007C367B" w:rsidP="007C367B">
      <w:r>
        <w:t>If the above calculations in the two tables are considered, it can be identified that the amount of net present value is more in the context of project B than that of project A. considering this fact, it can be stated that project B is more suitable than project A.</w:t>
      </w:r>
    </w:p>
    <w:p w:rsidR="007C367B" w:rsidRDefault="007C367B" w:rsidP="007C367B">
      <w:pPr>
        <w:pStyle w:val="Heading1"/>
      </w:pPr>
      <w:bookmarkStart w:id="12" w:name="_Toc511943449"/>
      <w:bookmarkStart w:id="13" w:name="_Toc512979924"/>
      <w:r>
        <w:t xml:space="preserve">b. </w:t>
      </w:r>
      <w:r w:rsidRPr="005D3409">
        <w:t>Determine the Accounting Rate of Return (ARR) for each project</w:t>
      </w:r>
      <w:bookmarkEnd w:id="12"/>
      <w:bookmarkEnd w:id="13"/>
    </w:p>
    <w:p w:rsidR="007C367B" w:rsidRDefault="007C367B" w:rsidP="007C367B">
      <w:r>
        <w:t xml:space="preserve">Accounting rate of return is another important investment appraisal technique that helps the business organizations or individual investors in investment decision making. The accounting rate of return </w:t>
      </w:r>
      <w:proofErr w:type="spellStart"/>
      <w:r>
        <w:t>analyzes</w:t>
      </w:r>
      <w:proofErr w:type="spellEnd"/>
      <w:r>
        <w:t xml:space="preserve"> how far the assets of the investment are able to generate profit to the business (</w:t>
      </w:r>
      <w:proofErr w:type="spellStart"/>
      <w:r w:rsidRPr="00B51CAA">
        <w:rPr>
          <w:szCs w:val="24"/>
        </w:rPr>
        <w:t>Alkaraan</w:t>
      </w:r>
      <w:proofErr w:type="spellEnd"/>
      <w:r>
        <w:rPr>
          <w:szCs w:val="24"/>
        </w:rPr>
        <w:t xml:space="preserve"> 2017</w:t>
      </w:r>
      <w:r>
        <w:t>). The formula for calculating the Accounting Rate of Return is stated below:</w:t>
      </w:r>
    </w:p>
    <w:p w:rsidR="007C367B" w:rsidRDefault="007C367B" w:rsidP="007C367B">
      <w:r>
        <w:t>Accounting Rate of Return – Average Annual Profit / Average Investment</w:t>
      </w:r>
    </w:p>
    <w:p w:rsidR="007C367B" w:rsidRDefault="007C367B" w:rsidP="007C367B">
      <w:r>
        <w:t>Therefore, accounting rate of return from project A is as follows:</w:t>
      </w:r>
    </w:p>
    <w:tbl>
      <w:tblPr>
        <w:tblW w:w="4509" w:type="dxa"/>
        <w:jc w:val="center"/>
        <w:tblLook w:val="04A0" w:firstRow="1" w:lastRow="0" w:firstColumn="1" w:lastColumn="0" w:noHBand="0" w:noVBand="1"/>
      </w:tblPr>
      <w:tblGrid>
        <w:gridCol w:w="2590"/>
        <w:gridCol w:w="1919"/>
      </w:tblGrid>
      <w:tr w:rsidR="007C367B" w:rsidRPr="00F905A8" w:rsidTr="001A22F4">
        <w:trPr>
          <w:trHeight w:val="315"/>
          <w:jc w:val="center"/>
        </w:trPr>
        <w:tc>
          <w:tcPr>
            <w:tcW w:w="259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 </w:t>
            </w:r>
          </w:p>
        </w:tc>
        <w:tc>
          <w:tcPr>
            <w:tcW w:w="1919" w:type="dxa"/>
            <w:tcBorders>
              <w:top w:val="single" w:sz="4" w:space="0" w:color="auto"/>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Project A in £</w:t>
            </w:r>
          </w:p>
        </w:tc>
      </w:tr>
      <w:tr w:rsidR="007C367B" w:rsidRPr="00F905A8" w:rsidTr="001A22F4">
        <w:trPr>
          <w:trHeight w:val="315"/>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 </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 </w:t>
            </w:r>
          </w:p>
        </w:tc>
      </w:tr>
      <w:tr w:rsidR="007C367B" w:rsidRPr="00F905A8" w:rsidTr="001A22F4">
        <w:trPr>
          <w:trHeight w:val="315"/>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Cash inflow in year 0</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right"/>
              <w:rPr>
                <w:rFonts w:eastAsia="Times New Roman"/>
                <w:color w:val="000000"/>
                <w:szCs w:val="24"/>
              </w:rPr>
            </w:pPr>
            <w:r w:rsidRPr="00F905A8">
              <w:rPr>
                <w:rFonts w:eastAsia="Times New Roman"/>
                <w:color w:val="000000"/>
                <w:szCs w:val="24"/>
              </w:rPr>
              <w:t>-160000</w:t>
            </w:r>
          </w:p>
        </w:tc>
      </w:tr>
      <w:tr w:rsidR="007C367B" w:rsidRPr="00F905A8" w:rsidTr="001A22F4">
        <w:trPr>
          <w:trHeight w:val="315"/>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Cash inflow in year 1</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right"/>
              <w:rPr>
                <w:rFonts w:eastAsia="Times New Roman"/>
                <w:color w:val="000000"/>
                <w:szCs w:val="24"/>
              </w:rPr>
            </w:pPr>
            <w:r w:rsidRPr="00F905A8">
              <w:rPr>
                <w:rFonts w:eastAsia="Times New Roman"/>
                <w:color w:val="000000"/>
                <w:szCs w:val="24"/>
              </w:rPr>
              <w:t>45000</w:t>
            </w:r>
          </w:p>
        </w:tc>
      </w:tr>
      <w:tr w:rsidR="007C367B" w:rsidRPr="00F905A8" w:rsidTr="001A22F4">
        <w:trPr>
          <w:trHeight w:val="315"/>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Cash inflow in year 2</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right"/>
              <w:rPr>
                <w:rFonts w:eastAsia="Times New Roman"/>
                <w:color w:val="000000"/>
                <w:szCs w:val="24"/>
              </w:rPr>
            </w:pPr>
            <w:r w:rsidRPr="00F905A8">
              <w:rPr>
                <w:rFonts w:eastAsia="Times New Roman"/>
                <w:color w:val="000000"/>
                <w:szCs w:val="24"/>
              </w:rPr>
              <w:t>45000</w:t>
            </w:r>
          </w:p>
        </w:tc>
      </w:tr>
      <w:tr w:rsidR="007C367B" w:rsidRPr="00F905A8" w:rsidTr="001A22F4">
        <w:trPr>
          <w:trHeight w:val="315"/>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lastRenderedPageBreak/>
              <w:t xml:space="preserve"> Cash inflow in year3</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right"/>
              <w:rPr>
                <w:rFonts w:eastAsia="Times New Roman"/>
                <w:color w:val="000000"/>
                <w:szCs w:val="24"/>
              </w:rPr>
            </w:pPr>
            <w:r w:rsidRPr="00F905A8">
              <w:rPr>
                <w:rFonts w:eastAsia="Times New Roman"/>
                <w:color w:val="000000"/>
                <w:szCs w:val="24"/>
              </w:rPr>
              <w:t>45000</w:t>
            </w:r>
          </w:p>
        </w:tc>
      </w:tr>
      <w:tr w:rsidR="007C367B" w:rsidRPr="00F905A8" w:rsidTr="001A22F4">
        <w:trPr>
          <w:trHeight w:val="315"/>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Cash inflow in year 4</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right"/>
              <w:rPr>
                <w:rFonts w:eastAsia="Times New Roman"/>
                <w:color w:val="000000"/>
                <w:szCs w:val="24"/>
              </w:rPr>
            </w:pPr>
            <w:r w:rsidRPr="00F905A8">
              <w:rPr>
                <w:rFonts w:eastAsia="Times New Roman"/>
                <w:color w:val="000000"/>
                <w:szCs w:val="24"/>
              </w:rPr>
              <w:t>45000</w:t>
            </w:r>
          </w:p>
        </w:tc>
      </w:tr>
      <w:tr w:rsidR="007C367B" w:rsidRPr="00F905A8" w:rsidTr="001A22F4">
        <w:trPr>
          <w:trHeight w:val="315"/>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Cash inflow in year 5</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right"/>
              <w:rPr>
                <w:rFonts w:eastAsia="Times New Roman"/>
                <w:color w:val="000000"/>
                <w:szCs w:val="24"/>
              </w:rPr>
            </w:pPr>
            <w:r w:rsidRPr="00F905A8">
              <w:rPr>
                <w:rFonts w:eastAsia="Times New Roman"/>
                <w:color w:val="000000"/>
                <w:szCs w:val="24"/>
              </w:rPr>
              <w:t>45000</w:t>
            </w:r>
          </w:p>
        </w:tc>
      </w:tr>
      <w:tr w:rsidR="007C367B" w:rsidRPr="00F905A8" w:rsidTr="001A22F4">
        <w:trPr>
          <w:trHeight w:val="315"/>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Cash inflow in year 6</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right"/>
              <w:rPr>
                <w:rFonts w:eastAsia="Times New Roman"/>
                <w:color w:val="000000"/>
                <w:szCs w:val="24"/>
              </w:rPr>
            </w:pPr>
            <w:r w:rsidRPr="00F905A8">
              <w:rPr>
                <w:rFonts w:eastAsia="Times New Roman"/>
                <w:color w:val="000000"/>
                <w:szCs w:val="24"/>
              </w:rPr>
              <w:t>65000</w:t>
            </w:r>
          </w:p>
        </w:tc>
      </w:tr>
      <w:tr w:rsidR="007C367B" w:rsidRPr="00F905A8" w:rsidTr="001A22F4">
        <w:trPr>
          <w:trHeight w:val="315"/>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 </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 </w:t>
            </w:r>
          </w:p>
        </w:tc>
      </w:tr>
      <w:tr w:rsidR="007C367B" w:rsidRPr="00F905A8" w:rsidTr="001A22F4">
        <w:trPr>
          <w:trHeight w:val="315"/>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Cost of capital</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right"/>
              <w:rPr>
                <w:rFonts w:eastAsia="Times New Roman"/>
                <w:color w:val="000000"/>
                <w:szCs w:val="24"/>
              </w:rPr>
            </w:pPr>
            <w:r w:rsidRPr="00F905A8">
              <w:rPr>
                <w:rFonts w:eastAsia="Times New Roman"/>
                <w:color w:val="000000"/>
                <w:szCs w:val="24"/>
              </w:rPr>
              <w:t>7%</w:t>
            </w:r>
          </w:p>
        </w:tc>
      </w:tr>
      <w:tr w:rsidR="007C367B" w:rsidRPr="00F905A8" w:rsidTr="001A22F4">
        <w:trPr>
          <w:trHeight w:val="315"/>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 </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szCs w:val="24"/>
              </w:rPr>
            </w:pPr>
            <w:r w:rsidRPr="00F905A8">
              <w:rPr>
                <w:rFonts w:eastAsia="Times New Roman"/>
                <w:color w:val="000000"/>
                <w:szCs w:val="24"/>
              </w:rPr>
              <w:t> </w:t>
            </w:r>
          </w:p>
        </w:tc>
      </w:tr>
      <w:tr w:rsidR="007C367B" w:rsidRPr="00F905A8" w:rsidTr="001A22F4">
        <w:trPr>
          <w:trHeight w:val="300"/>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rPr>
            </w:pPr>
            <w:r w:rsidRPr="00F905A8">
              <w:rPr>
                <w:rFonts w:eastAsia="Times New Roman"/>
                <w:color w:val="000000"/>
                <w:sz w:val="22"/>
              </w:rPr>
              <w:t>Average annual profit</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right"/>
              <w:rPr>
                <w:rFonts w:eastAsia="Times New Roman"/>
                <w:color w:val="000000"/>
              </w:rPr>
            </w:pPr>
            <w:r w:rsidRPr="00F905A8">
              <w:rPr>
                <w:rFonts w:eastAsia="Times New Roman"/>
                <w:color w:val="000000"/>
                <w:sz w:val="22"/>
              </w:rPr>
              <w:t>48333.33333</w:t>
            </w:r>
          </w:p>
        </w:tc>
      </w:tr>
      <w:tr w:rsidR="007C367B" w:rsidRPr="00F905A8" w:rsidTr="001A22F4">
        <w:trPr>
          <w:trHeight w:val="300"/>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rPr>
            </w:pPr>
            <w:r w:rsidRPr="00F905A8">
              <w:rPr>
                <w:rFonts w:eastAsia="Times New Roman"/>
                <w:color w:val="000000"/>
                <w:sz w:val="22"/>
              </w:rPr>
              <w:t> </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rPr>
            </w:pPr>
            <w:r w:rsidRPr="00F905A8">
              <w:rPr>
                <w:rFonts w:eastAsia="Times New Roman"/>
                <w:color w:val="000000"/>
                <w:sz w:val="22"/>
              </w:rPr>
              <w:t> </w:t>
            </w:r>
          </w:p>
        </w:tc>
      </w:tr>
      <w:tr w:rsidR="007C367B" w:rsidRPr="00F905A8" w:rsidTr="001A22F4">
        <w:trPr>
          <w:trHeight w:val="300"/>
          <w:jc w:val="center"/>
        </w:trPr>
        <w:tc>
          <w:tcPr>
            <w:tcW w:w="259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905A8" w:rsidRDefault="007C367B" w:rsidP="001A22F4">
            <w:pPr>
              <w:spacing w:after="0"/>
              <w:jc w:val="left"/>
              <w:rPr>
                <w:rFonts w:eastAsia="Times New Roman"/>
                <w:color w:val="000000"/>
              </w:rPr>
            </w:pPr>
            <w:r w:rsidRPr="00F905A8">
              <w:rPr>
                <w:rFonts w:eastAsia="Times New Roman"/>
                <w:color w:val="000000"/>
                <w:sz w:val="22"/>
              </w:rPr>
              <w:t>Accounting rate of return</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905A8" w:rsidRDefault="007C367B" w:rsidP="001A22F4">
            <w:pPr>
              <w:spacing w:after="0"/>
              <w:jc w:val="right"/>
              <w:rPr>
                <w:rFonts w:eastAsia="Times New Roman"/>
                <w:color w:val="000000"/>
              </w:rPr>
            </w:pPr>
            <w:r w:rsidRPr="00F905A8">
              <w:rPr>
                <w:rFonts w:eastAsia="Times New Roman"/>
                <w:color w:val="000000"/>
                <w:sz w:val="22"/>
              </w:rPr>
              <w:t>0.302083333</w:t>
            </w:r>
          </w:p>
        </w:tc>
      </w:tr>
    </w:tbl>
    <w:p w:rsidR="007C367B" w:rsidRDefault="007C367B" w:rsidP="007C367B"/>
    <w:p w:rsidR="007C367B" w:rsidRDefault="007C367B" w:rsidP="007C367B">
      <w:r>
        <w:t>Therefore, accounting rate of return from project B is as follows:</w:t>
      </w:r>
    </w:p>
    <w:tbl>
      <w:tblPr>
        <w:tblW w:w="4779" w:type="dxa"/>
        <w:jc w:val="center"/>
        <w:tblLook w:val="04A0" w:firstRow="1" w:lastRow="0" w:firstColumn="1" w:lastColumn="0" w:noHBand="0" w:noVBand="1"/>
      </w:tblPr>
      <w:tblGrid>
        <w:gridCol w:w="2860"/>
        <w:gridCol w:w="1919"/>
      </w:tblGrid>
      <w:tr w:rsidR="007C367B" w:rsidRPr="00FC48CC" w:rsidTr="001A22F4">
        <w:trPr>
          <w:trHeight w:val="315"/>
          <w:jc w:val="center"/>
        </w:trPr>
        <w:tc>
          <w:tcPr>
            <w:tcW w:w="2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 </w:t>
            </w:r>
          </w:p>
        </w:tc>
        <w:tc>
          <w:tcPr>
            <w:tcW w:w="1919" w:type="dxa"/>
            <w:tcBorders>
              <w:top w:val="single" w:sz="4" w:space="0" w:color="auto"/>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Project B in £</w:t>
            </w:r>
          </w:p>
        </w:tc>
      </w:tr>
      <w:tr w:rsidR="007C367B" w:rsidRPr="00FC48CC" w:rsidTr="001A22F4">
        <w:trPr>
          <w:trHeight w:val="315"/>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 </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 </w:t>
            </w:r>
          </w:p>
        </w:tc>
      </w:tr>
      <w:tr w:rsidR="007C367B" w:rsidRPr="00FC48CC" w:rsidTr="001A22F4">
        <w:trPr>
          <w:trHeight w:val="315"/>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Cash inflow in year 0</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right"/>
              <w:rPr>
                <w:rFonts w:eastAsia="Times New Roman"/>
                <w:color w:val="000000"/>
                <w:szCs w:val="24"/>
              </w:rPr>
            </w:pPr>
            <w:r w:rsidRPr="00FC48CC">
              <w:rPr>
                <w:rFonts w:eastAsia="Times New Roman"/>
                <w:color w:val="000000"/>
                <w:szCs w:val="24"/>
              </w:rPr>
              <w:t>-220000</w:t>
            </w:r>
          </w:p>
        </w:tc>
      </w:tr>
      <w:tr w:rsidR="007C367B" w:rsidRPr="00FC48CC" w:rsidTr="001A22F4">
        <w:trPr>
          <w:trHeight w:val="315"/>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Cash inflow in year 1</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right"/>
              <w:rPr>
                <w:rFonts w:eastAsia="Times New Roman"/>
                <w:color w:val="000000"/>
                <w:szCs w:val="24"/>
              </w:rPr>
            </w:pPr>
            <w:r w:rsidRPr="00FC48CC">
              <w:rPr>
                <w:rFonts w:eastAsia="Times New Roman"/>
                <w:color w:val="000000"/>
                <w:szCs w:val="24"/>
              </w:rPr>
              <w:t>60000</w:t>
            </w:r>
          </w:p>
        </w:tc>
      </w:tr>
      <w:tr w:rsidR="007C367B" w:rsidRPr="00FC48CC" w:rsidTr="001A22F4">
        <w:trPr>
          <w:trHeight w:val="315"/>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Cash inflow in year 2</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right"/>
              <w:rPr>
                <w:rFonts w:eastAsia="Times New Roman"/>
                <w:color w:val="000000"/>
                <w:szCs w:val="24"/>
              </w:rPr>
            </w:pPr>
            <w:r w:rsidRPr="00FC48CC">
              <w:rPr>
                <w:rFonts w:eastAsia="Times New Roman"/>
                <w:color w:val="000000"/>
                <w:szCs w:val="24"/>
              </w:rPr>
              <w:t>60000</w:t>
            </w:r>
          </w:p>
        </w:tc>
      </w:tr>
      <w:tr w:rsidR="007C367B" w:rsidRPr="00FC48CC" w:rsidTr="001A22F4">
        <w:trPr>
          <w:trHeight w:val="315"/>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 xml:space="preserve"> Cash inflow in year3</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right"/>
              <w:rPr>
                <w:rFonts w:eastAsia="Times New Roman"/>
                <w:color w:val="000000"/>
                <w:szCs w:val="24"/>
              </w:rPr>
            </w:pPr>
            <w:r w:rsidRPr="00FC48CC">
              <w:rPr>
                <w:rFonts w:eastAsia="Times New Roman"/>
                <w:color w:val="000000"/>
                <w:szCs w:val="24"/>
              </w:rPr>
              <w:t>60000</w:t>
            </w:r>
          </w:p>
        </w:tc>
      </w:tr>
      <w:tr w:rsidR="007C367B" w:rsidRPr="00FC48CC" w:rsidTr="001A22F4">
        <w:trPr>
          <w:trHeight w:val="315"/>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Cash inflow in year 4</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right"/>
              <w:rPr>
                <w:rFonts w:eastAsia="Times New Roman"/>
                <w:color w:val="000000"/>
                <w:szCs w:val="24"/>
              </w:rPr>
            </w:pPr>
            <w:r w:rsidRPr="00FC48CC">
              <w:rPr>
                <w:rFonts w:eastAsia="Times New Roman"/>
                <w:color w:val="000000"/>
                <w:szCs w:val="24"/>
              </w:rPr>
              <w:t>60000</w:t>
            </w:r>
          </w:p>
        </w:tc>
      </w:tr>
      <w:tr w:rsidR="007C367B" w:rsidRPr="00FC48CC" w:rsidTr="001A22F4">
        <w:trPr>
          <w:trHeight w:val="315"/>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Cash inflow in year 5</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right"/>
              <w:rPr>
                <w:rFonts w:eastAsia="Times New Roman"/>
                <w:color w:val="000000"/>
                <w:szCs w:val="24"/>
              </w:rPr>
            </w:pPr>
            <w:r w:rsidRPr="00FC48CC">
              <w:rPr>
                <w:rFonts w:eastAsia="Times New Roman"/>
                <w:color w:val="000000"/>
                <w:szCs w:val="24"/>
              </w:rPr>
              <w:t>60000</w:t>
            </w:r>
          </w:p>
        </w:tc>
      </w:tr>
      <w:tr w:rsidR="007C367B" w:rsidRPr="00FC48CC" w:rsidTr="001A22F4">
        <w:trPr>
          <w:trHeight w:val="315"/>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Cash inflow in year 6</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right"/>
              <w:rPr>
                <w:rFonts w:eastAsia="Times New Roman"/>
                <w:color w:val="000000"/>
                <w:szCs w:val="24"/>
              </w:rPr>
            </w:pPr>
            <w:r w:rsidRPr="00FC48CC">
              <w:rPr>
                <w:rFonts w:eastAsia="Times New Roman"/>
                <w:color w:val="000000"/>
                <w:szCs w:val="24"/>
              </w:rPr>
              <w:t>70000</w:t>
            </w:r>
          </w:p>
        </w:tc>
      </w:tr>
      <w:tr w:rsidR="007C367B" w:rsidRPr="00FC48CC" w:rsidTr="001A22F4">
        <w:trPr>
          <w:trHeight w:val="315"/>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 </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 </w:t>
            </w:r>
          </w:p>
        </w:tc>
      </w:tr>
      <w:tr w:rsidR="007C367B" w:rsidRPr="00FC48CC" w:rsidTr="001A22F4">
        <w:trPr>
          <w:trHeight w:val="315"/>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Cost of capital</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right"/>
              <w:rPr>
                <w:rFonts w:eastAsia="Times New Roman"/>
                <w:color w:val="000000"/>
                <w:szCs w:val="24"/>
              </w:rPr>
            </w:pPr>
            <w:r w:rsidRPr="00FC48CC">
              <w:rPr>
                <w:rFonts w:eastAsia="Times New Roman"/>
                <w:color w:val="000000"/>
                <w:szCs w:val="24"/>
              </w:rPr>
              <w:t>7%</w:t>
            </w:r>
          </w:p>
        </w:tc>
      </w:tr>
      <w:tr w:rsidR="007C367B" w:rsidRPr="00FC48CC" w:rsidTr="001A22F4">
        <w:trPr>
          <w:trHeight w:val="315"/>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 </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 </w:t>
            </w:r>
          </w:p>
        </w:tc>
      </w:tr>
      <w:tr w:rsidR="007C367B" w:rsidRPr="00FC48CC" w:rsidTr="001A22F4">
        <w:trPr>
          <w:trHeight w:val="300"/>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Average annual profit</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right"/>
              <w:rPr>
                <w:rFonts w:eastAsia="Times New Roman"/>
                <w:color w:val="000000"/>
                <w:szCs w:val="24"/>
              </w:rPr>
            </w:pPr>
            <w:r w:rsidRPr="00FC48CC">
              <w:rPr>
                <w:rFonts w:eastAsia="Times New Roman"/>
                <w:color w:val="000000"/>
                <w:szCs w:val="24"/>
              </w:rPr>
              <w:t>61666.66667</w:t>
            </w:r>
          </w:p>
        </w:tc>
      </w:tr>
      <w:tr w:rsidR="007C367B" w:rsidRPr="00FC48CC" w:rsidTr="001A22F4">
        <w:trPr>
          <w:trHeight w:val="300"/>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 </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 </w:t>
            </w:r>
          </w:p>
        </w:tc>
      </w:tr>
      <w:tr w:rsidR="007C367B" w:rsidRPr="00FC48CC" w:rsidTr="001A22F4">
        <w:trPr>
          <w:trHeight w:val="300"/>
          <w:jc w:val="center"/>
        </w:trPr>
        <w:tc>
          <w:tcPr>
            <w:tcW w:w="2860" w:type="dxa"/>
            <w:tcBorders>
              <w:top w:val="nil"/>
              <w:left w:val="single" w:sz="4" w:space="0" w:color="auto"/>
              <w:bottom w:val="single" w:sz="4" w:space="0" w:color="auto"/>
              <w:right w:val="single" w:sz="4" w:space="0" w:color="auto"/>
            </w:tcBorders>
            <w:shd w:val="clear" w:color="auto" w:fill="auto"/>
            <w:noWrap/>
            <w:vAlign w:val="bottom"/>
            <w:hideMark/>
          </w:tcPr>
          <w:p w:rsidR="007C367B" w:rsidRPr="00FC48CC" w:rsidRDefault="007C367B" w:rsidP="001A22F4">
            <w:pPr>
              <w:spacing w:after="0"/>
              <w:jc w:val="left"/>
              <w:rPr>
                <w:rFonts w:eastAsia="Times New Roman"/>
                <w:color w:val="000000"/>
                <w:szCs w:val="24"/>
              </w:rPr>
            </w:pPr>
            <w:r w:rsidRPr="00FC48CC">
              <w:rPr>
                <w:rFonts w:eastAsia="Times New Roman"/>
                <w:color w:val="000000"/>
                <w:szCs w:val="24"/>
              </w:rPr>
              <w:t>Accounting rate of return</w:t>
            </w:r>
          </w:p>
        </w:tc>
        <w:tc>
          <w:tcPr>
            <w:tcW w:w="1919" w:type="dxa"/>
            <w:tcBorders>
              <w:top w:val="nil"/>
              <w:left w:val="nil"/>
              <w:bottom w:val="single" w:sz="4" w:space="0" w:color="auto"/>
              <w:right w:val="single" w:sz="4" w:space="0" w:color="auto"/>
            </w:tcBorders>
            <w:shd w:val="clear" w:color="auto" w:fill="auto"/>
            <w:noWrap/>
            <w:vAlign w:val="bottom"/>
            <w:hideMark/>
          </w:tcPr>
          <w:p w:rsidR="007C367B" w:rsidRPr="00FC48CC" w:rsidRDefault="007C367B" w:rsidP="001A22F4">
            <w:pPr>
              <w:spacing w:after="0"/>
              <w:jc w:val="right"/>
              <w:rPr>
                <w:rFonts w:eastAsia="Times New Roman"/>
                <w:color w:val="000000"/>
                <w:szCs w:val="24"/>
              </w:rPr>
            </w:pPr>
            <w:r w:rsidRPr="00FC48CC">
              <w:rPr>
                <w:rFonts w:eastAsia="Times New Roman"/>
                <w:color w:val="000000"/>
                <w:szCs w:val="24"/>
              </w:rPr>
              <w:t>0.28030303</w:t>
            </w:r>
          </w:p>
        </w:tc>
      </w:tr>
    </w:tbl>
    <w:p w:rsidR="007C367B" w:rsidRDefault="007C367B" w:rsidP="007C367B"/>
    <w:p w:rsidR="007C367B" w:rsidRPr="004A79A3" w:rsidRDefault="007C367B" w:rsidP="007C367B">
      <w:r>
        <w:t>Therefore, considering the above two tables of ARR, it can be stated that the project A is better than the project B. It is because the project A can generate more profit to the investment than that of project B. therefore project A is suitable for investment.</w:t>
      </w:r>
    </w:p>
    <w:p w:rsidR="007C367B" w:rsidRDefault="007C367B" w:rsidP="007C367B">
      <w:pPr>
        <w:pStyle w:val="Heading1"/>
      </w:pPr>
      <w:bookmarkStart w:id="14" w:name="_Toc511943450"/>
      <w:bookmarkStart w:id="15" w:name="_Toc512979925"/>
      <w:r>
        <w:lastRenderedPageBreak/>
        <w:t xml:space="preserve">c. </w:t>
      </w:r>
      <w:r w:rsidRPr="005D3409">
        <w:t>Evaluate the results of part (a) and (b) above. Recommend with reasons the project that should be adopted</w:t>
      </w:r>
      <w:bookmarkEnd w:id="14"/>
      <w:bookmarkEnd w:id="15"/>
    </w:p>
    <w:p w:rsidR="007C367B" w:rsidRDefault="007C367B" w:rsidP="007C367B">
      <w:r>
        <w:t>If the calculations and results in the above calculations under the three different investment appraisal techniques are considered, it can be identified that the three investment appraisal techniques have identified different results, which are confusing. If the results under the payback period method and accounting rate of return method are considered, it can be identified that the performance of project A is better than the performance of project B. However, if the results of the net present value method are considered, it can be identified that the performance of project B is better than the performance of project A.</w:t>
      </w:r>
    </w:p>
    <w:p w:rsidR="007C367B" w:rsidRDefault="007C367B" w:rsidP="007C367B">
      <w:pPr>
        <w:rPr>
          <w:rFonts w:eastAsia="Times New Roman"/>
          <w:color w:val="000000"/>
          <w:szCs w:val="24"/>
        </w:rPr>
      </w:pPr>
      <w:r>
        <w:t xml:space="preserve">Therefore, it is clear that the results are providing mixed feedback. However, if the discussion is made critically, it can be stated that the difference between the results of project A and project B is not much high. Payback period of project A is 3.31 years and payback period of project B is 3.57 years. It means there is a small difference of 0.26 years. On the other hand, if the results of accounting rate of return are considered, again it can be identified that there is a difference of 0.02 between the accounting rate of return of project A and ARR of project B. However, if the results of net present value analysis are considered, it can be noted that the difference is much high between the NPV of project A and NPV of project B. As per the calculation, the NPV of project A </w:t>
      </w:r>
      <w:proofErr w:type="gramStart"/>
      <w:r>
        <w:t xml:space="preserve">is </w:t>
      </w:r>
      <w:r w:rsidRPr="00E133D3">
        <w:t xml:space="preserve"> 63,384.23</w:t>
      </w:r>
      <w:proofErr w:type="gramEnd"/>
      <w:r>
        <w:t xml:space="preserve">; whereas the NPV of project B is </w:t>
      </w:r>
      <w:r w:rsidRPr="00254746">
        <w:rPr>
          <w:rFonts w:eastAsia="Times New Roman"/>
          <w:color w:val="000000"/>
          <w:szCs w:val="24"/>
        </w:rPr>
        <w:t xml:space="preserve"> 67,902.62</w:t>
      </w:r>
      <w:r>
        <w:rPr>
          <w:rFonts w:eastAsia="Times New Roman"/>
          <w:color w:val="000000"/>
          <w:szCs w:val="24"/>
        </w:rPr>
        <w:t>. It mea</w:t>
      </w:r>
      <w:r w:rsidR="00040322">
        <w:rPr>
          <w:rFonts w:eastAsia="Times New Roman"/>
          <w:color w:val="000000"/>
          <w:szCs w:val="24"/>
        </w:rPr>
        <w:t xml:space="preserve">ns there is a difference of </w:t>
      </w:r>
      <w:r>
        <w:rPr>
          <w:rFonts w:eastAsia="Times New Roman"/>
          <w:color w:val="000000"/>
          <w:szCs w:val="24"/>
        </w:rPr>
        <w:t>4518.39 between the two proje</w:t>
      </w:r>
      <w:r w:rsidR="00040322">
        <w:rPr>
          <w:rFonts w:eastAsia="Times New Roman"/>
          <w:color w:val="000000"/>
          <w:szCs w:val="24"/>
        </w:rPr>
        <w:t xml:space="preserve">cts. The value of project B is </w:t>
      </w:r>
      <w:r>
        <w:rPr>
          <w:rFonts w:eastAsia="Times New Roman"/>
          <w:color w:val="000000"/>
          <w:szCs w:val="24"/>
        </w:rPr>
        <w:t>4518.39 higher than that of project A.</w:t>
      </w:r>
    </w:p>
    <w:p w:rsidR="007C367B" w:rsidRDefault="007C367B" w:rsidP="007C367B">
      <w:pPr>
        <w:rPr>
          <w:rFonts w:eastAsia="Times New Roman"/>
          <w:color w:val="000000"/>
          <w:szCs w:val="24"/>
        </w:rPr>
      </w:pPr>
      <w:r>
        <w:rPr>
          <w:rFonts w:eastAsia="Times New Roman"/>
          <w:color w:val="000000"/>
          <w:szCs w:val="24"/>
        </w:rPr>
        <w:t xml:space="preserve">Therefore, considering the critical analysis, it can be stated that it will be better if Patel </w:t>
      </w:r>
      <w:proofErr w:type="spellStart"/>
      <w:r>
        <w:rPr>
          <w:rFonts w:eastAsia="Times New Roman"/>
          <w:color w:val="000000"/>
          <w:szCs w:val="24"/>
        </w:rPr>
        <w:t>Mintro</w:t>
      </w:r>
      <w:proofErr w:type="spellEnd"/>
      <w:r>
        <w:rPr>
          <w:rFonts w:eastAsia="Times New Roman"/>
          <w:color w:val="000000"/>
          <w:szCs w:val="24"/>
        </w:rPr>
        <w:t xml:space="preserve"> consider the higher difference than the lower difference. It means Patel </w:t>
      </w:r>
      <w:proofErr w:type="spellStart"/>
      <w:r>
        <w:rPr>
          <w:rFonts w:eastAsia="Times New Roman"/>
          <w:color w:val="000000"/>
          <w:szCs w:val="24"/>
        </w:rPr>
        <w:t>Mintro</w:t>
      </w:r>
      <w:proofErr w:type="spellEnd"/>
      <w:r>
        <w:rPr>
          <w:rFonts w:eastAsia="Times New Roman"/>
          <w:color w:val="000000"/>
          <w:szCs w:val="24"/>
        </w:rPr>
        <w:t xml:space="preserve"> will be able to bear the short difference. Therefore, the decision must be made based on the results under the NPV method because the difference is higher in this method. Moreover, as the net present value considers the profit factor and the time value of money, it is better to make decision as per the results under the net present value method. </w:t>
      </w:r>
    </w:p>
    <w:p w:rsidR="007C367B" w:rsidRPr="00F40F3B" w:rsidRDefault="007C367B" w:rsidP="007C367B">
      <w:r>
        <w:rPr>
          <w:rFonts w:eastAsia="Times New Roman"/>
          <w:color w:val="000000"/>
          <w:szCs w:val="24"/>
        </w:rPr>
        <w:t xml:space="preserve">Therefore, considering the above evaluation, it can be stated that Patel </w:t>
      </w:r>
      <w:proofErr w:type="spellStart"/>
      <w:r>
        <w:rPr>
          <w:rFonts w:eastAsia="Times New Roman"/>
          <w:color w:val="000000"/>
          <w:szCs w:val="24"/>
        </w:rPr>
        <w:t>Mintro</w:t>
      </w:r>
      <w:proofErr w:type="spellEnd"/>
      <w:r>
        <w:rPr>
          <w:rFonts w:eastAsia="Times New Roman"/>
          <w:color w:val="000000"/>
          <w:szCs w:val="24"/>
        </w:rPr>
        <w:t xml:space="preserve"> must select the project B for the investment purpose.</w:t>
      </w:r>
    </w:p>
    <w:p w:rsidR="007C367B" w:rsidRDefault="007C367B" w:rsidP="007C367B">
      <w:pPr>
        <w:pStyle w:val="Heading1"/>
      </w:pPr>
      <w:bookmarkStart w:id="16" w:name="_Toc511943451"/>
      <w:bookmarkStart w:id="17" w:name="_Toc512979926"/>
      <w:r>
        <w:lastRenderedPageBreak/>
        <w:t xml:space="preserve">d. </w:t>
      </w:r>
      <w:r w:rsidRPr="005D3409">
        <w:t>Critically discuss the advantages and shortcomings of the Payback and NPV techniques as ways of evaluating capital projects</w:t>
      </w:r>
      <w:bookmarkEnd w:id="16"/>
      <w:bookmarkEnd w:id="17"/>
    </w:p>
    <w:p w:rsidR="007C367B" w:rsidRDefault="007C367B" w:rsidP="007C367B">
      <w:r>
        <w:t>In the above portions of the study, it has been identified that payback period method and the net present value method are very effective in guiding the investors at the time of making any investment decision (</w:t>
      </w:r>
      <w:proofErr w:type="spellStart"/>
      <w:r w:rsidRPr="00B51CAA">
        <w:rPr>
          <w:szCs w:val="24"/>
        </w:rPr>
        <w:t>Fokkema</w:t>
      </w:r>
      <w:proofErr w:type="spellEnd"/>
      <w:r>
        <w:rPr>
          <w:szCs w:val="24"/>
        </w:rPr>
        <w:t xml:space="preserve"> </w:t>
      </w:r>
      <w:r w:rsidRPr="004116B3">
        <w:rPr>
          <w:i/>
          <w:szCs w:val="24"/>
        </w:rPr>
        <w:t>et al.</w:t>
      </w:r>
      <w:r>
        <w:rPr>
          <w:szCs w:val="24"/>
        </w:rPr>
        <w:t xml:space="preserve"> 2017</w:t>
      </w:r>
      <w:r>
        <w:t>). At the same time, it has also been identified that the two methods have provided different results that have indicated different recommendations to the investors. Therefore, in this context, it is important to be mentioned that while making any investment decision, the investor must select the right method or technique for investment appraisal (</w:t>
      </w:r>
      <w:r w:rsidRPr="00B51CAA">
        <w:rPr>
          <w:szCs w:val="24"/>
        </w:rPr>
        <w:t>Harris</w:t>
      </w:r>
      <w:r>
        <w:rPr>
          <w:szCs w:val="24"/>
        </w:rPr>
        <w:t xml:space="preserve"> 2017</w:t>
      </w:r>
      <w:r>
        <w:t>). In order to understand the suitability of payback period method and net present value method in investment appraisal process, it is important to identify the advantages and shortcomings of these two methods. The advantages and shortcomings are discussed below:</w:t>
      </w:r>
    </w:p>
    <w:p w:rsidR="007C367B" w:rsidRDefault="007C367B" w:rsidP="007C367B">
      <w:r>
        <w:t>Payback period method – The major advantages and shortcomings of payback period method in terms of investment appraisal are stated below:</w:t>
      </w:r>
    </w:p>
    <w:p w:rsidR="007C367B" w:rsidRDefault="007C367B" w:rsidP="007C367B">
      <w:r>
        <w:t>Advantages:</w:t>
      </w:r>
    </w:p>
    <w:p w:rsidR="007C367B" w:rsidRDefault="007C367B" w:rsidP="007C367B">
      <w:pPr>
        <w:pStyle w:val="ListParagraph"/>
        <w:numPr>
          <w:ilvl w:val="0"/>
          <w:numId w:val="1"/>
        </w:numPr>
      </w:pPr>
      <w:r>
        <w:t>The major advantage of payback period method is that the method is very easy to understand. This method is very simple and everyone can easily understand the method of payback period calculation (</w:t>
      </w:r>
      <w:proofErr w:type="spellStart"/>
      <w:r>
        <w:rPr>
          <w:rFonts w:cs="Times New Roman"/>
          <w:szCs w:val="24"/>
        </w:rPr>
        <w:t>Lindvall</w:t>
      </w:r>
      <w:proofErr w:type="spellEnd"/>
      <w:r w:rsidRPr="00B51CAA">
        <w:rPr>
          <w:rFonts w:cs="Times New Roman"/>
          <w:szCs w:val="24"/>
        </w:rPr>
        <w:t xml:space="preserve"> and Larsson</w:t>
      </w:r>
      <w:r>
        <w:rPr>
          <w:rFonts w:cs="Times New Roman"/>
          <w:szCs w:val="24"/>
        </w:rPr>
        <w:t xml:space="preserve"> 2017</w:t>
      </w:r>
      <w:r>
        <w:t>). It means the investors with very little knowledge in finance can understand the results or can calculate the payback period of the investment option easily.</w:t>
      </w:r>
    </w:p>
    <w:p w:rsidR="007C367B" w:rsidRDefault="007C367B" w:rsidP="007C367B">
      <w:pPr>
        <w:pStyle w:val="ListParagraph"/>
        <w:numPr>
          <w:ilvl w:val="0"/>
          <w:numId w:val="1"/>
        </w:numPr>
      </w:pPr>
      <w:r>
        <w:t xml:space="preserve">Calculation for payback period method can be completed within very short period. It means payback period calculation does not involve much time, which helps the investors making investment decision quickly. </w:t>
      </w:r>
    </w:p>
    <w:p w:rsidR="007C367B" w:rsidRDefault="007C367B" w:rsidP="007C367B">
      <w:pPr>
        <w:pStyle w:val="ListParagraph"/>
        <w:numPr>
          <w:ilvl w:val="0"/>
          <w:numId w:val="1"/>
        </w:numPr>
      </w:pPr>
      <w:r>
        <w:t>Payback period method of investment appraisal is universally accepted. Hence, this method can be used for analyzing any kind of national and international project or investment option (</w:t>
      </w:r>
      <w:r>
        <w:rPr>
          <w:rFonts w:cs="Times New Roman"/>
          <w:szCs w:val="24"/>
        </w:rPr>
        <w:t>Baum</w:t>
      </w:r>
      <w:r w:rsidRPr="00B51CAA">
        <w:rPr>
          <w:rFonts w:cs="Times New Roman"/>
          <w:szCs w:val="24"/>
        </w:rPr>
        <w:t xml:space="preserve"> and Crosby</w:t>
      </w:r>
      <w:r>
        <w:rPr>
          <w:rFonts w:cs="Times New Roman"/>
          <w:szCs w:val="24"/>
        </w:rPr>
        <w:t xml:space="preserve"> 2014</w:t>
      </w:r>
      <w:r>
        <w:t>).</w:t>
      </w:r>
    </w:p>
    <w:p w:rsidR="007C367B" w:rsidRPr="00055B05" w:rsidRDefault="007C367B" w:rsidP="007C367B">
      <w:pPr>
        <w:pStyle w:val="ListParagraph"/>
        <w:numPr>
          <w:ilvl w:val="0"/>
          <w:numId w:val="1"/>
        </w:numPr>
      </w:pPr>
      <w:r>
        <w:t>The payback period method considers the liquidity factor while making investment decision for a project. Considering the liquidity factor, payback period helps to analyze how far the investment option will affect the short-term survival of the business.</w:t>
      </w:r>
    </w:p>
    <w:p w:rsidR="007C367B" w:rsidRDefault="007C367B" w:rsidP="007C367B">
      <w:r>
        <w:t>Though there are several advantages of payback period method, there are also several shortcomings in this same method. The shortcomings are stated below:</w:t>
      </w:r>
    </w:p>
    <w:p w:rsidR="007C367B" w:rsidRDefault="007C367B" w:rsidP="007C367B">
      <w:r>
        <w:lastRenderedPageBreak/>
        <w:t>Shortcomings:</w:t>
      </w:r>
    </w:p>
    <w:p w:rsidR="007C367B" w:rsidRDefault="007C367B" w:rsidP="007C367B">
      <w:pPr>
        <w:pStyle w:val="ListParagraph"/>
        <w:numPr>
          <w:ilvl w:val="0"/>
          <w:numId w:val="2"/>
        </w:numPr>
      </w:pPr>
      <w:r>
        <w:t>The major disadvantage or shortcoming of payback period method is that the method ignores the time value of money. As the time value of money is ignored, sometimes, it fails to provide right decision for the investment because many times the investments are made for the long-term and it is important to consider the time value of money for the long-term investment (</w:t>
      </w:r>
      <w:proofErr w:type="spellStart"/>
      <w:r w:rsidRPr="00B51CAA">
        <w:rPr>
          <w:rFonts w:cs="Times New Roman"/>
          <w:color w:val="222222"/>
          <w:szCs w:val="24"/>
          <w:shd w:val="clear" w:color="auto" w:fill="FFFFFF"/>
        </w:rPr>
        <w:t>Gotze</w:t>
      </w:r>
      <w:proofErr w:type="spellEnd"/>
      <w:r>
        <w:rPr>
          <w:rFonts w:cs="Times New Roman"/>
          <w:color w:val="222222"/>
          <w:szCs w:val="24"/>
          <w:shd w:val="clear" w:color="auto" w:fill="FFFFFF"/>
        </w:rPr>
        <w:t xml:space="preserve"> </w:t>
      </w:r>
      <w:r w:rsidRPr="004116B3">
        <w:rPr>
          <w:rFonts w:cs="Times New Roman"/>
          <w:i/>
          <w:color w:val="222222"/>
          <w:szCs w:val="24"/>
          <w:shd w:val="clear" w:color="auto" w:fill="FFFFFF"/>
        </w:rPr>
        <w:t>et al.</w:t>
      </w:r>
      <w:r>
        <w:rPr>
          <w:rFonts w:cs="Times New Roman"/>
          <w:color w:val="222222"/>
          <w:szCs w:val="24"/>
          <w:shd w:val="clear" w:color="auto" w:fill="FFFFFF"/>
        </w:rPr>
        <w:t xml:space="preserve"> 2016</w:t>
      </w:r>
      <w:r>
        <w:t>).</w:t>
      </w:r>
    </w:p>
    <w:p w:rsidR="007C367B" w:rsidRPr="00547586" w:rsidRDefault="007C367B" w:rsidP="007C367B">
      <w:pPr>
        <w:pStyle w:val="ListParagraph"/>
        <w:numPr>
          <w:ilvl w:val="0"/>
          <w:numId w:val="2"/>
        </w:numPr>
      </w:pPr>
      <w:r>
        <w:t>The payback period method does not consider the profitability factor of a project. As the profitability is ignored, the payback period method cannot provide the decision in respect to the future value of the project (</w:t>
      </w:r>
      <w:r>
        <w:rPr>
          <w:rFonts w:cs="Times New Roman"/>
          <w:szCs w:val="24"/>
        </w:rPr>
        <w:t>Baum</w:t>
      </w:r>
      <w:r w:rsidRPr="00B51CAA">
        <w:rPr>
          <w:rFonts w:cs="Times New Roman"/>
          <w:szCs w:val="24"/>
        </w:rPr>
        <w:t xml:space="preserve"> and Crosby</w:t>
      </w:r>
      <w:r>
        <w:rPr>
          <w:rFonts w:cs="Times New Roman"/>
          <w:szCs w:val="24"/>
        </w:rPr>
        <w:t xml:space="preserve"> 2014</w:t>
      </w:r>
      <w:r>
        <w:t>). Therefore, it can be stated that the payback period method cannot provide complete decision regarding an investment project.</w:t>
      </w:r>
    </w:p>
    <w:p w:rsidR="007C367B" w:rsidRDefault="007C367B" w:rsidP="007C367B">
      <w:r>
        <w:rPr>
          <w:b/>
        </w:rPr>
        <w:t xml:space="preserve">Net present value method – </w:t>
      </w:r>
      <w:r>
        <w:t>Net present value method or NPV is a universally accepted investment appraisal technique that is used by most of the companies in the recent scenario (</w:t>
      </w:r>
      <w:proofErr w:type="spellStart"/>
      <w:r w:rsidRPr="00B51CAA">
        <w:rPr>
          <w:szCs w:val="24"/>
        </w:rPr>
        <w:t>Fokkema</w:t>
      </w:r>
      <w:proofErr w:type="spellEnd"/>
      <w:r>
        <w:rPr>
          <w:szCs w:val="24"/>
        </w:rPr>
        <w:t xml:space="preserve"> </w:t>
      </w:r>
      <w:r w:rsidRPr="004116B3">
        <w:rPr>
          <w:i/>
          <w:szCs w:val="24"/>
        </w:rPr>
        <w:t>et al.</w:t>
      </w:r>
      <w:r>
        <w:rPr>
          <w:szCs w:val="24"/>
        </w:rPr>
        <w:t xml:space="preserve"> 2017</w:t>
      </w:r>
      <w:r>
        <w:t>). However, like, the payback period method, the NPV method has also some positive and some negative sides. The positive sides or advantages and the negative sides or disadvantages of NPV method are stated below:</w:t>
      </w:r>
    </w:p>
    <w:p w:rsidR="007C367B" w:rsidRDefault="007C367B" w:rsidP="007C367B">
      <w:r>
        <w:t>Advantages:</w:t>
      </w:r>
    </w:p>
    <w:p w:rsidR="007C367B" w:rsidRDefault="007C367B" w:rsidP="007C367B">
      <w:pPr>
        <w:pStyle w:val="ListParagraph"/>
        <w:numPr>
          <w:ilvl w:val="0"/>
          <w:numId w:val="3"/>
        </w:numPr>
      </w:pPr>
      <w:r>
        <w:t>Net present value method analyzes the investment option or investment project by considering the present values of future profit. As the income of the investor depends on the profitability of the project, it is important to consider the profitability factor while analyzing a project (</w:t>
      </w:r>
      <w:proofErr w:type="spellStart"/>
      <w:r w:rsidRPr="00B51CAA">
        <w:rPr>
          <w:rFonts w:cs="Times New Roman"/>
          <w:szCs w:val="24"/>
        </w:rPr>
        <w:t>Alkaraan</w:t>
      </w:r>
      <w:proofErr w:type="spellEnd"/>
      <w:r>
        <w:rPr>
          <w:szCs w:val="24"/>
        </w:rPr>
        <w:t xml:space="preserve"> 2017</w:t>
      </w:r>
      <w:r>
        <w:t>). Therefore, from this angle, net present value method is quite effective for analyzing an investment option critically.</w:t>
      </w:r>
    </w:p>
    <w:p w:rsidR="007C367B" w:rsidRDefault="007C367B" w:rsidP="007C367B">
      <w:pPr>
        <w:pStyle w:val="ListParagraph"/>
        <w:numPr>
          <w:ilvl w:val="0"/>
          <w:numId w:val="3"/>
        </w:numPr>
      </w:pPr>
      <w:r>
        <w:t>Another advantage of using the net present value method is that focuses on the time value of money. As most of the investment projects are continued for a long period, it is important and quite necessary to focus on time value of money (</w:t>
      </w:r>
      <w:r>
        <w:rPr>
          <w:szCs w:val="24"/>
        </w:rPr>
        <w:t>Li</w:t>
      </w:r>
      <w:r w:rsidRPr="00B51CAA">
        <w:rPr>
          <w:rFonts w:cs="Times New Roman"/>
          <w:szCs w:val="24"/>
        </w:rPr>
        <w:t xml:space="preserve"> and </w:t>
      </w:r>
      <w:proofErr w:type="spellStart"/>
      <w:r w:rsidRPr="00B51CAA">
        <w:rPr>
          <w:rFonts w:cs="Times New Roman"/>
          <w:szCs w:val="24"/>
        </w:rPr>
        <w:t>Trutnevyte</w:t>
      </w:r>
      <w:proofErr w:type="spellEnd"/>
      <w:r>
        <w:rPr>
          <w:szCs w:val="24"/>
        </w:rPr>
        <w:t xml:space="preserve"> 2017</w:t>
      </w:r>
      <w:r>
        <w:t>). Therefore, concentrating on the time value of money, NPV method analyzes the investment option in a better way.</w:t>
      </w:r>
    </w:p>
    <w:p w:rsidR="007C367B" w:rsidRDefault="007C367B" w:rsidP="007C367B">
      <w:r>
        <w:t>Disadvantages:</w:t>
      </w:r>
    </w:p>
    <w:p w:rsidR="007C367B" w:rsidRDefault="007C367B" w:rsidP="007C367B">
      <w:pPr>
        <w:pStyle w:val="ListParagraph"/>
        <w:numPr>
          <w:ilvl w:val="0"/>
          <w:numId w:val="4"/>
        </w:numPr>
      </w:pPr>
      <w:r>
        <w:lastRenderedPageBreak/>
        <w:t>The major disadvantage of NPV method is the method is very critical. In order to understand the NPV method, it is important to have complete knowledge regarding the same.</w:t>
      </w:r>
    </w:p>
    <w:p w:rsidR="007C367B" w:rsidRDefault="007C367B" w:rsidP="007C367B">
      <w:pPr>
        <w:pStyle w:val="ListParagraph"/>
        <w:numPr>
          <w:ilvl w:val="0"/>
          <w:numId w:val="4"/>
        </w:numPr>
      </w:pPr>
      <w:r>
        <w:t>NPV method cannot consider the size of the projects. Due to this, sometimes identifying the differences between the small and large projects becomes difficult for the investors (</w:t>
      </w:r>
      <w:proofErr w:type="spellStart"/>
      <w:r>
        <w:rPr>
          <w:rFonts w:cs="Times New Roman"/>
          <w:szCs w:val="24"/>
        </w:rPr>
        <w:t>Lindvall</w:t>
      </w:r>
      <w:proofErr w:type="spellEnd"/>
      <w:r w:rsidRPr="00B51CAA">
        <w:rPr>
          <w:rFonts w:cs="Times New Roman"/>
          <w:szCs w:val="24"/>
        </w:rPr>
        <w:t xml:space="preserve"> and Larsson</w:t>
      </w:r>
      <w:r>
        <w:rPr>
          <w:rFonts w:cs="Times New Roman"/>
          <w:szCs w:val="24"/>
        </w:rPr>
        <w:t xml:space="preserve"> 2017</w:t>
      </w:r>
      <w:r>
        <w:t>).</w:t>
      </w:r>
    </w:p>
    <w:p w:rsidR="007C367B" w:rsidRPr="00C04338" w:rsidRDefault="007C367B" w:rsidP="007C367B">
      <w:r>
        <w:t xml:space="preserve">Therefore, from the above study, it can be clearly stated that there are some benefits and some limitations of every investment appraisal technique. Therefore, it is the duty of the investor to identify the right technique for </w:t>
      </w:r>
      <w:proofErr w:type="spellStart"/>
      <w:r>
        <w:t>analyzing</w:t>
      </w:r>
      <w:proofErr w:type="spellEnd"/>
      <w:r>
        <w:t xml:space="preserve"> the effectiveness of project.</w:t>
      </w:r>
    </w:p>
    <w:p w:rsidR="007C367B" w:rsidRDefault="007C367B" w:rsidP="007C367B">
      <w:pPr>
        <w:pStyle w:val="Heading1"/>
      </w:pPr>
      <w:bookmarkStart w:id="18" w:name="_Toc511943452"/>
      <w:bookmarkStart w:id="19" w:name="_Toc512979927"/>
      <w:r>
        <w:t xml:space="preserve">e. </w:t>
      </w:r>
      <w:r w:rsidRPr="005D3409">
        <w:t>Discuss the non-financial factors that need to be considered in investment appraisal process</w:t>
      </w:r>
      <w:bookmarkEnd w:id="18"/>
      <w:bookmarkEnd w:id="19"/>
    </w:p>
    <w:p w:rsidR="007C367B" w:rsidRDefault="007C367B" w:rsidP="007C367B">
      <w:r>
        <w:t xml:space="preserve">The above discussions have clarified those financial factors that are needed to be considered while </w:t>
      </w:r>
      <w:proofErr w:type="spellStart"/>
      <w:r>
        <w:t>analyzing</w:t>
      </w:r>
      <w:proofErr w:type="spellEnd"/>
      <w:r>
        <w:t xml:space="preserve"> a project using investment appraisal techniques. However, in this context, it is important to identify the non-financial factors that must be considered during the investment appraisal process. The non-financial factors are discussed below:</w:t>
      </w:r>
    </w:p>
    <w:p w:rsidR="007C367B" w:rsidRDefault="007C367B" w:rsidP="007C367B">
      <w:pPr>
        <w:pStyle w:val="ListParagraph"/>
        <w:numPr>
          <w:ilvl w:val="0"/>
          <w:numId w:val="5"/>
        </w:numPr>
      </w:pPr>
      <w:r w:rsidRPr="00C26EC2">
        <w:rPr>
          <w:b/>
          <w:i/>
        </w:rPr>
        <w:t>Size of the project –</w:t>
      </w:r>
      <w:r>
        <w:t xml:space="preserve"> In the process of investment appraisal, identifying and analyzing the size of the projects is very important because sometimes the decisions depend on the size (</w:t>
      </w:r>
      <w:r w:rsidRPr="00B51CAA">
        <w:rPr>
          <w:rFonts w:cs="Times New Roman"/>
          <w:szCs w:val="24"/>
        </w:rPr>
        <w:t>Harris</w:t>
      </w:r>
      <w:r>
        <w:rPr>
          <w:szCs w:val="24"/>
        </w:rPr>
        <w:t xml:space="preserve"> 2017</w:t>
      </w:r>
      <w:r>
        <w:t>). Sometimes, investors do not want to invest in the large projects. Therefore, considering the project size is important.</w:t>
      </w:r>
    </w:p>
    <w:p w:rsidR="007C367B" w:rsidRDefault="007C367B" w:rsidP="007C367B">
      <w:pPr>
        <w:pStyle w:val="ListParagraph"/>
        <w:numPr>
          <w:ilvl w:val="0"/>
          <w:numId w:val="5"/>
        </w:numPr>
      </w:pPr>
      <w:r w:rsidRPr="00C26EC2">
        <w:rPr>
          <w:b/>
          <w:i/>
        </w:rPr>
        <w:t>Industry standards –</w:t>
      </w:r>
      <w:r>
        <w:t xml:space="preserve"> Industry standards are also important to be considered in the process of investment appraisal. While analyzing a project, industry standards must be considered because based on the industry standards, the prospects of the project can be better understood (</w:t>
      </w:r>
      <w:r w:rsidRPr="00B51CAA">
        <w:rPr>
          <w:rFonts w:cs="Times New Roman"/>
          <w:szCs w:val="24"/>
        </w:rPr>
        <w:t>Hicks</w:t>
      </w:r>
      <w:r>
        <w:rPr>
          <w:szCs w:val="24"/>
        </w:rPr>
        <w:t xml:space="preserve"> 2017</w:t>
      </w:r>
      <w:r>
        <w:t xml:space="preserve">). </w:t>
      </w:r>
    </w:p>
    <w:p w:rsidR="007C367B" w:rsidRDefault="007C367B" w:rsidP="007C367B">
      <w:pPr>
        <w:pStyle w:val="ListParagraph"/>
        <w:numPr>
          <w:ilvl w:val="0"/>
          <w:numId w:val="5"/>
        </w:numPr>
      </w:pPr>
      <w:r w:rsidRPr="00C26EC2">
        <w:rPr>
          <w:b/>
          <w:i/>
        </w:rPr>
        <w:t>Skills and knowledge of the investor –</w:t>
      </w:r>
      <w:r>
        <w:t xml:space="preserve"> This is another major factor that affects the investment appraisal process. Depending on the skills and knowledge, investor selects which investment appraisal technique should be used and what the results of investment appraisal are indicting (</w:t>
      </w:r>
      <w:proofErr w:type="spellStart"/>
      <w:r w:rsidRPr="00B51CAA">
        <w:rPr>
          <w:rFonts w:cs="Times New Roman"/>
          <w:color w:val="222222"/>
          <w:szCs w:val="24"/>
          <w:shd w:val="clear" w:color="auto" w:fill="FFFFFF"/>
        </w:rPr>
        <w:t>Gotze</w:t>
      </w:r>
      <w:proofErr w:type="spellEnd"/>
      <w:r>
        <w:rPr>
          <w:rFonts w:cs="Times New Roman"/>
          <w:color w:val="222222"/>
          <w:szCs w:val="24"/>
          <w:shd w:val="clear" w:color="auto" w:fill="FFFFFF"/>
        </w:rPr>
        <w:t xml:space="preserve"> </w:t>
      </w:r>
      <w:r w:rsidRPr="004116B3">
        <w:rPr>
          <w:rFonts w:cs="Times New Roman"/>
          <w:i/>
          <w:color w:val="222222"/>
          <w:szCs w:val="24"/>
          <w:shd w:val="clear" w:color="auto" w:fill="FFFFFF"/>
        </w:rPr>
        <w:t>et al.</w:t>
      </w:r>
      <w:r>
        <w:rPr>
          <w:rFonts w:cs="Times New Roman"/>
          <w:color w:val="222222"/>
          <w:szCs w:val="24"/>
          <w:shd w:val="clear" w:color="auto" w:fill="FFFFFF"/>
        </w:rPr>
        <w:t xml:space="preserve"> 2016</w:t>
      </w:r>
      <w:r>
        <w:t>). Therefore, final decision depends on the skills and knowledge of the investor.</w:t>
      </w:r>
    </w:p>
    <w:p w:rsidR="007C367B" w:rsidRDefault="007C367B" w:rsidP="007C367B">
      <w:pPr>
        <w:pStyle w:val="Heading1"/>
      </w:pPr>
      <w:bookmarkStart w:id="20" w:name="_Toc511943453"/>
      <w:bookmarkStart w:id="21" w:name="_Toc512979928"/>
      <w:r>
        <w:lastRenderedPageBreak/>
        <w:t>Conclusion</w:t>
      </w:r>
      <w:bookmarkEnd w:id="20"/>
      <w:bookmarkEnd w:id="21"/>
    </w:p>
    <w:p w:rsidR="007C367B" w:rsidRDefault="007C367B" w:rsidP="007C367B">
      <w:r>
        <w:t>This study has indicated that the results of investment appraisal may differ due to the differences in the investment appraisal techniques. The study has indicated that there are some advantages and some disadvantages in every investment appraisal methods. However, it is the duty of the investor to select the right method. At the same time, the study has indicated that there are certain non-financial factors like, project size and industry standards that play major role in investment appraisal.</w:t>
      </w:r>
    </w:p>
    <w:p w:rsidR="007C367B" w:rsidRDefault="007C367B">
      <w:pPr>
        <w:spacing w:line="276" w:lineRule="auto"/>
        <w:jc w:val="left"/>
      </w:pPr>
      <w:r>
        <w:br w:type="page"/>
      </w:r>
    </w:p>
    <w:p w:rsidR="007C367B" w:rsidRDefault="007C367B" w:rsidP="007C367B">
      <w:pPr>
        <w:pStyle w:val="Heading1"/>
      </w:pPr>
      <w:bookmarkStart w:id="22" w:name="_Toc511943454"/>
      <w:bookmarkStart w:id="23" w:name="_Toc512979929"/>
      <w:r>
        <w:lastRenderedPageBreak/>
        <w:t>Reference list</w:t>
      </w:r>
      <w:bookmarkEnd w:id="22"/>
      <w:bookmarkEnd w:id="23"/>
    </w:p>
    <w:p w:rsidR="007C367B" w:rsidRPr="00040322" w:rsidRDefault="007C367B" w:rsidP="007C367B">
      <w:pPr>
        <w:rPr>
          <w:szCs w:val="24"/>
        </w:rPr>
      </w:pPr>
      <w:proofErr w:type="spellStart"/>
      <w:r w:rsidRPr="00040322">
        <w:rPr>
          <w:szCs w:val="24"/>
        </w:rPr>
        <w:t>Alkaraan</w:t>
      </w:r>
      <w:proofErr w:type="spellEnd"/>
      <w:r w:rsidRPr="00040322">
        <w:rPr>
          <w:szCs w:val="24"/>
        </w:rPr>
        <w:t>, F., 2017. Strategic Investment Appraisal: Multidisciplinary Perspectives. In </w:t>
      </w:r>
      <w:r w:rsidRPr="00040322">
        <w:rPr>
          <w:i/>
          <w:iCs/>
          <w:szCs w:val="24"/>
        </w:rPr>
        <w:t>Advances in Mergers and Acquisitions</w:t>
      </w:r>
      <w:r w:rsidRPr="00040322">
        <w:rPr>
          <w:szCs w:val="24"/>
        </w:rPr>
        <w:t> (pp. 67-82). Emerald Publishing Limited.</w:t>
      </w:r>
    </w:p>
    <w:p w:rsidR="007C367B" w:rsidRPr="00040322" w:rsidRDefault="007C367B" w:rsidP="007C367B">
      <w:pPr>
        <w:rPr>
          <w:szCs w:val="24"/>
        </w:rPr>
      </w:pPr>
      <w:r w:rsidRPr="00040322">
        <w:rPr>
          <w:szCs w:val="24"/>
        </w:rPr>
        <w:t>Baum, A.E. and Crosby, N., 2014. </w:t>
      </w:r>
      <w:r w:rsidRPr="00040322">
        <w:rPr>
          <w:i/>
          <w:iCs/>
          <w:szCs w:val="24"/>
        </w:rPr>
        <w:t>Property investment appraisal</w:t>
      </w:r>
      <w:r w:rsidRPr="00040322">
        <w:rPr>
          <w:szCs w:val="24"/>
        </w:rPr>
        <w:t>. John Wiley &amp; Sons.</w:t>
      </w:r>
    </w:p>
    <w:p w:rsidR="007C367B" w:rsidRPr="00040322" w:rsidRDefault="007C367B" w:rsidP="007C367B">
      <w:pPr>
        <w:rPr>
          <w:szCs w:val="24"/>
        </w:rPr>
      </w:pPr>
      <w:r w:rsidRPr="00040322">
        <w:rPr>
          <w:szCs w:val="24"/>
        </w:rPr>
        <w:t xml:space="preserve">Chen, C.W., Collins, D.W., </w:t>
      </w:r>
      <w:proofErr w:type="spellStart"/>
      <w:r w:rsidRPr="00040322">
        <w:rPr>
          <w:szCs w:val="24"/>
        </w:rPr>
        <w:t>Kravet</w:t>
      </w:r>
      <w:proofErr w:type="spellEnd"/>
      <w:r w:rsidRPr="00040322">
        <w:rPr>
          <w:szCs w:val="24"/>
        </w:rPr>
        <w:t>, T.D. and Mergenthaler, R.D., 2018. Financial statement comparability and the efficiency of acquisition decisions. </w:t>
      </w:r>
      <w:r w:rsidRPr="00040322">
        <w:rPr>
          <w:i/>
          <w:iCs/>
          <w:szCs w:val="24"/>
        </w:rPr>
        <w:t>Contemporary Accounting Research</w:t>
      </w:r>
      <w:r w:rsidRPr="00040322">
        <w:rPr>
          <w:szCs w:val="24"/>
        </w:rPr>
        <w:t>, </w:t>
      </w:r>
      <w:r w:rsidRPr="00040322">
        <w:rPr>
          <w:i/>
          <w:iCs/>
          <w:szCs w:val="24"/>
        </w:rPr>
        <w:t>35</w:t>
      </w:r>
      <w:r w:rsidRPr="00040322">
        <w:rPr>
          <w:szCs w:val="24"/>
        </w:rPr>
        <w:t>(1), pp.164-202.</w:t>
      </w:r>
    </w:p>
    <w:p w:rsidR="007C367B" w:rsidRPr="00040322" w:rsidRDefault="007C367B" w:rsidP="007C367B">
      <w:pPr>
        <w:rPr>
          <w:szCs w:val="24"/>
        </w:rPr>
      </w:pPr>
      <w:proofErr w:type="spellStart"/>
      <w:r w:rsidRPr="00040322">
        <w:rPr>
          <w:szCs w:val="24"/>
        </w:rPr>
        <w:t>Fokkema</w:t>
      </w:r>
      <w:proofErr w:type="spellEnd"/>
      <w:r w:rsidRPr="00040322">
        <w:rPr>
          <w:szCs w:val="24"/>
        </w:rPr>
        <w:t xml:space="preserve">, J.E., </w:t>
      </w:r>
      <w:proofErr w:type="spellStart"/>
      <w:r w:rsidRPr="00040322">
        <w:rPr>
          <w:szCs w:val="24"/>
        </w:rPr>
        <w:t>Buijs</w:t>
      </w:r>
      <w:proofErr w:type="spellEnd"/>
      <w:r w:rsidRPr="00040322">
        <w:rPr>
          <w:szCs w:val="24"/>
        </w:rPr>
        <w:t>, P. and Vis, I.F., 2017. An investment appraisal method to compare LNG-</w:t>
      </w:r>
      <w:proofErr w:type="spellStart"/>
      <w:r w:rsidRPr="00040322">
        <w:rPr>
          <w:szCs w:val="24"/>
        </w:rPr>
        <w:t>fueled</w:t>
      </w:r>
      <w:proofErr w:type="spellEnd"/>
      <w:r w:rsidRPr="00040322">
        <w:rPr>
          <w:szCs w:val="24"/>
        </w:rPr>
        <w:t xml:space="preserve"> and conventional vessels. </w:t>
      </w:r>
      <w:r w:rsidRPr="00040322">
        <w:rPr>
          <w:i/>
          <w:iCs/>
          <w:szCs w:val="24"/>
        </w:rPr>
        <w:t>Transportation Research Part D: Transport and Environment</w:t>
      </w:r>
      <w:r w:rsidRPr="00040322">
        <w:rPr>
          <w:szCs w:val="24"/>
        </w:rPr>
        <w:t>, </w:t>
      </w:r>
      <w:r w:rsidRPr="00040322">
        <w:rPr>
          <w:i/>
          <w:iCs/>
          <w:szCs w:val="24"/>
        </w:rPr>
        <w:t>56</w:t>
      </w:r>
      <w:r w:rsidRPr="00040322">
        <w:rPr>
          <w:szCs w:val="24"/>
        </w:rPr>
        <w:t>, pp.229-240.</w:t>
      </w:r>
    </w:p>
    <w:p w:rsidR="007C367B" w:rsidRPr="00040322" w:rsidRDefault="007C367B" w:rsidP="007C367B">
      <w:pPr>
        <w:rPr>
          <w:szCs w:val="24"/>
        </w:rPr>
      </w:pPr>
      <w:proofErr w:type="spellStart"/>
      <w:r w:rsidRPr="00040322">
        <w:rPr>
          <w:szCs w:val="24"/>
          <w:shd w:val="clear" w:color="auto" w:fill="FFFFFF"/>
        </w:rPr>
        <w:t>Gotze</w:t>
      </w:r>
      <w:proofErr w:type="spellEnd"/>
      <w:r w:rsidRPr="00040322">
        <w:rPr>
          <w:szCs w:val="24"/>
          <w:shd w:val="clear" w:color="auto" w:fill="FFFFFF"/>
        </w:rPr>
        <w:t xml:space="preserve">, U., </w:t>
      </w:r>
      <w:proofErr w:type="spellStart"/>
      <w:r w:rsidRPr="00040322">
        <w:rPr>
          <w:szCs w:val="24"/>
          <w:shd w:val="clear" w:color="auto" w:fill="FFFFFF"/>
        </w:rPr>
        <w:t>Northcott</w:t>
      </w:r>
      <w:proofErr w:type="spellEnd"/>
      <w:r w:rsidRPr="00040322">
        <w:rPr>
          <w:szCs w:val="24"/>
          <w:shd w:val="clear" w:color="auto" w:fill="FFFFFF"/>
        </w:rPr>
        <w:t>, D. and Schuster, P., 2016.</w:t>
      </w:r>
      <w:r w:rsidRPr="00040322">
        <w:rPr>
          <w:rStyle w:val="apple-converted-space"/>
          <w:szCs w:val="24"/>
          <w:shd w:val="clear" w:color="auto" w:fill="FFFFFF"/>
        </w:rPr>
        <w:t> </w:t>
      </w:r>
      <w:r w:rsidRPr="00040322">
        <w:rPr>
          <w:i/>
          <w:iCs/>
          <w:szCs w:val="24"/>
          <w:shd w:val="clear" w:color="auto" w:fill="FFFFFF"/>
        </w:rPr>
        <w:t>INVESTMENT APPRAISAL</w:t>
      </w:r>
      <w:r w:rsidRPr="00040322">
        <w:rPr>
          <w:szCs w:val="24"/>
          <w:shd w:val="clear" w:color="auto" w:fill="FFFFFF"/>
        </w:rPr>
        <w:t>. SPRINGER-VERLAG BERLIN AN.</w:t>
      </w:r>
    </w:p>
    <w:p w:rsidR="007C367B" w:rsidRPr="00040322" w:rsidRDefault="007C367B" w:rsidP="007C367B">
      <w:pPr>
        <w:rPr>
          <w:szCs w:val="24"/>
          <w:shd w:val="clear" w:color="auto" w:fill="FFFFFF"/>
        </w:rPr>
      </w:pPr>
      <w:r w:rsidRPr="00040322">
        <w:rPr>
          <w:szCs w:val="24"/>
          <w:shd w:val="clear" w:color="auto" w:fill="FFFFFF"/>
        </w:rPr>
        <w:t xml:space="preserve">Graham, J.R., Hanlon, M., </w:t>
      </w:r>
      <w:proofErr w:type="spellStart"/>
      <w:r w:rsidRPr="00040322">
        <w:rPr>
          <w:szCs w:val="24"/>
          <w:shd w:val="clear" w:color="auto" w:fill="FFFFFF"/>
        </w:rPr>
        <w:t>Shevlin</w:t>
      </w:r>
      <w:proofErr w:type="spellEnd"/>
      <w:r w:rsidRPr="00040322">
        <w:rPr>
          <w:szCs w:val="24"/>
          <w:shd w:val="clear" w:color="auto" w:fill="FFFFFF"/>
        </w:rPr>
        <w:t>, T. and Shroff, N., 2017. Tax Rates and Corporate Decision-making.</w:t>
      </w:r>
      <w:r w:rsidRPr="00040322">
        <w:rPr>
          <w:rStyle w:val="apple-converted-space"/>
          <w:szCs w:val="24"/>
          <w:shd w:val="clear" w:color="auto" w:fill="FFFFFF"/>
        </w:rPr>
        <w:t> </w:t>
      </w:r>
      <w:r w:rsidRPr="00040322">
        <w:rPr>
          <w:i/>
          <w:iCs/>
          <w:szCs w:val="24"/>
          <w:shd w:val="clear" w:color="auto" w:fill="FFFFFF"/>
        </w:rPr>
        <w:t>The Review of Financial Studies</w:t>
      </w:r>
      <w:r w:rsidRPr="00040322">
        <w:rPr>
          <w:szCs w:val="24"/>
          <w:shd w:val="clear" w:color="auto" w:fill="FFFFFF"/>
        </w:rPr>
        <w:t>,</w:t>
      </w:r>
      <w:r w:rsidRPr="00040322">
        <w:rPr>
          <w:rStyle w:val="apple-converted-space"/>
          <w:szCs w:val="24"/>
          <w:shd w:val="clear" w:color="auto" w:fill="FFFFFF"/>
        </w:rPr>
        <w:t> </w:t>
      </w:r>
      <w:r w:rsidRPr="00040322">
        <w:rPr>
          <w:i/>
          <w:iCs/>
          <w:szCs w:val="24"/>
          <w:shd w:val="clear" w:color="auto" w:fill="FFFFFF"/>
        </w:rPr>
        <w:t>30</w:t>
      </w:r>
      <w:r w:rsidRPr="00040322">
        <w:rPr>
          <w:szCs w:val="24"/>
          <w:shd w:val="clear" w:color="auto" w:fill="FFFFFF"/>
        </w:rPr>
        <w:t>(9), pp.3128-3175.</w:t>
      </w:r>
    </w:p>
    <w:p w:rsidR="007C367B" w:rsidRPr="00040322" w:rsidRDefault="007C367B" w:rsidP="007C367B">
      <w:pPr>
        <w:rPr>
          <w:szCs w:val="24"/>
        </w:rPr>
      </w:pPr>
      <w:r w:rsidRPr="00040322">
        <w:rPr>
          <w:szCs w:val="24"/>
        </w:rPr>
        <w:t>Harris, E., 2017. </w:t>
      </w:r>
      <w:r w:rsidRPr="00040322">
        <w:rPr>
          <w:i/>
          <w:iCs/>
          <w:szCs w:val="24"/>
        </w:rPr>
        <w:t>Strategic project risk appraisal and management</w:t>
      </w:r>
      <w:r w:rsidRPr="00040322">
        <w:rPr>
          <w:szCs w:val="24"/>
        </w:rPr>
        <w:t>. Routledge.</w:t>
      </w:r>
    </w:p>
    <w:p w:rsidR="007C367B" w:rsidRPr="00040322" w:rsidRDefault="007C367B" w:rsidP="007C367B">
      <w:pPr>
        <w:rPr>
          <w:szCs w:val="24"/>
        </w:rPr>
      </w:pPr>
      <w:r w:rsidRPr="00040322">
        <w:rPr>
          <w:szCs w:val="24"/>
        </w:rPr>
        <w:t>Hicks, C.L., 2017, July. MODERN PROJECT INVESTMENT APPRAISAL: RETURN TO SIMPLICITY. In </w:t>
      </w:r>
      <w:r w:rsidRPr="00040322">
        <w:rPr>
          <w:i/>
          <w:iCs/>
          <w:szCs w:val="24"/>
        </w:rPr>
        <w:t>Process Optimisation: A Three-Day Symposium Organised by the Midlands Branch of the Institution of Chemical Engineers and Held at the University of Nottingham, 7–9 April 1987</w:t>
      </w:r>
      <w:r w:rsidRPr="00040322">
        <w:rPr>
          <w:szCs w:val="24"/>
        </w:rPr>
        <w:t> (No. 61, p. 53). Elsevier.</w:t>
      </w:r>
    </w:p>
    <w:p w:rsidR="007C367B" w:rsidRPr="00040322" w:rsidRDefault="007C367B" w:rsidP="007C367B">
      <w:pPr>
        <w:rPr>
          <w:szCs w:val="24"/>
        </w:rPr>
      </w:pPr>
      <w:proofErr w:type="spellStart"/>
      <w:r w:rsidRPr="00040322">
        <w:rPr>
          <w:szCs w:val="24"/>
        </w:rPr>
        <w:t>Kengatharan</w:t>
      </w:r>
      <w:proofErr w:type="spellEnd"/>
      <w:r w:rsidRPr="00040322">
        <w:rPr>
          <w:szCs w:val="24"/>
        </w:rPr>
        <w:t xml:space="preserve">, L. and </w:t>
      </w:r>
      <w:proofErr w:type="spellStart"/>
      <w:r w:rsidRPr="00040322">
        <w:rPr>
          <w:szCs w:val="24"/>
        </w:rPr>
        <w:t>Clamenthu</w:t>
      </w:r>
      <w:proofErr w:type="spellEnd"/>
      <w:r w:rsidRPr="00040322">
        <w:rPr>
          <w:szCs w:val="24"/>
        </w:rPr>
        <w:t>, P.D., 2017. Use of Capital Investment Appraisal Practices and Effectiveness of Investment Decisions: A Study on Listed Manufacturing Companies in Sri Lanka. </w:t>
      </w:r>
      <w:r w:rsidRPr="00040322">
        <w:rPr>
          <w:i/>
          <w:iCs/>
          <w:szCs w:val="24"/>
        </w:rPr>
        <w:t>Asian Journal of Finance &amp; Accounting</w:t>
      </w:r>
      <w:r w:rsidRPr="00040322">
        <w:rPr>
          <w:szCs w:val="24"/>
        </w:rPr>
        <w:t>, </w:t>
      </w:r>
      <w:r w:rsidRPr="00040322">
        <w:rPr>
          <w:i/>
          <w:iCs/>
          <w:szCs w:val="24"/>
        </w:rPr>
        <w:t>9</w:t>
      </w:r>
      <w:r w:rsidRPr="00040322">
        <w:rPr>
          <w:szCs w:val="24"/>
        </w:rPr>
        <w:t>(2), pp.287-306.</w:t>
      </w:r>
    </w:p>
    <w:p w:rsidR="007C367B" w:rsidRPr="00040322" w:rsidRDefault="007C367B" w:rsidP="007C367B">
      <w:pPr>
        <w:rPr>
          <w:szCs w:val="24"/>
        </w:rPr>
      </w:pPr>
      <w:r w:rsidRPr="00040322">
        <w:rPr>
          <w:szCs w:val="24"/>
        </w:rPr>
        <w:t xml:space="preserve">Li, F.G. and </w:t>
      </w:r>
      <w:proofErr w:type="spellStart"/>
      <w:r w:rsidRPr="00040322">
        <w:rPr>
          <w:szCs w:val="24"/>
        </w:rPr>
        <w:t>Trutnevyte</w:t>
      </w:r>
      <w:proofErr w:type="spellEnd"/>
      <w:r w:rsidRPr="00040322">
        <w:rPr>
          <w:szCs w:val="24"/>
        </w:rPr>
        <w:t>, E., 2017. Investment appraisal of cost-optimal and near-optimal pathways for the UK electricity sector transition to 2050. </w:t>
      </w:r>
      <w:r w:rsidRPr="00040322">
        <w:rPr>
          <w:i/>
          <w:iCs/>
          <w:szCs w:val="24"/>
        </w:rPr>
        <w:t>Applied energy</w:t>
      </w:r>
      <w:r w:rsidRPr="00040322">
        <w:rPr>
          <w:szCs w:val="24"/>
        </w:rPr>
        <w:t>, </w:t>
      </w:r>
      <w:r w:rsidRPr="00040322">
        <w:rPr>
          <w:i/>
          <w:iCs/>
          <w:szCs w:val="24"/>
        </w:rPr>
        <w:t>189</w:t>
      </w:r>
      <w:r w:rsidRPr="00040322">
        <w:rPr>
          <w:szCs w:val="24"/>
        </w:rPr>
        <w:t>, pp.89-109.</w:t>
      </w:r>
    </w:p>
    <w:p w:rsidR="007C367B" w:rsidRPr="00040322" w:rsidRDefault="007C367B" w:rsidP="007C367B">
      <w:pPr>
        <w:rPr>
          <w:szCs w:val="24"/>
        </w:rPr>
      </w:pPr>
      <w:proofErr w:type="spellStart"/>
      <w:r w:rsidRPr="00040322">
        <w:rPr>
          <w:szCs w:val="24"/>
        </w:rPr>
        <w:t>Lindvall</w:t>
      </w:r>
      <w:proofErr w:type="spellEnd"/>
      <w:r w:rsidRPr="00040322">
        <w:rPr>
          <w:szCs w:val="24"/>
        </w:rPr>
        <w:t>, N. and Larsson, A., 2017. Investment Appraisal in the Public Sector–Incorporating Flexibility and Environmental Impact. </w:t>
      </w:r>
      <w:r w:rsidRPr="00040322">
        <w:rPr>
          <w:i/>
          <w:iCs/>
          <w:szCs w:val="24"/>
        </w:rPr>
        <w:t>Journal of Advanced Management Science Vol</w:t>
      </w:r>
      <w:r w:rsidRPr="00040322">
        <w:rPr>
          <w:szCs w:val="24"/>
        </w:rPr>
        <w:t>, </w:t>
      </w:r>
      <w:r w:rsidRPr="00040322">
        <w:rPr>
          <w:i/>
          <w:iCs/>
          <w:szCs w:val="24"/>
        </w:rPr>
        <w:t>5</w:t>
      </w:r>
      <w:r w:rsidRPr="00040322">
        <w:rPr>
          <w:szCs w:val="24"/>
        </w:rPr>
        <w:t>(3).</w:t>
      </w:r>
    </w:p>
    <w:p w:rsidR="007C367B" w:rsidRPr="00040322" w:rsidRDefault="007C367B" w:rsidP="007C367B">
      <w:pPr>
        <w:rPr>
          <w:szCs w:val="24"/>
          <w:shd w:val="clear" w:color="auto" w:fill="FFFFFF"/>
        </w:rPr>
      </w:pPr>
      <w:proofErr w:type="spellStart"/>
      <w:r w:rsidRPr="00040322">
        <w:rPr>
          <w:szCs w:val="24"/>
          <w:shd w:val="clear" w:color="auto" w:fill="FFFFFF"/>
        </w:rPr>
        <w:t>Minnis</w:t>
      </w:r>
      <w:proofErr w:type="spellEnd"/>
      <w:r w:rsidRPr="00040322">
        <w:rPr>
          <w:szCs w:val="24"/>
          <w:shd w:val="clear" w:color="auto" w:fill="FFFFFF"/>
        </w:rPr>
        <w:t>, M. and Sutherland, A., 2017. Financial statements as monitoring mechanisms: Evidence from small commercial loans.</w:t>
      </w:r>
      <w:r w:rsidRPr="00040322">
        <w:rPr>
          <w:rStyle w:val="apple-converted-space"/>
          <w:szCs w:val="24"/>
          <w:shd w:val="clear" w:color="auto" w:fill="FFFFFF"/>
        </w:rPr>
        <w:t> </w:t>
      </w:r>
      <w:r w:rsidRPr="00040322">
        <w:rPr>
          <w:i/>
          <w:iCs/>
          <w:szCs w:val="24"/>
          <w:shd w:val="clear" w:color="auto" w:fill="FFFFFF"/>
        </w:rPr>
        <w:t>Journal of Accounting Research</w:t>
      </w:r>
      <w:r w:rsidRPr="00040322">
        <w:rPr>
          <w:szCs w:val="24"/>
          <w:shd w:val="clear" w:color="auto" w:fill="FFFFFF"/>
        </w:rPr>
        <w:t>,</w:t>
      </w:r>
      <w:r w:rsidRPr="00040322">
        <w:rPr>
          <w:rStyle w:val="apple-converted-space"/>
          <w:szCs w:val="24"/>
          <w:shd w:val="clear" w:color="auto" w:fill="FFFFFF"/>
        </w:rPr>
        <w:t> </w:t>
      </w:r>
      <w:r w:rsidRPr="00040322">
        <w:rPr>
          <w:i/>
          <w:iCs/>
          <w:szCs w:val="24"/>
          <w:shd w:val="clear" w:color="auto" w:fill="FFFFFF"/>
        </w:rPr>
        <w:t>55</w:t>
      </w:r>
      <w:r w:rsidRPr="00040322">
        <w:rPr>
          <w:szCs w:val="24"/>
          <w:shd w:val="clear" w:color="auto" w:fill="FFFFFF"/>
        </w:rPr>
        <w:t>(1), pp.197-233.</w:t>
      </w:r>
    </w:p>
    <w:p w:rsidR="007C367B" w:rsidRPr="00040322" w:rsidRDefault="007C367B" w:rsidP="007C367B">
      <w:pPr>
        <w:rPr>
          <w:szCs w:val="24"/>
        </w:rPr>
      </w:pPr>
      <w:r w:rsidRPr="00040322">
        <w:rPr>
          <w:szCs w:val="24"/>
        </w:rPr>
        <w:lastRenderedPageBreak/>
        <w:t>Paddypowerbetfair.com. 2018. </w:t>
      </w:r>
      <w:r w:rsidRPr="00040322">
        <w:rPr>
          <w:i/>
          <w:iCs/>
          <w:szCs w:val="24"/>
        </w:rPr>
        <w:t>Home</w:t>
      </w:r>
      <w:r w:rsidRPr="00040322">
        <w:rPr>
          <w:szCs w:val="24"/>
        </w:rPr>
        <w:t>. [</w:t>
      </w:r>
      <w:proofErr w:type="gramStart"/>
      <w:r w:rsidRPr="00040322">
        <w:rPr>
          <w:szCs w:val="24"/>
        </w:rPr>
        <w:t>online</w:t>
      </w:r>
      <w:proofErr w:type="gramEnd"/>
      <w:r w:rsidRPr="00040322">
        <w:rPr>
          <w:szCs w:val="24"/>
        </w:rPr>
        <w:t>] Available at: https://www.paddypowerbetfair.com/ [Accessed 7 Apr. 2018].</w:t>
      </w:r>
    </w:p>
    <w:p w:rsidR="007C367B" w:rsidRPr="00040322" w:rsidRDefault="007C367B" w:rsidP="007C367B">
      <w:pPr>
        <w:rPr>
          <w:szCs w:val="24"/>
          <w:shd w:val="clear" w:color="auto" w:fill="FFFFFF"/>
        </w:rPr>
      </w:pPr>
      <w:r w:rsidRPr="00040322">
        <w:rPr>
          <w:szCs w:val="24"/>
          <w:shd w:val="clear" w:color="auto" w:fill="FFFFFF"/>
        </w:rPr>
        <w:t xml:space="preserve">Titman, S., </w:t>
      </w:r>
      <w:proofErr w:type="spellStart"/>
      <w:r w:rsidRPr="00040322">
        <w:rPr>
          <w:szCs w:val="24"/>
          <w:shd w:val="clear" w:color="auto" w:fill="FFFFFF"/>
        </w:rPr>
        <w:t>Keown</w:t>
      </w:r>
      <w:proofErr w:type="spellEnd"/>
      <w:r w:rsidRPr="00040322">
        <w:rPr>
          <w:szCs w:val="24"/>
          <w:shd w:val="clear" w:color="auto" w:fill="FFFFFF"/>
        </w:rPr>
        <w:t>, A.J. and Martin, J.D., 2017.</w:t>
      </w:r>
      <w:r w:rsidRPr="00040322">
        <w:rPr>
          <w:rStyle w:val="apple-converted-space"/>
          <w:szCs w:val="24"/>
          <w:shd w:val="clear" w:color="auto" w:fill="FFFFFF"/>
        </w:rPr>
        <w:t> </w:t>
      </w:r>
      <w:r w:rsidRPr="00040322">
        <w:rPr>
          <w:i/>
          <w:iCs/>
          <w:szCs w:val="24"/>
          <w:shd w:val="clear" w:color="auto" w:fill="FFFFFF"/>
        </w:rPr>
        <w:t>Financial management: Principles and applications</w:t>
      </w:r>
      <w:r w:rsidRPr="00040322">
        <w:rPr>
          <w:szCs w:val="24"/>
          <w:shd w:val="clear" w:color="auto" w:fill="FFFFFF"/>
        </w:rPr>
        <w:t>. Pearson.</w:t>
      </w:r>
    </w:p>
    <w:p w:rsidR="007C367B" w:rsidRPr="00040322" w:rsidRDefault="007C367B" w:rsidP="007C367B">
      <w:pPr>
        <w:rPr>
          <w:szCs w:val="24"/>
          <w:shd w:val="clear" w:color="auto" w:fill="FFFFFF"/>
        </w:rPr>
      </w:pPr>
      <w:proofErr w:type="spellStart"/>
      <w:r w:rsidRPr="00040322">
        <w:rPr>
          <w:szCs w:val="24"/>
          <w:shd w:val="clear" w:color="auto" w:fill="FFFFFF"/>
        </w:rPr>
        <w:t>Trianni</w:t>
      </w:r>
      <w:proofErr w:type="spellEnd"/>
      <w:r w:rsidRPr="00040322">
        <w:rPr>
          <w:szCs w:val="24"/>
          <w:shd w:val="clear" w:color="auto" w:fill="FFFFFF"/>
        </w:rPr>
        <w:t xml:space="preserve">, A., </w:t>
      </w:r>
      <w:proofErr w:type="spellStart"/>
      <w:r w:rsidRPr="00040322">
        <w:rPr>
          <w:szCs w:val="24"/>
          <w:shd w:val="clear" w:color="auto" w:fill="FFFFFF"/>
        </w:rPr>
        <w:t>Cagno</w:t>
      </w:r>
      <w:proofErr w:type="spellEnd"/>
      <w:r w:rsidRPr="00040322">
        <w:rPr>
          <w:szCs w:val="24"/>
          <w:shd w:val="clear" w:color="auto" w:fill="FFFFFF"/>
        </w:rPr>
        <w:t xml:space="preserve">, E., </w:t>
      </w:r>
      <w:proofErr w:type="spellStart"/>
      <w:r w:rsidRPr="00040322">
        <w:rPr>
          <w:szCs w:val="24"/>
          <w:shd w:val="clear" w:color="auto" w:fill="FFFFFF"/>
        </w:rPr>
        <w:t>Marchesani</w:t>
      </w:r>
      <w:proofErr w:type="spellEnd"/>
      <w:r w:rsidRPr="00040322">
        <w:rPr>
          <w:szCs w:val="24"/>
          <w:shd w:val="clear" w:color="auto" w:fill="FFFFFF"/>
        </w:rPr>
        <w:t xml:space="preserve">, F. and </w:t>
      </w:r>
      <w:proofErr w:type="spellStart"/>
      <w:r w:rsidRPr="00040322">
        <w:rPr>
          <w:szCs w:val="24"/>
          <w:shd w:val="clear" w:color="auto" w:fill="FFFFFF"/>
        </w:rPr>
        <w:t>Spallina</w:t>
      </w:r>
      <w:proofErr w:type="spellEnd"/>
      <w:r w:rsidRPr="00040322">
        <w:rPr>
          <w:szCs w:val="24"/>
          <w:shd w:val="clear" w:color="auto" w:fill="FFFFFF"/>
        </w:rPr>
        <w:t>, G., 2017. Classification of drivers for industrial energy efficiency and their effect on the barriers affecting the investment decision-making process.</w:t>
      </w:r>
      <w:r w:rsidRPr="00040322">
        <w:rPr>
          <w:rStyle w:val="apple-converted-space"/>
          <w:szCs w:val="24"/>
          <w:shd w:val="clear" w:color="auto" w:fill="FFFFFF"/>
        </w:rPr>
        <w:t> </w:t>
      </w:r>
      <w:r w:rsidRPr="00040322">
        <w:rPr>
          <w:i/>
          <w:iCs/>
          <w:szCs w:val="24"/>
          <w:shd w:val="clear" w:color="auto" w:fill="FFFFFF"/>
        </w:rPr>
        <w:t>Energy Efficiency</w:t>
      </w:r>
      <w:r w:rsidRPr="00040322">
        <w:rPr>
          <w:szCs w:val="24"/>
          <w:shd w:val="clear" w:color="auto" w:fill="FFFFFF"/>
        </w:rPr>
        <w:t>,</w:t>
      </w:r>
      <w:r w:rsidRPr="00040322">
        <w:rPr>
          <w:rStyle w:val="apple-converted-space"/>
          <w:szCs w:val="24"/>
          <w:shd w:val="clear" w:color="auto" w:fill="FFFFFF"/>
        </w:rPr>
        <w:t> </w:t>
      </w:r>
      <w:r w:rsidRPr="00040322">
        <w:rPr>
          <w:i/>
          <w:iCs/>
          <w:szCs w:val="24"/>
          <w:shd w:val="clear" w:color="auto" w:fill="FFFFFF"/>
        </w:rPr>
        <w:t>10</w:t>
      </w:r>
      <w:r w:rsidRPr="00040322">
        <w:rPr>
          <w:szCs w:val="24"/>
          <w:shd w:val="clear" w:color="auto" w:fill="FFFFFF"/>
        </w:rPr>
        <w:t>(1), pp.199-215.</w:t>
      </w:r>
    </w:p>
    <w:p w:rsidR="007C367B" w:rsidRPr="00040322" w:rsidRDefault="007C367B" w:rsidP="007C367B">
      <w:pPr>
        <w:rPr>
          <w:szCs w:val="24"/>
          <w:shd w:val="clear" w:color="auto" w:fill="FFFFFF"/>
        </w:rPr>
      </w:pPr>
      <w:r w:rsidRPr="00040322">
        <w:rPr>
          <w:szCs w:val="24"/>
          <w:shd w:val="clear" w:color="auto" w:fill="FFFFFF"/>
        </w:rPr>
        <w:t>Warren, C.S. and Jones, J., 2018.</w:t>
      </w:r>
      <w:r w:rsidRPr="00040322">
        <w:rPr>
          <w:rStyle w:val="apple-converted-space"/>
          <w:szCs w:val="24"/>
          <w:shd w:val="clear" w:color="auto" w:fill="FFFFFF"/>
        </w:rPr>
        <w:t> </w:t>
      </w:r>
      <w:r w:rsidRPr="00040322">
        <w:rPr>
          <w:i/>
          <w:iCs/>
          <w:szCs w:val="24"/>
          <w:shd w:val="clear" w:color="auto" w:fill="FFFFFF"/>
        </w:rPr>
        <w:t>Corporate financial accounting</w:t>
      </w:r>
      <w:r w:rsidRPr="00040322">
        <w:rPr>
          <w:szCs w:val="24"/>
          <w:shd w:val="clear" w:color="auto" w:fill="FFFFFF"/>
        </w:rPr>
        <w:t>. Cengage Learning.</w:t>
      </w:r>
    </w:p>
    <w:p w:rsidR="007C367B" w:rsidRPr="00040322" w:rsidRDefault="007C367B" w:rsidP="007C367B">
      <w:pPr>
        <w:rPr>
          <w:szCs w:val="24"/>
        </w:rPr>
      </w:pPr>
      <w:r w:rsidRPr="00040322">
        <w:rPr>
          <w:szCs w:val="24"/>
        </w:rPr>
        <w:t>William Hill Plc. 2018. </w:t>
      </w:r>
      <w:r w:rsidRPr="00040322">
        <w:rPr>
          <w:i/>
          <w:iCs/>
          <w:szCs w:val="24"/>
        </w:rPr>
        <w:t>Home</w:t>
      </w:r>
      <w:r w:rsidRPr="00040322">
        <w:rPr>
          <w:szCs w:val="24"/>
        </w:rPr>
        <w:t>. [</w:t>
      </w:r>
      <w:proofErr w:type="gramStart"/>
      <w:r w:rsidRPr="00040322">
        <w:rPr>
          <w:szCs w:val="24"/>
        </w:rPr>
        <w:t>online</w:t>
      </w:r>
      <w:proofErr w:type="gramEnd"/>
      <w:r w:rsidRPr="00040322">
        <w:rPr>
          <w:szCs w:val="24"/>
        </w:rPr>
        <w:t>] Available at: https://www.williamhillplc.com/ [Accessed 7 Apr. 2018].</w:t>
      </w:r>
    </w:p>
    <w:p w:rsidR="007C367B" w:rsidRPr="00040322" w:rsidRDefault="007C367B" w:rsidP="007C367B">
      <w:pPr>
        <w:rPr>
          <w:szCs w:val="24"/>
          <w:shd w:val="clear" w:color="auto" w:fill="FFFFFF"/>
        </w:rPr>
      </w:pPr>
      <w:proofErr w:type="spellStart"/>
      <w:r w:rsidRPr="00040322">
        <w:rPr>
          <w:szCs w:val="24"/>
          <w:shd w:val="clear" w:color="auto" w:fill="FFFFFF"/>
        </w:rPr>
        <w:t>Yuniningsih</w:t>
      </w:r>
      <w:proofErr w:type="spellEnd"/>
      <w:r w:rsidRPr="00040322">
        <w:rPr>
          <w:szCs w:val="24"/>
          <w:shd w:val="clear" w:color="auto" w:fill="FFFFFF"/>
        </w:rPr>
        <w:t xml:space="preserve">, Y., Widodo, S. and </w:t>
      </w:r>
      <w:proofErr w:type="spellStart"/>
      <w:r w:rsidRPr="00040322">
        <w:rPr>
          <w:szCs w:val="24"/>
          <w:shd w:val="clear" w:color="auto" w:fill="FFFFFF"/>
        </w:rPr>
        <w:t>Wajdi</w:t>
      </w:r>
      <w:proofErr w:type="spellEnd"/>
      <w:r w:rsidRPr="00040322">
        <w:rPr>
          <w:szCs w:val="24"/>
          <w:shd w:val="clear" w:color="auto" w:fill="FFFFFF"/>
        </w:rPr>
        <w:t>, M.B.N., 2017. An analysis of Decision Making in the Stock Investment.</w:t>
      </w:r>
      <w:r w:rsidRPr="00040322">
        <w:rPr>
          <w:rStyle w:val="apple-converted-space"/>
          <w:szCs w:val="24"/>
          <w:shd w:val="clear" w:color="auto" w:fill="FFFFFF"/>
        </w:rPr>
        <w:t> </w:t>
      </w:r>
      <w:r w:rsidRPr="00040322">
        <w:rPr>
          <w:i/>
          <w:iCs/>
          <w:szCs w:val="24"/>
          <w:shd w:val="clear" w:color="auto" w:fill="FFFFFF"/>
        </w:rPr>
        <w:t>Economic: Journal of Economic and Islamic Law</w:t>
      </w:r>
      <w:r w:rsidRPr="00040322">
        <w:rPr>
          <w:szCs w:val="24"/>
          <w:shd w:val="clear" w:color="auto" w:fill="FFFFFF"/>
        </w:rPr>
        <w:t>,</w:t>
      </w:r>
      <w:r w:rsidRPr="00040322">
        <w:rPr>
          <w:rStyle w:val="apple-converted-space"/>
          <w:szCs w:val="24"/>
          <w:shd w:val="clear" w:color="auto" w:fill="FFFFFF"/>
        </w:rPr>
        <w:t> </w:t>
      </w:r>
      <w:r w:rsidRPr="00040322">
        <w:rPr>
          <w:i/>
          <w:iCs/>
          <w:szCs w:val="24"/>
          <w:shd w:val="clear" w:color="auto" w:fill="FFFFFF"/>
        </w:rPr>
        <w:t>8</w:t>
      </w:r>
      <w:r w:rsidRPr="00040322">
        <w:rPr>
          <w:szCs w:val="24"/>
          <w:shd w:val="clear" w:color="auto" w:fill="FFFFFF"/>
        </w:rPr>
        <w:t>(2), pp.122-128.</w:t>
      </w:r>
    </w:p>
    <w:p w:rsidR="007C367B" w:rsidRDefault="007C367B" w:rsidP="007C367B">
      <w:pPr>
        <w:spacing w:line="276" w:lineRule="auto"/>
        <w:jc w:val="left"/>
      </w:pPr>
      <w:r>
        <w:br w:type="page"/>
      </w:r>
    </w:p>
    <w:p w:rsidR="007C367B" w:rsidRDefault="007C367B" w:rsidP="007C367B">
      <w:pPr>
        <w:pStyle w:val="Heading1"/>
      </w:pPr>
      <w:bookmarkStart w:id="24" w:name="_Toc512979930"/>
      <w:r>
        <w:lastRenderedPageBreak/>
        <w:t>Appendix</w:t>
      </w:r>
      <w:bookmarkEnd w:id="24"/>
    </w:p>
    <w:p w:rsidR="007C367B" w:rsidRDefault="007C367B" w:rsidP="007C367B">
      <w:r>
        <w:t>Financial ratios of William Hill Plc</w:t>
      </w:r>
    </w:p>
    <w:tbl>
      <w:tblPr>
        <w:tblW w:w="4978" w:type="dxa"/>
        <w:tblInd w:w="103" w:type="dxa"/>
        <w:tblLook w:val="04A0" w:firstRow="1" w:lastRow="0" w:firstColumn="1" w:lastColumn="0" w:noHBand="0" w:noVBand="1"/>
      </w:tblPr>
      <w:tblGrid>
        <w:gridCol w:w="2699"/>
        <w:gridCol w:w="996"/>
        <w:gridCol w:w="996"/>
        <w:gridCol w:w="996"/>
      </w:tblGrid>
      <w:tr w:rsidR="007C367B" w:rsidRPr="001F3BFE" w:rsidTr="001A22F4">
        <w:trPr>
          <w:trHeight w:val="315"/>
        </w:trPr>
        <w:tc>
          <w:tcPr>
            <w:tcW w:w="26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b/>
                <w:bCs/>
                <w:color w:val="000000"/>
                <w:szCs w:val="24"/>
                <w:lang w:val="en-IN" w:eastAsia="en-IN"/>
              </w:rPr>
            </w:pPr>
            <w:r w:rsidRPr="001F3BFE">
              <w:rPr>
                <w:rFonts w:eastAsia="Times New Roman"/>
                <w:b/>
                <w:bCs/>
                <w:color w:val="000000"/>
                <w:szCs w:val="24"/>
                <w:lang w:val="en-IN" w:eastAsia="en-IN"/>
              </w:rPr>
              <w:t>Financial ratios</w:t>
            </w:r>
          </w:p>
        </w:tc>
        <w:tc>
          <w:tcPr>
            <w:tcW w:w="287" w:type="dxa"/>
            <w:tcBorders>
              <w:top w:val="single" w:sz="4" w:space="0" w:color="auto"/>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2017</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2016</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2015</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b/>
                <w:bCs/>
                <w:color w:val="000000"/>
                <w:szCs w:val="24"/>
                <w:lang w:val="en-IN" w:eastAsia="en-IN"/>
              </w:rPr>
            </w:pPr>
            <w:r w:rsidRPr="001F3BFE">
              <w:rPr>
                <w:rFonts w:eastAsia="Times New Roman"/>
                <w:b/>
                <w:bCs/>
                <w:color w:val="000000"/>
                <w:szCs w:val="24"/>
                <w:lang w:val="en-IN" w:eastAsia="en-IN"/>
              </w:rPr>
              <w:t>Profitability ratios:</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2016</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2015</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Gross profit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(Gross profit/sales * 100)</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74.7531</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76.1691</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76.2461</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Net profit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(Net profit/sales * 100)</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-4.8624</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10.2569</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11.9366</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b/>
                <w:bCs/>
                <w:color w:val="000000"/>
                <w:szCs w:val="24"/>
                <w:lang w:val="en-IN" w:eastAsia="en-IN"/>
              </w:rPr>
            </w:pPr>
            <w:r w:rsidRPr="001F3BFE">
              <w:rPr>
                <w:rFonts w:eastAsia="Times New Roman"/>
                <w:b/>
                <w:bCs/>
                <w:color w:val="000000"/>
                <w:szCs w:val="24"/>
                <w:lang w:val="en-IN" w:eastAsia="en-IN"/>
              </w:rPr>
              <w:t>Liquidity ratios:</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2016</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2015</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Current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(Current assets / current liabilities)</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0.82318</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20.8357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24.8478</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Quick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{(Current assets – inventories) / (Current liabilities – bank overdraft)}</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0.82318</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20.8357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24.8406</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b/>
                <w:bCs/>
                <w:color w:val="000000"/>
                <w:szCs w:val="24"/>
                <w:lang w:val="en-IN" w:eastAsia="en-IN"/>
              </w:rPr>
            </w:pPr>
            <w:r w:rsidRPr="001F3BFE">
              <w:rPr>
                <w:rFonts w:eastAsia="Times New Roman"/>
                <w:b/>
                <w:bCs/>
                <w:color w:val="000000"/>
                <w:szCs w:val="24"/>
                <w:lang w:val="en-IN" w:eastAsia="en-IN"/>
              </w:rPr>
              <w:t>Gearing ratios:</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2016</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2015</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Debt to equity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(Total debt / Total equity)</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0.77294</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0.65851</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0.38468</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Debt to assets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(Total debt / Total assets)</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0.34776</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0.33037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0.1993</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b/>
                <w:bCs/>
                <w:color w:val="000000"/>
                <w:szCs w:val="24"/>
                <w:lang w:val="en-IN" w:eastAsia="en-IN"/>
              </w:rPr>
            </w:pPr>
            <w:r w:rsidRPr="001F3BFE">
              <w:rPr>
                <w:rFonts w:eastAsia="Times New Roman"/>
                <w:b/>
                <w:bCs/>
                <w:color w:val="000000"/>
                <w:szCs w:val="24"/>
                <w:lang w:val="en-IN" w:eastAsia="en-IN"/>
              </w:rPr>
              <w:t>Investor ratios:</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2016</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b/>
                <w:bCs/>
                <w:color w:val="000000"/>
                <w:szCs w:val="24"/>
                <w:lang w:val="en-IN" w:eastAsia="en-IN"/>
              </w:rPr>
            </w:pPr>
            <w:r w:rsidRPr="001F3BFE">
              <w:rPr>
                <w:rFonts w:eastAsia="Times New Roman"/>
                <w:b/>
                <w:bCs/>
                <w:color w:val="000000"/>
                <w:szCs w:val="24"/>
                <w:lang w:val="en-IN" w:eastAsia="en-IN"/>
              </w:rPr>
              <w:t>2015</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P/E ratios</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(Price per share / EPS)</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-1.4381</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1.17989</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1.10972</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r>
      <w:tr w:rsidR="007C367B" w:rsidRPr="001F3BFE" w:rsidTr="001A22F4">
        <w:trPr>
          <w:trHeight w:val="315"/>
        </w:trPr>
        <w:tc>
          <w:tcPr>
            <w:tcW w:w="2699" w:type="dxa"/>
            <w:tcBorders>
              <w:top w:val="nil"/>
              <w:left w:val="single" w:sz="4" w:space="0" w:color="auto"/>
              <w:bottom w:val="single" w:sz="4" w:space="0" w:color="auto"/>
              <w:right w:val="single" w:sz="4" w:space="0" w:color="auto"/>
            </w:tcBorders>
            <w:shd w:val="clear" w:color="auto" w:fill="auto"/>
            <w:noWrap/>
            <w:vAlign w:val="bottom"/>
            <w:hideMark/>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EPS</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(NPAT / Number of outstanding shares)</w:t>
            </w:r>
          </w:p>
        </w:tc>
        <w:tc>
          <w:tcPr>
            <w:tcW w:w="287"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-9.7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18.9</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1F3BFE" w:rsidRDefault="007C367B" w:rsidP="001A22F4">
            <w:pPr>
              <w:spacing w:after="0" w:line="240" w:lineRule="auto"/>
              <w:jc w:val="right"/>
              <w:rPr>
                <w:rFonts w:eastAsia="Times New Roman"/>
                <w:color w:val="000000"/>
                <w:szCs w:val="24"/>
                <w:lang w:val="en-IN" w:eastAsia="en-IN"/>
              </w:rPr>
            </w:pPr>
            <w:r w:rsidRPr="001F3BFE">
              <w:rPr>
                <w:rFonts w:eastAsia="Times New Roman"/>
                <w:color w:val="000000"/>
                <w:szCs w:val="24"/>
                <w:lang w:val="en-IN" w:eastAsia="en-IN"/>
              </w:rPr>
              <w:t>21.6</w:t>
            </w:r>
          </w:p>
        </w:tc>
      </w:tr>
    </w:tbl>
    <w:p w:rsidR="007C367B" w:rsidRPr="001F3BFE" w:rsidRDefault="007C367B" w:rsidP="007C367B"/>
    <w:p w:rsidR="007C367B" w:rsidRDefault="007C367B" w:rsidP="007C367B">
      <w:pPr>
        <w:spacing w:line="276" w:lineRule="auto"/>
        <w:jc w:val="left"/>
      </w:pPr>
      <w:r>
        <w:br w:type="page"/>
      </w:r>
    </w:p>
    <w:p w:rsidR="007C367B" w:rsidRDefault="007C367B" w:rsidP="007C367B">
      <w:r>
        <w:lastRenderedPageBreak/>
        <w:t xml:space="preserve">Financial ratios of Paddy Power </w:t>
      </w:r>
      <w:proofErr w:type="spellStart"/>
      <w:r>
        <w:t>Betfair</w:t>
      </w:r>
      <w:proofErr w:type="spellEnd"/>
      <w:r>
        <w:t xml:space="preserve"> Plc</w:t>
      </w:r>
    </w:p>
    <w:tbl>
      <w:tblPr>
        <w:tblW w:w="5687" w:type="dxa"/>
        <w:tblInd w:w="103" w:type="dxa"/>
        <w:tblLook w:val="04A0" w:firstRow="1" w:lastRow="0" w:firstColumn="1" w:lastColumn="0" w:noHBand="0" w:noVBand="1"/>
      </w:tblPr>
      <w:tblGrid>
        <w:gridCol w:w="2699"/>
        <w:gridCol w:w="996"/>
        <w:gridCol w:w="996"/>
        <w:gridCol w:w="996"/>
      </w:tblGrid>
      <w:tr w:rsidR="007C367B" w:rsidRPr="00212E52" w:rsidTr="001A22F4">
        <w:trPr>
          <w:trHeight w:val="315"/>
        </w:trPr>
        <w:tc>
          <w:tcPr>
            <w:tcW w:w="2699" w:type="dxa"/>
            <w:tcBorders>
              <w:top w:val="single" w:sz="4" w:space="0" w:color="auto"/>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b/>
                <w:bCs/>
                <w:color w:val="000000"/>
                <w:szCs w:val="24"/>
                <w:lang w:val="en-IN" w:eastAsia="en-IN"/>
              </w:rPr>
            </w:pPr>
            <w:r w:rsidRPr="001F3BFE">
              <w:rPr>
                <w:rFonts w:eastAsia="Times New Roman"/>
                <w:b/>
                <w:bCs/>
                <w:color w:val="000000"/>
                <w:szCs w:val="24"/>
                <w:lang w:val="en-IN" w:eastAsia="en-IN"/>
              </w:rPr>
              <w:t>Financial ratios</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2017</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2016</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2015</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b/>
                <w:bCs/>
                <w:color w:val="000000"/>
                <w:szCs w:val="24"/>
                <w:lang w:val="en-IN" w:eastAsia="en-IN"/>
              </w:rPr>
            </w:pPr>
            <w:r w:rsidRPr="001F3BFE">
              <w:rPr>
                <w:rFonts w:eastAsia="Times New Roman"/>
                <w:b/>
                <w:bCs/>
                <w:color w:val="000000"/>
                <w:szCs w:val="24"/>
                <w:lang w:val="en-IN" w:eastAsia="en-IN"/>
              </w:rPr>
              <w:t>Profitability ratios:</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2016</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2015</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Gross profit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(Gross profit/sales * 100)</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76.7732</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76.9123</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75.9159</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Net profit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(Net profit/sales * 100)</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12.4728</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-0.3798</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13.6221</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b/>
                <w:bCs/>
                <w:color w:val="000000"/>
                <w:szCs w:val="24"/>
                <w:lang w:val="en-IN" w:eastAsia="en-IN"/>
              </w:rPr>
            </w:pPr>
            <w:r w:rsidRPr="001F3BFE">
              <w:rPr>
                <w:rFonts w:eastAsia="Times New Roman"/>
                <w:b/>
                <w:bCs/>
                <w:color w:val="000000"/>
                <w:szCs w:val="24"/>
                <w:lang w:val="en-IN" w:eastAsia="en-IN"/>
              </w:rPr>
              <w:t>Liquidity ratios:</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2016</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2015</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Current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(Current assets / current liabilities)</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1.12275</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0.99222</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0.82076</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Quick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{(Current assets – inventories) / (Current liabilities – bank overdraft)}</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1.12275</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0.99222</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0.82076</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b/>
                <w:bCs/>
                <w:color w:val="000000"/>
                <w:szCs w:val="24"/>
                <w:lang w:val="en-IN" w:eastAsia="en-IN"/>
              </w:rPr>
            </w:pPr>
            <w:r w:rsidRPr="001F3BFE">
              <w:rPr>
                <w:rFonts w:eastAsia="Times New Roman"/>
                <w:b/>
                <w:bCs/>
                <w:color w:val="000000"/>
                <w:szCs w:val="24"/>
                <w:lang w:val="en-IN" w:eastAsia="en-IN"/>
              </w:rPr>
              <w:t>Gearing ratios:</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2016</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2015</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Debt to equity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(Total debt / Total equity)</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0.03399</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0.0701</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2.96071</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Debt to assets ratio</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(Total debt / Total assets)</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0.03031</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0.06062</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0.36783</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b/>
                <w:bCs/>
                <w:color w:val="000000"/>
                <w:szCs w:val="24"/>
                <w:lang w:val="en-IN" w:eastAsia="en-IN"/>
              </w:rPr>
            </w:pPr>
            <w:r w:rsidRPr="001F3BFE">
              <w:rPr>
                <w:rFonts w:eastAsia="Times New Roman"/>
                <w:b/>
                <w:bCs/>
                <w:color w:val="000000"/>
                <w:szCs w:val="24"/>
                <w:lang w:val="en-IN" w:eastAsia="en-IN"/>
              </w:rPr>
              <w:t>Investor ratios:</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2016</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b/>
                <w:bCs/>
                <w:color w:val="000000"/>
                <w:szCs w:val="24"/>
                <w:lang w:val="en-IN" w:eastAsia="en-IN"/>
              </w:rPr>
            </w:pPr>
            <w:r w:rsidRPr="00212E52">
              <w:rPr>
                <w:rFonts w:eastAsia="Times New Roman"/>
                <w:b/>
                <w:bCs/>
                <w:color w:val="000000"/>
                <w:szCs w:val="24"/>
                <w:lang w:val="en-IN" w:eastAsia="en-IN"/>
              </w:rPr>
              <w:t>2015</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P/E ratios</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(Price per share / EPS)</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3153.7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-136806</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color w:val="000000"/>
                <w:szCs w:val="24"/>
                <w:lang w:val="en-IN" w:eastAsia="en-IN"/>
              </w:rPr>
            </w:pPr>
            <w:r w:rsidRPr="00212E52">
              <w:rPr>
                <w:rFonts w:eastAsia="Times New Roman"/>
                <w:color w:val="000000"/>
                <w:szCs w:val="24"/>
                <w:lang w:val="en-IN" w:eastAsia="en-IN"/>
              </w:rPr>
              <w:t>1518.55</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Pr="001F3BFE"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left"/>
              <w:rPr>
                <w:rFonts w:eastAsia="Times New Roman"/>
                <w:color w:val="000000"/>
                <w:szCs w:val="24"/>
                <w:lang w:val="en-IN" w:eastAsia="en-IN"/>
              </w:rPr>
            </w:pPr>
            <w:r w:rsidRPr="00212E52">
              <w:rPr>
                <w:rFonts w:eastAsia="Times New Roman"/>
                <w:color w:val="000000"/>
                <w:szCs w:val="24"/>
                <w:lang w:val="en-IN" w:eastAsia="en-IN"/>
              </w:rPr>
              <w:t> </w:t>
            </w:r>
          </w:p>
        </w:tc>
      </w:tr>
      <w:tr w:rsidR="007C367B" w:rsidRPr="00212E52" w:rsidTr="001A22F4">
        <w:trPr>
          <w:trHeight w:val="315"/>
        </w:trPr>
        <w:tc>
          <w:tcPr>
            <w:tcW w:w="2699" w:type="dxa"/>
            <w:tcBorders>
              <w:top w:val="nil"/>
              <w:left w:val="single" w:sz="4" w:space="0" w:color="auto"/>
              <w:bottom w:val="single" w:sz="4" w:space="0" w:color="auto"/>
              <w:right w:val="single" w:sz="4" w:space="0" w:color="auto"/>
            </w:tcBorders>
            <w:vAlign w:val="bottom"/>
          </w:tcPr>
          <w:p w:rsidR="007C367B" w:rsidRDefault="007C367B" w:rsidP="001A22F4">
            <w:pPr>
              <w:spacing w:after="0" w:line="240" w:lineRule="auto"/>
              <w:jc w:val="left"/>
              <w:rPr>
                <w:rFonts w:eastAsia="Times New Roman"/>
                <w:color w:val="000000"/>
                <w:szCs w:val="24"/>
                <w:lang w:val="en-IN" w:eastAsia="en-IN"/>
              </w:rPr>
            </w:pPr>
            <w:r w:rsidRPr="001F3BFE">
              <w:rPr>
                <w:rFonts w:eastAsia="Times New Roman"/>
                <w:color w:val="000000"/>
                <w:szCs w:val="24"/>
                <w:lang w:val="en-IN" w:eastAsia="en-IN"/>
              </w:rPr>
              <w:t>EPS</w:t>
            </w:r>
          </w:p>
          <w:p w:rsidR="007C367B" w:rsidRPr="001F3BFE" w:rsidRDefault="007C367B" w:rsidP="001A22F4">
            <w:pPr>
              <w:spacing w:after="0" w:line="240" w:lineRule="auto"/>
              <w:jc w:val="left"/>
              <w:rPr>
                <w:rFonts w:eastAsia="Times New Roman"/>
                <w:color w:val="000000"/>
                <w:szCs w:val="24"/>
                <w:lang w:val="en-IN" w:eastAsia="en-IN"/>
              </w:rPr>
            </w:pPr>
            <w:r>
              <w:rPr>
                <w:rFonts w:eastAsia="Times New Roman"/>
                <w:color w:val="000000"/>
                <w:szCs w:val="24"/>
                <w:lang w:val="en-IN" w:eastAsia="en-IN"/>
              </w:rPr>
              <w:t>(NPAT / Number of outstanding shares)</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szCs w:val="24"/>
                <w:lang w:val="en-IN" w:eastAsia="en-IN"/>
              </w:rPr>
            </w:pPr>
            <w:r w:rsidRPr="00212E52">
              <w:rPr>
                <w:rFonts w:eastAsia="Times New Roman"/>
                <w:szCs w:val="24"/>
                <w:lang w:val="en-IN" w:eastAsia="en-IN"/>
              </w:rPr>
              <w:t>2.57</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szCs w:val="24"/>
                <w:lang w:val="en-IN" w:eastAsia="en-IN"/>
              </w:rPr>
            </w:pPr>
            <w:r w:rsidRPr="00212E52">
              <w:rPr>
                <w:rFonts w:eastAsia="Times New Roman"/>
                <w:szCs w:val="24"/>
                <w:lang w:val="en-IN" w:eastAsia="en-IN"/>
              </w:rPr>
              <w:t>-0.072</w:t>
            </w:r>
          </w:p>
        </w:tc>
        <w:tc>
          <w:tcPr>
            <w:tcW w:w="996" w:type="dxa"/>
            <w:tcBorders>
              <w:top w:val="nil"/>
              <w:left w:val="nil"/>
              <w:bottom w:val="single" w:sz="4" w:space="0" w:color="auto"/>
              <w:right w:val="single" w:sz="4" w:space="0" w:color="auto"/>
            </w:tcBorders>
            <w:shd w:val="clear" w:color="auto" w:fill="auto"/>
            <w:noWrap/>
            <w:vAlign w:val="bottom"/>
            <w:hideMark/>
          </w:tcPr>
          <w:p w:rsidR="007C367B" w:rsidRPr="00212E52" w:rsidRDefault="007C367B" w:rsidP="001A22F4">
            <w:pPr>
              <w:spacing w:after="0" w:line="240" w:lineRule="auto"/>
              <w:jc w:val="right"/>
              <w:rPr>
                <w:rFonts w:eastAsia="Times New Roman"/>
                <w:szCs w:val="24"/>
                <w:lang w:val="en-IN" w:eastAsia="en-IN"/>
              </w:rPr>
            </w:pPr>
            <w:r w:rsidRPr="00212E52">
              <w:rPr>
                <w:rFonts w:eastAsia="Times New Roman"/>
                <w:szCs w:val="24"/>
                <w:lang w:val="en-IN" w:eastAsia="en-IN"/>
              </w:rPr>
              <w:t>2.399</w:t>
            </w:r>
          </w:p>
        </w:tc>
      </w:tr>
    </w:tbl>
    <w:p w:rsidR="007C367B" w:rsidRDefault="007C367B" w:rsidP="007C367B"/>
    <w:p w:rsidR="007C367B" w:rsidRPr="00B51CAA" w:rsidRDefault="007C367B" w:rsidP="007C367B">
      <w:pPr>
        <w:rPr>
          <w:szCs w:val="24"/>
        </w:rPr>
      </w:pPr>
    </w:p>
    <w:p w:rsidR="007C367B" w:rsidRDefault="007C367B" w:rsidP="007C367B">
      <w:pPr>
        <w:spacing w:line="276" w:lineRule="auto"/>
        <w:jc w:val="left"/>
      </w:pPr>
      <w:r>
        <w:br w:type="page"/>
      </w:r>
    </w:p>
    <w:p w:rsidR="007C367B" w:rsidRDefault="007C367B" w:rsidP="007C367B"/>
    <w:tbl>
      <w:tblPr>
        <w:tblW w:w="5240" w:type="dxa"/>
        <w:tblInd w:w="93" w:type="dxa"/>
        <w:tblLook w:val="04A0" w:firstRow="1" w:lastRow="0" w:firstColumn="1" w:lastColumn="0" w:noHBand="0" w:noVBand="1"/>
      </w:tblPr>
      <w:tblGrid>
        <w:gridCol w:w="2420"/>
        <w:gridCol w:w="1460"/>
        <w:gridCol w:w="1371"/>
      </w:tblGrid>
      <w:tr w:rsidR="007C367B" w:rsidRPr="001A5E07" w:rsidTr="001A22F4">
        <w:trPr>
          <w:trHeight w:val="315"/>
        </w:trPr>
        <w:tc>
          <w:tcPr>
            <w:tcW w:w="2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 </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Project A in £</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Project B in £</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 </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 </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 </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Cash inflow in year 0</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-160000</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-220000</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Cash inflow in year 1</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45000</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60000</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Cash inflow in year 2</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45000</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60000</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 xml:space="preserve"> Cash inflow in year3</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45000</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60000</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Cash inflow in year 4</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45000</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60000</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Cash inflow in year 5</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45000</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60000</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Cash inflow in year 6</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65000</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70000</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 </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 </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 </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Cost of capital</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7%</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7%</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 </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 </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 </w:t>
            </w:r>
          </w:p>
        </w:tc>
      </w:tr>
      <w:tr w:rsidR="007C367B" w:rsidRPr="001A5E07" w:rsidTr="001A22F4">
        <w:trPr>
          <w:trHeight w:val="315"/>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szCs w:val="24"/>
                <w:lang w:val="en-IN" w:eastAsia="en-IN"/>
              </w:rPr>
            </w:pPr>
            <w:r w:rsidRPr="001A5E07">
              <w:rPr>
                <w:rFonts w:eastAsia="Times New Roman"/>
                <w:color w:val="000000"/>
                <w:szCs w:val="24"/>
                <w:lang w:val="en-IN" w:eastAsia="en-IN"/>
              </w:rPr>
              <w:t>Net Present Value</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r w:rsidRPr="001A5E07">
              <w:rPr>
                <w:rFonts w:eastAsia="Times New Roman"/>
                <w:color w:val="000000"/>
                <w:szCs w:val="24"/>
                <w:lang w:val="en-IN" w:eastAsia="en-IN"/>
              </w:rPr>
              <w:t xml:space="preserve"> 63,384.23</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szCs w:val="24"/>
                <w:lang w:val="en-IN" w:eastAsia="en-IN"/>
              </w:rPr>
            </w:pPr>
            <w:bookmarkStart w:id="25" w:name="_GoBack"/>
            <w:bookmarkEnd w:id="25"/>
            <w:r w:rsidRPr="001A5E07">
              <w:rPr>
                <w:rFonts w:eastAsia="Times New Roman"/>
                <w:color w:val="000000"/>
                <w:szCs w:val="24"/>
                <w:lang w:val="en-IN" w:eastAsia="en-IN"/>
              </w:rPr>
              <w:t xml:space="preserve"> 67,902.62 </w:t>
            </w:r>
          </w:p>
        </w:tc>
      </w:tr>
      <w:tr w:rsidR="007C367B" w:rsidRPr="001A5E07" w:rsidTr="001A22F4">
        <w:trPr>
          <w:trHeight w:val="30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lang w:val="en-IN" w:eastAsia="en-IN"/>
              </w:rPr>
            </w:pPr>
            <w:r w:rsidRPr="001A5E07">
              <w:rPr>
                <w:rFonts w:eastAsia="Times New Roman"/>
                <w:color w:val="000000"/>
                <w:sz w:val="22"/>
                <w:lang w:val="en-IN" w:eastAsia="en-IN"/>
              </w:rPr>
              <w:t> </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lang w:val="en-IN" w:eastAsia="en-IN"/>
              </w:rPr>
            </w:pPr>
            <w:r w:rsidRPr="001A5E07">
              <w:rPr>
                <w:rFonts w:eastAsia="Times New Roman"/>
                <w:color w:val="000000"/>
                <w:sz w:val="22"/>
                <w:lang w:val="en-IN" w:eastAsia="en-IN"/>
              </w:rPr>
              <w:t> </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lang w:val="en-IN" w:eastAsia="en-IN"/>
              </w:rPr>
            </w:pPr>
            <w:r w:rsidRPr="001A5E07">
              <w:rPr>
                <w:rFonts w:eastAsia="Times New Roman"/>
                <w:color w:val="000000"/>
                <w:sz w:val="22"/>
                <w:lang w:val="en-IN" w:eastAsia="en-IN"/>
              </w:rPr>
              <w:t> </w:t>
            </w:r>
          </w:p>
        </w:tc>
      </w:tr>
      <w:tr w:rsidR="007C367B" w:rsidRPr="001A5E07" w:rsidTr="001A22F4">
        <w:trPr>
          <w:trHeight w:val="30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lang w:val="en-IN" w:eastAsia="en-IN"/>
              </w:rPr>
            </w:pPr>
            <w:r w:rsidRPr="001A5E07">
              <w:rPr>
                <w:rFonts w:eastAsia="Times New Roman"/>
                <w:color w:val="000000"/>
                <w:sz w:val="22"/>
                <w:lang w:val="en-IN" w:eastAsia="en-IN"/>
              </w:rPr>
              <w:t>Average annual profit</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lang w:val="en-IN" w:eastAsia="en-IN"/>
              </w:rPr>
            </w:pPr>
            <w:r w:rsidRPr="001A5E07">
              <w:rPr>
                <w:rFonts w:eastAsia="Times New Roman"/>
                <w:color w:val="000000"/>
                <w:sz w:val="22"/>
                <w:lang w:val="en-IN" w:eastAsia="en-IN"/>
              </w:rPr>
              <w:t>48333.33333</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lang w:val="en-IN" w:eastAsia="en-IN"/>
              </w:rPr>
            </w:pPr>
            <w:r w:rsidRPr="001A5E07">
              <w:rPr>
                <w:rFonts w:eastAsia="Times New Roman"/>
                <w:color w:val="000000"/>
                <w:sz w:val="22"/>
                <w:lang w:val="en-IN" w:eastAsia="en-IN"/>
              </w:rPr>
              <w:t>61666.66667</w:t>
            </w:r>
          </w:p>
        </w:tc>
      </w:tr>
      <w:tr w:rsidR="007C367B" w:rsidRPr="001A5E07" w:rsidTr="001A22F4">
        <w:trPr>
          <w:trHeight w:val="30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lang w:val="en-IN" w:eastAsia="en-IN"/>
              </w:rPr>
            </w:pPr>
            <w:r w:rsidRPr="001A5E07">
              <w:rPr>
                <w:rFonts w:eastAsia="Times New Roman"/>
                <w:color w:val="000000"/>
                <w:sz w:val="22"/>
                <w:lang w:val="en-IN" w:eastAsia="en-IN"/>
              </w:rPr>
              <w:t> </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lang w:val="en-IN" w:eastAsia="en-IN"/>
              </w:rPr>
            </w:pPr>
            <w:r w:rsidRPr="001A5E07">
              <w:rPr>
                <w:rFonts w:eastAsia="Times New Roman"/>
                <w:color w:val="000000"/>
                <w:sz w:val="22"/>
                <w:lang w:val="en-IN" w:eastAsia="en-IN"/>
              </w:rPr>
              <w:t> </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lang w:val="en-IN" w:eastAsia="en-IN"/>
              </w:rPr>
            </w:pPr>
            <w:r w:rsidRPr="001A5E07">
              <w:rPr>
                <w:rFonts w:eastAsia="Times New Roman"/>
                <w:color w:val="000000"/>
                <w:sz w:val="22"/>
                <w:lang w:val="en-IN" w:eastAsia="en-IN"/>
              </w:rPr>
              <w:t> </w:t>
            </w:r>
          </w:p>
        </w:tc>
      </w:tr>
      <w:tr w:rsidR="007C367B" w:rsidRPr="001A5E07" w:rsidTr="001A22F4">
        <w:trPr>
          <w:trHeight w:val="30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left"/>
              <w:rPr>
                <w:rFonts w:eastAsia="Times New Roman"/>
                <w:color w:val="000000"/>
                <w:lang w:val="en-IN" w:eastAsia="en-IN"/>
              </w:rPr>
            </w:pPr>
            <w:r w:rsidRPr="001A5E07">
              <w:rPr>
                <w:rFonts w:eastAsia="Times New Roman"/>
                <w:color w:val="000000"/>
                <w:sz w:val="22"/>
                <w:lang w:val="en-IN" w:eastAsia="en-IN"/>
              </w:rPr>
              <w:t>Accounting rate of return</w:t>
            </w:r>
          </w:p>
        </w:tc>
        <w:tc>
          <w:tcPr>
            <w:tcW w:w="14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lang w:val="en-IN" w:eastAsia="en-IN"/>
              </w:rPr>
            </w:pPr>
            <w:r w:rsidRPr="001A5E07">
              <w:rPr>
                <w:rFonts w:eastAsia="Times New Roman"/>
                <w:color w:val="000000"/>
                <w:sz w:val="22"/>
                <w:lang w:val="en-IN" w:eastAsia="en-IN"/>
              </w:rPr>
              <w:t>0.302083333</w:t>
            </w:r>
          </w:p>
        </w:tc>
        <w:tc>
          <w:tcPr>
            <w:tcW w:w="1360" w:type="dxa"/>
            <w:tcBorders>
              <w:top w:val="nil"/>
              <w:left w:val="nil"/>
              <w:bottom w:val="single" w:sz="4" w:space="0" w:color="auto"/>
              <w:right w:val="single" w:sz="4" w:space="0" w:color="auto"/>
            </w:tcBorders>
            <w:shd w:val="clear" w:color="auto" w:fill="auto"/>
            <w:noWrap/>
            <w:vAlign w:val="bottom"/>
            <w:hideMark/>
          </w:tcPr>
          <w:p w:rsidR="007C367B" w:rsidRPr="001A5E07" w:rsidRDefault="007C367B" w:rsidP="001A22F4">
            <w:pPr>
              <w:spacing w:after="0" w:line="240" w:lineRule="auto"/>
              <w:jc w:val="right"/>
              <w:rPr>
                <w:rFonts w:eastAsia="Times New Roman"/>
                <w:color w:val="000000"/>
                <w:lang w:val="en-IN" w:eastAsia="en-IN"/>
              </w:rPr>
            </w:pPr>
            <w:r w:rsidRPr="001A5E07">
              <w:rPr>
                <w:rFonts w:eastAsia="Times New Roman"/>
                <w:color w:val="000000"/>
                <w:sz w:val="22"/>
                <w:lang w:val="en-IN" w:eastAsia="en-IN"/>
              </w:rPr>
              <w:t>0.28030303</w:t>
            </w:r>
          </w:p>
        </w:tc>
      </w:tr>
    </w:tbl>
    <w:p w:rsidR="007C367B" w:rsidRDefault="007C367B" w:rsidP="007C367B"/>
    <w:p w:rsidR="007C367B" w:rsidRPr="00C46804" w:rsidRDefault="007C367B" w:rsidP="007C367B">
      <w:r>
        <w:t xml:space="preserve">                                                                                                                                                                                                                                                                                                                                                                                                                                                                                                                                                                      </w:t>
      </w:r>
    </w:p>
    <w:p w:rsidR="007C367B" w:rsidRDefault="007C367B" w:rsidP="007C367B"/>
    <w:p w:rsidR="007C367B" w:rsidRDefault="007C367B" w:rsidP="00910236"/>
    <w:sectPr w:rsidR="007C367B" w:rsidSect="00A54A5E">
      <w:headerReference w:type="default" r:id="rId16"/>
      <w:head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43EC5" w:rsidRDefault="00E43EC5" w:rsidP="00A54A5E">
      <w:pPr>
        <w:spacing w:after="0" w:line="240" w:lineRule="auto"/>
      </w:pPr>
      <w:r>
        <w:separator/>
      </w:r>
    </w:p>
  </w:endnote>
  <w:endnote w:type="continuationSeparator" w:id="0">
    <w:p w:rsidR="00E43EC5" w:rsidRDefault="00E43EC5" w:rsidP="00A54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43EC5" w:rsidRDefault="00E43EC5" w:rsidP="00A54A5E">
      <w:pPr>
        <w:spacing w:after="0" w:line="240" w:lineRule="auto"/>
      </w:pPr>
      <w:r>
        <w:separator/>
      </w:r>
    </w:p>
  </w:footnote>
  <w:footnote w:type="continuationSeparator" w:id="0">
    <w:p w:rsidR="00E43EC5" w:rsidRDefault="00E43EC5" w:rsidP="00A54A5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54A5E" w:rsidRDefault="007C367B">
    <w:pPr>
      <w:pStyle w:val="Header"/>
    </w:pPr>
    <w:r>
      <w:rPr>
        <w:noProof/>
        <w:lang w:eastAsia="en-GB"/>
      </w:rPr>
      <mc:AlternateContent>
        <mc:Choice Requires="wps">
          <w:drawing>
            <wp:anchor distT="0" distB="0" distL="114300" distR="114300" simplePos="0" relativeHeight="251661312" behindDoc="0" locked="0" layoutInCell="0" allowOverlap="1">
              <wp:simplePos x="0" y="0"/>
              <wp:positionH relativeFrom="margin">
                <wp:align>left</wp:align>
              </wp:positionH>
              <wp:positionV relativeFrom="topMargin">
                <wp:align>center</wp:align>
              </wp:positionV>
              <wp:extent cx="5731510" cy="389890"/>
              <wp:effectExtent l="0" t="0" r="0" b="63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89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54A5E" w:rsidRPr="00A54A5E" w:rsidRDefault="00A54A5E" w:rsidP="00A54A5E">
                          <w:r>
                            <w:t>FINANCIAL MANAGEMENT (SECTION A)</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451.3pt;height:30.7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" o:allowincell="f" filled="f" stroked="f">
              <v:textbox style="mso-fit-shape-to-text:t" inset=",0,,0">
                <w:txbxContent>
                  <w:p w:rsidR="00A54A5E" w:rsidRPr="00A54A5E" w:rsidRDefault="00A54A5E" w:rsidP="00A54A5E">
                    <w:r>
                      <w:t>FINANCIAL MANAGEMENT (SECTION A)</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60288" behindDoc="0" locked="0" layoutInCell="0" allowOverlap="1">
              <wp:simplePos x="0" y="0"/>
              <wp:positionH relativeFrom="page">
                <wp:align>right</wp:align>
              </wp:positionH>
              <wp:positionV relativeFrom="topMargin">
                <wp:align>center</wp:align>
              </wp:positionV>
              <wp:extent cx="911225" cy="175260"/>
              <wp:effectExtent l="0" t="0" r="3175" b="635"/>
              <wp:wrapNone/>
              <wp:docPr id="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54A5E" w:rsidRDefault="00FB7F69">
                          <w:pPr>
                            <w:spacing w:after="0" w:line="240" w:lineRule="auto"/>
                            <w:rPr>
                              <w:color w:val="FFFFFF" w:themeColor="background1"/>
                            </w:rPr>
                          </w:pPr>
                          <w:r>
                            <w:fldChar w:fldCharType="begin"/>
                          </w:r>
                          <w:r>
                            <w:instrText xml:space="preserve"> PAGE   \* MERGEFORMAT </w:instrText>
                          </w:r>
                          <w:r>
                            <w:fldChar w:fldCharType="separate"/>
                          </w:r>
                          <w:r w:rsidR="00040322" w:rsidRPr="00040322">
                            <w:rPr>
                              <w:noProof/>
                              <w:color w:val="FFFFFF" w:themeColor="background1"/>
                            </w:rPr>
                            <w:t>25</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7" type="#_x0000_t202" style="position:absolute;left:0;text-align:left;margin-left:20.55pt;margin-top:0;width:71.75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" o:allowincell="f" fillcolor="#4f81bd [3204]" stroked="f">
              <v:textbox style="mso-fit-shape-to-text:t" inset=",0,,0">
                <w:txbxContent>
                  <w:p w:rsidR="00A54A5E" w:rsidRDefault="00FB7F69">
                    <w:pPr>
                      <w:spacing w:after="0" w:line="240" w:lineRule="auto"/>
                      <w:rPr>
                        <w:color w:val="FFFFFF" w:themeColor="background1"/>
                      </w:rPr>
                    </w:pPr>
                    <w:r>
                      <w:fldChar w:fldCharType="begin"/>
                    </w:r>
                    <w:r>
                      <w:instrText xml:space="preserve"> PAGE   \* MERGEFORMAT </w:instrText>
                    </w:r>
                    <w:r>
                      <w:fldChar w:fldCharType="separate"/>
                    </w:r>
                    <w:r w:rsidR="00040322" w:rsidRPr="00040322">
                      <w:rPr>
                        <w:noProof/>
                        <w:color w:val="FFFFFF" w:themeColor="background1"/>
                      </w:rPr>
                      <w:t>25</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54A5E" w:rsidRDefault="00A54A5E" w:rsidP="00A54A5E">
    <w:r>
      <w:t>Running head: FINANCIAL MANAGEMENT (SECTION 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9B17D1"/>
    <w:multiLevelType w:val="hybridMultilevel"/>
    <w:tmpl w:val="D6A292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1D6DB8"/>
    <w:multiLevelType w:val="hybridMultilevel"/>
    <w:tmpl w:val="F7B0C4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E4C083C"/>
    <w:multiLevelType w:val="hybridMultilevel"/>
    <w:tmpl w:val="4470EF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7F623B4"/>
    <w:multiLevelType w:val="hybridMultilevel"/>
    <w:tmpl w:val="F2F677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D77800"/>
    <w:multiLevelType w:val="hybridMultilevel"/>
    <w:tmpl w:val="F4980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236"/>
    <w:rsid w:val="00040322"/>
    <w:rsid w:val="0007431A"/>
    <w:rsid w:val="00095627"/>
    <w:rsid w:val="000B7EDF"/>
    <w:rsid w:val="000F0906"/>
    <w:rsid w:val="001B27FE"/>
    <w:rsid w:val="001F3BFE"/>
    <w:rsid w:val="00212E52"/>
    <w:rsid w:val="00466569"/>
    <w:rsid w:val="004E52E6"/>
    <w:rsid w:val="00545CDA"/>
    <w:rsid w:val="006311C7"/>
    <w:rsid w:val="00785AD6"/>
    <w:rsid w:val="007C367B"/>
    <w:rsid w:val="00910236"/>
    <w:rsid w:val="00A54A5E"/>
    <w:rsid w:val="00AF0B71"/>
    <w:rsid w:val="00B7382B"/>
    <w:rsid w:val="00E43EC5"/>
    <w:rsid w:val="00E5427F"/>
    <w:rsid w:val="00EF7AAE"/>
    <w:rsid w:val="00FB7F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E76B83FA-0684-45EE-9AFF-B4656BBF7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0236"/>
    <w:pPr>
      <w:spacing w:line="360" w:lineRule="auto"/>
      <w:jc w:val="both"/>
    </w:pPr>
    <w:rPr>
      <w:rFonts w:ascii="Times New Roman" w:eastAsia="Calibri" w:hAnsi="Times New Roman" w:cs="Times New Roman"/>
      <w:sz w:val="24"/>
      <w:lang w:val="en-GB"/>
    </w:rPr>
  </w:style>
  <w:style w:type="paragraph" w:styleId="Heading1">
    <w:name w:val="heading 1"/>
    <w:basedOn w:val="Normal"/>
    <w:next w:val="Normal"/>
    <w:link w:val="Heading1Char"/>
    <w:uiPriority w:val="9"/>
    <w:qFormat/>
    <w:rsid w:val="00095627"/>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7431A"/>
  </w:style>
  <w:style w:type="character" w:customStyle="1" w:styleId="Heading1Char">
    <w:name w:val="Heading 1 Char"/>
    <w:basedOn w:val="DefaultParagraphFont"/>
    <w:link w:val="Heading1"/>
    <w:uiPriority w:val="9"/>
    <w:rsid w:val="00095627"/>
    <w:rPr>
      <w:rFonts w:ascii="Times New Roman" w:eastAsiaTheme="majorEastAsia" w:hAnsi="Times New Roman" w:cstheme="majorBidi"/>
      <w:b/>
      <w:bCs/>
      <w:sz w:val="24"/>
      <w:szCs w:val="28"/>
      <w:lang w:val="en-GB"/>
    </w:rPr>
  </w:style>
  <w:style w:type="paragraph" w:styleId="TableofFigures">
    <w:name w:val="table of figures"/>
    <w:basedOn w:val="Normal"/>
    <w:next w:val="Normal"/>
    <w:uiPriority w:val="99"/>
    <w:unhideWhenUsed/>
    <w:rsid w:val="00A54A5E"/>
    <w:pPr>
      <w:spacing w:after="0"/>
    </w:pPr>
  </w:style>
  <w:style w:type="character" w:styleId="Hyperlink">
    <w:name w:val="Hyperlink"/>
    <w:basedOn w:val="DefaultParagraphFont"/>
    <w:uiPriority w:val="99"/>
    <w:unhideWhenUsed/>
    <w:rsid w:val="00A54A5E"/>
    <w:rPr>
      <w:color w:val="0000FF" w:themeColor="hyperlink"/>
      <w:u w:val="single"/>
    </w:rPr>
  </w:style>
  <w:style w:type="paragraph" w:styleId="Header">
    <w:name w:val="header"/>
    <w:basedOn w:val="Normal"/>
    <w:link w:val="HeaderChar"/>
    <w:uiPriority w:val="99"/>
    <w:semiHidden/>
    <w:unhideWhenUsed/>
    <w:rsid w:val="00A54A5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54A5E"/>
    <w:rPr>
      <w:rFonts w:ascii="Times New Roman" w:eastAsia="Calibri" w:hAnsi="Times New Roman" w:cs="Times New Roman"/>
      <w:sz w:val="24"/>
      <w:lang w:val="en-GB"/>
    </w:rPr>
  </w:style>
  <w:style w:type="paragraph" w:styleId="Footer">
    <w:name w:val="footer"/>
    <w:basedOn w:val="Normal"/>
    <w:link w:val="FooterChar"/>
    <w:uiPriority w:val="99"/>
    <w:semiHidden/>
    <w:unhideWhenUsed/>
    <w:rsid w:val="00A54A5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54A5E"/>
    <w:rPr>
      <w:rFonts w:ascii="Times New Roman" w:eastAsia="Calibri" w:hAnsi="Times New Roman" w:cs="Times New Roman"/>
      <w:sz w:val="24"/>
      <w:lang w:val="en-GB"/>
    </w:rPr>
  </w:style>
  <w:style w:type="table" w:styleId="TableGrid">
    <w:name w:val="Table Grid"/>
    <w:basedOn w:val="TableNormal"/>
    <w:uiPriority w:val="59"/>
    <w:rsid w:val="007C367B"/>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C367B"/>
    <w:pPr>
      <w:ind w:left="720"/>
      <w:contextualSpacing/>
    </w:pPr>
    <w:rPr>
      <w:rFonts w:eastAsiaTheme="minorEastAsia" w:cstheme="minorBidi"/>
      <w:color w:val="000000" w:themeColor="text1"/>
      <w:lang w:val="en-US"/>
    </w:rPr>
  </w:style>
  <w:style w:type="paragraph" w:customStyle="1" w:styleId="paragraph">
    <w:name w:val="paragraph"/>
    <w:basedOn w:val="Normal"/>
    <w:rsid w:val="00EF7AAE"/>
    <w:pPr>
      <w:spacing w:before="100" w:beforeAutospacing="1" w:after="100" w:afterAutospacing="1" w:line="240" w:lineRule="auto"/>
      <w:jc w:val="left"/>
    </w:pPr>
    <w:rPr>
      <w:rFonts w:eastAsia="Times New Roman"/>
      <w:szCs w:val="24"/>
      <w:lang w:eastAsia="en-GB"/>
    </w:rPr>
  </w:style>
  <w:style w:type="character" w:customStyle="1" w:styleId="normaltextrun">
    <w:name w:val="normaltextrun"/>
    <w:basedOn w:val="DefaultParagraphFont"/>
    <w:rsid w:val="00EF7AAE"/>
  </w:style>
  <w:style w:type="character" w:customStyle="1" w:styleId="eop">
    <w:name w:val="eop"/>
    <w:basedOn w:val="DefaultParagraphFont"/>
    <w:rsid w:val="00EF7A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399113">
      <w:bodyDiv w:val="1"/>
      <w:marLeft w:val="0"/>
      <w:marRight w:val="0"/>
      <w:marTop w:val="0"/>
      <w:marBottom w:val="0"/>
      <w:divBdr>
        <w:top w:val="none" w:sz="0" w:space="0" w:color="auto"/>
        <w:left w:val="none" w:sz="0" w:space="0" w:color="auto"/>
        <w:bottom w:val="none" w:sz="0" w:space="0" w:color="auto"/>
        <w:right w:val="none" w:sz="0" w:space="0" w:color="auto"/>
      </w:divBdr>
    </w:div>
    <w:div w:id="1668246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LR17\Desktop\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LR17\Desktop\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LR17\Desktop\Boo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LR17\Desktop\Book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LR17\Desktop\Book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LR17\Desktop\Book1.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LR17\Desktop\Book1.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LR17\Desktop\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Profitability ratios</a:t>
            </a:r>
          </a:p>
        </c:rich>
      </c:tx>
      <c:overlay val="0"/>
    </c:title>
    <c:autoTitleDeleted val="0"/>
    <c:view3D>
      <c:rotX val="15"/>
      <c:rotY val="20"/>
      <c:rAngAx val="0"/>
    </c:view3D>
    <c:floor>
      <c:thickness val="0"/>
    </c:floor>
    <c:sideWall>
      <c:thickness val="0"/>
    </c:sideWall>
    <c:backWall>
      <c:thickness val="0"/>
    </c:backWall>
    <c:plotArea>
      <c:layout/>
      <c:bar3DChart>
        <c:barDir val="col"/>
        <c:grouping val="clustered"/>
        <c:varyColors val="0"/>
        <c:ser>
          <c:idx val="0"/>
          <c:order val="0"/>
          <c:tx>
            <c:strRef>
              <c:f>'William Hill Plc'!$A$19</c:f>
              <c:strCache>
                <c:ptCount val="1"/>
                <c:pt idx="0">
                  <c:v>Gross profit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'William Hill Plc'!$B$19:$E$19</c:f>
              <c:numCache>
                <c:formatCode>General</c:formatCode>
                <c:ptCount val="4"/>
                <c:pt idx="1">
                  <c:v>74.753082812225827</c:v>
                </c:pt>
                <c:pt idx="2">
                  <c:v>76.169098391320588</c:v>
                </c:pt>
                <c:pt idx="3">
                  <c:v>76.246149977999863</c:v>
                </c:pt>
              </c:numCache>
            </c:numRef>
          </c:val>
        </c:ser>
        <c:ser>
          <c:idx val="1"/>
          <c:order val="1"/>
          <c:tx>
            <c:strRef>
              <c:f>'William Hill Plc'!$A$20</c:f>
              <c:strCache>
                <c:ptCount val="1"/>
              </c:strCache>
            </c:strRef>
          </c:tx>
          <c:invertIfNegative val="0"/>
          <c:val>
            <c:numRef>
              <c:f>'William Hill Plc'!$B$20:$E$20</c:f>
              <c:numCache>
                <c:formatCode>General</c:formatCode>
                <c:ptCount val="4"/>
              </c:numCache>
            </c:numRef>
          </c:val>
        </c:ser>
        <c:ser>
          <c:idx val="2"/>
          <c:order val="2"/>
          <c:tx>
            <c:strRef>
              <c:f>'William Hill Plc'!$A$21</c:f>
              <c:strCache>
                <c:ptCount val="1"/>
                <c:pt idx="0">
                  <c:v>Net profit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'William Hill Plc'!$B$21:$E$21</c:f>
              <c:numCache>
                <c:formatCode>General</c:formatCode>
                <c:ptCount val="4"/>
                <c:pt idx="1">
                  <c:v>-4.8623692361638717</c:v>
                </c:pt>
                <c:pt idx="2">
                  <c:v>10.25688988651952</c:v>
                </c:pt>
                <c:pt idx="3">
                  <c:v>11.936639637940807</c:v>
                </c:pt>
              </c:numCache>
            </c:numRef>
          </c:val>
        </c:ser>
        <c:dLbls>
          <c:showLegendKey val="0"/>
          <c:showVal val="0"/>
          <c:showCatName val="0"/>
          <c:showSerName val="0"/>
          <c:showPercent val="0"/>
          <c:showBubbleSize val="0"/>
        </c:dLbls>
        <c:gapWidth val="75"/>
        <c:shape val="cylinder"/>
        <c:axId val="-451724320"/>
        <c:axId val="-451715072"/>
        <c:axId val="0"/>
      </c:bar3DChart>
      <c:catAx>
        <c:axId val="-451724320"/>
        <c:scaling>
          <c:orientation val="minMax"/>
        </c:scaling>
        <c:delete val="0"/>
        <c:axPos val="b"/>
        <c:majorTickMark val="none"/>
        <c:minorTickMark val="none"/>
        <c:tickLblPos val="nextTo"/>
        <c:crossAx val="-451715072"/>
        <c:crosses val="autoZero"/>
        <c:auto val="1"/>
        <c:lblAlgn val="ctr"/>
        <c:lblOffset val="100"/>
        <c:noMultiLvlLbl val="0"/>
      </c:catAx>
      <c:valAx>
        <c:axId val="-451715072"/>
        <c:scaling>
          <c:orientation val="minMax"/>
        </c:scaling>
        <c:delete val="0"/>
        <c:axPos val="l"/>
        <c:majorGridlines/>
        <c:numFmt formatCode="General" sourceLinked="1"/>
        <c:majorTickMark val="none"/>
        <c:minorTickMark val="none"/>
        <c:tickLblPos val="nextTo"/>
        <c:spPr>
          <a:ln w="9525">
            <a:noFill/>
          </a:ln>
        </c:spPr>
        <c:crossAx val="-451724320"/>
        <c:crosses val="autoZero"/>
        <c:crossBetween val="between"/>
      </c:valAx>
    </c:plotArea>
    <c:legend>
      <c:legendPos val="b"/>
      <c:legendEntry>
        <c:idx val="1"/>
        <c:delete val="1"/>
      </c:legendEntry>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Profitability ratios</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Sheet2!$A$20</c:f>
              <c:strCache>
                <c:ptCount val="1"/>
                <c:pt idx="0">
                  <c:v>Gross profit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Sheet2!$B$20:$E$20</c:f>
              <c:numCache>
                <c:formatCode>General</c:formatCode>
                <c:ptCount val="4"/>
                <c:pt idx="1">
                  <c:v>76.773232496848848</c:v>
                </c:pt>
                <c:pt idx="2">
                  <c:v>76.912313432835816</c:v>
                </c:pt>
                <c:pt idx="3">
                  <c:v>75.915900793151209</c:v>
                </c:pt>
              </c:numCache>
            </c:numRef>
          </c:val>
        </c:ser>
        <c:ser>
          <c:idx val="1"/>
          <c:order val="1"/>
          <c:tx>
            <c:strRef>
              <c:f>Sheet2!$A$21</c:f>
              <c:strCache>
                <c:ptCount val="1"/>
              </c:strCache>
            </c:strRef>
          </c:tx>
          <c:invertIfNegative val="0"/>
          <c:val>
            <c:numRef>
              <c:f>Sheet2!$B$21:$E$21</c:f>
              <c:numCache>
                <c:formatCode>General</c:formatCode>
                <c:ptCount val="4"/>
              </c:numCache>
            </c:numRef>
          </c:val>
        </c:ser>
        <c:ser>
          <c:idx val="2"/>
          <c:order val="2"/>
          <c:tx>
            <c:strRef>
              <c:f>Sheet2!$A$22</c:f>
              <c:strCache>
                <c:ptCount val="1"/>
                <c:pt idx="0">
                  <c:v>Net profit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Sheet2!$B$22:$E$22</c:f>
              <c:numCache>
                <c:formatCode>General</c:formatCode>
                <c:ptCount val="4"/>
                <c:pt idx="1">
                  <c:v>12.472785607883591</c:v>
                </c:pt>
                <c:pt idx="2">
                  <c:v>-0.37979744136460614</c:v>
                </c:pt>
                <c:pt idx="3">
                  <c:v>13.622057157245374</c:v>
                </c:pt>
              </c:numCache>
            </c:numRef>
          </c:val>
        </c:ser>
        <c:dLbls>
          <c:showLegendKey val="0"/>
          <c:showVal val="0"/>
          <c:showCatName val="0"/>
          <c:showSerName val="0"/>
          <c:showPercent val="0"/>
          <c:showBubbleSize val="0"/>
        </c:dLbls>
        <c:gapWidth val="150"/>
        <c:shape val="box"/>
        <c:axId val="-451720512"/>
        <c:axId val="-451710176"/>
        <c:axId val="0"/>
      </c:bar3DChart>
      <c:catAx>
        <c:axId val="-451720512"/>
        <c:scaling>
          <c:orientation val="minMax"/>
        </c:scaling>
        <c:delete val="0"/>
        <c:axPos val="b"/>
        <c:majorTickMark val="none"/>
        <c:minorTickMark val="none"/>
        <c:tickLblPos val="nextTo"/>
        <c:crossAx val="-451710176"/>
        <c:crosses val="autoZero"/>
        <c:auto val="1"/>
        <c:lblAlgn val="ctr"/>
        <c:lblOffset val="100"/>
        <c:noMultiLvlLbl val="0"/>
      </c:catAx>
      <c:valAx>
        <c:axId val="-451710176"/>
        <c:scaling>
          <c:orientation val="minMax"/>
        </c:scaling>
        <c:delete val="0"/>
        <c:axPos val="l"/>
        <c:majorGridlines/>
        <c:numFmt formatCode="General" sourceLinked="1"/>
        <c:majorTickMark val="none"/>
        <c:minorTickMark val="none"/>
        <c:tickLblPos val="nextTo"/>
        <c:crossAx val="-451720512"/>
        <c:crosses val="autoZero"/>
        <c:crossBetween val="between"/>
      </c:valAx>
    </c:plotArea>
    <c:legend>
      <c:legendPos val="r"/>
      <c:legendEntry>
        <c:idx val="1"/>
        <c:delete val="1"/>
      </c:legendEntry>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Liquidity ratios</a:t>
            </a:r>
          </a:p>
        </c:rich>
      </c:tx>
      <c:layout>
        <c:manualLayout>
          <c:xMode val="edge"/>
          <c:yMode val="edge"/>
          <c:x val="0.38634711286089307"/>
          <c:y val="2.7777777777777891E-2"/>
        </c:manualLayout>
      </c:layout>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'William Hill Plc'!$A$25</c:f>
              <c:strCache>
                <c:ptCount val="1"/>
                <c:pt idx="0">
                  <c:v>Current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'William Hill Plc'!$B$25:$E$25</c:f>
              <c:numCache>
                <c:formatCode>General</c:formatCode>
                <c:ptCount val="4"/>
                <c:pt idx="1">
                  <c:v>0.82318476668759233</c:v>
                </c:pt>
                <c:pt idx="2">
                  <c:v>20.835714285714282</c:v>
                </c:pt>
                <c:pt idx="3">
                  <c:v>24.84782608695653</c:v>
                </c:pt>
              </c:numCache>
            </c:numRef>
          </c:val>
        </c:ser>
        <c:ser>
          <c:idx val="1"/>
          <c:order val="1"/>
          <c:tx>
            <c:strRef>
              <c:f>'William Hill Plc'!$A$26</c:f>
              <c:strCache>
                <c:ptCount val="1"/>
              </c:strCache>
            </c:strRef>
          </c:tx>
          <c:invertIfNegative val="0"/>
          <c:val>
            <c:numRef>
              <c:f>'William Hill Plc'!$B$26:$E$26</c:f>
              <c:numCache>
                <c:formatCode>General</c:formatCode>
                <c:ptCount val="4"/>
              </c:numCache>
            </c:numRef>
          </c:val>
        </c:ser>
        <c:ser>
          <c:idx val="2"/>
          <c:order val="2"/>
          <c:tx>
            <c:strRef>
              <c:f>'William Hill Plc'!$A$27</c:f>
              <c:strCache>
                <c:ptCount val="1"/>
                <c:pt idx="0">
                  <c:v>Quick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'William Hill Plc'!$B$27:$E$27</c:f>
              <c:numCache>
                <c:formatCode>General</c:formatCode>
                <c:ptCount val="4"/>
                <c:pt idx="1">
                  <c:v>0.82318476668759233</c:v>
                </c:pt>
                <c:pt idx="2">
                  <c:v>20.835714285714282</c:v>
                </c:pt>
                <c:pt idx="3">
                  <c:v>24.840579710144922</c:v>
                </c:pt>
              </c:numCache>
            </c:numRef>
          </c:val>
        </c:ser>
        <c:dLbls>
          <c:showLegendKey val="0"/>
          <c:showVal val="0"/>
          <c:showCatName val="0"/>
          <c:showSerName val="0"/>
          <c:showPercent val="0"/>
          <c:showBubbleSize val="0"/>
        </c:dLbls>
        <c:gapWidth val="150"/>
        <c:shape val="box"/>
        <c:axId val="-451718336"/>
        <c:axId val="-451717792"/>
        <c:axId val="0"/>
      </c:bar3DChart>
      <c:catAx>
        <c:axId val="-451718336"/>
        <c:scaling>
          <c:orientation val="minMax"/>
        </c:scaling>
        <c:delete val="0"/>
        <c:axPos val="l"/>
        <c:majorTickMark val="none"/>
        <c:minorTickMark val="none"/>
        <c:tickLblPos val="nextTo"/>
        <c:crossAx val="-451717792"/>
        <c:crosses val="autoZero"/>
        <c:auto val="1"/>
        <c:lblAlgn val="ctr"/>
        <c:lblOffset val="100"/>
        <c:noMultiLvlLbl val="0"/>
      </c:catAx>
      <c:valAx>
        <c:axId val="-451717792"/>
        <c:scaling>
          <c:orientation val="minMax"/>
        </c:scaling>
        <c:delete val="0"/>
        <c:axPos val="b"/>
        <c:majorGridlines/>
        <c:numFmt formatCode="General" sourceLinked="1"/>
        <c:majorTickMark val="none"/>
        <c:minorTickMark val="none"/>
        <c:tickLblPos val="nextTo"/>
        <c:crossAx val="-451718336"/>
        <c:crosses val="autoZero"/>
        <c:crossBetween val="between"/>
      </c:valAx>
    </c:plotArea>
    <c:legend>
      <c:legendPos val="r"/>
      <c:legendEntry>
        <c:idx val="1"/>
        <c:delete val="1"/>
      </c:legendEntry>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Liquidity ratios</a:t>
            </a:r>
          </a:p>
        </c:rich>
      </c:tx>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Sheet2!$A$26</c:f>
              <c:strCache>
                <c:ptCount val="1"/>
                <c:pt idx="0">
                  <c:v>Current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Sheet2!$B$26:$E$26</c:f>
              <c:numCache>
                <c:formatCode>General</c:formatCode>
                <c:ptCount val="4"/>
                <c:pt idx="1">
                  <c:v>1.1227521501172801</c:v>
                </c:pt>
                <c:pt idx="2">
                  <c:v>0.99222103004291839</c:v>
                </c:pt>
                <c:pt idx="3">
                  <c:v>0.8207592503604052</c:v>
                </c:pt>
              </c:numCache>
            </c:numRef>
          </c:val>
        </c:ser>
        <c:ser>
          <c:idx val="1"/>
          <c:order val="1"/>
          <c:tx>
            <c:strRef>
              <c:f>Sheet2!$A$27</c:f>
              <c:strCache>
                <c:ptCount val="1"/>
              </c:strCache>
            </c:strRef>
          </c:tx>
          <c:invertIfNegative val="0"/>
          <c:val>
            <c:numRef>
              <c:f>Sheet2!$B$27:$E$27</c:f>
              <c:numCache>
                <c:formatCode>General</c:formatCode>
                <c:ptCount val="4"/>
              </c:numCache>
            </c:numRef>
          </c:val>
        </c:ser>
        <c:ser>
          <c:idx val="2"/>
          <c:order val="2"/>
          <c:tx>
            <c:strRef>
              <c:f>Sheet2!$A$28</c:f>
              <c:strCache>
                <c:ptCount val="1"/>
                <c:pt idx="0">
                  <c:v>Quick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Sheet2!$B$28:$E$28</c:f>
              <c:numCache>
                <c:formatCode>General</c:formatCode>
                <c:ptCount val="4"/>
                <c:pt idx="1">
                  <c:v>1.1227521501172801</c:v>
                </c:pt>
                <c:pt idx="2">
                  <c:v>0.99222103004291839</c:v>
                </c:pt>
                <c:pt idx="3">
                  <c:v>0.8207592503604052</c:v>
                </c:pt>
              </c:numCache>
            </c:numRef>
          </c:val>
        </c:ser>
        <c:dLbls>
          <c:showLegendKey val="0"/>
          <c:showVal val="0"/>
          <c:showCatName val="0"/>
          <c:showSerName val="0"/>
          <c:showPercent val="0"/>
          <c:showBubbleSize val="0"/>
        </c:dLbls>
        <c:gapWidth val="150"/>
        <c:shape val="box"/>
        <c:axId val="-451716160"/>
        <c:axId val="-451717248"/>
        <c:axId val="0"/>
      </c:bar3DChart>
      <c:catAx>
        <c:axId val="-451716160"/>
        <c:scaling>
          <c:orientation val="minMax"/>
        </c:scaling>
        <c:delete val="0"/>
        <c:axPos val="l"/>
        <c:majorTickMark val="none"/>
        <c:minorTickMark val="none"/>
        <c:tickLblPos val="nextTo"/>
        <c:crossAx val="-451717248"/>
        <c:crosses val="autoZero"/>
        <c:auto val="1"/>
        <c:lblAlgn val="ctr"/>
        <c:lblOffset val="100"/>
        <c:noMultiLvlLbl val="0"/>
      </c:catAx>
      <c:valAx>
        <c:axId val="-451717248"/>
        <c:scaling>
          <c:orientation val="minMax"/>
        </c:scaling>
        <c:delete val="0"/>
        <c:axPos val="b"/>
        <c:majorGridlines/>
        <c:numFmt formatCode="General" sourceLinked="1"/>
        <c:majorTickMark val="none"/>
        <c:minorTickMark val="none"/>
        <c:tickLblPos val="nextTo"/>
        <c:crossAx val="-451716160"/>
        <c:crosses val="autoZero"/>
        <c:crossBetween val="between"/>
      </c:valAx>
    </c:plotArea>
    <c:legend>
      <c:legendPos val="r"/>
      <c:legendEntry>
        <c:idx val="1"/>
        <c:delete val="1"/>
      </c:legendEntry>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Gearing ratios</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'William Hill Plc'!$A$31</c:f>
              <c:strCache>
                <c:ptCount val="1"/>
                <c:pt idx="0">
                  <c:v>Debt to equity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'William Hill Plc'!$B$31:$E$31</c:f>
              <c:numCache>
                <c:formatCode>General</c:formatCode>
                <c:ptCount val="4"/>
                <c:pt idx="1">
                  <c:v>0.77293685894419983</c:v>
                </c:pt>
                <c:pt idx="2">
                  <c:v>0.6585067319461444</c:v>
                </c:pt>
                <c:pt idx="3">
                  <c:v>0.38468498108241606</c:v>
                </c:pt>
              </c:numCache>
            </c:numRef>
          </c:val>
        </c:ser>
        <c:ser>
          <c:idx val="1"/>
          <c:order val="1"/>
          <c:tx>
            <c:strRef>
              <c:f>'William Hill Plc'!$A$32</c:f>
              <c:strCache>
                <c:ptCount val="1"/>
              </c:strCache>
            </c:strRef>
          </c:tx>
          <c:invertIfNegative val="0"/>
          <c:val>
            <c:numRef>
              <c:f>'William Hill Plc'!$B$32:$E$32</c:f>
              <c:numCache>
                <c:formatCode>General</c:formatCode>
                <c:ptCount val="4"/>
              </c:numCache>
            </c:numRef>
          </c:val>
        </c:ser>
        <c:ser>
          <c:idx val="2"/>
          <c:order val="2"/>
          <c:tx>
            <c:strRef>
              <c:f>'William Hill Plc'!$A$33</c:f>
              <c:strCache>
                <c:ptCount val="1"/>
                <c:pt idx="0">
                  <c:v>Debt to assets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'William Hill Plc'!$B$33:$E$33</c:f>
              <c:numCache>
                <c:formatCode>General</c:formatCode>
                <c:ptCount val="4"/>
                <c:pt idx="1">
                  <c:v>0.34775613886536827</c:v>
                </c:pt>
                <c:pt idx="2">
                  <c:v>0.33037212920129438</c:v>
                </c:pt>
                <c:pt idx="3">
                  <c:v>0.19930114629053566</c:v>
                </c:pt>
              </c:numCache>
            </c:numRef>
          </c:val>
        </c:ser>
        <c:dLbls>
          <c:showLegendKey val="0"/>
          <c:showVal val="0"/>
          <c:showCatName val="0"/>
          <c:showSerName val="0"/>
          <c:showPercent val="0"/>
          <c:showBubbleSize val="0"/>
        </c:dLbls>
        <c:gapWidth val="150"/>
        <c:shape val="box"/>
        <c:axId val="-451709632"/>
        <c:axId val="-519679584"/>
        <c:axId val="0"/>
      </c:bar3DChart>
      <c:catAx>
        <c:axId val="-451709632"/>
        <c:scaling>
          <c:orientation val="minMax"/>
        </c:scaling>
        <c:delete val="0"/>
        <c:axPos val="b"/>
        <c:majorTickMark val="none"/>
        <c:minorTickMark val="none"/>
        <c:tickLblPos val="nextTo"/>
        <c:crossAx val="-519679584"/>
        <c:crosses val="autoZero"/>
        <c:auto val="1"/>
        <c:lblAlgn val="ctr"/>
        <c:lblOffset val="100"/>
        <c:noMultiLvlLbl val="0"/>
      </c:catAx>
      <c:valAx>
        <c:axId val="-519679584"/>
        <c:scaling>
          <c:orientation val="minMax"/>
        </c:scaling>
        <c:delete val="0"/>
        <c:axPos val="l"/>
        <c:majorGridlines/>
        <c:numFmt formatCode="General" sourceLinked="1"/>
        <c:majorTickMark val="none"/>
        <c:minorTickMark val="none"/>
        <c:tickLblPos val="nextTo"/>
        <c:crossAx val="-451709632"/>
        <c:crosses val="autoZero"/>
        <c:crossBetween val="between"/>
      </c:valAx>
    </c:plotArea>
    <c:legend>
      <c:legendPos val="r"/>
      <c:legendEntry>
        <c:idx val="1"/>
        <c:delete val="1"/>
      </c:legendEntry>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Gearing ratios</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Sheet2!$A$32</c:f>
              <c:strCache>
                <c:ptCount val="1"/>
                <c:pt idx="0">
                  <c:v>Debt to equity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Sheet2!$B$32:$E$32</c:f>
              <c:numCache>
                <c:formatCode>General</c:formatCode>
                <c:ptCount val="4"/>
                <c:pt idx="1">
                  <c:v>3.3990080538745047E-2</c:v>
                </c:pt>
                <c:pt idx="2">
                  <c:v>7.0101468748552095E-2</c:v>
                </c:pt>
                <c:pt idx="3">
                  <c:v>2.9607072691552072</c:v>
                </c:pt>
              </c:numCache>
            </c:numRef>
          </c:val>
        </c:ser>
        <c:ser>
          <c:idx val="1"/>
          <c:order val="1"/>
          <c:tx>
            <c:strRef>
              <c:f>Sheet2!$A$33</c:f>
              <c:strCache>
                <c:ptCount val="1"/>
              </c:strCache>
            </c:strRef>
          </c:tx>
          <c:invertIfNegative val="0"/>
          <c:val>
            <c:numRef>
              <c:f>Sheet2!$B$33:$E$33</c:f>
              <c:numCache>
                <c:formatCode>General</c:formatCode>
                <c:ptCount val="4"/>
              </c:numCache>
            </c:numRef>
          </c:val>
        </c:ser>
        <c:ser>
          <c:idx val="2"/>
          <c:order val="2"/>
          <c:tx>
            <c:strRef>
              <c:f>Sheet2!$A$34</c:f>
              <c:strCache>
                <c:ptCount val="1"/>
                <c:pt idx="0">
                  <c:v>Debt to assets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Sheet2!$B$34:$E$34</c:f>
              <c:numCache>
                <c:formatCode>General</c:formatCode>
                <c:ptCount val="4"/>
                <c:pt idx="1">
                  <c:v>3.0313482804098579E-2</c:v>
                </c:pt>
                <c:pt idx="2">
                  <c:v>6.0616987179487193E-2</c:v>
                </c:pt>
                <c:pt idx="3">
                  <c:v>0.36783011959970757</c:v>
                </c:pt>
              </c:numCache>
            </c:numRef>
          </c:val>
        </c:ser>
        <c:dLbls>
          <c:showLegendKey val="0"/>
          <c:showVal val="0"/>
          <c:showCatName val="0"/>
          <c:showSerName val="0"/>
          <c:showPercent val="0"/>
          <c:showBubbleSize val="0"/>
        </c:dLbls>
        <c:gapWidth val="150"/>
        <c:shape val="box"/>
        <c:axId val="-519676320"/>
        <c:axId val="-519675232"/>
        <c:axId val="0"/>
      </c:bar3DChart>
      <c:catAx>
        <c:axId val="-519676320"/>
        <c:scaling>
          <c:orientation val="minMax"/>
        </c:scaling>
        <c:delete val="0"/>
        <c:axPos val="b"/>
        <c:majorTickMark val="none"/>
        <c:minorTickMark val="none"/>
        <c:tickLblPos val="nextTo"/>
        <c:crossAx val="-519675232"/>
        <c:crosses val="autoZero"/>
        <c:auto val="1"/>
        <c:lblAlgn val="ctr"/>
        <c:lblOffset val="100"/>
        <c:noMultiLvlLbl val="0"/>
      </c:catAx>
      <c:valAx>
        <c:axId val="-519675232"/>
        <c:scaling>
          <c:orientation val="minMax"/>
        </c:scaling>
        <c:delete val="0"/>
        <c:axPos val="l"/>
        <c:majorGridlines/>
        <c:numFmt formatCode="General" sourceLinked="1"/>
        <c:majorTickMark val="none"/>
        <c:minorTickMark val="none"/>
        <c:tickLblPos val="nextTo"/>
        <c:crossAx val="-519676320"/>
        <c:crosses val="autoZero"/>
        <c:crossBetween val="between"/>
      </c:valAx>
    </c:plotArea>
    <c:legend>
      <c:legendPos val="r"/>
      <c:legendEntry>
        <c:idx val="1"/>
        <c:delete val="1"/>
      </c:legendEntry>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Investor ratios</a:t>
            </a:r>
          </a:p>
        </c:rich>
      </c:tx>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'William Hill Plc'!$A$37</c:f>
              <c:strCache>
                <c:ptCount val="1"/>
                <c:pt idx="0">
                  <c:v>P/E ratios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'William Hill Plc'!$B$37:$E$37</c:f>
              <c:numCache>
                <c:formatCode>General</c:formatCode>
                <c:ptCount val="4"/>
                <c:pt idx="1">
                  <c:v>-1.4381443298969081</c:v>
                </c:pt>
                <c:pt idx="2">
                  <c:v>1.1798941798941798</c:v>
                </c:pt>
                <c:pt idx="3">
                  <c:v>1.1097222222222218</c:v>
                </c:pt>
              </c:numCache>
            </c:numRef>
          </c:val>
        </c:ser>
        <c:ser>
          <c:idx val="1"/>
          <c:order val="1"/>
          <c:tx>
            <c:strRef>
              <c:f>'William Hill Plc'!$A$38</c:f>
              <c:strCache>
                <c:ptCount val="1"/>
              </c:strCache>
            </c:strRef>
          </c:tx>
          <c:invertIfNegative val="0"/>
          <c:val>
            <c:numRef>
              <c:f>'William Hill Plc'!$B$38:$E$38</c:f>
              <c:numCache>
                <c:formatCode>General</c:formatCode>
                <c:ptCount val="4"/>
              </c:numCache>
            </c:numRef>
          </c:val>
        </c:ser>
        <c:ser>
          <c:idx val="2"/>
          <c:order val="2"/>
          <c:tx>
            <c:strRef>
              <c:f>'William Hill Plc'!$A$39</c:f>
              <c:strCache>
                <c:ptCount val="1"/>
                <c:pt idx="0">
                  <c:v>EPS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'William Hill Plc'!$B$39:$E$39</c:f>
              <c:numCache>
                <c:formatCode>General</c:formatCode>
                <c:ptCount val="4"/>
                <c:pt idx="1">
                  <c:v>-9.7000000000000011</c:v>
                </c:pt>
                <c:pt idx="2">
                  <c:v>18.899999999999999</c:v>
                </c:pt>
                <c:pt idx="3">
                  <c:v>21.6</c:v>
                </c:pt>
              </c:numCache>
            </c:numRef>
          </c:val>
        </c:ser>
        <c:dLbls>
          <c:showLegendKey val="0"/>
          <c:showVal val="0"/>
          <c:showCatName val="0"/>
          <c:showSerName val="0"/>
          <c:showPercent val="0"/>
          <c:showBubbleSize val="0"/>
        </c:dLbls>
        <c:gapWidth val="150"/>
        <c:shape val="box"/>
        <c:axId val="-519673056"/>
        <c:axId val="-519672512"/>
        <c:axId val="0"/>
      </c:bar3DChart>
      <c:catAx>
        <c:axId val="-519673056"/>
        <c:scaling>
          <c:orientation val="minMax"/>
        </c:scaling>
        <c:delete val="0"/>
        <c:axPos val="l"/>
        <c:majorTickMark val="none"/>
        <c:minorTickMark val="none"/>
        <c:tickLblPos val="nextTo"/>
        <c:crossAx val="-519672512"/>
        <c:crosses val="autoZero"/>
        <c:auto val="1"/>
        <c:lblAlgn val="ctr"/>
        <c:lblOffset val="100"/>
        <c:noMultiLvlLbl val="0"/>
      </c:catAx>
      <c:valAx>
        <c:axId val="-519672512"/>
        <c:scaling>
          <c:orientation val="minMax"/>
        </c:scaling>
        <c:delete val="0"/>
        <c:axPos val="b"/>
        <c:majorGridlines/>
        <c:numFmt formatCode="General" sourceLinked="1"/>
        <c:majorTickMark val="none"/>
        <c:minorTickMark val="none"/>
        <c:tickLblPos val="nextTo"/>
        <c:crossAx val="-519673056"/>
        <c:crosses val="autoZero"/>
        <c:crossBetween val="between"/>
      </c:valAx>
    </c:plotArea>
    <c:legend>
      <c:legendPos val="r"/>
      <c:legendEntry>
        <c:idx val="1"/>
        <c:delete val="1"/>
      </c:legendEntry>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Investor ratios</a:t>
            </a:r>
          </a:p>
        </c:rich>
      </c:tx>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Sheet2!$A$38</c:f>
              <c:strCache>
                <c:ptCount val="1"/>
                <c:pt idx="0">
                  <c:v>P/E ratios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Sheet2!$B$38:$E$38</c:f>
              <c:numCache>
                <c:formatCode>General</c:formatCode>
                <c:ptCount val="4"/>
                <c:pt idx="1">
                  <c:v>3153.6964980544749</c:v>
                </c:pt>
                <c:pt idx="2">
                  <c:v>-136805.55555555556</c:v>
                </c:pt>
                <c:pt idx="3">
                  <c:v>1518.5493955814923</c:v>
                </c:pt>
              </c:numCache>
            </c:numRef>
          </c:val>
        </c:ser>
        <c:ser>
          <c:idx val="1"/>
          <c:order val="1"/>
          <c:tx>
            <c:strRef>
              <c:f>Sheet2!$A$39</c:f>
              <c:strCache>
                <c:ptCount val="1"/>
              </c:strCache>
            </c:strRef>
          </c:tx>
          <c:invertIfNegative val="0"/>
          <c:val>
            <c:numRef>
              <c:f>Sheet2!$B$39:$E$39</c:f>
              <c:numCache>
                <c:formatCode>General</c:formatCode>
                <c:ptCount val="4"/>
              </c:numCache>
            </c:numRef>
          </c:val>
        </c:ser>
        <c:ser>
          <c:idx val="2"/>
          <c:order val="2"/>
          <c:tx>
            <c:strRef>
              <c:f>Sheet2!$A$40</c:f>
              <c:strCache>
                <c:ptCount val="1"/>
                <c:pt idx="0">
                  <c:v>EPS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Sheet2!$B$40:$E$40</c:f>
              <c:numCache>
                <c:formatCode>General</c:formatCode>
                <c:ptCount val="4"/>
                <c:pt idx="1">
                  <c:v>2.57</c:v>
                </c:pt>
                <c:pt idx="2">
                  <c:v>-7.1999999999999995E-2</c:v>
                </c:pt>
                <c:pt idx="3">
                  <c:v>2.3989999999999987</c:v>
                </c:pt>
              </c:numCache>
            </c:numRef>
          </c:val>
        </c:ser>
        <c:dLbls>
          <c:showLegendKey val="0"/>
          <c:showVal val="0"/>
          <c:showCatName val="0"/>
          <c:showSerName val="0"/>
          <c:showPercent val="0"/>
          <c:showBubbleSize val="0"/>
        </c:dLbls>
        <c:gapWidth val="150"/>
        <c:shape val="box"/>
        <c:axId val="-607873280"/>
        <c:axId val="-618602160"/>
        <c:axId val="0"/>
      </c:bar3DChart>
      <c:catAx>
        <c:axId val="-607873280"/>
        <c:scaling>
          <c:orientation val="minMax"/>
        </c:scaling>
        <c:delete val="0"/>
        <c:axPos val="l"/>
        <c:majorTickMark val="none"/>
        <c:minorTickMark val="none"/>
        <c:tickLblPos val="nextTo"/>
        <c:crossAx val="-618602160"/>
        <c:crosses val="autoZero"/>
        <c:auto val="1"/>
        <c:lblAlgn val="ctr"/>
        <c:lblOffset val="100"/>
        <c:noMultiLvlLbl val="0"/>
      </c:catAx>
      <c:valAx>
        <c:axId val="-618602160"/>
        <c:scaling>
          <c:orientation val="minMax"/>
        </c:scaling>
        <c:delete val="0"/>
        <c:axPos val="b"/>
        <c:majorGridlines/>
        <c:numFmt formatCode="General" sourceLinked="1"/>
        <c:majorTickMark val="none"/>
        <c:minorTickMark val="none"/>
        <c:tickLblPos val="nextTo"/>
        <c:crossAx val="-607873280"/>
        <c:crosses val="autoZero"/>
        <c:crossBetween val="between"/>
      </c:valAx>
    </c:plotArea>
    <c:legend>
      <c:legendPos val="r"/>
      <c:legendEntry>
        <c:idx val="1"/>
        <c:delete val="1"/>
      </c:legendEntry>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CC84F5-5EB2-4BF9-97CD-F34E2CAA8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27</Pages>
  <Words>5721</Words>
  <Characters>32613</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avik</dc:creator>
  <cp:lastModifiedBy>HP</cp:lastModifiedBy>
  <cp:revision>8</cp:revision>
  <dcterms:created xsi:type="dcterms:W3CDTF">2018-05-01T17:46:00Z</dcterms:created>
  <dcterms:modified xsi:type="dcterms:W3CDTF">2018-05-04T11:56:00Z</dcterms:modified>
</cp:coreProperties>
</file>