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rPr/>
      </w:pPr>
      <w:r>
        <w:rPr/>
        <w:drawing>
          <wp:anchor behindDoc="0" distT="0" distB="0" distL="114300" distR="114300" simplePos="0" locked="0" layoutInCell="1" allowOverlap="1" relativeHeight="2">
            <wp:simplePos x="0" y="0"/>
            <wp:positionH relativeFrom="column">
              <wp:posOffset>1743075</wp:posOffset>
            </wp:positionH>
            <wp:positionV relativeFrom="paragraph">
              <wp:posOffset>635</wp:posOffset>
            </wp:positionV>
            <wp:extent cx="2466975" cy="1447800"/>
            <wp:effectExtent l="0" t="0" r="0" b="0"/>
            <wp:wrapTopAndBottom/>
            <wp:docPr id="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
                    <pic:cNvPicPr>
                      <a:picLocks noChangeAspect="1" noChangeArrowheads="1"/>
                    </pic:cNvPicPr>
                  </pic:nvPicPr>
                  <pic:blipFill>
                    <a:blip r:embed="rId2"/>
                    <a:stretch>
                      <a:fillRect/>
                    </a:stretch>
                  </pic:blipFill>
                  <pic:spPr bwMode="auto">
                    <a:xfrm>
                      <a:off x="0" y="0"/>
                      <a:ext cx="2466975" cy="1447800"/>
                    </a:xfrm>
                    <a:prstGeom prst="rect">
                      <a:avLst/>
                    </a:prstGeom>
                  </pic:spPr>
                </pic:pic>
              </a:graphicData>
            </a:graphic>
          </wp:anchor>
        </w:drawing>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pPr>
      <w:r>
        <w:rPr>
          <w:rFonts w:eastAsia="Times New Roman" w:cs="Times New Roman" w:ascii="Times New Roman" w:hAnsi="Times New Roman"/>
          <w:b/>
          <w:sz w:val="52"/>
          <w:szCs w:val="52"/>
          <w:lang w:val="en-GB"/>
        </w:rPr>
        <w:t xml:space="preserve">INTERNATIONAL FINANCIAL MANAGEMENT </w:t>
      </w:r>
    </w:p>
    <w:p>
      <w:pPr>
        <w:pStyle w:val="Normal1"/>
        <w:spacing w:lineRule="auto" w:line="360"/>
        <w:jc w:val="center"/>
        <w:rPr>
          <w:rFonts w:ascii="Times New Roman" w:hAnsi="Times New Roman" w:eastAsia="Times New Roman" w:cs="Times New Roman"/>
          <w:b/>
          <w:b/>
          <w:sz w:val="52"/>
          <w:szCs w:val="52"/>
          <w:lang w:val="en-GB"/>
        </w:rPr>
      </w:pPr>
      <w:r>
        <w:rPr>
          <w:rFonts w:eastAsia="Times New Roman" w:cs="Times New Roman" w:ascii="Times New Roman" w:hAnsi="Times New Roman"/>
          <w:b/>
          <w:sz w:val="52"/>
          <w:szCs w:val="52"/>
          <w:lang w:val="en-GB"/>
        </w:rPr>
        <w:t xml:space="preserve">Assessment  </w:t>
      </w:r>
      <w:r>
        <w:rPr>
          <w:rFonts w:eastAsia="Times New Roman" w:cs="Times New Roman" w:ascii="Times New Roman" w:hAnsi="Times New Roman"/>
          <w:b/>
          <w:sz w:val="52"/>
          <w:szCs w:val="52"/>
          <w:lang w:val="en-GB"/>
        </w:rPr>
        <w:t>1</w:t>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Name student: ANA BAICU</w:t>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Student Number: 2012401</w:t>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Module cod: LCBB</w:t>
      </w:r>
      <w:r>
        <w:rPr>
          <w:rFonts w:eastAsia="Times New Roman" w:cs="Times New Roman" w:ascii="Times New Roman" w:hAnsi="Times New Roman"/>
          <w:b/>
          <w:sz w:val="32"/>
          <w:szCs w:val="32"/>
          <w:lang w:val="en-GB"/>
        </w:rPr>
        <w:t>6002</w:t>
      </w:r>
    </w:p>
    <w:p>
      <w:pPr>
        <w:pStyle w:val="Normal"/>
        <w:spacing w:lineRule="auto" w:line="360"/>
        <w:jc w:val="right"/>
        <w:rPr/>
      </w:pPr>
      <w:r>
        <w:rPr>
          <w:rFonts w:eastAsia="Times New Roman" w:cs="Times New Roman"/>
          <w:b/>
          <w:bCs/>
          <w:sz w:val="32"/>
          <w:szCs w:val="32"/>
          <w:u w:val="single"/>
          <w:lang w:val="en-GB"/>
        </w:rPr>
        <w:t xml:space="preserve">Module lecturer’s name: </w:t>
      </w:r>
      <w:r>
        <w:rPr>
          <w:rFonts w:eastAsia="Times New Roman" w:cs="Times New Roman"/>
          <w:b/>
          <w:bCs/>
          <w:sz w:val="32"/>
          <w:szCs w:val="32"/>
          <w:u w:val="single"/>
          <w:lang w:val="en-GB"/>
        </w:rPr>
        <w:t>Taye Osadiya</w:t>
      </w:r>
      <w:r>
        <w:br w:type="page"/>
      </w:r>
    </w:p>
    <w:p>
      <w:pPr>
        <w:pStyle w:val="Heading1"/>
        <w:spacing w:lineRule="auto" w:line="360"/>
        <w:rPr/>
      </w:pPr>
      <w:bookmarkStart w:id="0" w:name="_Toc118149412"/>
      <w:r>
        <w:rPr/>
        <w:t>Table of Contents</w:t>
      </w:r>
      <w:bookmarkEnd w:id="0"/>
    </w:p>
    <w:sdt>
      <w:sdtPr>
        <w:docPartObj>
          <w:docPartGallery w:val="Table of Contents"/>
          <w:docPartUnique w:val="true"/>
        </w:docPartObj>
      </w:sdtPr>
      <w:sdtContent>
        <w:p>
          <w:pPr>
            <w:pStyle w:val="TOCHeading"/>
            <w:spacing w:lineRule="auto" w:line="360"/>
            <w:rPr/>
          </w:pPr>
          <w:r>
            <w:rPr/>
            <w:t>Contents</w:t>
          </w:r>
        </w:p>
        <w:p>
          <w:pPr>
            <w:pStyle w:val="Contents1"/>
            <w:tabs>
              <w:tab w:val="clear" w:pos="709"/>
              <w:tab w:val="right" w:pos="9350" w:leader="dot"/>
            </w:tabs>
            <w:spacing w:lineRule="auto" w:line="360"/>
            <w:rPr/>
          </w:pPr>
          <w:r>
            <w:fldChar w:fldCharType="begin"/>
          </w:r>
          <w:r>
            <w:rPr>
              <w:webHidden/>
              <w:rStyle w:val="IndexLink"/>
            </w:rPr>
            <w:instrText> TOC \z \o "1-3" \u \h</w:instrText>
          </w:r>
          <w:r>
            <w:rPr>
              <w:webHidden/>
              <w:rStyle w:val="IndexLink"/>
            </w:rPr>
            <w:fldChar w:fldCharType="separate"/>
          </w:r>
          <w:hyperlink w:anchor="_Toc118149412">
            <w:r>
              <w:rPr>
                <w:webHidden/>
                <w:rStyle w:val="IndexLink"/>
              </w:rPr>
              <w:t>Table of Contents</w:t>
            </w:r>
            <w:r>
              <w:rPr>
                <w:webHidden/>
              </w:rPr>
              <w:fldChar w:fldCharType="begin"/>
            </w:r>
            <w:r>
              <w:rPr>
                <w:webHidden/>
              </w:rPr>
              <w:instrText>PAGEREF _Toc118149412 \h</w:instrText>
            </w:r>
            <w:r>
              <w:rPr>
                <w:webHidden/>
              </w:rPr>
              <w:fldChar w:fldCharType="separate"/>
            </w:r>
            <w:r>
              <w:rPr>
                <w:rStyle w:val="IndexLink"/>
                <w:vanish w:val="false"/>
              </w:rPr>
              <w:tab/>
              <w:t>2</w:t>
            </w:r>
            <w:r>
              <w:rPr>
                <w:webHidden/>
              </w:rPr>
              <w:fldChar w:fldCharType="end"/>
            </w:r>
          </w:hyperlink>
        </w:p>
        <w:p>
          <w:pPr>
            <w:pStyle w:val="Contents1"/>
            <w:tabs>
              <w:tab w:val="clear" w:pos="709"/>
              <w:tab w:val="right" w:pos="9350" w:leader="dot"/>
            </w:tabs>
            <w:spacing w:lineRule="auto" w:line="360"/>
            <w:rPr/>
          </w:pPr>
          <w:hyperlink w:anchor="_Toc118149413">
            <w:r>
              <w:rPr>
                <w:webHidden/>
                <w:rStyle w:val="IndexLink"/>
              </w:rPr>
              <w:t>Introduction</w:t>
            </w:r>
            <w:bookmarkStart w:id="1" w:name="_GoBack"/>
            <w:bookmarkEnd w:id="1"/>
            <w:r>
              <w:rPr>
                <w:webHidden/>
              </w:rPr>
              <w:fldChar w:fldCharType="begin"/>
            </w:r>
            <w:r>
              <w:rPr>
                <w:webHidden/>
              </w:rPr>
              <w:instrText>PAGEREF _Toc118149413 \h</w:instrText>
            </w:r>
            <w:r>
              <w:rPr>
                <w:webHidden/>
              </w:rPr>
              <w:fldChar w:fldCharType="separate"/>
            </w:r>
            <w:r>
              <w:rPr>
                <w:rStyle w:val="IndexLink"/>
                <w:vanish w:val="false"/>
              </w:rPr>
              <w:tab/>
              <w:t>3</w:t>
            </w:r>
            <w:r>
              <w:rPr>
                <w:webHidden/>
              </w:rPr>
              <w:fldChar w:fldCharType="end"/>
            </w:r>
          </w:hyperlink>
        </w:p>
        <w:p>
          <w:pPr>
            <w:pStyle w:val="Contents1"/>
            <w:tabs>
              <w:tab w:val="clear" w:pos="709"/>
              <w:tab w:val="right" w:pos="9350" w:leader="dot"/>
            </w:tabs>
            <w:spacing w:lineRule="auto" w:line="360"/>
            <w:rPr/>
          </w:pPr>
          <w:hyperlink w:anchor="_Toc118149414">
            <w:r>
              <w:rPr>
                <w:webHidden/>
                <w:rStyle w:val="IndexLink"/>
              </w:rPr>
              <w:t>Critical analysis and evaluation of dividend distribution policy for Sainsbury’s</w:t>
            </w:r>
            <w:r>
              <w:rPr>
                <w:webHidden/>
              </w:rPr>
              <w:fldChar w:fldCharType="begin"/>
            </w:r>
            <w:r>
              <w:rPr>
                <w:webHidden/>
              </w:rPr>
              <w:instrText>PAGEREF _Toc118149414 \h</w:instrText>
            </w:r>
            <w:r>
              <w:rPr>
                <w:webHidden/>
              </w:rPr>
              <w:fldChar w:fldCharType="separate"/>
            </w:r>
            <w:r>
              <w:rPr>
                <w:rStyle w:val="IndexLink"/>
                <w:vanish w:val="false"/>
              </w:rPr>
              <w:tab/>
              <w:t>4</w:t>
            </w:r>
            <w:r>
              <w:rPr>
                <w:webHidden/>
              </w:rPr>
              <w:fldChar w:fldCharType="end"/>
            </w:r>
          </w:hyperlink>
        </w:p>
        <w:p>
          <w:pPr>
            <w:pStyle w:val="Contents1"/>
            <w:tabs>
              <w:tab w:val="clear" w:pos="709"/>
              <w:tab w:val="right" w:pos="9350" w:leader="dot"/>
            </w:tabs>
            <w:spacing w:lineRule="auto" w:line="360"/>
            <w:rPr/>
          </w:pPr>
          <w:hyperlink w:anchor="_Toc118149415">
            <w:r>
              <w:rPr>
                <w:webHidden/>
                <w:rStyle w:val="IndexLink"/>
              </w:rPr>
              <w:t>Critical analysis of efficient market hypothesis theory in context of Sainsbury’s operations</w:t>
            </w:r>
            <w:r>
              <w:rPr>
                <w:webHidden/>
              </w:rPr>
              <w:fldChar w:fldCharType="begin"/>
            </w:r>
            <w:r>
              <w:rPr>
                <w:webHidden/>
              </w:rPr>
              <w:instrText>PAGEREF _Toc118149415 \h</w:instrText>
            </w:r>
            <w:r>
              <w:rPr>
                <w:webHidden/>
              </w:rPr>
              <w:fldChar w:fldCharType="separate"/>
            </w:r>
            <w:r>
              <w:rPr>
                <w:rStyle w:val="IndexLink"/>
                <w:vanish w:val="false"/>
              </w:rPr>
              <w:tab/>
              <w:t>6</w:t>
            </w:r>
            <w:r>
              <w:rPr>
                <w:webHidden/>
              </w:rPr>
              <w:fldChar w:fldCharType="end"/>
            </w:r>
          </w:hyperlink>
        </w:p>
        <w:p>
          <w:pPr>
            <w:pStyle w:val="Contents1"/>
            <w:tabs>
              <w:tab w:val="clear" w:pos="709"/>
              <w:tab w:val="right" w:pos="9350" w:leader="dot"/>
            </w:tabs>
            <w:spacing w:lineRule="auto" w:line="360"/>
            <w:rPr/>
          </w:pPr>
          <w:hyperlink w:anchor="_Toc118149416">
            <w:r>
              <w:rPr>
                <w:webHidden/>
                <w:rStyle w:val="IndexLink"/>
              </w:rPr>
              <w:t>Critical analysis and evaluation of methods pursued by Sainsbury’s for appraising projects</w:t>
            </w:r>
            <w:r>
              <w:rPr>
                <w:webHidden/>
              </w:rPr>
              <w:fldChar w:fldCharType="begin"/>
            </w:r>
            <w:r>
              <w:rPr>
                <w:webHidden/>
              </w:rPr>
              <w:instrText>PAGEREF _Toc118149416 \h</w:instrText>
            </w:r>
            <w:r>
              <w:rPr>
                <w:webHidden/>
              </w:rPr>
              <w:fldChar w:fldCharType="separate"/>
            </w:r>
            <w:r>
              <w:rPr>
                <w:rStyle w:val="IndexLink"/>
                <w:vanish w:val="false"/>
              </w:rPr>
              <w:tab/>
              <w:t>8</w:t>
            </w:r>
            <w:r>
              <w:rPr>
                <w:webHidden/>
              </w:rPr>
              <w:fldChar w:fldCharType="end"/>
            </w:r>
          </w:hyperlink>
        </w:p>
        <w:p>
          <w:pPr>
            <w:pStyle w:val="Contents1"/>
            <w:tabs>
              <w:tab w:val="clear" w:pos="709"/>
              <w:tab w:val="right" w:pos="9350" w:leader="dot"/>
            </w:tabs>
            <w:spacing w:lineRule="auto" w:line="360"/>
            <w:rPr/>
          </w:pPr>
          <w:hyperlink w:anchor="_Toc118149417">
            <w:r>
              <w:rPr>
                <w:webHidden/>
                <w:rStyle w:val="IndexLink"/>
              </w:rPr>
              <w:t>Conclusion</w:t>
            </w:r>
            <w:r>
              <w:rPr>
                <w:webHidden/>
              </w:rPr>
              <w:fldChar w:fldCharType="begin"/>
            </w:r>
            <w:r>
              <w:rPr>
                <w:webHidden/>
              </w:rPr>
              <w:instrText>PAGEREF _Toc118149417 \h</w:instrText>
            </w:r>
            <w:r>
              <w:rPr>
                <w:webHidden/>
              </w:rPr>
              <w:fldChar w:fldCharType="separate"/>
            </w:r>
            <w:r>
              <w:rPr>
                <w:rStyle w:val="IndexLink"/>
                <w:vanish w:val="false"/>
              </w:rPr>
              <w:tab/>
              <w:t>10</w:t>
            </w:r>
            <w:r>
              <w:rPr>
                <w:webHidden/>
              </w:rPr>
              <w:fldChar w:fldCharType="end"/>
            </w:r>
          </w:hyperlink>
        </w:p>
        <w:p>
          <w:pPr>
            <w:pStyle w:val="Contents1"/>
            <w:tabs>
              <w:tab w:val="clear" w:pos="709"/>
              <w:tab w:val="right" w:pos="9350" w:leader="dot"/>
            </w:tabs>
            <w:spacing w:lineRule="auto" w:line="360"/>
            <w:rPr/>
          </w:pPr>
          <w:hyperlink w:anchor="_Toc118149418">
            <w:r>
              <w:rPr>
                <w:webHidden/>
                <w:rStyle w:val="IndexLink"/>
              </w:rPr>
              <w:t>References</w:t>
            </w:r>
            <w:r>
              <w:rPr>
                <w:webHidden/>
              </w:rPr>
              <w:fldChar w:fldCharType="begin"/>
            </w:r>
            <w:r>
              <w:rPr>
                <w:webHidden/>
              </w:rPr>
              <w:instrText>PAGEREF _Toc118149418 \h</w:instrText>
            </w:r>
            <w:r>
              <w:rPr>
                <w:webHidden/>
              </w:rPr>
              <w:fldChar w:fldCharType="separate"/>
            </w:r>
            <w:r>
              <w:rPr>
                <w:rStyle w:val="IndexLink"/>
                <w:vanish w:val="false"/>
              </w:rPr>
              <w:tab/>
              <w:t>11</w:t>
            </w:r>
            <w:r>
              <w:rPr>
                <w:webHidden/>
              </w:rPr>
              <w:fldChar w:fldCharType="end"/>
            </w:r>
          </w:hyperlink>
        </w:p>
        <w:p>
          <w:pPr>
            <w:pStyle w:val="Normal"/>
            <w:spacing w:lineRule="auto" w:line="360"/>
            <w:rPr/>
          </w:pPr>
          <w:r>
            <w:rPr/>
          </w:r>
          <w:r>
            <w:rPr/>
            <w:fldChar w:fldCharType="end"/>
          </w:r>
        </w:p>
      </w:sdtContent>
    </w:sdt>
    <w:p>
      <w:pPr>
        <w:pStyle w:val="Normal"/>
        <w:spacing w:lineRule="auto" w:line="360"/>
        <w:rPr/>
      </w:pPr>
      <w:r>
        <w:rPr/>
      </w:r>
    </w:p>
    <w:p>
      <w:pPr>
        <w:pStyle w:val="Normal"/>
        <w:spacing w:lineRule="auto" w:line="360"/>
        <w:rPr/>
      </w:pPr>
      <w:r>
        <w:rPr/>
      </w:r>
      <w:r>
        <w:br w:type="page"/>
      </w:r>
    </w:p>
    <w:p>
      <w:pPr>
        <w:pStyle w:val="Heading1"/>
        <w:spacing w:lineRule="auto" w:line="360"/>
        <w:rPr/>
      </w:pPr>
      <w:bookmarkStart w:id="2" w:name="_Toc118149413"/>
      <w:r>
        <w:rPr/>
        <w:t>Introduction</w:t>
      </w:r>
      <w:bookmarkEnd w:id="2"/>
    </w:p>
    <w:p>
      <w:pPr>
        <w:pStyle w:val="Normal"/>
        <w:spacing w:lineRule="auto" w:line="360"/>
        <w:rPr/>
      </w:pPr>
      <w:r>
        <w:rPr/>
        <w:t>The study of monetary interactions between two or more countries is known as international finance which mainly focuses on exchange rate of currencies and foreign direct investment. The importance of international finance has been magnified by increased globalisation. Multinational corporations (MNCs) realises the importance of international financial management for dealing with different markets (Bandy, 2018). This study focuses on critical analysis and evaluation of international financial aspects in the context of Sainsbury’s.</w:t>
      </w:r>
    </w:p>
    <w:p>
      <w:pPr>
        <w:pStyle w:val="Normal"/>
        <w:spacing w:lineRule="auto" w:line="360"/>
        <w:rPr/>
      </w:pPr>
      <w:r>
        <w:rPr/>
      </w:r>
    </w:p>
    <w:p>
      <w:pPr>
        <w:pStyle w:val="Normal"/>
        <w:spacing w:lineRule="auto" w:line="360"/>
        <w:rPr/>
      </w:pPr>
      <w:r>
        <w:rPr/>
      </w:r>
      <w:r>
        <w:br w:type="page"/>
      </w:r>
    </w:p>
    <w:p>
      <w:pPr>
        <w:pStyle w:val="Heading1"/>
        <w:spacing w:lineRule="auto" w:line="360"/>
        <w:rPr/>
      </w:pPr>
      <w:bookmarkStart w:id="3" w:name="_Toc118149414"/>
      <w:r>
        <w:rPr/>
        <w:t>Critical analysis and evaluation of dividend distribution policy for Sainsbury’s</w:t>
      </w:r>
      <w:bookmarkEnd w:id="3"/>
    </w:p>
    <w:p>
      <w:pPr>
        <w:pStyle w:val="Normal"/>
        <w:spacing w:lineRule="auto" w:line="360"/>
        <w:rPr/>
      </w:pPr>
      <w:r>
        <w:rPr/>
        <w:t>The policy uses by a company for restructuring its pay-out of dividend to the shareholders is known as dividend distribution policy. Dividend distribution policy is suggested as irrelevant theoretically by researchers because investors can sell their holdings of shares in need of funds. A stocks price is affected by dividend pay-out as inferred by dividend irrelevance theory. A company is not obligated for paying its shareholders by dividend, although dividend distribution are part of its strategy. Although it is suggested as irrelevant, dividend policy is income for the shareholders (Bandy, 2018). Like most of the companies, Sainsbury’s view its dividend distribution policy as integral part of its corporate strategy. It is the management which determines the amount of dividend, timing and other factors influencing the payments of dividend.</w:t>
      </w:r>
    </w:p>
    <w:p>
      <w:pPr>
        <w:pStyle w:val="ListParagraph"/>
        <w:numPr>
          <w:ilvl w:val="0"/>
          <w:numId w:val="1"/>
        </w:numPr>
        <w:spacing w:lineRule="auto" w:line="360"/>
        <w:rPr>
          <w:b/>
          <w:b/>
        </w:rPr>
      </w:pPr>
      <w:r>
        <w:rPr>
          <w:b/>
        </w:rPr>
        <w:t>Stable dividend policy:</w:t>
      </w:r>
      <w:r>
        <w:rPr/>
        <w:t xml:space="preserve"> Steady and yearly pay-out of dividend being the goal, stable dividend policy is the easiest and used most commonly. The goal of this policy is paying out predictable and steady payment yearly (Allen &amp; Vani). Investors receives dividend irrespective of the earnings of the company and its goal aligned with company’s long term growth.</w:t>
      </w:r>
    </w:p>
    <w:p>
      <w:pPr>
        <w:pStyle w:val="ListParagraph"/>
        <w:numPr>
          <w:ilvl w:val="0"/>
          <w:numId w:val="1"/>
        </w:numPr>
        <w:spacing w:lineRule="auto" w:line="360"/>
        <w:rPr>
          <w:b/>
          <w:b/>
        </w:rPr>
      </w:pPr>
      <w:r>
        <w:rPr>
          <w:b/>
        </w:rPr>
        <w:t>Constant dividend policy:</w:t>
      </w:r>
      <w:r>
        <w:rPr/>
        <w:t xml:space="preserve"> Company pays a percentage of its earnings as dividends each year under constant dividend policy. Investors may not receive any dividend if earnings are down but will receive a higher dividend when earnings are up (Tonoyan &amp; Gusev, 2022). When dividend income is volatile highly, making of financial plan is difficult.</w:t>
      </w:r>
    </w:p>
    <w:p>
      <w:pPr>
        <w:pStyle w:val="ListParagraph"/>
        <w:numPr>
          <w:ilvl w:val="0"/>
          <w:numId w:val="1"/>
        </w:numPr>
        <w:spacing w:lineRule="auto" w:line="360"/>
        <w:rPr>
          <w:b/>
          <w:b/>
        </w:rPr>
      </w:pPr>
      <w:r>
        <w:rPr>
          <w:b/>
        </w:rPr>
        <w:t>Residual dividend policy:</w:t>
      </w:r>
      <w:r>
        <w:rPr/>
        <w:t xml:space="preserve"> Although volatile, in some people’s eye, residual dividend policy is only acceptable policy. This policy pursuing company pays dividend out of the remaining fund after payment of working capital and capital expenditures. In the term of business operations, residual dividend distribution policy makes sense although it is volatile. This policy makes the company attractive to the investors as investors judges a company as unattractive which justifies its non-payment of dividend with financing of increased debt (Allen &amp; Vani)</w:t>
      </w:r>
    </w:p>
    <w:p>
      <w:pPr>
        <w:pStyle w:val="Normal"/>
        <w:spacing w:lineRule="auto" w:line="360"/>
        <w:rPr/>
      </w:pPr>
      <w:r>
        <w:rPr/>
      </w:r>
    </w:p>
    <w:p>
      <w:pPr>
        <w:pStyle w:val="Normal"/>
        <w:spacing w:lineRule="auto" w:line="360"/>
        <w:rPr>
          <w:b/>
          <w:b/>
        </w:rPr>
      </w:pPr>
      <w:r>
        <w:rPr/>
        <w:t>.</w:t>
      </w:r>
    </w:p>
    <w:p>
      <w:pPr>
        <w:pStyle w:val="Normal"/>
        <w:spacing w:lineRule="auto" w:line="360"/>
        <w:rPr>
          <w:b/>
          <w:b/>
        </w:rPr>
      </w:pPr>
      <w:r>
        <w:rPr>
          <w:b/>
        </w:rPr>
        <w:t>Dividend distribution policy followed by Sainsbury’s PLC</w:t>
      </w:r>
    </w:p>
    <w:p>
      <w:pPr>
        <w:pStyle w:val="Normal"/>
        <w:spacing w:lineRule="auto" w:line="360"/>
        <w:rPr/>
      </w:pPr>
      <w:r>
        <w:rPr/>
        <w:t>Sainsbury’s uses its earnings to pay its capital expenditure first and remained generated earnings are then paid as dividends to its stockholders. Keeping in mind that investment community may analysis Company’s efficient use of assets spending for generation of more income, Sainsbury’s management follows residual dividend distribution policy although its shareholder accepted this strategy. If Sainsbury’s decides to spend $1 million on capital expenditure, either it can operate machinery at a lower cost or can increase production both of which can increase profits (Tonoyan &amp; Gusev, 2022). As net income increases bring improvement to return on asset ratio,</w:t>
      </w:r>
      <w:r>
        <w:rPr>
          <w:rFonts w:cs="Arial" w:ascii="Arial" w:hAnsi="Arial"/>
          <w:color w:val="111111"/>
          <w:spacing w:val="1"/>
          <w:sz w:val="27"/>
          <w:szCs w:val="27"/>
          <w:shd w:fill="FFFFFF" w:val="clear"/>
        </w:rPr>
        <w:t> </w:t>
      </w:r>
      <w:r>
        <w:rPr/>
        <w:t>Sainsbury’s shareholders may be more willing for accepting the residual dividend distribution policy in the future. However, Sainsbury’s management remains focused on funding capital expenditure with its earnings as they shouldn’t allow significant declining of dividend pay-out with the declining or earnings.</w:t>
      </w:r>
    </w:p>
    <w:p>
      <w:pPr>
        <w:pStyle w:val="Normal"/>
        <w:spacing w:lineRule="auto" w:line="360"/>
        <w:rPr/>
      </w:pPr>
      <w:r>
        <w:rPr/>
      </w:r>
    </w:p>
    <w:p>
      <w:pPr>
        <w:pStyle w:val="Normal"/>
        <w:spacing w:lineRule="auto" w:line="360"/>
        <w:rPr/>
      </w:pPr>
      <w:r>
        <w:rPr/>
      </w:r>
    </w:p>
    <w:p>
      <w:pPr>
        <w:pStyle w:val="Normal"/>
        <w:spacing w:lineRule="auto" w:line="360"/>
        <w:rPr/>
      </w:pPr>
      <w:r>
        <w:rPr/>
      </w:r>
      <w:r>
        <w:br w:type="page"/>
      </w:r>
    </w:p>
    <w:p>
      <w:pPr>
        <w:pStyle w:val="Heading1"/>
        <w:spacing w:lineRule="auto" w:line="360"/>
        <w:rPr/>
      </w:pPr>
      <w:bookmarkStart w:id="4" w:name="_Toc118149415"/>
      <w:r>
        <w:rPr/>
        <w:t>Critical analysis of efficient market hypothesis theory in context of Sainsbury’s operations</w:t>
      </w:r>
      <w:bookmarkEnd w:id="4"/>
    </w:p>
    <w:p>
      <w:pPr>
        <w:pStyle w:val="Normal"/>
        <w:spacing w:lineRule="auto" w:line="360"/>
        <w:rPr/>
      </w:pPr>
      <w:r>
        <w:rPr/>
        <w:t>Efficient market hypothesis (EMH) states that reflection of all information in the price of share and generation of alpha (risk adjusted excess return) consistently is impossible. According to EMH theory, selling of stock for inflated price or purchasing of undervalued stocks is impossible as stocks are trader at fair value always. As outperforming of a share in the overall market is nearly impossible through market timing or stock selection, investors find purchasing and holding of riskier stocks for obtaining of higher return (Pesaran, 2010). Through technical or fundamental analysis, predicting of market trends or searching for undervalued stocks is argued as pointless by believers of EMH. Neither fundamental nor technical analysis can produce alpha constantly, rather inside information can only results in outsized risk-adjusted returns. When academics points highly in support of EMH, there exists an equal amount of dissension. For example, market was beaten for a longer time by investors like Warren Buffet which is impossible according to the theory of EMH (Pesaran, 2010).</w:t>
      </w:r>
    </w:p>
    <w:p>
      <w:pPr>
        <w:pStyle w:val="Normal"/>
        <w:spacing w:lineRule="auto" w:line="360"/>
        <w:rPr/>
      </w:pPr>
      <w:r>
        <w:rPr/>
        <w:t>However, efficient market hypothesis proponents concludes that market randomness existence allows investors doing better through investment in passive and low-cost portfolio. The study of Morningstar over a ten years period found that only 23% of the active manager had outperformed their passive peers (Hensoldt, 2017). In the foreign bond and equity funds, better success rate has been found. However, active portfolio managers success rate were low in UK based large cap funds like Sainsbury’s. EMH suggests that challenges faced by investors is being able to identifying funds that will do well in the long run.</w:t>
      </w:r>
    </w:p>
    <w:p>
      <w:pPr>
        <w:pStyle w:val="Normal"/>
        <w:spacing w:lineRule="auto" w:line="360"/>
        <w:rPr/>
      </w:pPr>
      <w:r>
        <w:rPr/>
        <w:t>Considering the market trends of Sainsbury’s stock price, it can be said that all available information in the market reflects in. The stock price of Sainsbury’s is competitive left no rooms for making excess profits through investment in it as everything is accurate and fairly priced. Considering this share trend and pricing, it can be implied that there is little hope in beating the market although market returns can be matched through passive index investing (Smithers, 2022). However, market can’t be efficient to the purest most of the time, modification of the EMH exists in the market to reflect the degree of application in the market. But engagement of more participants in the market makes the market more efficient as more competition in the market brings different types of information in the market (Smithers, 2022). However, people in the market may realise arbitrage opportunities from the shares of Sainsbury’s through correction of small inefficiencies and restore efficiency.</w:t>
      </w:r>
    </w:p>
    <w:p>
      <w:pPr>
        <w:pStyle w:val="Normal"/>
        <w:spacing w:lineRule="auto" w:line="360"/>
        <w:rPr/>
      </w:pPr>
      <w:r>
        <w:rPr/>
      </w:r>
    </w:p>
    <w:p>
      <w:pPr>
        <w:pStyle w:val="Normal"/>
        <w:spacing w:lineRule="auto" w:line="360"/>
        <w:rPr/>
      </w:pPr>
      <w:r>
        <w:rPr/>
      </w:r>
      <w:r>
        <w:br w:type="page"/>
      </w:r>
    </w:p>
    <w:p>
      <w:pPr>
        <w:pStyle w:val="Heading1"/>
        <w:spacing w:lineRule="auto" w:line="360"/>
        <w:rPr/>
      </w:pPr>
      <w:bookmarkStart w:id="5" w:name="_Toc118149416"/>
      <w:r>
        <w:rPr/>
        <w:t>Critical analysis and evaluation of methods pursued by Sainsbury’s for appraising projects</w:t>
      </w:r>
      <w:bookmarkEnd w:id="5"/>
    </w:p>
    <w:p>
      <w:pPr>
        <w:pStyle w:val="Normal"/>
        <w:spacing w:lineRule="auto" w:line="360"/>
        <w:rPr/>
      </w:pPr>
      <w:r>
        <w:rPr/>
        <w:t>Sainsbury’s management conducts extensive assessment of an investment propositions various aspects objectively and independently to come into a financial decision which is viable. The company uses five methods for conducting evaluation and appraising of its projects.</w:t>
      </w:r>
    </w:p>
    <w:p>
      <w:pPr>
        <w:pStyle w:val="Normal"/>
        <w:spacing w:lineRule="auto" w:line="360"/>
        <w:rPr/>
      </w:pPr>
      <w:r>
        <w:rPr>
          <w:b/>
        </w:rPr>
        <w:t>Economic analysis:</w:t>
      </w:r>
      <w:r>
        <w:rPr/>
        <w:t xml:space="preserve"> Under this analysis, management considers a projects requirements of raw materials, level of capacity for utilisation of resources, expected costs, expected sales and plausible profits. Sainsbury’s ascertain on its profit volume as it determines economic variables including expenses, purchase and sales. While anticipation of target sales is required to achieve forecasted profit volumes, sales depends on the demand for the products (Næss, 2020). The management contemplates government schemes offered concessions, incentives and policies during the selection of the projects location.</w:t>
      </w:r>
    </w:p>
    <w:p>
      <w:pPr>
        <w:pStyle w:val="Normal"/>
        <w:spacing w:lineRule="auto" w:line="360"/>
        <w:rPr/>
      </w:pPr>
      <w:r>
        <w:rPr>
          <w:b/>
        </w:rPr>
        <w:t>Financial analysis:</w:t>
      </w:r>
      <w:r>
        <w:rPr/>
        <w:t xml:space="preserve"> For any successful business venture, financial analysis is an important prerequisite. Assessment of fixed and working capital requirements of a business is conducted for project appraisal for ascertaining the business’s financial viability. In evaluation of fixed capital, Sainsbury’s management considers various factors including installation charges, electrification, and additions of buildings, trial runs, pre-operation expenses, repair, remodelling, depreciation and engineer’s fees along with the cost of the assets (Hanna, 2019). Sainsbury’s day to day requirements is sufficed by its working capital which works as lubricants for business’s smooth transition.</w:t>
      </w:r>
    </w:p>
    <w:p>
      <w:pPr>
        <w:pStyle w:val="Normal"/>
        <w:spacing w:lineRule="auto" w:line="360"/>
        <w:rPr/>
      </w:pPr>
      <w:r>
        <w:rPr>
          <w:b/>
        </w:rPr>
        <w:t>Market analysis:</w:t>
      </w:r>
      <w:r>
        <w:rPr/>
        <w:t xml:space="preserve"> Sainsbury’s conducts a market analysis for understanding products potential demands before commencement of its production where demand forecasting is involved in it. The forecasting of demand probes into anticipation and identification of products requisite market which are to be purchases. Sainsbury’s management conducts a survey for considering ultimate customers opinion. The firm also pursues certain stages of its product lifecycle including introduction, growth, maturity, saturation decline (Gunawan &amp; Aungsuroch, 2017).</w:t>
      </w:r>
    </w:p>
    <w:p>
      <w:pPr>
        <w:pStyle w:val="Normal"/>
        <w:spacing w:lineRule="auto" w:line="360"/>
        <w:rPr/>
      </w:pPr>
      <w:r>
        <w:rPr>
          <w:b/>
        </w:rPr>
        <w:t>Technical feasibility:</w:t>
      </w:r>
      <w:r>
        <w:rPr/>
        <w:t xml:space="preserve"> The assessment and evaluation of adequacy of proposed equipment and plant in production of the targeted product in the determined norms it referred as technical feasibility. Sainsbury’s technical feasibility evaluate the needs or sufficiency of technical arrangement where needs are to be procured from elsewhere. Availability of land and site, adequate quality raw materials, other inputs, servicing facilities, adequate licenses and skilled workforce (Hanna, 2019).</w:t>
      </w:r>
    </w:p>
    <w:p>
      <w:pPr>
        <w:pStyle w:val="Normal"/>
        <w:spacing w:lineRule="auto" w:line="360"/>
        <w:rPr/>
      </w:pPr>
      <w:r>
        <w:rPr>
          <w:b/>
        </w:rPr>
        <w:t>Managerial competence:</w:t>
      </w:r>
      <w:r>
        <w:rPr/>
        <w:t xml:space="preserve"> The management body of Sainsbury’s is competent enough and part of which may be allotted for the new project. But before final posting of theirs, management must evaluate their ability in successful running of the project as without this the project won’t remain viable. Sainsbury’s management already learnt from its history that even good management support and backing can flourish a weak project (Gunawan &amp; Aungsuroch, 2017). Sainsbury’s management acquires a strategic support by properly evaluating the projects promoters’ talent or evaluation of the management’s competence and this ensure the highest success ratio of its pursued projects.</w:t>
      </w:r>
    </w:p>
    <w:p>
      <w:pPr>
        <w:pStyle w:val="Normal"/>
        <w:spacing w:lineRule="auto" w:line="360"/>
        <w:rPr/>
      </w:pPr>
      <w:r>
        <w:rPr/>
      </w:r>
    </w:p>
    <w:p>
      <w:pPr>
        <w:pStyle w:val="Normal"/>
        <w:spacing w:lineRule="auto" w:line="360"/>
        <w:rPr/>
      </w:pPr>
      <w:r>
        <w:rPr/>
      </w:r>
      <w:r>
        <w:br w:type="page"/>
      </w:r>
    </w:p>
    <w:p>
      <w:pPr>
        <w:pStyle w:val="Heading1"/>
        <w:spacing w:lineRule="auto" w:line="360"/>
        <w:rPr/>
      </w:pPr>
      <w:bookmarkStart w:id="6" w:name="_Toc118149417"/>
      <w:r>
        <w:rPr/>
        <w:t>Conclusion</w:t>
      </w:r>
      <w:bookmarkEnd w:id="6"/>
    </w:p>
    <w:p>
      <w:pPr>
        <w:pStyle w:val="Normal"/>
        <w:spacing w:lineRule="auto" w:line="360"/>
        <w:rPr/>
      </w:pPr>
      <w:r>
        <w:rPr/>
        <w:t>Global growth and prosperity is arguably largely influenced by international trade. MNCs are direct subject to international trade aspects and international finance policy. However, effective policies and dynamic international finance strategies has enabled MNCs like Sainsbury’s to expand worldwide and capture a large chunk of global market share.</w:t>
      </w:r>
    </w:p>
    <w:p>
      <w:pPr>
        <w:pStyle w:val="Normal"/>
        <w:spacing w:lineRule="auto" w:line="360"/>
        <w:rPr/>
      </w:pPr>
      <w:r>
        <w:rPr/>
      </w:r>
    </w:p>
    <w:p>
      <w:pPr>
        <w:pStyle w:val="Normal"/>
        <w:spacing w:lineRule="auto" w:line="360"/>
        <w:rPr/>
      </w:pPr>
      <w:r>
        <w:rPr/>
      </w:r>
      <w:r>
        <w:br w:type="page"/>
      </w:r>
    </w:p>
    <w:p>
      <w:pPr>
        <w:pStyle w:val="Heading1"/>
        <w:spacing w:lineRule="auto" w:line="360"/>
        <w:rPr/>
      </w:pPr>
      <w:bookmarkStart w:id="7" w:name="_Toc118149418"/>
      <w:r>
        <w:rPr/>
        <w:t>References</w:t>
      </w:r>
      <w:bookmarkEnd w:id="7"/>
    </w:p>
    <w:p>
      <w:pPr>
        <w:pStyle w:val="ListParagraph"/>
        <w:numPr>
          <w:ilvl w:val="0"/>
          <w:numId w:val="2"/>
        </w:numPr>
        <w:spacing w:lineRule="auto" w:line="360"/>
        <w:rPr/>
      </w:pPr>
      <w:r>
        <w:rPr/>
        <w:t>Allen, R. and Vani, S. (no date) “Financial Management and oversight of state-owned enterprises,” The International Handbook of Public Financial Management [Preprint]. Available at: https://doi.org/10.1057/9781137315304.0046.</w:t>
      </w:r>
    </w:p>
    <w:p>
      <w:pPr>
        <w:pStyle w:val="ListParagraph"/>
        <w:numPr>
          <w:ilvl w:val="0"/>
          <w:numId w:val="2"/>
        </w:numPr>
        <w:spacing w:lineRule="auto" w:line="360"/>
        <w:rPr/>
      </w:pPr>
      <w:r>
        <w:rPr/>
        <w:t>Bandy, G. (2018) “Financial management,” International Public Financial Management, pp. 51–72. Available at: https://doi.org/10.4324/9781351128308-4.</w:t>
      </w:r>
    </w:p>
    <w:p>
      <w:pPr>
        <w:pStyle w:val="ListParagraph"/>
        <w:numPr>
          <w:ilvl w:val="0"/>
          <w:numId w:val="2"/>
        </w:numPr>
        <w:spacing w:lineRule="auto" w:line="360"/>
        <w:rPr/>
      </w:pPr>
      <w:r>
        <w:rPr/>
        <w:t>Gunawan, J. and Aungsuroch, Y. (2017) “Managerial competence of first-line nurse managers: A concept analysis,” International Journal of Nursing Practice, 23(1). Available at: https://doi.org/10.1111/ijn.12502.</w:t>
      </w:r>
    </w:p>
    <w:p>
      <w:pPr>
        <w:pStyle w:val="ListParagraph"/>
        <w:numPr>
          <w:ilvl w:val="0"/>
          <w:numId w:val="2"/>
        </w:numPr>
        <w:spacing w:lineRule="auto" w:line="360"/>
        <w:rPr/>
      </w:pPr>
      <w:r>
        <w:rPr/>
        <w:t>Hanna, P. (2019) “Research methods for environmental studies: A social science approach,” Impact Assessment and Project Appraisal, 37(6), pp. 526–526. Available at: https://doi.org/10.1080/14615517.2019.1607141.</w:t>
      </w:r>
    </w:p>
    <w:p>
      <w:pPr>
        <w:pStyle w:val="ListParagraph"/>
        <w:numPr>
          <w:ilvl w:val="0"/>
          <w:numId w:val="2"/>
        </w:numPr>
        <w:spacing w:lineRule="auto" w:line="360"/>
        <w:rPr/>
      </w:pPr>
      <w:r>
        <w:rPr/>
        <w:t>Hensoldt, A. (2017) “Pragmatic theory of information and the efficient market hypothesis,” Philosophy in the Time of Economic Crisis, pp. 125–140. Available at: https://doi.org/10.4324/9781315168869-9.</w:t>
      </w:r>
    </w:p>
    <w:p>
      <w:pPr>
        <w:pStyle w:val="ListParagraph"/>
        <w:numPr>
          <w:ilvl w:val="0"/>
          <w:numId w:val="2"/>
        </w:numPr>
        <w:spacing w:lineRule="auto" w:line="360"/>
        <w:rPr/>
      </w:pPr>
      <w:r>
        <w:rPr/>
        <w:t>Næss, P. (2020) “Project appraisal methods: Tools for optimizing or for informed political debate?,” Standard Transport Appraisal Methods, pp. 287–318. Available at: https://doi.org/10.1016/bs.atpp.2020.07.007.</w:t>
      </w:r>
    </w:p>
    <w:p>
      <w:pPr>
        <w:pStyle w:val="ListParagraph"/>
        <w:numPr>
          <w:ilvl w:val="0"/>
          <w:numId w:val="2"/>
        </w:numPr>
        <w:spacing w:lineRule="auto" w:line="360"/>
        <w:rPr/>
      </w:pPr>
      <w:r>
        <w:rPr/>
        <w:t>Pesaran, M.H. (2010) Predictability of asset returns and the efficient market hypothesis. Cambridge: University of Cambridge, Faculty of Economics.</w:t>
      </w:r>
    </w:p>
    <w:p>
      <w:pPr>
        <w:pStyle w:val="ListParagraph"/>
        <w:numPr>
          <w:ilvl w:val="0"/>
          <w:numId w:val="2"/>
        </w:numPr>
        <w:spacing w:lineRule="auto" w:line="360"/>
        <w:rPr/>
      </w:pPr>
      <w:r>
        <w:rPr/>
        <w:t>Smithers, A. (2022) “The efficient market hypothesis,” The Economics of the Stock Market, pp. 154–155. Available at: https://doi.org/10.1093/oso/9780192847096.003.0031.</w:t>
      </w:r>
    </w:p>
    <w:p>
      <w:pPr>
        <w:pStyle w:val="ListParagraph"/>
        <w:numPr>
          <w:ilvl w:val="0"/>
          <w:numId w:val="2"/>
        </w:numPr>
        <w:spacing w:lineRule="auto" w:line="360" w:before="0" w:after="160"/>
        <w:contextualSpacing/>
        <w:rPr/>
      </w:pPr>
      <w:r>
        <w:rPr/>
        <w:t>Tonoyan, R.G. and Gusev, A.A. (2022) “Dividend policy of companies. external and internal factors influencing the selection of dividend policy,” Vector Economy [Preprint], (3). Available at: https://doi.org/10.51691/2500-3666_2022_3_9.</w:t>
      </w:r>
    </w:p>
    <w:sectPr>
      <w:type w:val="nextPage"/>
      <w:pgSz w:w="12240" w:h="15840"/>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Light">
    <w:charset w:val="00"/>
    <w:family w:val="roman"/>
    <w:pitch w:val="variable"/>
  </w:font>
  <w:font w:name="Calibri">
    <w:charset w:val="00"/>
    <w:family w:val="roman"/>
    <w:pitch w:val="variable"/>
  </w:font>
  <w:font w:name="Arial">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09"/>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Cs w:val="24"/>
        <w:lang w:val="en-GB" w:eastAsia="zh-CN" w:bidi="hi-IN"/>
      </w:rPr>
    </w:rPrDefault>
    <w:pPrDefault>
      <w:pPr>
        <w:widowControl/>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67b97"/>
    <w:pPr>
      <w:widowControl/>
      <w:kinsoku w:val="true"/>
      <w:overflowPunct w:val="true"/>
      <w:autoSpaceDE w:val="true"/>
      <w:bidi w:val="0"/>
      <w:spacing w:lineRule="auto" w:line="259" w:before="0" w:after="160"/>
      <w:jc w:val="both"/>
    </w:pPr>
    <w:rPr>
      <w:rFonts w:ascii="Times New Roman" w:hAnsi="Times New Roman" w:eastAsia="NSimSun" w:cs="Lucida Sans"/>
      <w:color w:val="auto"/>
      <w:kern w:val="2"/>
      <w:sz w:val="24"/>
      <w:szCs w:val="24"/>
      <w:lang w:val="en-GB" w:eastAsia="zh-CN" w:bidi="hi-IN"/>
    </w:rPr>
  </w:style>
  <w:style w:type="paragraph" w:styleId="Heading1">
    <w:name w:val="Heading 1"/>
    <w:basedOn w:val="Normal"/>
    <w:next w:val="Normal"/>
    <w:link w:val="Heading1Char"/>
    <w:uiPriority w:val="9"/>
    <w:qFormat/>
    <w:rsid w:val="00667b97"/>
    <w:pPr>
      <w:keepNext w:val="true"/>
      <w:keepLines/>
      <w:spacing w:before="240" w:after="0"/>
      <w:outlineLvl w:val="0"/>
    </w:pPr>
    <w:rPr>
      <w:rFonts w:eastAsia="" w:cs="" w:cstheme="majorBidi" w:eastAsiaTheme="majorEastAsia"/>
      <w:b/>
      <w:sz w:val="32"/>
      <w:szCs w:val="32"/>
    </w:rPr>
  </w:style>
  <w:style w:type="paragraph" w:styleId="Heading2">
    <w:name w:val="Heading 2"/>
    <w:basedOn w:val="Normal"/>
    <w:next w:val="Normal"/>
    <w:link w:val="Heading2Char"/>
    <w:uiPriority w:val="9"/>
    <w:semiHidden/>
    <w:unhideWhenUsed/>
    <w:qFormat/>
    <w:rsid w:val="00667b97"/>
    <w:pPr>
      <w:keepNext w:val="true"/>
      <w:keepLines/>
      <w:spacing w:before="40" w:after="0"/>
      <w:outlineLvl w:val="1"/>
    </w:pPr>
    <w:rPr>
      <w:rFonts w:eastAsia="" w:cs="" w:cstheme="majorBidi" w:eastAsiaTheme="majorEastAsia"/>
      <w:b/>
      <w:sz w:val="28"/>
      <w:szCs w:val="26"/>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667b97"/>
    <w:rPr>
      <w:rFonts w:ascii="Times New Roman" w:hAnsi="Times New Roman" w:eastAsia="" w:cs="" w:cstheme="majorBidi" w:eastAsiaTheme="majorEastAsia"/>
      <w:b/>
      <w:sz w:val="32"/>
      <w:szCs w:val="32"/>
      <w:lang w:val="en-GB"/>
    </w:rPr>
  </w:style>
  <w:style w:type="character" w:styleId="Heading2Char" w:customStyle="1">
    <w:name w:val="Heading 2 Char"/>
    <w:basedOn w:val="DefaultParagraphFont"/>
    <w:link w:val="Heading2"/>
    <w:uiPriority w:val="9"/>
    <w:semiHidden/>
    <w:qFormat/>
    <w:rsid w:val="00667b97"/>
    <w:rPr>
      <w:rFonts w:ascii="Times New Roman" w:hAnsi="Times New Roman" w:eastAsia="" w:cs="" w:cstheme="majorBidi" w:eastAsiaTheme="majorEastAsia"/>
      <w:b/>
      <w:sz w:val="28"/>
      <w:szCs w:val="26"/>
      <w:lang w:val="en-GB"/>
    </w:rPr>
  </w:style>
  <w:style w:type="character" w:styleId="TitleChar" w:customStyle="1">
    <w:name w:val="Title Char"/>
    <w:basedOn w:val="DefaultParagraphFont"/>
    <w:link w:val="Title"/>
    <w:uiPriority w:val="10"/>
    <w:qFormat/>
    <w:rsid w:val="003b09dc"/>
    <w:rPr>
      <w:rFonts w:ascii="Calibri Light" w:hAnsi="Calibri Light" w:eastAsia="" w:cs="" w:asciiTheme="majorHAnsi" w:cstheme="majorBidi" w:eastAsiaTheme="majorEastAsia" w:hAnsiTheme="majorHAnsi"/>
      <w:spacing w:val="-10"/>
      <w:kern w:val="2"/>
      <w:sz w:val="56"/>
      <w:szCs w:val="56"/>
      <w:lang w:val="en-GB"/>
    </w:rPr>
  </w:style>
  <w:style w:type="character" w:styleId="InternetLink">
    <w:name w:val="Internet Link"/>
    <w:basedOn w:val="DefaultParagraphFont"/>
    <w:uiPriority w:val="99"/>
    <w:unhideWhenUsed/>
    <w:rsid w:val="003b09dc"/>
    <w:rPr>
      <w:color w:val="0563C1" w:themeColor="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IndexLink">
    <w:name w:val="Index Link"/>
    <w:qFormat/>
    <w:rPr/>
  </w:style>
  <w:style w:type="character" w:styleId="ListLabel21">
    <w:name w:val="ListLabel 21"/>
    <w:qFormat/>
    <w:rPr>
      <w:rFonts w:cs="Wingdings"/>
    </w:rPr>
  </w:style>
  <w:style w:type="character" w:styleId="ListLabel20">
    <w:name w:val="ListLabel 20"/>
    <w:qFormat/>
    <w:rPr>
      <w:rFonts w:cs="Courier New"/>
    </w:rPr>
  </w:style>
  <w:style w:type="character" w:styleId="ListLabel19">
    <w:name w:val="ListLabel 19"/>
    <w:qFormat/>
    <w:rPr>
      <w:rFonts w:cs="Symbol"/>
    </w:rPr>
  </w:style>
  <w:style w:type="character" w:styleId="ListLabel18">
    <w:name w:val="ListLabel 18"/>
    <w:qFormat/>
    <w:rPr>
      <w:rFonts w:cs="Wingdings"/>
    </w:rPr>
  </w:style>
  <w:style w:type="character" w:styleId="ListLabel17">
    <w:name w:val="ListLabel 17"/>
    <w:qFormat/>
    <w:rPr>
      <w:rFonts w:cs="Courier New"/>
    </w:rPr>
  </w:style>
  <w:style w:type="character" w:styleId="ListLabel16">
    <w:name w:val="ListLabel 16"/>
    <w:qFormat/>
    <w:rPr>
      <w:rFonts w:cs="Symbol"/>
    </w:rPr>
  </w:style>
  <w:style w:type="character" w:styleId="ListLabel15">
    <w:name w:val="ListLabel 15"/>
    <w:qFormat/>
    <w:rPr>
      <w:rFonts w:cs="Wingdings"/>
    </w:rPr>
  </w:style>
  <w:style w:type="character" w:styleId="ListLabel14">
    <w:name w:val="ListLabel 14"/>
    <w:qFormat/>
    <w:rPr>
      <w:rFonts w:cs="Courier New"/>
    </w:rPr>
  </w:style>
  <w:style w:type="character" w:styleId="ListLabel13">
    <w:name w:val="ListLabel 13"/>
    <w:qFormat/>
    <w:rPr>
      <w:rFonts w:cs="Symbol"/>
    </w:rPr>
  </w:style>
  <w:style w:type="character" w:styleId="ListLabel12">
    <w:name w:val="ListLabel 12"/>
    <w:qFormat/>
    <w:rPr>
      <w:rFonts w:cs="Wingdings"/>
    </w:rPr>
  </w:style>
  <w:style w:type="character" w:styleId="ListLabel11">
    <w:name w:val="ListLabel 11"/>
    <w:qFormat/>
    <w:rPr>
      <w:rFonts w:cs="Courier New"/>
    </w:rPr>
  </w:style>
  <w:style w:type="character" w:styleId="ListLabel10">
    <w:name w:val="ListLabel 10"/>
    <w:qFormat/>
    <w:rPr>
      <w:rFonts w:cs="Symbol"/>
    </w:rPr>
  </w:style>
  <w:style w:type="character" w:styleId="ListLabel9">
    <w:name w:val="ListLabel 9"/>
    <w:qFormat/>
    <w:rPr>
      <w:rFonts w:cs="Wingdings"/>
    </w:rPr>
  </w:style>
  <w:style w:type="character" w:styleId="ListLabel8">
    <w:name w:val="ListLabel 8"/>
    <w:qFormat/>
    <w:rPr>
      <w:rFonts w:cs="Courier New"/>
    </w:rPr>
  </w:style>
  <w:style w:type="character" w:styleId="ListLabel7">
    <w:name w:val="ListLabel 7"/>
    <w:qFormat/>
    <w:rPr>
      <w:rFonts w:cs="Symbol"/>
    </w:rPr>
  </w:style>
  <w:style w:type="character" w:styleId="ListLabel6">
    <w:name w:val="ListLabel 6"/>
    <w:qFormat/>
    <w:rPr>
      <w:rFonts w:cs="Wingdings"/>
    </w:rPr>
  </w:style>
  <w:style w:type="character" w:styleId="ListLabel5">
    <w:name w:val="ListLabel 5"/>
    <w:qFormat/>
    <w:rPr>
      <w:rFonts w:cs="Courier New"/>
    </w:rPr>
  </w:style>
  <w:style w:type="character" w:styleId="ListLabel4">
    <w:name w:val="ListLabel 4"/>
    <w:qFormat/>
    <w:rPr>
      <w:rFonts w:cs="Symbol"/>
    </w:rPr>
  </w:style>
  <w:style w:type="character" w:styleId="FooterChar">
    <w:name w:val="Footer Char"/>
    <w:basedOn w:val="DefaultParagraphFont"/>
    <w:qFormat/>
    <w:rPr>
      <w:rFonts w:ascii="Times New Roman" w:hAnsi="Times New Roman"/>
      <w:sz w:val="24"/>
    </w:rPr>
  </w:style>
  <w:style w:type="character" w:styleId="HeaderChar">
    <w:name w:val="Header Char"/>
    <w:basedOn w:val="DefaultParagraphFont"/>
    <w:qFormat/>
    <w:rPr>
      <w:rFonts w:ascii="Times New Roman" w:hAnsi="Times New Roman"/>
      <w:sz w:val="24"/>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3b09dc"/>
    <w:pPr>
      <w:spacing w:lineRule="auto" w:line="240" w:before="0" w:after="0"/>
      <w:contextualSpacing/>
    </w:pPr>
    <w:rPr>
      <w:rFonts w:ascii="Calibri Light" w:hAnsi="Calibri Light" w:eastAsia="" w:cs="" w:asciiTheme="majorHAnsi" w:cstheme="majorBidi" w:eastAsiaTheme="majorEastAsia" w:hAnsiTheme="majorHAnsi"/>
      <w:spacing w:val="-10"/>
      <w:kern w:val="2"/>
      <w:sz w:val="56"/>
      <w:szCs w:val="56"/>
    </w:rPr>
  </w:style>
  <w:style w:type="paragraph" w:styleId="TOCHeading">
    <w:name w:val="TOC Heading"/>
    <w:basedOn w:val="Heading1"/>
    <w:next w:val="Normal"/>
    <w:uiPriority w:val="39"/>
    <w:unhideWhenUsed/>
    <w:qFormat/>
    <w:rsid w:val="003b09dc"/>
    <w:pPr>
      <w:jc w:val="left"/>
    </w:pPr>
    <w:rPr>
      <w:rFonts w:ascii="Calibri Light" w:hAnsi="Calibri Light" w:asciiTheme="majorHAnsi" w:hAnsiTheme="majorHAnsi"/>
      <w:b w:val="false"/>
      <w:color w:val="2E74B5" w:themeColor="accent1" w:themeShade="bf"/>
      <w:lang w:val="en-US"/>
    </w:rPr>
  </w:style>
  <w:style w:type="paragraph" w:styleId="Contents1">
    <w:name w:val="TOC 1"/>
    <w:basedOn w:val="Normal"/>
    <w:next w:val="Normal"/>
    <w:autoRedefine/>
    <w:uiPriority w:val="39"/>
    <w:unhideWhenUsed/>
    <w:rsid w:val="003b09dc"/>
    <w:pPr>
      <w:spacing w:before="0" w:after="100"/>
    </w:pPr>
    <w:rPr/>
  </w:style>
  <w:style w:type="paragraph" w:styleId="ListParagraph">
    <w:name w:val="List Paragraph"/>
    <w:basedOn w:val="Normal"/>
    <w:uiPriority w:val="34"/>
    <w:qFormat/>
    <w:rsid w:val="00fc11db"/>
    <w:pPr>
      <w:spacing w:before="0" w:after="160"/>
      <w:ind w:left="720" w:hanging="0"/>
      <w:contextualSpacing/>
    </w:pPr>
    <w:rPr/>
  </w:style>
  <w:style w:type="paragraph" w:styleId="Normal1">
    <w:name w:val="Normal1"/>
    <w:qFormat/>
    <w:pPr>
      <w:widowControl/>
      <w:kinsoku w:val="true"/>
      <w:overflowPunct w:val="true"/>
      <w:autoSpaceDE w:val="true"/>
      <w:bidi w:val="0"/>
      <w:spacing w:lineRule="auto" w:line="276" w:before="0" w:after="160"/>
      <w:jc w:val="left"/>
    </w:pPr>
    <w:rPr>
      <w:rFonts w:ascii="Calibri" w:hAnsi="Calibri" w:eastAsia="Calibri" w:cs="Lucida Sans" w:asciiTheme="minorHAnsi" w:eastAsiaTheme="minorHAnsi" w:hAnsiTheme="minorHAnsi"/>
      <w:color w:val="auto"/>
      <w:kern w:val="0"/>
      <w:sz w:val="24"/>
      <w:szCs w:val="22"/>
      <w:lang w:val="en-GB" w:eastAsia="en-US" w:bidi="ar-SA"/>
    </w:rPr>
  </w:style>
  <w:style w:type="paragraph" w:styleId="Footer">
    <w:name w:val="Footer"/>
    <w:basedOn w:val="Normal"/>
    <w:pPr>
      <w:tabs>
        <w:tab w:val="clear" w:pos="709"/>
        <w:tab w:val="center" w:pos="4513" w:leader="none"/>
        <w:tab w:val="right" w:pos="9026" w:leader="none"/>
      </w:tabs>
      <w:spacing w:lineRule="auto" w:line="240" w:before="0" w:after="0"/>
    </w:pPr>
    <w:rPr/>
  </w:style>
  <w:style w:type="paragraph" w:styleId="Header">
    <w:name w:val="Header"/>
    <w:basedOn w:val="Normal"/>
    <w:pPr>
      <w:tabs>
        <w:tab w:val="clear" w:pos="709"/>
        <w:tab w:val="center" w:pos="4513" w:leader="none"/>
        <w:tab w:val="right" w:pos="9026" w:leader="none"/>
      </w:tabs>
      <w:spacing w:lineRule="auto" w:line="240" w:before="0" w:after="0"/>
    </w:pPr>
    <w:rPr/>
  </w:style>
  <w:style w:type="paragraph" w:styleId="NormalWeb">
    <w:name w:val="Normal (Web)"/>
    <w:basedOn w:val="Normal"/>
    <w:qFormat/>
    <w:pPr>
      <w:spacing w:lineRule="auto" w:line="240" w:before="280" w:after="280"/>
      <w:jc w:val="left"/>
    </w:pPr>
    <w:rPr>
      <w:rFonts w:eastAsia="Times New Roman" w:cs="Times New Roman"/>
      <w:szCs w:val="24"/>
      <w:lang w:eastAsia="en-GB"/>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54446-3126-4A4B-8C0B-50140182A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1506</TotalTime>
  <Application>Trio_Office/6.2.8.2$Windows_x86 LibreOffice_project/</Application>
  <Pages>11</Pages>
  <Words>1773</Words>
  <Characters>10855</Characters>
  <CharactersWithSpaces>12565</CharactersWithSpaces>
  <Paragraphs>48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2022-10-31T16:49:00Z</dcterms:created>
  <dc:creator>User</dc:creator>
  <dc:description/>
  <dc:language>en-GB</dc:language>
  <cp:lastModifiedBy/>
  <dcterms:modified xsi:type="dcterms:W3CDTF">2022-11-20T18:18:46Z</dcterms:modified>
  <cp:revision>82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