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BB905A8" w:rsidR="7908378C" w:rsidRDefault="7908378C" w:rsidP="33572C6E">
            <w:pPr>
              <w:ind w:right="237"/>
              <w:rPr>
                <w:b/>
                <w:bCs/>
                <w:color w:val="auto"/>
                <w:sz w:val="32"/>
                <w:szCs w:val="32"/>
              </w:rPr>
            </w:pPr>
            <w:r w:rsidRPr="33572C6E">
              <w:rPr>
                <w:b/>
                <w:bCs/>
                <w:color w:val="auto"/>
                <w:sz w:val="32"/>
                <w:szCs w:val="32"/>
              </w:rPr>
              <w:t xml:space="preserve">Learner name: </w:t>
            </w:r>
            <w:r w:rsidR="00CA5F34">
              <w:rPr>
                <w:b/>
                <w:bCs/>
                <w:color w:val="auto"/>
                <w:sz w:val="32"/>
                <w:szCs w:val="32"/>
              </w:rPr>
              <w:t>Jack Travis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6AFB9DC" w:rsidR="7908378C" w:rsidRDefault="00CA5F34" w:rsidP="33572C6E">
            <w:pPr>
              <w:ind w:right="237"/>
              <w:rPr>
                <w:b/>
                <w:bCs/>
                <w:color w:val="auto"/>
                <w:sz w:val="32"/>
                <w:szCs w:val="32"/>
              </w:rPr>
            </w:pPr>
            <w:r>
              <w:rPr>
                <w:b/>
                <w:bCs/>
                <w:color w:val="auto"/>
                <w:sz w:val="32"/>
                <w:szCs w:val="32"/>
              </w:rPr>
              <w:t>2031246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CA5F3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6800F62E"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7F12219" w14:textId="77777777" w:rsidR="00CA5F34" w:rsidRPr="00E676F7" w:rsidRDefault="00CA5F34" w:rsidP="5B843AF0">
      <w:pPr>
        <w:ind w:right="237"/>
        <w:jc w:val="both"/>
        <w:rPr>
          <w:rFonts w:eastAsia="Arial"/>
          <w:color w:val="000000" w:themeColor="text1"/>
          <w:sz w:val="24"/>
          <w:szCs w:val="24"/>
        </w:rPr>
      </w:pPr>
    </w:p>
    <w:p w14:paraId="22350956" w14:textId="77777777" w:rsidR="00CA5F34" w:rsidRPr="002905A1" w:rsidRDefault="00CA5F34" w:rsidP="00CA5F34">
      <w:pPr>
        <w:spacing w:line="360" w:lineRule="auto"/>
        <w:rPr>
          <w:sz w:val="24"/>
          <w:szCs w:val="24"/>
        </w:rPr>
      </w:pPr>
      <w:r w:rsidRPr="002905A1">
        <w:rPr>
          <w:sz w:val="24"/>
          <w:szCs w:val="24"/>
        </w:rPr>
        <w:t xml:space="preserve">In this essay I will describe a policing incident which I attended and describe how I played a significant role in supporting the victim of that incident. I will also critically evaluate the approaches used by attending police officers and other support services to support any vulnerable parties involved. I will also explore evidence-based policing strategies used to tackle repeat victimisation and their relevance to the incident that I attended. </w:t>
      </w:r>
    </w:p>
    <w:p w14:paraId="67B3DBDE" w14:textId="77777777" w:rsidR="00CA5F34" w:rsidRPr="002905A1" w:rsidRDefault="00CA5F34" w:rsidP="00CA5F34">
      <w:pPr>
        <w:spacing w:line="360" w:lineRule="auto"/>
        <w:rPr>
          <w:sz w:val="24"/>
          <w:szCs w:val="24"/>
        </w:rPr>
      </w:pPr>
    </w:p>
    <w:p w14:paraId="7A06B341" w14:textId="77777777" w:rsidR="00CA5F34" w:rsidRPr="002905A1" w:rsidRDefault="00CA5F34" w:rsidP="00CA5F34">
      <w:pPr>
        <w:spacing w:line="360" w:lineRule="auto"/>
        <w:rPr>
          <w:sz w:val="24"/>
          <w:szCs w:val="24"/>
        </w:rPr>
      </w:pPr>
      <w:r w:rsidRPr="002905A1">
        <w:rPr>
          <w:sz w:val="24"/>
          <w:szCs w:val="24"/>
        </w:rPr>
        <w:t xml:space="preserve">This essay will be based on a domestic incident where a 15-year-old girl was the perpetrator, and her grandfather (who was her sole carer and legal guardian) was the victims. The child had committed two offences. The first offence was </w:t>
      </w:r>
      <w:bookmarkStart w:id="0" w:name="_Hlk124419666"/>
      <w:r w:rsidRPr="002905A1">
        <w:rPr>
          <w:sz w:val="24"/>
          <w:szCs w:val="24"/>
        </w:rPr>
        <w:t xml:space="preserve">‘Battery Common Assault’ which is a summary only offence under Section 39 – Criminal Justice Act (1988). </w:t>
      </w:r>
      <w:bookmarkEnd w:id="0"/>
      <w:r w:rsidRPr="002905A1">
        <w:rPr>
          <w:sz w:val="24"/>
          <w:szCs w:val="24"/>
        </w:rPr>
        <w:t xml:space="preserve">This offence was committed by the girl assaulting her grandfather by repeatedly punching him. The second offence was ‘Criminal Damage’ which is an ‘either way offence’ under Section 1 – Criminal Damage Act (1971). This offence was committed by the girl damaging her bedroom door and the living room television. The suspect displayed three of the five generally recognised types of </w:t>
      </w:r>
      <w:r w:rsidRPr="002905A1">
        <w:rPr>
          <w:sz w:val="24"/>
          <w:szCs w:val="24"/>
        </w:rPr>
        <w:lastRenderedPageBreak/>
        <w:t>abuse listed by Harfield (2013): Physical, Psychological and Emotional (the other two being Sexual &amp; Neglect).</w:t>
      </w:r>
    </w:p>
    <w:p w14:paraId="6E17BC1F" w14:textId="77777777" w:rsidR="00CA5F34" w:rsidRPr="002905A1" w:rsidRDefault="00CA5F34" w:rsidP="00CA5F34">
      <w:pPr>
        <w:spacing w:line="360" w:lineRule="auto"/>
        <w:rPr>
          <w:sz w:val="24"/>
          <w:szCs w:val="24"/>
        </w:rPr>
      </w:pPr>
    </w:p>
    <w:p w14:paraId="1F98E6AD" w14:textId="77777777" w:rsidR="00CA5F34" w:rsidRPr="002905A1" w:rsidRDefault="00CA5F34" w:rsidP="00CA5F34">
      <w:pPr>
        <w:spacing w:line="360" w:lineRule="auto"/>
        <w:rPr>
          <w:sz w:val="24"/>
          <w:szCs w:val="24"/>
        </w:rPr>
      </w:pPr>
      <w:r w:rsidRPr="002905A1">
        <w:rPr>
          <w:sz w:val="24"/>
          <w:szCs w:val="24"/>
        </w:rPr>
        <w:t xml:space="preserve">Both persons involved were of White British ethnicity and there were no overt cultural differences between me and either person; also, all parties spoke fluent English. Had there been any issues regarding ethnicity I would have considered the College of Policing’s (2016) core values framework which places particular emphasis on impartiality as research has found that people are more likely to want to cooperate with police when they feel that they will be treated in an impartial manner (Murphy, Hinds &amp; Fleming, 2008). As there were no distinctive ethnic or cultural differences, I focused on more discreet methods of building rapport such as by being genuine, present and mindful (Lynch 2012). Had there been any language barriers I would have considered contingencies such as using an interpretation service (such as languageline.com) as an interpreter that is proficient in speaking the subject’s first language can be more talkative and provide more detail (Ewens et al., 2014). </w:t>
      </w:r>
    </w:p>
    <w:p w14:paraId="47D6469A" w14:textId="77777777" w:rsidR="00CA5F34" w:rsidRPr="002905A1" w:rsidRDefault="00CA5F34" w:rsidP="00CA5F34">
      <w:pPr>
        <w:spacing w:line="360" w:lineRule="auto"/>
        <w:rPr>
          <w:sz w:val="24"/>
          <w:szCs w:val="24"/>
        </w:rPr>
      </w:pPr>
      <w:r w:rsidRPr="002905A1">
        <w:rPr>
          <w:sz w:val="24"/>
          <w:szCs w:val="24"/>
        </w:rPr>
        <w:t xml:space="preserve">Both victims were elderly, so I applied communication techniques listed by the ‘LATCHeS’ model which is applied to elderly patients when being treated by dentists (Shigli et al., 2020) but is transferable to policing contexts. These listed techniques are: Longer appointments, Attentive listening, Teach-back technique, Cognitive impairments, Handling of aggressive arrogant rough older adults, Simple language. </w:t>
      </w:r>
    </w:p>
    <w:p w14:paraId="025F4DED" w14:textId="77777777" w:rsidR="00CA5F34" w:rsidRPr="002905A1" w:rsidRDefault="00CA5F34" w:rsidP="00CA5F34">
      <w:pPr>
        <w:spacing w:line="360" w:lineRule="auto"/>
        <w:rPr>
          <w:sz w:val="24"/>
          <w:szCs w:val="24"/>
        </w:rPr>
      </w:pPr>
      <w:r w:rsidRPr="002905A1">
        <w:rPr>
          <w:sz w:val="24"/>
          <w:szCs w:val="24"/>
        </w:rPr>
        <w:t xml:space="preserve"> </w:t>
      </w:r>
    </w:p>
    <w:p w14:paraId="1D3D379E" w14:textId="77777777" w:rsidR="00CA5F34" w:rsidRPr="002905A1" w:rsidRDefault="00CA5F34" w:rsidP="00CA5F34">
      <w:pPr>
        <w:spacing w:line="360" w:lineRule="auto"/>
        <w:rPr>
          <w:rFonts w:eastAsia="Arial"/>
          <w:color w:val="000000" w:themeColor="text1"/>
          <w:sz w:val="24"/>
          <w:szCs w:val="24"/>
        </w:rPr>
      </w:pPr>
      <w:r w:rsidRPr="002905A1">
        <w:rPr>
          <w:rFonts w:eastAsia="Arial"/>
          <w:color w:val="000000" w:themeColor="text1"/>
          <w:sz w:val="24"/>
          <w:szCs w:val="24"/>
          <w:lang w:val="en-US"/>
        </w:rPr>
        <w:t>With regards to supporting vulnerable individuals, within the context of this incident, both the victim and the suspect, were identified as being vulnerable. The College of Policing (2020) provides the following definition for vulnerability: ‘a person is vulnerable if, as a result of their situation or circumstances, they are unable to take care of, or protect themselves or others from harm or exploitation’.</w:t>
      </w:r>
      <w:r w:rsidRPr="002905A1">
        <w:rPr>
          <w:rFonts w:eastAsia="Arial"/>
          <w:color w:val="000000" w:themeColor="text1"/>
          <w:sz w:val="24"/>
          <w:szCs w:val="24"/>
        </w:rPr>
        <w:t xml:space="preserve"> The 15-year-old was vulnerable because children are highly dependent on others to satisfy their basic needs (Bagattini, 2019). The grandfather (due to his age, ailments and being a victim of crime) was vulnerable, especially given that elderly people are more susceptible to risks of abuse or neglect than the average person (NHS, 2021).  </w:t>
      </w:r>
    </w:p>
    <w:p w14:paraId="508B7CEB" w14:textId="77777777" w:rsidR="00CA5F34" w:rsidRPr="002905A1" w:rsidRDefault="00CA5F34" w:rsidP="00CA5F34">
      <w:pPr>
        <w:spacing w:line="360" w:lineRule="auto"/>
        <w:rPr>
          <w:rFonts w:eastAsia="Arial"/>
          <w:color w:val="000000" w:themeColor="text1"/>
          <w:sz w:val="24"/>
          <w:szCs w:val="24"/>
        </w:rPr>
      </w:pPr>
    </w:p>
    <w:p w14:paraId="12443005" w14:textId="77777777" w:rsidR="00CA5F34" w:rsidRPr="002905A1" w:rsidRDefault="00CA5F34" w:rsidP="00CA5F34">
      <w:pPr>
        <w:spacing w:line="360" w:lineRule="auto"/>
        <w:rPr>
          <w:rFonts w:eastAsia="Arial"/>
          <w:color w:val="000000" w:themeColor="text1"/>
          <w:sz w:val="24"/>
          <w:szCs w:val="24"/>
        </w:rPr>
      </w:pPr>
      <w:r w:rsidRPr="002905A1">
        <w:rPr>
          <w:rFonts w:eastAsia="Arial"/>
          <w:color w:val="000000" w:themeColor="text1"/>
          <w:sz w:val="24"/>
          <w:szCs w:val="24"/>
        </w:rPr>
        <w:t xml:space="preserve">As is South Wales Police Policy (2008), the first action performed in response to the incident being reported was the Public Service Centre conducting an initial risk assessment using the THRIVE model (threat, harm, risk, investigation, vulnerability </w:t>
      </w:r>
      <w:r w:rsidRPr="002905A1">
        <w:rPr>
          <w:rFonts w:eastAsia="Arial"/>
          <w:color w:val="000000" w:themeColor="text1"/>
          <w:sz w:val="24"/>
          <w:szCs w:val="24"/>
        </w:rPr>
        <w:lastRenderedPageBreak/>
        <w:t>and engagement) to establish if an immediate response was necessary, which it was. When arriving on scene, I applied the THRIVE model as well as the National-Decision-Making Model (College of Policing, 2013) to consider what options were available to me and to ensure that I could justify the decisions that were made.</w:t>
      </w:r>
    </w:p>
    <w:p w14:paraId="5CF2F1D4" w14:textId="77777777" w:rsidR="00CA5F34" w:rsidRPr="002905A1" w:rsidRDefault="00CA5F34" w:rsidP="00CA5F34">
      <w:pPr>
        <w:spacing w:line="360" w:lineRule="auto"/>
        <w:rPr>
          <w:rFonts w:eastAsia="Arial"/>
          <w:color w:val="000000" w:themeColor="text1"/>
          <w:sz w:val="24"/>
          <w:szCs w:val="24"/>
        </w:rPr>
      </w:pPr>
    </w:p>
    <w:p w14:paraId="6F342CD3" w14:textId="77777777" w:rsidR="00CA5F34" w:rsidRPr="002905A1" w:rsidRDefault="00CA5F34" w:rsidP="00CA5F34">
      <w:pPr>
        <w:spacing w:line="360" w:lineRule="auto"/>
        <w:rPr>
          <w:color w:val="333333"/>
          <w:sz w:val="24"/>
          <w:szCs w:val="24"/>
          <w:shd w:val="clear" w:color="auto" w:fill="FFFFFF"/>
        </w:rPr>
      </w:pPr>
      <w:r w:rsidRPr="002905A1">
        <w:rPr>
          <w:sz w:val="24"/>
          <w:szCs w:val="24"/>
        </w:rPr>
        <w:t>One option which was immediately deemed inappropriate was to take no further action during or following attendance. The 2022-2026 South Wales Police &amp; Crime Plan (2022) is centred around “early intervention and prompt, positive action to help prevent problems before they escalate”</w:t>
      </w:r>
      <w:r w:rsidRPr="002905A1">
        <w:rPr>
          <w:color w:val="333333"/>
          <w:sz w:val="24"/>
          <w:szCs w:val="24"/>
          <w:shd w:val="clear" w:color="auto" w:fill="FFFFFF"/>
        </w:rPr>
        <w:t xml:space="preserve">. Also, Article 3 of the Human Rights Act (1998): right not to be subjected to torture or to inhuman or degrading treatment, means that police officers are obliged to take positive action. </w:t>
      </w:r>
    </w:p>
    <w:p w14:paraId="3FA8A08D" w14:textId="77777777" w:rsidR="00CA5F34" w:rsidRPr="002905A1" w:rsidRDefault="00CA5F34" w:rsidP="00CA5F34">
      <w:pPr>
        <w:spacing w:line="360" w:lineRule="auto"/>
        <w:rPr>
          <w:color w:val="333333"/>
          <w:sz w:val="24"/>
          <w:szCs w:val="24"/>
          <w:shd w:val="clear" w:color="auto" w:fill="FFFFFF"/>
        </w:rPr>
      </w:pPr>
      <w:r w:rsidRPr="002905A1">
        <w:rPr>
          <w:color w:val="333333"/>
          <w:sz w:val="24"/>
          <w:szCs w:val="24"/>
          <w:shd w:val="clear" w:color="auto" w:fill="FFFFFF"/>
        </w:rPr>
        <w:t>Therefore, taking no further action would have been heavily criticised, especially as nothing would have been done to negate the victims’ vulnerability or to address the child’s behavioural issues.</w:t>
      </w:r>
    </w:p>
    <w:p w14:paraId="43240B7A" w14:textId="77777777" w:rsidR="00CA5F34" w:rsidRPr="002905A1" w:rsidRDefault="00CA5F34" w:rsidP="00CA5F34">
      <w:pPr>
        <w:spacing w:line="360" w:lineRule="auto"/>
        <w:rPr>
          <w:color w:val="333333"/>
          <w:sz w:val="24"/>
          <w:szCs w:val="24"/>
          <w:shd w:val="clear" w:color="auto" w:fill="FFFFFF"/>
        </w:rPr>
      </w:pPr>
    </w:p>
    <w:p w14:paraId="58D92162" w14:textId="77777777" w:rsidR="00CA5F34" w:rsidRPr="002905A1" w:rsidRDefault="00CA5F34" w:rsidP="00CA5F34">
      <w:pPr>
        <w:spacing w:line="360" w:lineRule="auto"/>
        <w:rPr>
          <w:color w:val="333333"/>
          <w:sz w:val="24"/>
          <w:szCs w:val="24"/>
          <w:shd w:val="clear" w:color="auto" w:fill="FFFFFF"/>
        </w:rPr>
      </w:pPr>
      <w:r w:rsidRPr="002905A1">
        <w:rPr>
          <w:color w:val="333333"/>
          <w:sz w:val="24"/>
          <w:szCs w:val="24"/>
          <w:shd w:val="clear" w:color="auto" w:fill="FFFFFF"/>
        </w:rPr>
        <w:t xml:space="preserve">In incidents such as this, countries including the UK, Palestine, Netherlands, Sweden and Ghana have all developed arrest avoidance practices in order to “maximise diversionary practices as an alternative to judicial processes”, (Justice with Children, 2021). In the UK these practices come in the form of ‘Restorative Justice’ and Youth Conditional Cautions’. ‘Restorative Justice’ involves victim / offender mediation through direct or indirect communication (CPS, 2019). Marshall (1996) explains that restorative justice does allow for those involved to “resolve collectively how to deal with the aftermath of the offence and its implications for the future”. A similar disposal could be to give the suspect a ‘Youth Conditional Caution’ which provides an opportunity to achieve a positive response for those young people who are willing to admit their offending and to comply with certain conditions (Ministry of Justice, 2013). However, these options weren’t applicable in this instance as they had already been implemented on previous occasions and can only be used once. Also, Strang and Braithwaite (2001) highlight that there’s a fear that these measures return the underlying issue to ‘the realm of the private’. As there was previous history of the perpetrator physically abusing the victim, this shows in that this instance, Strang &amp; Braithwaite’s fear was not irrational and that the ‘Restorative Justice’ &amp; ‘Youth Conditional Caution’ processes had indeed been ineffective.  </w:t>
      </w:r>
    </w:p>
    <w:p w14:paraId="1CE2932E" w14:textId="77777777" w:rsidR="00CA5F34" w:rsidRPr="002905A1" w:rsidRDefault="00CA5F34" w:rsidP="00CA5F34">
      <w:pPr>
        <w:spacing w:line="360" w:lineRule="auto"/>
        <w:rPr>
          <w:color w:val="333333"/>
          <w:sz w:val="24"/>
          <w:szCs w:val="24"/>
          <w:shd w:val="clear" w:color="auto" w:fill="FFFFFF"/>
        </w:rPr>
      </w:pPr>
    </w:p>
    <w:p w14:paraId="3B3518BD" w14:textId="77777777" w:rsidR="00CA5F34" w:rsidRPr="002905A1" w:rsidRDefault="00CA5F34" w:rsidP="00CA5F34">
      <w:pPr>
        <w:spacing w:line="360" w:lineRule="auto"/>
        <w:rPr>
          <w:color w:val="333333"/>
          <w:sz w:val="24"/>
          <w:szCs w:val="24"/>
          <w:shd w:val="clear" w:color="auto" w:fill="FFFFFF"/>
        </w:rPr>
      </w:pPr>
      <w:r w:rsidRPr="002905A1">
        <w:rPr>
          <w:color w:val="333333"/>
          <w:sz w:val="24"/>
          <w:szCs w:val="24"/>
          <w:shd w:val="clear" w:color="auto" w:fill="FFFFFF"/>
        </w:rPr>
        <w:lastRenderedPageBreak/>
        <w:t xml:space="preserve">The strategy chosen for early intervention in this instance was to arrest the suspect. The necessity for the arrest was to protect vulnerable persons (victims and suspect); as is required under Code G of the Police and Criminal Evidence Act (1984). This option was not chosen lightly as being arrested can be traumatizing and may occasionally result in physical harm (Human Impact Partners, (2017). </w:t>
      </w:r>
    </w:p>
    <w:p w14:paraId="7F02DA01" w14:textId="77777777" w:rsidR="00CA5F34" w:rsidRPr="002905A1" w:rsidRDefault="00CA5F34" w:rsidP="00CA5F34">
      <w:pPr>
        <w:spacing w:line="360" w:lineRule="auto"/>
        <w:rPr>
          <w:color w:val="333333"/>
          <w:sz w:val="24"/>
          <w:szCs w:val="24"/>
          <w:shd w:val="clear" w:color="auto" w:fill="FFFFFF"/>
        </w:rPr>
      </w:pPr>
      <w:r w:rsidRPr="002905A1">
        <w:rPr>
          <w:sz w:val="24"/>
          <w:szCs w:val="24"/>
        </w:rPr>
        <w:t xml:space="preserve">However, by arresting the child, the short-term risk of repeat incidents was managed (College of Policing, 2020). This also gave police sufficient time to coordinate with other organisations, through the completion and distribution of </w:t>
      </w:r>
      <w:r w:rsidRPr="002905A1">
        <w:rPr>
          <w:color w:val="333333"/>
          <w:sz w:val="24"/>
          <w:szCs w:val="24"/>
          <w:shd w:val="clear" w:color="auto" w:fill="FFFFFF"/>
        </w:rPr>
        <w:t>two separate ‘Public Protection Notices’ (PPN’s); one on behalf of the grandfather and the other on behalf of the child. Such safeguarding reports are required in accordance with Section 126 of the Social Services and Wellbeing Wales Act (2014) and are crucial in preventing violence or escalation of seriousness (Bryant, R &amp; Bryant S, 2020).</w:t>
      </w:r>
    </w:p>
    <w:p w14:paraId="2B726647" w14:textId="77777777" w:rsidR="00CA5F34" w:rsidRPr="002905A1" w:rsidRDefault="00CA5F34" w:rsidP="00CA5F34">
      <w:pPr>
        <w:spacing w:line="360" w:lineRule="auto"/>
        <w:rPr>
          <w:color w:val="333333"/>
          <w:sz w:val="24"/>
          <w:szCs w:val="24"/>
          <w:shd w:val="clear" w:color="auto" w:fill="FFFFFF"/>
        </w:rPr>
      </w:pPr>
    </w:p>
    <w:p w14:paraId="5ECA8CD4" w14:textId="77777777" w:rsidR="00CA5F34" w:rsidRPr="002905A1" w:rsidRDefault="00CA5F34" w:rsidP="00CA5F34">
      <w:pPr>
        <w:spacing w:line="360" w:lineRule="auto"/>
        <w:rPr>
          <w:sz w:val="24"/>
          <w:szCs w:val="24"/>
        </w:rPr>
      </w:pPr>
      <w:r w:rsidRPr="002905A1">
        <w:rPr>
          <w:color w:val="333333"/>
          <w:sz w:val="24"/>
          <w:szCs w:val="24"/>
          <w:shd w:val="clear" w:color="auto" w:fill="FFFFFF"/>
        </w:rPr>
        <w:t xml:space="preserve">The Oxford English Dictionary (2018) defines vulnerability as being ‘exposed to the possibility of being attacked or harmed, either physically or emotionally’. HMIC (2015) states that </w:t>
      </w:r>
      <w:r w:rsidRPr="002905A1">
        <w:rPr>
          <w:sz w:val="24"/>
          <w:szCs w:val="24"/>
        </w:rPr>
        <w:t xml:space="preserve">an effective response to vulnerable victims requires both statutory and voluntary sector organisations to work together, in order to undertake joint risk assessments and safety planning to address the victims’ needs. This was achieved through the submission of both PPN’s as it meant that partner agencies such as the NHS, the child’s school, Children &amp; Adult services and Victim Focus were all made aware of the incident and could support both parties. </w:t>
      </w:r>
    </w:p>
    <w:p w14:paraId="1B899575" w14:textId="77777777" w:rsidR="00CA5F34" w:rsidRPr="002905A1" w:rsidRDefault="00CA5F34" w:rsidP="00CA5F34">
      <w:pPr>
        <w:spacing w:line="360" w:lineRule="auto"/>
        <w:rPr>
          <w:sz w:val="24"/>
          <w:szCs w:val="24"/>
        </w:rPr>
      </w:pPr>
    </w:p>
    <w:p w14:paraId="08376753" w14:textId="77777777" w:rsidR="00CA5F34" w:rsidRPr="002905A1" w:rsidRDefault="00CA5F34" w:rsidP="00CA5F34">
      <w:pPr>
        <w:spacing w:line="360" w:lineRule="auto"/>
        <w:rPr>
          <w:sz w:val="24"/>
          <w:szCs w:val="24"/>
        </w:rPr>
      </w:pPr>
      <w:r w:rsidRPr="002905A1">
        <w:rPr>
          <w:sz w:val="24"/>
          <w:szCs w:val="24"/>
        </w:rPr>
        <w:t xml:space="preserve">The submission of the PPN on behalf of the child also meant that the CAPRICORN framework which “outlines action’s local partnerships can take to prevent young people (…) re-offending” (Public Health England, 2019), could be applied. Following the incident which I attended, a care order was subsequently issued by court under Section 31 of the Children Act (1989) and the child was placed into foster care due to her offending history, her needs as a child and the safeguarding needs of her grandparents. </w:t>
      </w:r>
    </w:p>
    <w:p w14:paraId="50838902" w14:textId="77777777" w:rsidR="00CA5F34" w:rsidRPr="002905A1" w:rsidRDefault="00CA5F34" w:rsidP="00CA5F34">
      <w:pPr>
        <w:spacing w:line="360" w:lineRule="auto"/>
        <w:rPr>
          <w:rFonts w:eastAsia="Arial"/>
          <w:color w:val="000000" w:themeColor="text1"/>
          <w:sz w:val="24"/>
          <w:szCs w:val="24"/>
          <w:lang w:val="en-US"/>
        </w:rPr>
      </w:pPr>
    </w:p>
    <w:p w14:paraId="612BF1DC" w14:textId="77777777" w:rsidR="00CA5F34" w:rsidRPr="002905A1" w:rsidRDefault="00CA5F34" w:rsidP="00CA5F34">
      <w:pPr>
        <w:spacing w:line="360" w:lineRule="auto"/>
        <w:rPr>
          <w:sz w:val="24"/>
          <w:szCs w:val="24"/>
        </w:rPr>
      </w:pPr>
      <w:r w:rsidRPr="002905A1">
        <w:rPr>
          <w:sz w:val="24"/>
          <w:szCs w:val="24"/>
        </w:rPr>
        <w:t xml:space="preserve">With regards to repeat victimisation and repeat offending, these are both significant issues. The incident which I attended involved a juvenile with recurring behavioural issues, who in this instance was a domestic violence aggressor. </w:t>
      </w:r>
    </w:p>
    <w:p w14:paraId="6DEA607B" w14:textId="77777777" w:rsidR="00CA5F34" w:rsidRPr="002905A1" w:rsidRDefault="00CA5F34" w:rsidP="00CA5F34">
      <w:pPr>
        <w:spacing w:line="360" w:lineRule="auto"/>
        <w:rPr>
          <w:sz w:val="24"/>
          <w:szCs w:val="24"/>
          <w:shd w:val="clear" w:color="auto" w:fill="FFFFFF"/>
        </w:rPr>
      </w:pPr>
      <w:r w:rsidRPr="002905A1">
        <w:rPr>
          <w:sz w:val="24"/>
          <w:szCs w:val="24"/>
        </w:rPr>
        <w:lastRenderedPageBreak/>
        <w:t xml:space="preserve">Juvenile/adolescent deviancy is strongly linked to adult criminality (Nagin &amp; Paternoster, 1991), and, </w:t>
      </w:r>
      <w:r w:rsidRPr="002905A1">
        <w:rPr>
          <w:color w:val="333333"/>
          <w:sz w:val="24"/>
          <w:szCs w:val="24"/>
          <w:shd w:val="clear" w:color="auto" w:fill="FFFFFF"/>
        </w:rPr>
        <w:t xml:space="preserve">in the year leading up to December (2020) the Ministry of Justice confirmed that juvenile offenders had a proven re-offending rate of 29.2%. Furthermore, the Scottish Government’s (2019) national and international crime surveys </w:t>
      </w:r>
      <w:r w:rsidRPr="002905A1">
        <w:rPr>
          <w:rFonts w:eastAsia="Arial"/>
          <w:color w:val="000000" w:themeColor="text1"/>
          <w:sz w:val="24"/>
          <w:szCs w:val="24"/>
          <w:lang w:val="en-US"/>
        </w:rPr>
        <w:t>have found that violent crime is disproportionately suffered by repeat victims. Also, with regards to</w:t>
      </w:r>
      <w:r w:rsidRPr="002905A1">
        <w:rPr>
          <w:color w:val="333333"/>
          <w:sz w:val="24"/>
          <w:szCs w:val="24"/>
          <w:shd w:val="clear" w:color="auto" w:fill="FFFFFF"/>
        </w:rPr>
        <w:t xml:space="preserve"> incidents involving domestic violence, once assaultive behaviour occurs in a relationship, it often becomes chronic, (Baker, Straus &amp; Gelles, 1991); therefore, as stated by Harfield (2013) “</w:t>
      </w:r>
      <w:r w:rsidRPr="002905A1">
        <w:rPr>
          <w:sz w:val="24"/>
          <w:szCs w:val="24"/>
          <w:shd w:val="clear" w:color="auto" w:fill="FFFFFF"/>
        </w:rPr>
        <w:t>it is quite clear that a proactive</w:t>
      </w:r>
      <w:r w:rsidRPr="002905A1">
        <w:rPr>
          <w:sz w:val="24"/>
          <w:szCs w:val="24"/>
        </w:rPr>
        <w:t xml:space="preserve"> </w:t>
      </w:r>
      <w:r w:rsidRPr="002905A1">
        <w:rPr>
          <w:sz w:val="24"/>
          <w:szCs w:val="24"/>
          <w:shd w:val="clear" w:color="auto" w:fill="FFFFFF"/>
        </w:rPr>
        <w:t>approach needs to be taken and the barriers to reporting tackled.”</w:t>
      </w:r>
    </w:p>
    <w:p w14:paraId="53844D89" w14:textId="77777777" w:rsidR="00CA5F34" w:rsidRPr="002905A1" w:rsidRDefault="00CA5F34" w:rsidP="00CA5F34">
      <w:pPr>
        <w:spacing w:line="360" w:lineRule="auto"/>
        <w:rPr>
          <w:color w:val="333333"/>
          <w:sz w:val="24"/>
          <w:szCs w:val="24"/>
          <w:shd w:val="clear" w:color="auto" w:fill="FFFFFF"/>
        </w:rPr>
      </w:pPr>
    </w:p>
    <w:p w14:paraId="159F6E8B" w14:textId="77777777" w:rsidR="00CA5F34" w:rsidRPr="002905A1" w:rsidRDefault="00CA5F34" w:rsidP="00CA5F34">
      <w:pPr>
        <w:spacing w:line="360" w:lineRule="auto"/>
        <w:rPr>
          <w:color w:val="333333"/>
          <w:sz w:val="24"/>
          <w:szCs w:val="24"/>
          <w:shd w:val="clear" w:color="auto" w:fill="FFFFFF"/>
        </w:rPr>
      </w:pPr>
      <w:r w:rsidRPr="002905A1">
        <w:rPr>
          <w:color w:val="333333"/>
          <w:sz w:val="24"/>
          <w:szCs w:val="24"/>
          <w:shd w:val="clear" w:color="auto" w:fill="FFFFFF"/>
        </w:rPr>
        <w:t xml:space="preserve">Evidence-based policing is used to assess the effect of a policing intervention (College of Policing, 2023). Sherman (1998) defines EBP as the use of research to guide practise and evaluate practitioners”, furthermore, it’s used to inform and challenge policing policies, practices and decisions (College of Policing, 2023). EBP’s aim is that it will lead to better service to the public (Knuttson &amp; Tompson, 2017) and it can be better implemented and understood using the College of Policing’s (2023) ATLAS model (Ask, Test, Learn, Adapt, Share). </w:t>
      </w:r>
    </w:p>
    <w:p w14:paraId="206081F2" w14:textId="77777777" w:rsidR="00CA5F34" w:rsidRPr="002905A1" w:rsidRDefault="00CA5F34" w:rsidP="00CA5F34">
      <w:pPr>
        <w:spacing w:line="360" w:lineRule="auto"/>
        <w:rPr>
          <w:color w:val="333333"/>
          <w:sz w:val="24"/>
          <w:szCs w:val="24"/>
          <w:shd w:val="clear" w:color="auto" w:fill="FFFFFF"/>
        </w:rPr>
      </w:pPr>
    </w:p>
    <w:p w14:paraId="3165E447" w14:textId="77777777" w:rsidR="00CA5F34" w:rsidRPr="002905A1" w:rsidRDefault="00CA5F34" w:rsidP="00CA5F34">
      <w:pPr>
        <w:spacing w:line="360" w:lineRule="auto"/>
        <w:rPr>
          <w:color w:val="333333"/>
          <w:sz w:val="24"/>
          <w:szCs w:val="24"/>
          <w:shd w:val="clear" w:color="auto" w:fill="FFFFFF"/>
        </w:rPr>
      </w:pPr>
      <w:r w:rsidRPr="002905A1">
        <w:rPr>
          <w:color w:val="333333"/>
          <w:sz w:val="24"/>
          <w:szCs w:val="24"/>
          <w:shd w:val="clear" w:color="auto" w:fill="FFFFFF"/>
        </w:rPr>
        <w:t xml:space="preserve">EBP is important because the risk of implementing an intervention without evidence is that there’s a risk of time or resources being wasted, or potentially increasing risk due to ill-thought-out practice (Spooner et al., 2022). </w:t>
      </w:r>
      <w:r w:rsidRPr="002905A1">
        <w:rPr>
          <w:sz w:val="24"/>
          <w:szCs w:val="24"/>
        </w:rPr>
        <w:t xml:space="preserve">However, in contrast, a common downfall of evidence-based practice is that it requires evidence to be rationally integrated into decisions about interventions by both policy makers and practitioners (Petrosino, Farrington &amp; Sherman, 2003); when, most practice is shaped by local customs, opinions, theories etc (Sherman, 1988). </w:t>
      </w:r>
    </w:p>
    <w:p w14:paraId="2CF33696" w14:textId="77777777" w:rsidR="00CA5F34" w:rsidRPr="002905A1" w:rsidRDefault="00CA5F34" w:rsidP="00CA5F34">
      <w:pPr>
        <w:spacing w:line="360" w:lineRule="auto"/>
        <w:rPr>
          <w:color w:val="333333"/>
          <w:sz w:val="24"/>
          <w:szCs w:val="24"/>
          <w:shd w:val="clear" w:color="auto" w:fill="FFFFFF"/>
        </w:rPr>
      </w:pPr>
    </w:p>
    <w:p w14:paraId="0981D437" w14:textId="77777777" w:rsidR="00CA5F34" w:rsidRPr="002905A1" w:rsidRDefault="00CA5F34" w:rsidP="00CA5F34">
      <w:pPr>
        <w:spacing w:line="360" w:lineRule="auto"/>
        <w:rPr>
          <w:color w:val="333333"/>
          <w:sz w:val="24"/>
          <w:szCs w:val="24"/>
          <w:shd w:val="clear" w:color="auto" w:fill="FFFFFF"/>
        </w:rPr>
      </w:pPr>
      <w:r w:rsidRPr="002905A1">
        <w:rPr>
          <w:color w:val="333333"/>
          <w:sz w:val="24"/>
          <w:szCs w:val="24"/>
          <w:shd w:val="clear" w:color="auto" w:fill="FFFFFF"/>
        </w:rPr>
        <w:t>The College of Policing’s (2021) current evidence suggests that two ways for the police to reduce crime effectively are: 1) by increasing the chance of being caught and, 2) by reducing opportunities for crime.</w:t>
      </w:r>
    </w:p>
    <w:p w14:paraId="54B6EC8A" w14:textId="77777777" w:rsidR="00CA5F34" w:rsidRPr="002905A1" w:rsidRDefault="00CA5F34" w:rsidP="00CA5F34">
      <w:pPr>
        <w:spacing w:line="360" w:lineRule="auto"/>
        <w:rPr>
          <w:color w:val="333333"/>
          <w:sz w:val="24"/>
          <w:szCs w:val="24"/>
          <w:shd w:val="clear" w:color="auto" w:fill="FFFFFF"/>
        </w:rPr>
      </w:pPr>
    </w:p>
    <w:p w14:paraId="089D4A92" w14:textId="77777777" w:rsidR="00CA5F34" w:rsidRPr="002905A1" w:rsidRDefault="00CA5F34" w:rsidP="00CA5F34">
      <w:pPr>
        <w:spacing w:line="360" w:lineRule="auto"/>
        <w:rPr>
          <w:color w:val="333333"/>
          <w:sz w:val="24"/>
          <w:szCs w:val="24"/>
          <w:shd w:val="clear" w:color="auto" w:fill="FFFFFF"/>
        </w:rPr>
      </w:pPr>
      <w:r w:rsidRPr="002905A1">
        <w:rPr>
          <w:color w:val="333333"/>
          <w:sz w:val="24"/>
          <w:szCs w:val="24"/>
          <w:shd w:val="clear" w:color="auto" w:fill="FFFFFF"/>
        </w:rPr>
        <w:t>With regards to increasing the chance of being caught. The national institute of justice (2016) argues that the certainty of being caught is a vastly more powerful deterrent than the punishment. Yet, with regards to repeat offending, Mungan (2016) argues the complete opposite by stating that: “</w:t>
      </w:r>
      <w:r w:rsidRPr="002905A1">
        <w:rPr>
          <w:sz w:val="24"/>
          <w:szCs w:val="24"/>
        </w:rPr>
        <w:t xml:space="preserve">an increase in the severity of </w:t>
      </w:r>
      <w:r w:rsidRPr="002905A1">
        <w:rPr>
          <w:sz w:val="24"/>
          <w:szCs w:val="24"/>
        </w:rPr>
        <w:lastRenderedPageBreak/>
        <w:t xml:space="preserve">punishment is a more effective deterrent than an equivalent increase in the probability of punishment.” In the incident which I attended, an increase in severity of punishment was necessary because the out of court disposals (such as restorative justice and conditional cautions) which had previously been applied and showed a high likelihood of being caught were evidently not effective deterrents to repeat offending.  </w:t>
      </w:r>
    </w:p>
    <w:p w14:paraId="15426DC0" w14:textId="77777777" w:rsidR="00CA5F34" w:rsidRPr="002905A1" w:rsidRDefault="00CA5F34" w:rsidP="00CA5F34">
      <w:pPr>
        <w:spacing w:line="360" w:lineRule="auto"/>
        <w:rPr>
          <w:color w:val="333333"/>
          <w:sz w:val="24"/>
          <w:szCs w:val="24"/>
          <w:shd w:val="clear" w:color="auto" w:fill="FFFFFF"/>
        </w:rPr>
      </w:pPr>
    </w:p>
    <w:p w14:paraId="307926C2" w14:textId="77777777" w:rsidR="00CA5F34" w:rsidRPr="002905A1" w:rsidRDefault="00CA5F34" w:rsidP="00CA5F34">
      <w:pPr>
        <w:spacing w:line="360" w:lineRule="auto"/>
        <w:rPr>
          <w:color w:val="333333"/>
          <w:sz w:val="24"/>
          <w:szCs w:val="24"/>
          <w:shd w:val="clear" w:color="auto" w:fill="FFFFFF"/>
        </w:rPr>
      </w:pPr>
      <w:r w:rsidRPr="002905A1">
        <w:rPr>
          <w:color w:val="333333"/>
          <w:sz w:val="24"/>
          <w:szCs w:val="24"/>
          <w:shd w:val="clear" w:color="auto" w:fill="FFFFFF"/>
        </w:rPr>
        <w:t>The second method for reducing crime by ‘reducing opportunities’, as also highlighted in Cohen and Felson’s (1979) ‘Routine Activity Theory’, was achieved in the context of this incident by implementing safeguarding measures to protect the victim (which resulted in removing a ‘suitable target’) and by tackling the behavioural issues of the suspect (which resulted in removing a ‘likely offender’) in order to prevent repeat offending. These factors were both addressed by rehousing the suspect.</w:t>
      </w:r>
    </w:p>
    <w:p w14:paraId="32D0A94F" w14:textId="77777777" w:rsidR="00CA5F34" w:rsidRPr="002905A1" w:rsidRDefault="00CA5F34" w:rsidP="00CA5F34">
      <w:pPr>
        <w:spacing w:line="360" w:lineRule="auto"/>
        <w:rPr>
          <w:color w:val="333333"/>
          <w:sz w:val="24"/>
          <w:szCs w:val="24"/>
          <w:shd w:val="clear" w:color="auto" w:fill="FFFFFF"/>
        </w:rPr>
      </w:pPr>
      <w:r w:rsidRPr="002905A1">
        <w:rPr>
          <w:color w:val="333333"/>
          <w:sz w:val="24"/>
          <w:szCs w:val="24"/>
          <w:shd w:val="clear" w:color="auto" w:fill="FFFFFF"/>
        </w:rPr>
        <w:t xml:space="preserve">Whilst this strategy was supported by evidence-based policing and removed the risk of further physical abuse from the perpetrator towards the victim, it has however, also exposed the perpetrator (child) to multiple mental health conditions commonly associated with putting children into foster care, such as: anxiety, depressions, PTSD and ADHD (Sheppard, 2022). </w:t>
      </w:r>
    </w:p>
    <w:p w14:paraId="09FC0475" w14:textId="77777777" w:rsidR="00CA5F34" w:rsidRPr="002905A1" w:rsidRDefault="00CA5F34" w:rsidP="00CA5F34">
      <w:pPr>
        <w:spacing w:line="360" w:lineRule="auto"/>
        <w:rPr>
          <w:color w:val="333333"/>
          <w:sz w:val="24"/>
          <w:szCs w:val="24"/>
          <w:shd w:val="clear" w:color="auto" w:fill="FFFFFF"/>
        </w:rPr>
      </w:pPr>
    </w:p>
    <w:p w14:paraId="2443BE4B" w14:textId="77777777" w:rsidR="00CA5F34" w:rsidRPr="002905A1" w:rsidRDefault="00CA5F34" w:rsidP="00CA5F34">
      <w:pPr>
        <w:spacing w:line="360" w:lineRule="auto"/>
        <w:rPr>
          <w:sz w:val="24"/>
          <w:szCs w:val="24"/>
        </w:rPr>
      </w:pPr>
      <w:r w:rsidRPr="002905A1">
        <w:rPr>
          <w:sz w:val="24"/>
          <w:szCs w:val="24"/>
        </w:rPr>
        <w:t xml:space="preserve">It may be argued that this outcome shows that whilst EBP can be valuable and enriching, there’s a risk of a “narrow, instrumental, calculative emphasis on ‘what works’”. </w:t>
      </w:r>
      <w:r w:rsidRPr="002905A1">
        <w:rPr>
          <w:color w:val="3A3A3A"/>
          <w:sz w:val="24"/>
          <w:szCs w:val="24"/>
          <w:shd w:val="clear" w:color="auto" w:fill="FFFFFF"/>
        </w:rPr>
        <w:t>Dijk, A. van </w:t>
      </w:r>
      <w:r w:rsidRPr="002905A1">
        <w:rPr>
          <w:i/>
          <w:iCs/>
          <w:color w:val="3A3A3A"/>
          <w:sz w:val="24"/>
          <w:szCs w:val="24"/>
          <w:shd w:val="clear" w:color="auto" w:fill="FFFFFF"/>
        </w:rPr>
        <w:t>et al.</w:t>
      </w:r>
      <w:r w:rsidRPr="002905A1">
        <w:rPr>
          <w:color w:val="3A3A3A"/>
          <w:sz w:val="24"/>
          <w:szCs w:val="24"/>
          <w:shd w:val="clear" w:color="auto" w:fill="FFFFFF"/>
        </w:rPr>
        <w:t> (2015)</w:t>
      </w:r>
      <w:r w:rsidRPr="002905A1">
        <w:rPr>
          <w:sz w:val="24"/>
          <w:szCs w:val="24"/>
        </w:rPr>
        <w:t xml:space="preserve"> rather than adopting a balance between ‘what works’ and ‘what matters’ to reach the most desirable outcome. However, EBP may not be entirely to blame for what some might perceive as being an extreme and inappropriate outcome as the College of Policing (2023) states that EBP does not provide definitive answers and that officers should reflect on their practice (…) and learn from their successes and failures. </w:t>
      </w:r>
    </w:p>
    <w:p w14:paraId="55E80927" w14:textId="77777777" w:rsidR="00CA5F34" w:rsidRPr="002905A1" w:rsidRDefault="00CA5F34" w:rsidP="00CA5F34">
      <w:pPr>
        <w:spacing w:line="360" w:lineRule="auto"/>
        <w:rPr>
          <w:color w:val="333333"/>
          <w:sz w:val="24"/>
          <w:szCs w:val="24"/>
          <w:shd w:val="clear" w:color="auto" w:fill="FFFFFF"/>
        </w:rPr>
      </w:pPr>
    </w:p>
    <w:p w14:paraId="41B40911" w14:textId="77777777" w:rsidR="00CA5F34" w:rsidRPr="002905A1" w:rsidRDefault="00CA5F34" w:rsidP="00CA5F34">
      <w:pPr>
        <w:spacing w:line="360" w:lineRule="auto"/>
        <w:rPr>
          <w:sz w:val="24"/>
          <w:szCs w:val="24"/>
        </w:rPr>
      </w:pPr>
      <w:r w:rsidRPr="002905A1">
        <w:rPr>
          <w:sz w:val="24"/>
          <w:szCs w:val="24"/>
        </w:rPr>
        <w:t xml:space="preserve">To conclude, Kemshall (2003) states that public protection depends upon four factors: defensible decisions, rigorous risk assessments, the delivery of risk management plans which match the identified public protection need &amp; the evaluation of performance to improve delivery. In this incident, these four factors were met by promptly arresting the suspect which negated the immediate risk of </w:t>
      </w:r>
      <w:r w:rsidRPr="002905A1">
        <w:rPr>
          <w:sz w:val="24"/>
          <w:szCs w:val="24"/>
        </w:rPr>
        <w:lastRenderedPageBreak/>
        <w:t xml:space="preserve">further conflict (defensible decision). This action meant that PPN’s could be submitted resulting in rigorous risk assessments &amp; MARAC meetings. As a result, a risk management plan was constructed and implemented. In terms of evaluating performance to improve delivery, for this incident, I do not believe anything further could be done to prevent the child from being arrested and placed into foster care, as I explored all alternative avenues beforehand and none of them were applicable, at which point I had to put the safeguarding needs of the grandparent first. </w:t>
      </w:r>
    </w:p>
    <w:p w14:paraId="32CC9A3B" w14:textId="77777777" w:rsidR="00CA5F34" w:rsidRPr="002905A1" w:rsidRDefault="00CA5F34" w:rsidP="00CA5F34">
      <w:pPr>
        <w:spacing w:line="360" w:lineRule="auto"/>
        <w:rPr>
          <w:sz w:val="24"/>
          <w:szCs w:val="24"/>
        </w:rPr>
      </w:pPr>
    </w:p>
    <w:p w14:paraId="6E45A717" w14:textId="77777777" w:rsidR="00CA5F34" w:rsidRPr="002905A1" w:rsidRDefault="00CA5F34" w:rsidP="00CA5F34">
      <w:pPr>
        <w:spacing w:line="360" w:lineRule="auto"/>
        <w:rPr>
          <w:b/>
          <w:bCs/>
          <w:sz w:val="24"/>
          <w:szCs w:val="24"/>
          <w:u w:val="single"/>
        </w:rPr>
      </w:pPr>
      <w:r w:rsidRPr="002905A1">
        <w:rPr>
          <w:b/>
          <w:bCs/>
          <w:sz w:val="24"/>
          <w:szCs w:val="24"/>
          <w:u w:val="single"/>
        </w:rPr>
        <w:t>(REFERENCE LIST HAS NOT YET BEEN COMPLETED FOR THIS ASSIGNMENT)</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331B5417" w14:textId="77777777" w:rsidR="00CA5F34" w:rsidRPr="00EF7D53" w:rsidRDefault="00CA5F34" w:rsidP="00CA5F34">
      <w:pPr>
        <w:spacing w:line="360" w:lineRule="auto"/>
        <w:rPr>
          <w:sz w:val="24"/>
          <w:szCs w:val="24"/>
        </w:rPr>
      </w:pPr>
      <w:r w:rsidRPr="00EF7D53">
        <w:rPr>
          <w:sz w:val="24"/>
          <w:szCs w:val="24"/>
        </w:rPr>
        <w:t xml:space="preserve">This essay is based on a domestic abuse incident which I attended and how I played a significant role in providing an effective response to the incident by preventing any further harm, supporting the victim and by working with other agencies (Barrow-Grint et al., 2022). I will critically assess the challenges associated with the incident which in this instance were that the victim was refusing to engage with police officers or support the prosecution of the perpetrator because they were relatives. I will also compare my response to the incident with Maslow’s Hierarchy of Needs model (1943) and whether Maslow’s hypothesis is accurate in outlining the correct steps towards effectively motivating someone to better themselves by addressing more basic needs first. </w:t>
      </w:r>
    </w:p>
    <w:p w14:paraId="3A75D2F8" w14:textId="77777777" w:rsidR="00CA5F34" w:rsidRPr="00EF7D53" w:rsidRDefault="00CA5F34" w:rsidP="00CA5F34">
      <w:pPr>
        <w:spacing w:line="360" w:lineRule="auto"/>
        <w:rPr>
          <w:sz w:val="24"/>
          <w:szCs w:val="24"/>
        </w:rPr>
      </w:pPr>
    </w:p>
    <w:p w14:paraId="552B3B0D" w14:textId="77777777" w:rsidR="00CA5F34" w:rsidRPr="00EF7D53" w:rsidRDefault="00CA5F34" w:rsidP="00CA5F34">
      <w:pPr>
        <w:spacing w:line="360" w:lineRule="auto"/>
        <w:rPr>
          <w:sz w:val="24"/>
          <w:szCs w:val="24"/>
        </w:rPr>
      </w:pPr>
      <w:r w:rsidRPr="00EF7D53">
        <w:rPr>
          <w:sz w:val="24"/>
          <w:szCs w:val="24"/>
        </w:rPr>
        <w:t xml:space="preserve">The incident which I attended was one of an alleged domestic common assault by an adult male (perpetrator) towards his elderly mother (victim). When I attended the victim’s address, the victim was distressed but had no significant visible injuries, and the suspect was no longer present. </w:t>
      </w:r>
    </w:p>
    <w:p w14:paraId="76853C15" w14:textId="77777777" w:rsidR="00CA5F34" w:rsidRPr="00EF7D53" w:rsidRDefault="00CA5F34" w:rsidP="00CA5F34">
      <w:pPr>
        <w:spacing w:line="360" w:lineRule="auto"/>
        <w:rPr>
          <w:sz w:val="24"/>
          <w:szCs w:val="24"/>
        </w:rPr>
      </w:pPr>
    </w:p>
    <w:p w14:paraId="705EF414" w14:textId="77777777" w:rsidR="00CA5F34" w:rsidRPr="00EF7D53" w:rsidRDefault="00CA5F34" w:rsidP="00CA5F34">
      <w:pPr>
        <w:spacing w:line="360" w:lineRule="auto"/>
        <w:rPr>
          <w:sz w:val="24"/>
          <w:szCs w:val="24"/>
        </w:rPr>
      </w:pPr>
      <w:r w:rsidRPr="00EF7D53">
        <w:rPr>
          <w:sz w:val="24"/>
          <w:szCs w:val="24"/>
        </w:rPr>
        <w:t xml:space="preserve">Initially the victim provided a brief account stating that she had attended the perpetrator’s address earlier in the day and that the perpetrator came out of their address, refused to give the victim any money and then dragged the victim down the street, back to the victim’s home address. In order to achieve this, the perpetrator placed the victim into a headlock, punched her to the face and pushed her to the floor. The only visible injuries sustained by the victim were some minor scratch marks on her arms. Once the victim got back to her home address, she locked the front door and called the police. The perpetrator, having been locked out, then returned to his home address and had no further interaction with the victim. Police officers then arrived at the address a few minutes later. </w:t>
      </w:r>
    </w:p>
    <w:p w14:paraId="05C68640" w14:textId="77777777" w:rsidR="00CA5F34" w:rsidRPr="00EF7D53" w:rsidRDefault="00CA5F34" w:rsidP="00CA5F34">
      <w:pPr>
        <w:spacing w:line="360" w:lineRule="auto"/>
        <w:rPr>
          <w:sz w:val="24"/>
          <w:szCs w:val="24"/>
        </w:rPr>
      </w:pPr>
      <w:r w:rsidRPr="00EF7D53">
        <w:rPr>
          <w:sz w:val="24"/>
          <w:szCs w:val="24"/>
        </w:rPr>
        <w:lastRenderedPageBreak/>
        <w:t xml:space="preserve">When giving the above account, the victim was not willing to say anything further and refused to provide a statement or support any form of prosecution. The victim’s reason for this was that she was scared that the matter may escalate further. </w:t>
      </w:r>
    </w:p>
    <w:p w14:paraId="2C18F6C7" w14:textId="77777777" w:rsidR="00CA5F34" w:rsidRPr="00EF7D53" w:rsidRDefault="00CA5F34" w:rsidP="00CA5F34">
      <w:pPr>
        <w:spacing w:line="360" w:lineRule="auto"/>
        <w:rPr>
          <w:sz w:val="24"/>
          <w:szCs w:val="24"/>
        </w:rPr>
      </w:pPr>
    </w:p>
    <w:p w14:paraId="54C00C9B" w14:textId="77777777" w:rsidR="00CA5F34" w:rsidRPr="00EF7D53" w:rsidRDefault="00CA5F34" w:rsidP="00CA5F34">
      <w:pPr>
        <w:spacing w:line="360" w:lineRule="auto"/>
        <w:rPr>
          <w:sz w:val="24"/>
          <w:szCs w:val="24"/>
        </w:rPr>
      </w:pPr>
      <w:r w:rsidRPr="00EF7D53">
        <w:rPr>
          <w:sz w:val="24"/>
          <w:szCs w:val="24"/>
        </w:rPr>
        <w:t>The Home Office (2012) defines domestic violence and abuse as: “Any incident or pattern of incidents of controlling, coercive or threatening behaviour, violence or abuse between those aged 16 or over who are or have been intimate partners or family members regardless of gender or sexuality.” This definition matched the information disclosed by the victim. In relation to incidents involving domestic violence, victim support isn’t always needed if there is sufficient evidence in order to achieve a realistic prospect of conviction (The Crown Prosecution Service, 2022).</w:t>
      </w:r>
    </w:p>
    <w:p w14:paraId="66B067C1" w14:textId="77777777" w:rsidR="00CA5F34" w:rsidRPr="00EF7D53" w:rsidRDefault="00CA5F34" w:rsidP="00CA5F34">
      <w:pPr>
        <w:spacing w:line="360" w:lineRule="auto"/>
        <w:rPr>
          <w:sz w:val="24"/>
          <w:szCs w:val="24"/>
        </w:rPr>
      </w:pPr>
      <w:r w:rsidRPr="00EF7D53">
        <w:rPr>
          <w:sz w:val="24"/>
          <w:szCs w:val="24"/>
        </w:rPr>
        <w:t xml:space="preserve">However, with domestic abuse incidents, accusations or reports being withdrawn are not uncommon as between 2017 and 2018, 51% of domestic abuse prosecutions ended unsuccessfully because the victim did not attend court or did not support the prosecution (ONS, 2018). There are many possible motivators for this reaction including fear, shame or low confidence (Women’s aid, 2018). However, in this instance, as the incident had occurred very recently, the victim may have been in traumatic shock which can cause symptoms such as fear, denial and withdrawal (Gupta, 2022). The victim was initially reluctant to speak to me, so I tried to overcome this issue by suggesting that the victim speak to my female colleague instead as many victims find female police officers to be better peacemakers (Liang, 2021), however the victim declined this offer.  </w:t>
      </w:r>
    </w:p>
    <w:p w14:paraId="188941F7" w14:textId="77777777" w:rsidR="00CA5F34" w:rsidRPr="00EF7D53" w:rsidRDefault="00CA5F34" w:rsidP="00CA5F34">
      <w:pPr>
        <w:spacing w:line="360" w:lineRule="auto"/>
        <w:rPr>
          <w:sz w:val="24"/>
          <w:szCs w:val="24"/>
        </w:rPr>
      </w:pPr>
    </w:p>
    <w:p w14:paraId="64B454F4" w14:textId="77777777" w:rsidR="00CA5F34" w:rsidRPr="00EF7D53" w:rsidRDefault="00CA5F34" w:rsidP="00CA5F34">
      <w:pPr>
        <w:spacing w:line="360" w:lineRule="auto"/>
        <w:rPr>
          <w:sz w:val="24"/>
          <w:szCs w:val="24"/>
        </w:rPr>
      </w:pPr>
      <w:r w:rsidRPr="00EF7D53">
        <w:rPr>
          <w:sz w:val="24"/>
          <w:szCs w:val="24"/>
        </w:rPr>
        <w:t xml:space="preserve">The victim then began repeatedly stated that she wasn’t saying anything because she didn’t want things to get worse. By actively listening I was able to to be emotionally aware, understand the victim’s problems and collaborate with her to identify suitable solutions (Cuncic, 2022). By being emotionally aware, I was able to achieve the goals of my organisation (Lebow, 2021). The two goals at this point were to safeguard the victim and to discretely adhere to ‘Golden Hour’ principles for obtaining evidence. </w:t>
      </w:r>
    </w:p>
    <w:p w14:paraId="752C05A1" w14:textId="77777777" w:rsidR="00CA5F34" w:rsidRPr="00EF7D53" w:rsidRDefault="00CA5F34" w:rsidP="00CA5F34">
      <w:pPr>
        <w:spacing w:line="360" w:lineRule="auto"/>
        <w:rPr>
          <w:sz w:val="24"/>
          <w:szCs w:val="24"/>
        </w:rPr>
      </w:pPr>
      <w:r w:rsidRPr="00EF7D53">
        <w:rPr>
          <w:sz w:val="24"/>
          <w:szCs w:val="24"/>
        </w:rPr>
        <w:t xml:space="preserve">When addressing the victim’s needs, my approach correlated with Maslow’s Hierarchy of Needs Model (1943). The hierarchy model is a five-step model of human development (Pichere et al., 2015); the five steps are: physiological needs, safety needs, love &amp; belonging, esteem and self-actualisation.  </w:t>
      </w:r>
    </w:p>
    <w:p w14:paraId="34E0EE65" w14:textId="77777777" w:rsidR="00CA5F34" w:rsidRPr="00EF7D53" w:rsidRDefault="00CA5F34" w:rsidP="00CA5F34">
      <w:pPr>
        <w:spacing w:line="360" w:lineRule="auto"/>
        <w:rPr>
          <w:sz w:val="24"/>
          <w:szCs w:val="24"/>
        </w:rPr>
      </w:pPr>
    </w:p>
    <w:p w14:paraId="34266ABD" w14:textId="77777777" w:rsidR="00CA5F34" w:rsidRPr="00EF7D53" w:rsidRDefault="00CA5F34" w:rsidP="00CA5F34">
      <w:pPr>
        <w:spacing w:line="360" w:lineRule="auto"/>
        <w:rPr>
          <w:sz w:val="24"/>
          <w:szCs w:val="24"/>
        </w:rPr>
      </w:pPr>
      <w:r w:rsidRPr="00EF7D53">
        <w:rPr>
          <w:sz w:val="24"/>
          <w:szCs w:val="24"/>
        </w:rPr>
        <w:t xml:space="preserve">Firstly, I ensured that the mother’s physiological needs had not been neglected (such as needs for water and food) as these needs are biological requirements for survival (McLeod, 2009). I did this by conducting a primary survey of the victim, following the St John’s Ambulance’s (2022) D.R.A.B.C model. Firstly, I checked the scene for external ‘Dangers’ before obtaining a cognitive ‘Response’ from the victim. Checking the victim’s ‘Airways’, ‘Breathing’ and ‘Circulation’ was not necessary because I was able to engage in sustainable two-way conversations with the victim. I also asked the victim welfare questions such as: if she was warm enough, had recently eaten etc. By addressing these needs, I adhered to a police officer’s primary duty, of protecting life (Police Regulations, 1999) and ensured that the mother’s absolute rights (such as Article 2: Right to Life) were also adhered to, under the UK Government’s Human Rights Act (1998). By multitasking and completing both verbal and visual assessments simultaneously, I was able to build a rapport more quickly with the victim whilst assessing if she needed immediate medical attention. However, Cherry (2020) states that multitasking can worsen workplace performance and because I was with a colleague, our response could have been improved by one of us engaging with the suspect whilst the other focused solely on her physiological requirements. </w:t>
      </w:r>
    </w:p>
    <w:p w14:paraId="40D9AA87" w14:textId="77777777" w:rsidR="00CA5F34" w:rsidRPr="00EF7D53" w:rsidRDefault="00CA5F34" w:rsidP="00CA5F34">
      <w:pPr>
        <w:spacing w:line="360" w:lineRule="auto"/>
        <w:rPr>
          <w:sz w:val="24"/>
          <w:szCs w:val="24"/>
        </w:rPr>
      </w:pPr>
    </w:p>
    <w:p w14:paraId="796FDD06" w14:textId="77777777" w:rsidR="00CA5F34" w:rsidRPr="00EF7D53" w:rsidRDefault="00CA5F34" w:rsidP="00CA5F34">
      <w:pPr>
        <w:spacing w:line="360" w:lineRule="auto"/>
        <w:rPr>
          <w:sz w:val="24"/>
          <w:szCs w:val="24"/>
        </w:rPr>
      </w:pPr>
      <w:r w:rsidRPr="00EF7D53">
        <w:rPr>
          <w:sz w:val="24"/>
          <w:szCs w:val="24"/>
        </w:rPr>
        <w:t xml:space="preserve">Having addressed the victim’s physiological needs, I then turned to the victim’s safety needs (such as personal security and the security of her property). I was able to establish what the victim perceived her needs to be through effective listening skills (such as no interruptions and by summarising what the victim had said during regular intervals) in order to fully understand what she wanted (Grande, 2020). The victim stated that she was concerned that her son had a spare key to her address, and she wanted no further contact with him. I assisted the victim by contacting Housing (Cardiff Council) to have the locks changed on her front door within a couple of hours. This prompt action met all three of Zenger and Folkman’s (2019) three elements of trust: Positive Relationships, Expertise &amp; Consistency. This action resulted in the victim trusting that my primary objective was effectively safeguard her from any further harm.  </w:t>
      </w:r>
    </w:p>
    <w:p w14:paraId="537F232B" w14:textId="77777777" w:rsidR="00CA5F34" w:rsidRPr="00EF7D53" w:rsidRDefault="00CA5F34" w:rsidP="00CA5F34">
      <w:pPr>
        <w:spacing w:line="360" w:lineRule="auto"/>
        <w:rPr>
          <w:sz w:val="24"/>
          <w:szCs w:val="24"/>
        </w:rPr>
      </w:pPr>
    </w:p>
    <w:p w14:paraId="4F75095A" w14:textId="77777777" w:rsidR="00CA5F34" w:rsidRPr="00EF7D53" w:rsidRDefault="00CA5F34" w:rsidP="00CA5F34">
      <w:pPr>
        <w:spacing w:line="360" w:lineRule="auto"/>
        <w:rPr>
          <w:sz w:val="24"/>
          <w:szCs w:val="24"/>
        </w:rPr>
      </w:pPr>
      <w:r w:rsidRPr="00EF7D53">
        <w:rPr>
          <w:sz w:val="24"/>
          <w:szCs w:val="24"/>
        </w:rPr>
        <w:lastRenderedPageBreak/>
        <w:t xml:space="preserve">Whilst the victim’s safety needs would have been best met through prosecution of the perpetrator, this could not be guaranteed; in 2019 only 14% of adults that were sentenced with the offence of common assault received an immediate custodial sentence, (Sentencing Council, 2021). However, any form of prosecution would be a positive outcome, especially as the UK Parliament has confirmed that reoffending rates tend to be lower for non-custodial sentences (such as fines, community sentences etc.) than for custodial sentences (Mann and Bermingham, 2020). I did not believe that it was necessary to press the victim any further for her support of prosecution at that point as she appeared to share a common public perception that criminal justice systems are confusing, arbitrary and damaging to victims’ confidence resulting in cases being dropped (Parsons &amp; Bergin, 2010). Furthermore, victims often initially find it difficult to believe they’ve been a victim of crime and such emotions can last for a few moments or even days before more supportive emotions such as frustration present themselves (Canadian Resource Centre for Victims of Crime, 2005). </w:t>
      </w:r>
    </w:p>
    <w:p w14:paraId="57F4AEA4" w14:textId="77777777" w:rsidR="00CA5F34" w:rsidRPr="00EF7D53" w:rsidRDefault="00CA5F34" w:rsidP="00CA5F34">
      <w:pPr>
        <w:spacing w:line="360" w:lineRule="auto"/>
        <w:rPr>
          <w:sz w:val="24"/>
          <w:szCs w:val="24"/>
        </w:rPr>
      </w:pPr>
    </w:p>
    <w:p w14:paraId="60DCA776" w14:textId="77777777" w:rsidR="00CA5F34" w:rsidRPr="00EF7D53" w:rsidRDefault="00CA5F34" w:rsidP="00CA5F34">
      <w:pPr>
        <w:spacing w:line="360" w:lineRule="auto"/>
        <w:rPr>
          <w:sz w:val="24"/>
          <w:szCs w:val="24"/>
        </w:rPr>
      </w:pPr>
      <w:r w:rsidRPr="00EF7D53">
        <w:rPr>
          <w:sz w:val="24"/>
          <w:szCs w:val="24"/>
        </w:rPr>
        <w:t xml:space="preserve">I then moved on to the ‘psychological needs’ tier of Maslow’s hierarchy of needs (belongingness, love and esteem). Addressing these needs was important because a justice system’s response to victims (…) can make the difference between a healing experience and one that exacerbates the initial trauma (Parsons and Bargin, 2010). I addressed the victim’s psychological needs and provided a sufficient response by adhering to the fourth right of the Ministry of Justice’s (2020) Code of Practice for Victims of Crime in England and Wales: ‘to be referred to services that support victims and have services and support tailored to your needs. I achieved this by asking the victim if she wanted to be referred to Victim Support (2023): a charity which gives free and confidential help to victims of crime. I also encouraged the victim to contact Live Fear Free which is a charity created by the Welsh Government (2022) that provides domestic violence victims with someone to talk to or they can assist with concerns or considerations such as changing living arrangements.  </w:t>
      </w:r>
    </w:p>
    <w:p w14:paraId="0C114A90" w14:textId="77777777" w:rsidR="00CA5F34" w:rsidRPr="00EF7D53" w:rsidRDefault="00CA5F34" w:rsidP="00CA5F34">
      <w:pPr>
        <w:spacing w:line="360" w:lineRule="auto"/>
        <w:rPr>
          <w:sz w:val="24"/>
          <w:szCs w:val="24"/>
        </w:rPr>
      </w:pPr>
    </w:p>
    <w:p w14:paraId="0E6630FC" w14:textId="77777777" w:rsidR="00CA5F34" w:rsidRPr="00EF7D53" w:rsidRDefault="00CA5F34" w:rsidP="00CA5F34">
      <w:pPr>
        <w:spacing w:line="360" w:lineRule="auto"/>
        <w:rPr>
          <w:sz w:val="24"/>
          <w:szCs w:val="24"/>
        </w:rPr>
      </w:pPr>
      <w:r w:rsidRPr="00EF7D53">
        <w:rPr>
          <w:sz w:val="24"/>
          <w:szCs w:val="24"/>
        </w:rPr>
        <w:t xml:space="preserve">With regards to the ‘Self-Actualisation’ element of Maslow’s Hierarchy of Needs this was addressed to an extent when completing and submitting a Public Protection Notice (‘PPN’) report with the victim. By completing the PPN, I conducted a primary risk assessment and disseminated this information with support services (such as </w:t>
      </w:r>
      <w:r w:rsidRPr="00EF7D53">
        <w:rPr>
          <w:sz w:val="24"/>
          <w:szCs w:val="24"/>
        </w:rPr>
        <w:lastRenderedPageBreak/>
        <w:t xml:space="preserve">Cardiff Council’s Housing Department) as was my responsibility as the attending officer (College of Policing, 2015). I was able to complete this administrative task by explaining to the victim that this referral form was not linked to the prosecution of the perpetrator but instead was being completed so that support services could assist her. In this instance the victim was able to overcome her defences and was willing to give them up (in order to receive external support), which is behaviour leading to self-actualisation, (McLeod, 2007). Whilst progressing through the victim’s physiological, safety and psychological needs enabled me to perform my expected role as a police officer, it also simultaneously helped the victim to realise her social and independent potential through internal drive (Selva, 2017) and engage with safeguarding measures without supporting the prosecution of the perpetrator. </w:t>
      </w:r>
    </w:p>
    <w:p w14:paraId="0171EFA5" w14:textId="77777777" w:rsidR="00CA5F34" w:rsidRPr="00EF7D53" w:rsidRDefault="00CA5F34" w:rsidP="00CA5F34">
      <w:pPr>
        <w:spacing w:line="360" w:lineRule="auto"/>
        <w:rPr>
          <w:sz w:val="24"/>
          <w:szCs w:val="24"/>
        </w:rPr>
      </w:pPr>
    </w:p>
    <w:p w14:paraId="0B0333FC" w14:textId="77777777" w:rsidR="00CA5F34" w:rsidRPr="00EF7D53" w:rsidRDefault="00CA5F34" w:rsidP="00CA5F34">
      <w:pPr>
        <w:spacing w:line="360" w:lineRule="auto"/>
        <w:rPr>
          <w:sz w:val="24"/>
          <w:szCs w:val="24"/>
        </w:rPr>
      </w:pPr>
      <w:r w:rsidRPr="00EF7D53">
        <w:rPr>
          <w:sz w:val="24"/>
          <w:szCs w:val="24"/>
        </w:rPr>
        <w:t xml:space="preserve">Having an in depth understanding of Maslow’s Hierarchy of Needs would have been beneficial when attending this incident as the model explains how certain needs must be met before higher needs can become motivating factors (Guss, Burger &amp; Dorner, 2017) and this would have given me an informed justification for working through my objectives in the order that I did. A positive that I take from this experience is that I instinctively addressed the victim’s needs following Maslow’s hierarchy without being aware that I had done so. </w:t>
      </w:r>
    </w:p>
    <w:p w14:paraId="14EDF004" w14:textId="77777777" w:rsidR="00CA5F34" w:rsidRPr="00EF7D53" w:rsidRDefault="00CA5F34" w:rsidP="00CA5F34">
      <w:pPr>
        <w:spacing w:line="360" w:lineRule="auto"/>
        <w:rPr>
          <w:sz w:val="24"/>
          <w:szCs w:val="24"/>
        </w:rPr>
      </w:pPr>
      <w:r w:rsidRPr="00EF7D53">
        <w:rPr>
          <w:sz w:val="24"/>
          <w:szCs w:val="24"/>
        </w:rPr>
        <w:t>Other models such as Alderfer’s ERG model (1969) and Henderson’s model (2015) support Maslow’s hierarchy as they present different models with variations of a human’s needs in different contexts which when simplified, default back to Maslow’s five tiers. However, a criticism of Maslow’s hierarchy, as stated by McLeod, 2007, is that Maslow assumes that lower needs must be satisfied before a person can achieve their potential and self-actualize, which McLeod (2007) states is not the case. Therefore, when attending future incidents, I should be conscious when communicating with members of the public or with colleagues that needs further up the hierarchy may need to be addressed first in order to reach the desired outcome.</w:t>
      </w:r>
    </w:p>
    <w:p w14:paraId="071D818A" w14:textId="77777777" w:rsidR="00CA5F34" w:rsidRPr="00EF7D53" w:rsidRDefault="00CA5F34" w:rsidP="00CA5F34">
      <w:pPr>
        <w:spacing w:line="360" w:lineRule="auto"/>
        <w:rPr>
          <w:sz w:val="24"/>
          <w:szCs w:val="24"/>
        </w:rPr>
      </w:pPr>
    </w:p>
    <w:p w14:paraId="11FF502F" w14:textId="77777777" w:rsidR="00CA5F34" w:rsidRPr="00EF7D53" w:rsidRDefault="00CA5F34" w:rsidP="00CA5F34">
      <w:pPr>
        <w:spacing w:line="360" w:lineRule="auto"/>
        <w:rPr>
          <w:sz w:val="24"/>
          <w:szCs w:val="24"/>
        </w:rPr>
      </w:pPr>
      <w:r w:rsidRPr="00EF7D53">
        <w:rPr>
          <w:sz w:val="24"/>
          <w:szCs w:val="24"/>
        </w:rPr>
        <w:t xml:space="preserve">Once the victim’s safeguarding needs had been addressed, the victim’s initial account meant that I was able to identify the perpetrator and the offences that he had allegedly committed (College of Policing, 2013). Therefore, the next step to be conducted was to arrest the suspect. South Wales Police has a positive action policy which clearly outlines that if police officers attend a domestic incident which is an </w:t>
      </w:r>
      <w:r w:rsidRPr="00EF7D53">
        <w:rPr>
          <w:sz w:val="24"/>
          <w:szCs w:val="24"/>
        </w:rPr>
        <w:lastRenderedPageBreak/>
        <w:t>emergency, and if there are necessities to arrest the perpetrator (as is required under the UK Government’s Police and Criminal Evidence act, Code G, 1984), the attending officer will do so in order to protect the victim and give them time to think, (South Wales Police, 2022).</w:t>
      </w:r>
    </w:p>
    <w:p w14:paraId="0AB3CA05" w14:textId="77777777" w:rsidR="00CA5F34" w:rsidRPr="00EF7D53" w:rsidRDefault="00CA5F34" w:rsidP="00CA5F34">
      <w:pPr>
        <w:spacing w:line="360" w:lineRule="auto"/>
        <w:rPr>
          <w:sz w:val="24"/>
          <w:szCs w:val="24"/>
        </w:rPr>
      </w:pPr>
      <w:r w:rsidRPr="00EF7D53">
        <w:rPr>
          <w:sz w:val="24"/>
          <w:szCs w:val="24"/>
        </w:rPr>
        <w:t xml:space="preserve">On a macro scale, this positive action policy appears to have been well received as in South Wales Police, in the 12 months leading up to the end of August 2013, for every 100 domestic abuse crimes recorded, there were 96 arrests, (HMIC, 2014). However domestic abuse is still a significant and ongoing issue as, in the year ending March 2020, an estimated 7.3% of women and 3.6% of men had experienced domestic abuse, (Office for National Statistics, 2020). Furthermore, Goodlin &amp; Dunn’s (2010) research have found that there’s repeat victimization in 15% of households where domestic violence has previously occurred. </w:t>
      </w:r>
    </w:p>
    <w:p w14:paraId="2E59E0B8" w14:textId="77777777" w:rsidR="00CA5F34" w:rsidRPr="00EF7D53" w:rsidRDefault="00CA5F34" w:rsidP="00CA5F34">
      <w:pPr>
        <w:spacing w:line="360" w:lineRule="auto"/>
        <w:rPr>
          <w:sz w:val="24"/>
          <w:szCs w:val="24"/>
        </w:rPr>
      </w:pPr>
    </w:p>
    <w:p w14:paraId="490ECC32" w14:textId="77777777" w:rsidR="00CA5F34" w:rsidRPr="00EF7D53" w:rsidRDefault="00CA5F34" w:rsidP="00CA5F34">
      <w:pPr>
        <w:spacing w:line="360" w:lineRule="auto"/>
        <w:rPr>
          <w:sz w:val="24"/>
          <w:szCs w:val="24"/>
        </w:rPr>
      </w:pPr>
      <w:r w:rsidRPr="00EF7D53">
        <w:rPr>
          <w:sz w:val="24"/>
          <w:szCs w:val="24"/>
        </w:rPr>
        <w:t xml:space="preserve">Once the suspect was conveyed to police custody, I addressed the ‘Golden Hour’ evidential enquiries which were still outstanding. The ‘Golden Hour’ period (College of Policing, 2013) is when evidential material is most readily available. In this instance, such material included photographs of the victim’s injuries, house-to-house enquiries and CCTV enquiries. This prompt and positive action minimised the amount of material that may have been lost, (College of Policing, 2013). The victim’s neighbour had a ring doorbell camera which clearly captured the assault. By obtaining this footage prior to interviewing the suspect, this meant that this footage could be put before the suspect in interview. The end result was that the suspect gave a full and frank admission to the offence of common assault. Whilst the suspect did not receive a custodial sentence, the suspect subsequently received bail conditions not to contact the victim. This was achieved by following force policy and golden hour principles; and by actively listening to the victim. </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0CA9CDA" w:rsidR="0FF883D4" w:rsidRDefault="5CE196A1" w:rsidP="5CE196A1">
      <w:r w:rsidRPr="5CE196A1">
        <w:rPr>
          <w:rFonts w:eastAsia="Arial"/>
          <w:b/>
          <w:bCs/>
          <w:color w:val="000000" w:themeColor="text1"/>
          <w:sz w:val="24"/>
          <w:szCs w:val="24"/>
        </w:rPr>
        <w:t xml:space="preserve">Signed: </w:t>
      </w:r>
      <w:r w:rsidR="00CA5F34">
        <w:rPr>
          <w:rFonts w:eastAsia="Arial"/>
          <w:b/>
          <w:bCs/>
          <w:color w:val="000000" w:themeColor="text1"/>
          <w:sz w:val="24"/>
          <w:szCs w:val="24"/>
        </w:rPr>
        <w:t>jack travis (digital signature)</w:t>
      </w:r>
    </w:p>
    <w:p w14:paraId="563192E7" w14:textId="7A83C86F" w:rsidR="0FF883D4" w:rsidRDefault="5CE196A1" w:rsidP="5CE196A1">
      <w:r w:rsidRPr="5CE196A1">
        <w:rPr>
          <w:rFonts w:eastAsia="Arial"/>
          <w:b/>
          <w:bCs/>
          <w:color w:val="000000" w:themeColor="text1"/>
          <w:sz w:val="24"/>
          <w:szCs w:val="24"/>
        </w:rPr>
        <w:t xml:space="preserve"> </w:t>
      </w:r>
    </w:p>
    <w:p w14:paraId="22DBB0E5" w14:textId="3B0925FE" w:rsidR="0FF883D4" w:rsidRDefault="5CE196A1" w:rsidP="5CE196A1">
      <w:r w:rsidRPr="5CE196A1">
        <w:rPr>
          <w:rFonts w:eastAsia="Arial"/>
          <w:b/>
          <w:bCs/>
          <w:color w:val="000000" w:themeColor="text1"/>
          <w:sz w:val="24"/>
          <w:szCs w:val="24"/>
        </w:rPr>
        <w:t>Date:</w:t>
      </w:r>
      <w:r w:rsidR="00CA5F34">
        <w:rPr>
          <w:rFonts w:eastAsia="Arial"/>
          <w:b/>
          <w:bCs/>
          <w:color w:val="000000" w:themeColor="text1"/>
          <w:sz w:val="24"/>
          <w:szCs w:val="24"/>
        </w:rPr>
        <w:t xml:space="preserve"> 16.01.2023</w:t>
      </w:r>
    </w:p>
    <w:p w14:paraId="482B2B3A" w14:textId="345EF3FA"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08FBFCD" w14:textId="77777777" w:rsidR="00CA5F34" w:rsidRPr="00EF7D53" w:rsidRDefault="00CA5F34" w:rsidP="00CA5F34">
      <w:pPr>
        <w:spacing w:line="360" w:lineRule="auto"/>
        <w:rPr>
          <w:color w:val="auto"/>
          <w:sz w:val="24"/>
          <w:szCs w:val="24"/>
        </w:rPr>
      </w:pPr>
    </w:p>
    <w:p w14:paraId="35BE087F" w14:textId="77777777" w:rsidR="00CA5F34" w:rsidRPr="00EF7D53" w:rsidRDefault="00CA5F34" w:rsidP="00CA5F34">
      <w:pPr>
        <w:spacing w:line="360" w:lineRule="auto"/>
        <w:rPr>
          <w:color w:val="auto"/>
          <w:sz w:val="24"/>
          <w:szCs w:val="24"/>
        </w:rPr>
      </w:pPr>
      <w:r w:rsidRPr="00EF7D53">
        <w:rPr>
          <w:color w:val="auto"/>
          <w:sz w:val="24"/>
          <w:szCs w:val="24"/>
        </w:rPr>
        <w:t>Alderfer, C. (1969)</w:t>
      </w:r>
      <w:r>
        <w:rPr>
          <w:color w:val="auto"/>
          <w:sz w:val="24"/>
          <w:szCs w:val="24"/>
        </w:rPr>
        <w:t>.</w:t>
      </w:r>
      <w:r w:rsidRPr="00EF7D53">
        <w:rPr>
          <w:color w:val="auto"/>
          <w:sz w:val="24"/>
          <w:szCs w:val="24"/>
        </w:rPr>
        <w:t xml:space="preserve"> </w:t>
      </w:r>
      <w:r w:rsidRPr="00EF7D53">
        <w:rPr>
          <w:color w:val="auto"/>
          <w:sz w:val="24"/>
          <w:szCs w:val="24"/>
          <w:shd w:val="clear" w:color="auto" w:fill="FFFFFF"/>
        </w:rPr>
        <w:t xml:space="preserve">An empirical test of a new theory of human needs. </w:t>
      </w:r>
      <w:r w:rsidRPr="00EF7D53">
        <w:rPr>
          <w:i/>
          <w:iCs/>
          <w:color w:val="auto"/>
          <w:sz w:val="24"/>
          <w:szCs w:val="24"/>
          <w:shd w:val="clear" w:color="auto" w:fill="FFFFFF"/>
        </w:rPr>
        <w:t>Organizational Behaviour and Human Performance</w:t>
      </w:r>
      <w:r w:rsidRPr="00EF7D53">
        <w:rPr>
          <w:color w:val="auto"/>
          <w:sz w:val="24"/>
          <w:szCs w:val="24"/>
          <w:shd w:val="clear" w:color="auto" w:fill="FFFFFF"/>
        </w:rPr>
        <w:t xml:space="preserve">, 4(2), pp. 142-175. Available at: </w:t>
      </w:r>
      <w:hyperlink r:id="rId21" w:history="1">
        <w:r w:rsidRPr="00EF7D53">
          <w:rPr>
            <w:rStyle w:val="Hyperlink"/>
            <w:color w:val="auto"/>
            <w:sz w:val="24"/>
            <w:szCs w:val="24"/>
            <w:u w:val="none"/>
            <w:shd w:val="clear" w:color="auto" w:fill="FFFFFF"/>
          </w:rPr>
          <w:t>https://www.sciencedirect.com/science/article/abs/pii/003050736990004X</w:t>
        </w:r>
      </w:hyperlink>
      <w:r w:rsidRPr="00EF7D53">
        <w:rPr>
          <w:color w:val="auto"/>
          <w:sz w:val="24"/>
          <w:szCs w:val="24"/>
          <w:shd w:val="clear" w:color="auto" w:fill="FFFFFF"/>
        </w:rPr>
        <w:t xml:space="preserve">. </w:t>
      </w:r>
      <w:r w:rsidRPr="00EF7D53">
        <w:rPr>
          <w:color w:val="auto"/>
          <w:sz w:val="24"/>
          <w:szCs w:val="24"/>
        </w:rPr>
        <w:t xml:space="preserve">[Accessed </w:t>
      </w:r>
      <w:r>
        <w:rPr>
          <w:color w:val="auto"/>
          <w:sz w:val="24"/>
          <w:szCs w:val="24"/>
        </w:rPr>
        <w:t xml:space="preserve">on: </w:t>
      </w:r>
      <w:r w:rsidRPr="00EF7D53">
        <w:rPr>
          <w:color w:val="auto"/>
          <w:sz w:val="24"/>
          <w:szCs w:val="24"/>
        </w:rPr>
        <w:t>16</w:t>
      </w:r>
      <w:r w:rsidRPr="00EF7D53">
        <w:rPr>
          <w:color w:val="auto"/>
          <w:sz w:val="24"/>
          <w:szCs w:val="24"/>
          <w:vertAlign w:val="superscript"/>
        </w:rPr>
        <w:t>th</w:t>
      </w:r>
      <w:r w:rsidRPr="00EF7D53">
        <w:rPr>
          <w:color w:val="auto"/>
          <w:sz w:val="24"/>
          <w:szCs w:val="24"/>
        </w:rPr>
        <w:t xml:space="preserve"> Jan 2023].</w:t>
      </w:r>
    </w:p>
    <w:p w14:paraId="5658AEA0" w14:textId="77777777" w:rsidR="00CA5F34" w:rsidRPr="00EF7D53" w:rsidRDefault="00CA5F34" w:rsidP="00CA5F34">
      <w:pPr>
        <w:spacing w:line="360" w:lineRule="auto"/>
        <w:rPr>
          <w:color w:val="auto"/>
          <w:sz w:val="24"/>
          <w:szCs w:val="24"/>
        </w:rPr>
      </w:pPr>
    </w:p>
    <w:p w14:paraId="23301CB3" w14:textId="77777777" w:rsidR="00CA5F34" w:rsidRPr="00EF7D53" w:rsidRDefault="00CA5F34" w:rsidP="00CA5F34">
      <w:pPr>
        <w:spacing w:line="360" w:lineRule="auto"/>
        <w:rPr>
          <w:color w:val="auto"/>
          <w:sz w:val="24"/>
          <w:szCs w:val="24"/>
          <w:shd w:val="clear" w:color="auto" w:fill="FFFFFF"/>
        </w:rPr>
      </w:pPr>
      <w:r w:rsidRPr="00EF7D53">
        <w:rPr>
          <w:color w:val="auto"/>
          <w:sz w:val="24"/>
          <w:szCs w:val="24"/>
        </w:rPr>
        <w:t>Barrow-Grin, K. Sebire, J. Turton, J. &amp; Weir, R. (2022)</w:t>
      </w:r>
      <w:r>
        <w:rPr>
          <w:color w:val="auto"/>
          <w:sz w:val="24"/>
          <w:szCs w:val="24"/>
        </w:rPr>
        <w:t>.</w:t>
      </w:r>
      <w:r w:rsidRPr="00EF7D53">
        <w:rPr>
          <w:color w:val="auto"/>
          <w:sz w:val="24"/>
          <w:szCs w:val="24"/>
        </w:rPr>
        <w:t xml:space="preserve"> </w:t>
      </w:r>
      <w:r w:rsidRPr="00EF7D53">
        <w:rPr>
          <w:i/>
          <w:iCs/>
          <w:color w:val="auto"/>
          <w:sz w:val="24"/>
          <w:szCs w:val="24"/>
          <w:shd w:val="clear" w:color="auto" w:fill="FFFFFF"/>
        </w:rPr>
        <w:t>Policing domestic abuse: risk, policy, and practice</w:t>
      </w:r>
      <w:r w:rsidRPr="00EF7D53">
        <w:rPr>
          <w:color w:val="auto"/>
          <w:sz w:val="24"/>
          <w:szCs w:val="24"/>
          <w:shd w:val="clear" w:color="auto" w:fill="FFFFFF"/>
        </w:rPr>
        <w:t>. London: Routledge.</w:t>
      </w:r>
    </w:p>
    <w:p w14:paraId="07C9BA13" w14:textId="77777777" w:rsidR="00CA5F34" w:rsidRPr="00EF7D53" w:rsidRDefault="00CA5F34" w:rsidP="00CA5F34">
      <w:pPr>
        <w:spacing w:line="360" w:lineRule="auto"/>
        <w:rPr>
          <w:color w:val="auto"/>
          <w:sz w:val="24"/>
          <w:szCs w:val="24"/>
        </w:rPr>
      </w:pPr>
    </w:p>
    <w:p w14:paraId="60F42379" w14:textId="77777777" w:rsidR="00CA5F34" w:rsidRPr="00EF7D53" w:rsidRDefault="00CA5F34" w:rsidP="00CA5F34">
      <w:pPr>
        <w:spacing w:line="360" w:lineRule="auto"/>
        <w:rPr>
          <w:color w:val="auto"/>
          <w:sz w:val="24"/>
          <w:szCs w:val="24"/>
        </w:rPr>
      </w:pPr>
      <w:r w:rsidRPr="00EF7D53">
        <w:rPr>
          <w:color w:val="auto"/>
          <w:sz w:val="24"/>
          <w:szCs w:val="24"/>
        </w:rPr>
        <w:t>Canadian Resource Centre for Victims of Crime (2005). </w:t>
      </w:r>
      <w:r w:rsidRPr="00EF7D53">
        <w:rPr>
          <w:i/>
          <w:iCs/>
          <w:color w:val="auto"/>
          <w:sz w:val="24"/>
          <w:szCs w:val="24"/>
        </w:rPr>
        <w:t>The Impact of Victimization Prepared by the Canadian Resource Centre for Victims of Crime</w:t>
      </w:r>
      <w:r w:rsidRPr="00EF7D53">
        <w:rPr>
          <w:color w:val="auto"/>
          <w:sz w:val="24"/>
          <w:szCs w:val="24"/>
        </w:rPr>
        <w:t xml:space="preserve">. [online] Available at: </w:t>
      </w:r>
      <w:hyperlink r:id="rId22" w:history="1">
        <w:r w:rsidRPr="00EF7D53">
          <w:rPr>
            <w:rStyle w:val="Hyperlink"/>
            <w:color w:val="auto"/>
            <w:sz w:val="24"/>
            <w:szCs w:val="24"/>
            <w:u w:val="none"/>
          </w:rPr>
          <w:t>https://www.crcvc.ca/docs/victimization.pdf</w:t>
        </w:r>
      </w:hyperlink>
      <w:r w:rsidRPr="00EF7D53">
        <w:rPr>
          <w:color w:val="auto"/>
          <w:sz w:val="24"/>
          <w:szCs w:val="24"/>
        </w:rPr>
        <w:t xml:space="preserve">. [Accessed </w:t>
      </w:r>
      <w:r>
        <w:rPr>
          <w:color w:val="auto"/>
          <w:sz w:val="24"/>
          <w:szCs w:val="24"/>
        </w:rPr>
        <w:t xml:space="preserve">on: </w:t>
      </w:r>
      <w:r w:rsidRPr="00EF7D53">
        <w:rPr>
          <w:color w:val="auto"/>
          <w:sz w:val="24"/>
          <w:szCs w:val="24"/>
        </w:rPr>
        <w:t>16</w:t>
      </w:r>
      <w:r w:rsidRPr="00EF7D53">
        <w:rPr>
          <w:color w:val="auto"/>
          <w:sz w:val="24"/>
          <w:szCs w:val="24"/>
          <w:vertAlign w:val="superscript"/>
        </w:rPr>
        <w:t>th</w:t>
      </w:r>
      <w:r w:rsidRPr="00EF7D53">
        <w:rPr>
          <w:color w:val="auto"/>
          <w:sz w:val="24"/>
          <w:szCs w:val="24"/>
        </w:rPr>
        <w:t xml:space="preserve"> Jan 2023].</w:t>
      </w:r>
    </w:p>
    <w:p w14:paraId="1101B81F" w14:textId="77777777" w:rsidR="00CA5F34" w:rsidRPr="00EF7D53" w:rsidRDefault="00CA5F34" w:rsidP="00CA5F34">
      <w:pPr>
        <w:spacing w:line="360" w:lineRule="auto"/>
        <w:rPr>
          <w:color w:val="auto"/>
          <w:sz w:val="24"/>
          <w:szCs w:val="24"/>
        </w:rPr>
      </w:pPr>
    </w:p>
    <w:p w14:paraId="0A01249A" w14:textId="77777777" w:rsidR="00CA5F34" w:rsidRPr="00EF7D53" w:rsidRDefault="00CA5F34" w:rsidP="00CA5F34">
      <w:pPr>
        <w:spacing w:line="360" w:lineRule="auto"/>
        <w:rPr>
          <w:color w:val="auto"/>
          <w:sz w:val="24"/>
          <w:szCs w:val="24"/>
        </w:rPr>
      </w:pPr>
      <w:r w:rsidRPr="00EF7D53">
        <w:rPr>
          <w:color w:val="auto"/>
          <w:sz w:val="24"/>
          <w:szCs w:val="24"/>
        </w:rPr>
        <w:t>Cherry, K. (2019). </w:t>
      </w:r>
      <w:r w:rsidRPr="00EF7D53">
        <w:rPr>
          <w:i/>
          <w:iCs/>
          <w:color w:val="auto"/>
          <w:sz w:val="24"/>
          <w:szCs w:val="24"/>
        </w:rPr>
        <w:t>The Cognitive and Productive Costs of Multitasking</w:t>
      </w:r>
      <w:r w:rsidRPr="00EF7D53">
        <w:rPr>
          <w:color w:val="auto"/>
          <w:sz w:val="24"/>
          <w:szCs w:val="24"/>
        </w:rPr>
        <w:t xml:space="preserve">. [online] Available at: </w:t>
      </w:r>
      <w:hyperlink r:id="rId23" w:history="1">
        <w:r w:rsidRPr="00EF7D53">
          <w:rPr>
            <w:rStyle w:val="Hyperlink"/>
            <w:color w:val="auto"/>
            <w:sz w:val="24"/>
            <w:szCs w:val="24"/>
            <w:u w:val="none"/>
          </w:rPr>
          <w:t>https://www.verywellmind.com/multitasking-2795003</w:t>
        </w:r>
      </w:hyperlink>
      <w:r w:rsidRPr="00EF7D53">
        <w:rPr>
          <w:color w:val="auto"/>
          <w:sz w:val="24"/>
          <w:szCs w:val="24"/>
        </w:rPr>
        <w:t xml:space="preserve">. </w:t>
      </w:r>
      <w:r>
        <w:rPr>
          <w:color w:val="auto"/>
          <w:sz w:val="24"/>
          <w:szCs w:val="24"/>
        </w:rPr>
        <w:t>[</w:t>
      </w:r>
      <w:r w:rsidRPr="009937AA">
        <w:rPr>
          <w:color w:val="auto"/>
          <w:sz w:val="24"/>
          <w:szCs w:val="24"/>
        </w:rPr>
        <w:t>Accessed on: 16</w:t>
      </w:r>
      <w:r w:rsidRPr="009937AA">
        <w:rPr>
          <w:color w:val="auto"/>
          <w:sz w:val="24"/>
          <w:szCs w:val="24"/>
          <w:vertAlign w:val="superscript"/>
        </w:rPr>
        <w:t>th</w:t>
      </w:r>
      <w:r w:rsidRPr="009937AA">
        <w:rPr>
          <w:color w:val="auto"/>
          <w:sz w:val="24"/>
          <w:szCs w:val="24"/>
        </w:rPr>
        <w:t xml:space="preserve"> January 2023</w:t>
      </w:r>
      <w:r>
        <w:rPr>
          <w:color w:val="auto"/>
          <w:sz w:val="24"/>
          <w:szCs w:val="24"/>
        </w:rPr>
        <w:t>].</w:t>
      </w:r>
    </w:p>
    <w:p w14:paraId="68E5E948" w14:textId="77777777" w:rsidR="00CA5F34" w:rsidRPr="00EF7D53" w:rsidRDefault="00CA5F34" w:rsidP="00CA5F34">
      <w:pPr>
        <w:spacing w:line="360" w:lineRule="auto"/>
        <w:rPr>
          <w:color w:val="auto"/>
          <w:sz w:val="24"/>
          <w:szCs w:val="24"/>
        </w:rPr>
      </w:pPr>
    </w:p>
    <w:p w14:paraId="573357FB" w14:textId="77777777" w:rsidR="00CA5F34" w:rsidRPr="00EF7D53" w:rsidRDefault="00CA5F34" w:rsidP="00CA5F34">
      <w:pPr>
        <w:spacing w:line="360" w:lineRule="auto"/>
        <w:rPr>
          <w:color w:val="auto"/>
          <w:sz w:val="24"/>
          <w:szCs w:val="24"/>
        </w:rPr>
      </w:pPr>
      <w:r w:rsidRPr="00EF7D53">
        <w:rPr>
          <w:color w:val="auto"/>
          <w:sz w:val="24"/>
          <w:szCs w:val="24"/>
        </w:rPr>
        <w:t>College of Policing. (2013). </w:t>
      </w:r>
      <w:r w:rsidRPr="00EF7D53">
        <w:rPr>
          <w:i/>
          <w:iCs/>
          <w:color w:val="auto"/>
          <w:sz w:val="24"/>
          <w:szCs w:val="24"/>
        </w:rPr>
        <w:t>Investigation process</w:t>
      </w:r>
      <w:r w:rsidRPr="00EF7D53">
        <w:rPr>
          <w:color w:val="auto"/>
          <w:sz w:val="24"/>
          <w:szCs w:val="24"/>
        </w:rPr>
        <w:t xml:space="preserve">. [online] Available at: </w:t>
      </w:r>
      <w:hyperlink r:id="rId24" w:history="1">
        <w:r w:rsidRPr="00EF7D53">
          <w:rPr>
            <w:rStyle w:val="Hyperlink"/>
            <w:color w:val="auto"/>
            <w:sz w:val="24"/>
            <w:szCs w:val="24"/>
            <w:u w:val="none"/>
          </w:rPr>
          <w:t>https://www.college.police.uk/app/investigation/investigation-process?highlight=golden%20hour</w:t>
        </w:r>
      </w:hyperlink>
      <w:r w:rsidRPr="00EF7D53">
        <w:rPr>
          <w:color w:val="auto"/>
          <w:sz w:val="24"/>
          <w:szCs w:val="24"/>
        </w:rPr>
        <w:t>.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67C31671" w14:textId="77777777" w:rsidR="00CA5F34" w:rsidRPr="00EF7D53" w:rsidRDefault="00CA5F34" w:rsidP="00CA5F34">
      <w:pPr>
        <w:spacing w:line="360" w:lineRule="auto"/>
        <w:rPr>
          <w:color w:val="auto"/>
          <w:sz w:val="24"/>
          <w:szCs w:val="24"/>
        </w:rPr>
      </w:pPr>
    </w:p>
    <w:p w14:paraId="4240DA39" w14:textId="77777777" w:rsidR="00CA5F34" w:rsidRPr="00EF7D53" w:rsidRDefault="00CA5F34" w:rsidP="00CA5F34">
      <w:pPr>
        <w:spacing w:line="360" w:lineRule="auto"/>
        <w:rPr>
          <w:color w:val="auto"/>
          <w:sz w:val="24"/>
          <w:szCs w:val="24"/>
        </w:rPr>
      </w:pPr>
      <w:r w:rsidRPr="00EF7D53">
        <w:rPr>
          <w:color w:val="auto"/>
          <w:sz w:val="24"/>
          <w:szCs w:val="24"/>
        </w:rPr>
        <w:t>College of Policing. (2015). </w:t>
      </w:r>
      <w:r w:rsidRPr="00EF7D53">
        <w:rPr>
          <w:i/>
          <w:iCs/>
          <w:color w:val="auto"/>
          <w:sz w:val="24"/>
          <w:szCs w:val="24"/>
        </w:rPr>
        <w:t>Using domestic violence protection notices and domestic violence protection orders to make victims safer</w:t>
      </w:r>
      <w:r w:rsidRPr="00EF7D53">
        <w:rPr>
          <w:color w:val="auto"/>
          <w:sz w:val="24"/>
          <w:szCs w:val="24"/>
        </w:rPr>
        <w:t xml:space="preserve">. [online] Available at: https://www.college.police.uk/app/major-investigation-and-public-protection/domestic-abuse/using-domestic-violence-protection-notices-and-domestic-violence-protection-orders-make-victims-safer. [Accessed </w:t>
      </w:r>
      <w:r>
        <w:rPr>
          <w:color w:val="auto"/>
          <w:sz w:val="24"/>
          <w:szCs w:val="24"/>
        </w:rPr>
        <w:t xml:space="preserve">on: </w:t>
      </w:r>
      <w:r w:rsidRPr="00EF7D53">
        <w:rPr>
          <w:color w:val="auto"/>
          <w:sz w:val="24"/>
          <w:szCs w:val="24"/>
        </w:rPr>
        <w:t>16</w:t>
      </w:r>
      <w:r w:rsidRPr="00EF7D53">
        <w:rPr>
          <w:color w:val="auto"/>
          <w:sz w:val="24"/>
          <w:szCs w:val="24"/>
          <w:vertAlign w:val="superscript"/>
        </w:rPr>
        <w:t>th</w:t>
      </w:r>
      <w:r w:rsidRPr="00EF7D53">
        <w:rPr>
          <w:color w:val="auto"/>
          <w:sz w:val="24"/>
          <w:szCs w:val="24"/>
        </w:rPr>
        <w:t xml:space="preserve"> Jan 2023].</w:t>
      </w:r>
    </w:p>
    <w:p w14:paraId="4D008922" w14:textId="77777777" w:rsidR="00CA5F34" w:rsidRPr="00EF7D53" w:rsidRDefault="00CA5F34" w:rsidP="00CA5F34">
      <w:pPr>
        <w:spacing w:line="360" w:lineRule="auto"/>
        <w:rPr>
          <w:color w:val="auto"/>
          <w:sz w:val="24"/>
          <w:szCs w:val="24"/>
        </w:rPr>
      </w:pPr>
    </w:p>
    <w:p w14:paraId="2899C1AF" w14:textId="77777777" w:rsidR="00CA5F34" w:rsidRPr="00EF7D53" w:rsidRDefault="00CA5F34" w:rsidP="00CA5F34">
      <w:pPr>
        <w:spacing w:line="360" w:lineRule="auto"/>
        <w:rPr>
          <w:color w:val="auto"/>
          <w:sz w:val="24"/>
          <w:szCs w:val="24"/>
        </w:rPr>
      </w:pPr>
      <w:r w:rsidRPr="005F3B5B">
        <w:rPr>
          <w:color w:val="auto"/>
          <w:sz w:val="24"/>
          <w:szCs w:val="24"/>
        </w:rPr>
        <w:t>Cuncic, A. (2022). </w:t>
      </w:r>
      <w:r w:rsidRPr="005F3B5B">
        <w:rPr>
          <w:i/>
          <w:iCs/>
          <w:color w:val="auto"/>
          <w:sz w:val="24"/>
          <w:szCs w:val="24"/>
        </w:rPr>
        <w:t>7 Active Listening Techniques to Practice in Your Daily Conversations</w:t>
      </w:r>
      <w:r w:rsidRPr="005F3B5B">
        <w:rPr>
          <w:color w:val="auto"/>
          <w:sz w:val="24"/>
          <w:szCs w:val="24"/>
        </w:rPr>
        <w:t>. [online] Available at: https://www.verywellmind.com/what-is-active-listening-</w:t>
      </w:r>
      <w:r w:rsidRPr="005F3B5B">
        <w:rPr>
          <w:color w:val="auto"/>
          <w:sz w:val="24"/>
          <w:szCs w:val="24"/>
        </w:rPr>
        <w:lastRenderedPageBreak/>
        <w:t xml:space="preserve">3024343#:~:text=Active%20listening%20techniques%20include%3A%20Being%20fully%20present%20in [Accessed </w:t>
      </w:r>
      <w:r>
        <w:rPr>
          <w:color w:val="auto"/>
          <w:sz w:val="24"/>
          <w:szCs w:val="24"/>
        </w:rPr>
        <w:t xml:space="preserve">on: </w:t>
      </w:r>
      <w:r w:rsidRPr="005F3B5B">
        <w:rPr>
          <w:color w:val="auto"/>
          <w:sz w:val="24"/>
          <w:szCs w:val="24"/>
        </w:rPr>
        <w:t>16</w:t>
      </w:r>
      <w:r w:rsidRPr="00EF7D53">
        <w:rPr>
          <w:color w:val="auto"/>
          <w:sz w:val="24"/>
          <w:szCs w:val="24"/>
          <w:vertAlign w:val="superscript"/>
        </w:rPr>
        <w:t>th</w:t>
      </w:r>
      <w:r w:rsidRPr="005F3B5B">
        <w:rPr>
          <w:color w:val="auto"/>
          <w:sz w:val="24"/>
          <w:szCs w:val="24"/>
        </w:rPr>
        <w:t xml:space="preserve"> Jan 2023].</w:t>
      </w:r>
    </w:p>
    <w:p w14:paraId="2DA8125E" w14:textId="77777777" w:rsidR="00CA5F34" w:rsidRPr="00EF7D53" w:rsidRDefault="00CA5F34" w:rsidP="00CA5F34">
      <w:pPr>
        <w:spacing w:line="360" w:lineRule="auto"/>
        <w:rPr>
          <w:color w:val="auto"/>
          <w:sz w:val="24"/>
          <w:szCs w:val="24"/>
          <w:shd w:val="clear" w:color="auto" w:fill="FFFFFF"/>
        </w:rPr>
      </w:pPr>
    </w:p>
    <w:p w14:paraId="23D5780B" w14:textId="77777777" w:rsidR="00CA5F34" w:rsidRPr="00EF7D53" w:rsidRDefault="00CA5F34" w:rsidP="00CA5F34">
      <w:pPr>
        <w:spacing w:line="360" w:lineRule="auto"/>
        <w:rPr>
          <w:color w:val="auto"/>
          <w:sz w:val="24"/>
          <w:szCs w:val="24"/>
        </w:rPr>
      </w:pPr>
      <w:r w:rsidRPr="00EF7D53">
        <w:rPr>
          <w:color w:val="auto"/>
          <w:sz w:val="24"/>
          <w:szCs w:val="24"/>
          <w:shd w:val="clear" w:color="auto" w:fill="FFFFFF"/>
        </w:rPr>
        <w:t>Goodlin, W.E. and Dunn, C.S. (2010)</w:t>
      </w:r>
      <w:r>
        <w:rPr>
          <w:color w:val="auto"/>
          <w:sz w:val="24"/>
          <w:szCs w:val="24"/>
          <w:shd w:val="clear" w:color="auto" w:fill="FFFFFF"/>
        </w:rPr>
        <w:t>.</w:t>
      </w:r>
      <w:r w:rsidRPr="00EF7D53">
        <w:rPr>
          <w:color w:val="auto"/>
          <w:sz w:val="24"/>
          <w:szCs w:val="24"/>
          <w:shd w:val="clear" w:color="auto" w:fill="FFFFFF"/>
        </w:rPr>
        <w:t xml:space="preserve"> ‘Three Patterns of Domestic Violence in Households: Single Victimization, Repeat Victimization, and Co-occurring Victimization’, </w:t>
      </w:r>
      <w:r w:rsidRPr="00EF7D53">
        <w:rPr>
          <w:i/>
          <w:iCs/>
          <w:color w:val="auto"/>
          <w:sz w:val="24"/>
          <w:szCs w:val="24"/>
          <w:shd w:val="clear" w:color="auto" w:fill="FFFFFF"/>
        </w:rPr>
        <w:t>Journal of family violence</w:t>
      </w:r>
      <w:r w:rsidRPr="00EF7D53">
        <w:rPr>
          <w:color w:val="auto"/>
          <w:sz w:val="24"/>
          <w:szCs w:val="24"/>
          <w:shd w:val="clear" w:color="auto" w:fill="FFFFFF"/>
        </w:rPr>
        <w:t xml:space="preserve">, 25(2), pp. 107–122. Available at: </w:t>
      </w:r>
      <w:hyperlink r:id="rId25" w:history="1">
        <w:r w:rsidRPr="00EF7D53">
          <w:rPr>
            <w:rStyle w:val="Hyperlink"/>
            <w:color w:val="auto"/>
            <w:sz w:val="24"/>
            <w:szCs w:val="24"/>
            <w:u w:val="none"/>
            <w:shd w:val="clear" w:color="auto" w:fill="FFFFFF"/>
          </w:rPr>
          <w:t>https://doi.org/10.1007/s10896-009-9274-z</w:t>
        </w:r>
      </w:hyperlink>
      <w:r w:rsidRPr="00EF7D53">
        <w:rPr>
          <w:color w:val="auto"/>
          <w:sz w:val="24"/>
          <w:szCs w:val="24"/>
          <w:shd w:val="clear" w:color="auto" w:fill="FFFFFF"/>
        </w:rPr>
        <w:t xml:space="preserv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4F6AF3F2" w14:textId="77777777" w:rsidR="00CA5F34" w:rsidRPr="00EF7D53" w:rsidRDefault="00CA5F34" w:rsidP="00CA5F34">
      <w:pPr>
        <w:spacing w:line="360" w:lineRule="auto"/>
        <w:rPr>
          <w:color w:val="auto"/>
          <w:sz w:val="24"/>
          <w:szCs w:val="24"/>
        </w:rPr>
      </w:pPr>
    </w:p>
    <w:p w14:paraId="551D5C5C" w14:textId="77777777" w:rsidR="00CA5F34" w:rsidRPr="00EF7D53" w:rsidRDefault="00CA5F34" w:rsidP="00CA5F34">
      <w:pPr>
        <w:spacing w:line="360" w:lineRule="auto"/>
        <w:rPr>
          <w:color w:val="auto"/>
          <w:sz w:val="24"/>
          <w:szCs w:val="24"/>
        </w:rPr>
      </w:pPr>
      <w:r w:rsidRPr="00EF7D53">
        <w:rPr>
          <w:color w:val="auto"/>
          <w:sz w:val="24"/>
          <w:szCs w:val="24"/>
        </w:rPr>
        <w:t>Grande, D. (2020). </w:t>
      </w:r>
      <w:r w:rsidRPr="00EF7D53">
        <w:rPr>
          <w:i/>
          <w:iCs/>
          <w:color w:val="auto"/>
          <w:sz w:val="24"/>
          <w:szCs w:val="24"/>
        </w:rPr>
        <w:t>Active Listening Skills</w:t>
      </w:r>
      <w:r w:rsidRPr="00EF7D53">
        <w:rPr>
          <w:color w:val="auto"/>
          <w:sz w:val="24"/>
          <w:szCs w:val="24"/>
        </w:rPr>
        <w:t xml:space="preserve">. [online] Psychology Today. Available at: </w:t>
      </w:r>
      <w:hyperlink r:id="rId26" w:history="1">
        <w:r w:rsidRPr="00EF7D53">
          <w:rPr>
            <w:rStyle w:val="Hyperlink"/>
            <w:color w:val="auto"/>
            <w:sz w:val="24"/>
            <w:szCs w:val="24"/>
            <w:u w:val="none"/>
          </w:rPr>
          <w:t>https://www.psychologytoday.com/us/blog/in-it-together/202006/active-listening-skills</w:t>
        </w:r>
      </w:hyperlink>
      <w:r w:rsidRPr="00EF7D53">
        <w:rPr>
          <w:color w:val="auto"/>
          <w:sz w:val="24"/>
          <w:szCs w:val="24"/>
        </w:rPr>
        <w:t>.</w:t>
      </w:r>
      <w:r>
        <w:rPr>
          <w:color w:val="auto"/>
          <w:sz w:val="24"/>
          <w:szCs w:val="24"/>
        </w:rPr>
        <w:t xml:space="preserv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626D2045" w14:textId="77777777" w:rsidR="00CA5F34" w:rsidRPr="00EF7D53" w:rsidRDefault="00CA5F34" w:rsidP="00CA5F34">
      <w:pPr>
        <w:spacing w:line="360" w:lineRule="auto"/>
        <w:rPr>
          <w:color w:val="auto"/>
          <w:sz w:val="24"/>
          <w:szCs w:val="24"/>
        </w:rPr>
      </w:pPr>
    </w:p>
    <w:p w14:paraId="0F7BD1A8" w14:textId="77777777" w:rsidR="00CA5F34" w:rsidRPr="00EF7D53" w:rsidRDefault="00CA5F34" w:rsidP="00CA5F34">
      <w:pPr>
        <w:spacing w:line="360" w:lineRule="auto"/>
        <w:rPr>
          <w:color w:val="auto"/>
          <w:sz w:val="24"/>
          <w:szCs w:val="24"/>
        </w:rPr>
      </w:pPr>
      <w:r w:rsidRPr="00EF7D53">
        <w:rPr>
          <w:color w:val="auto"/>
          <w:sz w:val="24"/>
          <w:szCs w:val="24"/>
        </w:rPr>
        <w:t>Gupta, S</w:t>
      </w:r>
      <w:r w:rsidRPr="005A4B82">
        <w:rPr>
          <w:color w:val="auto"/>
          <w:sz w:val="24"/>
          <w:szCs w:val="24"/>
        </w:rPr>
        <w:t>. (</w:t>
      </w:r>
      <w:r w:rsidRPr="00EF7D53">
        <w:rPr>
          <w:color w:val="auto"/>
          <w:sz w:val="24"/>
          <w:szCs w:val="24"/>
        </w:rPr>
        <w:t>2022</w:t>
      </w:r>
      <w:r w:rsidRPr="005A4B82">
        <w:rPr>
          <w:color w:val="auto"/>
          <w:sz w:val="24"/>
          <w:szCs w:val="24"/>
        </w:rPr>
        <w:t>). </w:t>
      </w:r>
      <w:r w:rsidRPr="005A4B82">
        <w:rPr>
          <w:i/>
          <w:iCs/>
          <w:color w:val="auto"/>
          <w:sz w:val="24"/>
          <w:szCs w:val="24"/>
        </w:rPr>
        <w:t>What Is Traumatic Shock?</w:t>
      </w:r>
      <w:r w:rsidRPr="005A4B82">
        <w:rPr>
          <w:color w:val="auto"/>
          <w:sz w:val="24"/>
          <w:szCs w:val="24"/>
        </w:rPr>
        <w:t xml:space="preserve"> [online] Available at: https://www.verywellmind.com/traumatic-shock-definition-symptoms-causes-and-treatment-5214469.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1C26E4AA" w14:textId="77777777" w:rsidR="00CA5F34" w:rsidRPr="00EF7D53" w:rsidRDefault="00CA5F34" w:rsidP="00CA5F34">
      <w:pPr>
        <w:spacing w:line="360" w:lineRule="auto"/>
        <w:rPr>
          <w:color w:val="auto"/>
          <w:sz w:val="24"/>
          <w:szCs w:val="24"/>
          <w:shd w:val="clear" w:color="auto" w:fill="FFFFFF"/>
        </w:rPr>
      </w:pPr>
    </w:p>
    <w:p w14:paraId="1B1EFDF0" w14:textId="77777777" w:rsidR="00CA5F34" w:rsidRPr="00EF7D53" w:rsidRDefault="00CA5F34" w:rsidP="00CA5F34">
      <w:pPr>
        <w:spacing w:line="360" w:lineRule="auto"/>
        <w:rPr>
          <w:color w:val="auto"/>
          <w:sz w:val="24"/>
          <w:szCs w:val="24"/>
        </w:rPr>
      </w:pPr>
      <w:r w:rsidRPr="00EF7D53">
        <w:rPr>
          <w:color w:val="auto"/>
          <w:sz w:val="24"/>
          <w:szCs w:val="24"/>
          <w:shd w:val="clear" w:color="auto" w:fill="FFFFFF"/>
        </w:rPr>
        <w:t>Güss, C.D., Burger, M.L. and Dörner, D. (2017)</w:t>
      </w:r>
      <w:r>
        <w:rPr>
          <w:color w:val="auto"/>
          <w:sz w:val="24"/>
          <w:szCs w:val="24"/>
          <w:shd w:val="clear" w:color="auto" w:fill="FFFFFF"/>
        </w:rPr>
        <w:t>.</w:t>
      </w:r>
      <w:r w:rsidRPr="00EF7D53">
        <w:rPr>
          <w:color w:val="auto"/>
          <w:sz w:val="24"/>
          <w:szCs w:val="24"/>
          <w:shd w:val="clear" w:color="auto" w:fill="FFFFFF"/>
        </w:rPr>
        <w:t xml:space="preserve"> ‘The Role of Motivation in Complex Problem Solving’, </w:t>
      </w:r>
      <w:r w:rsidRPr="00EF7D53">
        <w:rPr>
          <w:i/>
          <w:iCs/>
          <w:color w:val="auto"/>
          <w:sz w:val="24"/>
          <w:szCs w:val="24"/>
          <w:shd w:val="clear" w:color="auto" w:fill="FFFFFF"/>
        </w:rPr>
        <w:t>Frontiers in psychology</w:t>
      </w:r>
      <w:r w:rsidRPr="00EF7D53">
        <w:rPr>
          <w:color w:val="auto"/>
          <w:sz w:val="24"/>
          <w:szCs w:val="24"/>
          <w:shd w:val="clear" w:color="auto" w:fill="FFFFFF"/>
        </w:rPr>
        <w:t xml:space="preserve">, 8, pp. 851–851. Available at: </w:t>
      </w:r>
      <w:hyperlink r:id="rId27" w:history="1">
        <w:r w:rsidRPr="00EF7D53">
          <w:rPr>
            <w:rStyle w:val="Hyperlink"/>
            <w:color w:val="auto"/>
            <w:sz w:val="24"/>
            <w:szCs w:val="24"/>
            <w:u w:val="none"/>
            <w:shd w:val="clear" w:color="auto" w:fill="FFFFFF"/>
          </w:rPr>
          <w:t>https://doi.org/10.3389/fpsyg.2017.00851</w:t>
        </w:r>
      </w:hyperlink>
      <w:r w:rsidRPr="00EF7D53">
        <w:rPr>
          <w:color w:val="auto"/>
          <w:sz w:val="24"/>
          <w:szCs w:val="24"/>
          <w:shd w:val="clear" w:color="auto" w:fill="FFFFFF"/>
        </w:rPr>
        <w:t xml:space="preserv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0F00B22A" w14:textId="77777777" w:rsidR="00CA5F34" w:rsidRPr="00EF7D53" w:rsidRDefault="00CA5F34" w:rsidP="00CA5F34">
      <w:pPr>
        <w:spacing w:line="360" w:lineRule="auto"/>
        <w:rPr>
          <w:color w:val="auto"/>
          <w:sz w:val="24"/>
          <w:szCs w:val="24"/>
        </w:rPr>
      </w:pPr>
    </w:p>
    <w:p w14:paraId="28BF9DCC" w14:textId="77777777" w:rsidR="00CA5F34" w:rsidRPr="00EF7D53" w:rsidRDefault="00CA5F34" w:rsidP="00CA5F34">
      <w:pPr>
        <w:spacing w:line="360" w:lineRule="auto"/>
        <w:rPr>
          <w:color w:val="auto"/>
          <w:sz w:val="24"/>
          <w:szCs w:val="24"/>
        </w:rPr>
      </w:pPr>
      <w:r w:rsidRPr="00EF7D53">
        <w:rPr>
          <w:color w:val="auto"/>
          <w:sz w:val="24"/>
          <w:szCs w:val="24"/>
        </w:rPr>
        <w:t xml:space="preserve">Henderson V. (2015). </w:t>
      </w:r>
      <w:r w:rsidRPr="00EF7D53">
        <w:rPr>
          <w:i/>
          <w:iCs/>
          <w:color w:val="auto"/>
          <w:sz w:val="24"/>
          <w:szCs w:val="24"/>
        </w:rPr>
        <w:t>Virginia Henderson's Nursing Theory</w:t>
      </w:r>
      <w:r w:rsidRPr="00EF7D53">
        <w:rPr>
          <w:color w:val="auto"/>
          <w:sz w:val="24"/>
          <w:szCs w:val="24"/>
        </w:rPr>
        <w:t xml:space="preserve">. </w:t>
      </w:r>
      <w:r>
        <w:rPr>
          <w:color w:val="auto"/>
          <w:sz w:val="24"/>
          <w:szCs w:val="24"/>
        </w:rPr>
        <w:t xml:space="preserve">[online] </w:t>
      </w:r>
      <w:r w:rsidRPr="00EF7D53">
        <w:rPr>
          <w:color w:val="auto"/>
          <w:sz w:val="24"/>
          <w:szCs w:val="24"/>
        </w:rPr>
        <w:t>Available at: http://currentnursing.com/nursing_theory/Hender son.html.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5A1558D9" w14:textId="77777777" w:rsidR="00CA5F34" w:rsidRDefault="00CA5F34" w:rsidP="00CA5F34">
      <w:pPr>
        <w:spacing w:line="360" w:lineRule="auto"/>
        <w:rPr>
          <w:color w:val="auto"/>
          <w:sz w:val="24"/>
          <w:szCs w:val="24"/>
        </w:rPr>
      </w:pPr>
    </w:p>
    <w:p w14:paraId="7FFE7071" w14:textId="77777777" w:rsidR="00CA5F34" w:rsidRPr="00EF7D53" w:rsidRDefault="00CA5F34" w:rsidP="00CA5F34">
      <w:pPr>
        <w:spacing w:line="360" w:lineRule="auto"/>
        <w:rPr>
          <w:color w:val="auto"/>
          <w:sz w:val="24"/>
          <w:szCs w:val="24"/>
        </w:rPr>
      </w:pPr>
      <w:r w:rsidRPr="00EF7D53">
        <w:rPr>
          <w:color w:val="auto"/>
          <w:sz w:val="24"/>
          <w:szCs w:val="24"/>
        </w:rPr>
        <w:t xml:space="preserve">HMIC (2014). </w:t>
      </w:r>
      <w:r w:rsidRPr="00D62F96">
        <w:rPr>
          <w:i/>
          <w:iCs/>
          <w:color w:val="auto"/>
          <w:sz w:val="24"/>
          <w:szCs w:val="24"/>
        </w:rPr>
        <w:t>South Wales Police’s approach to tackling domestic abuse</w:t>
      </w:r>
      <w:r w:rsidRPr="00EF7D53">
        <w:rPr>
          <w:color w:val="auto"/>
          <w:sz w:val="24"/>
          <w:szCs w:val="24"/>
        </w:rPr>
        <w:t xml:space="preserve">. </w:t>
      </w:r>
      <w:r>
        <w:rPr>
          <w:color w:val="auto"/>
          <w:sz w:val="24"/>
          <w:szCs w:val="24"/>
        </w:rPr>
        <w:t xml:space="preserve">[online] </w:t>
      </w:r>
      <w:r w:rsidRPr="00EF7D53">
        <w:rPr>
          <w:color w:val="auto"/>
          <w:sz w:val="24"/>
          <w:szCs w:val="24"/>
        </w:rPr>
        <w:t xml:space="preserve">Available at: </w:t>
      </w:r>
      <w:hyperlink r:id="rId28" w:history="1">
        <w:r w:rsidRPr="00EF7D53">
          <w:rPr>
            <w:rStyle w:val="Hyperlink"/>
            <w:color w:val="auto"/>
            <w:sz w:val="24"/>
            <w:szCs w:val="24"/>
            <w:u w:val="none"/>
          </w:rPr>
          <w:t>https://www.justiceinspectorates.gov.uk/hmicfrs/wp-content/uploads/2014/03/south-wales-approach-to-tackling-domestic-abuse.pdf</w:t>
        </w:r>
      </w:hyperlink>
      <w:r w:rsidRPr="00EF7D53">
        <w:rPr>
          <w:color w:val="auto"/>
          <w:sz w:val="24"/>
          <w:szCs w:val="24"/>
        </w:rPr>
        <w:t>.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5F2CA9AB" w14:textId="77777777" w:rsidR="00CA5F34" w:rsidRPr="00EF7D53" w:rsidRDefault="00CA5F34" w:rsidP="00CA5F34">
      <w:pPr>
        <w:spacing w:line="360" w:lineRule="auto"/>
        <w:rPr>
          <w:color w:val="auto"/>
          <w:sz w:val="24"/>
          <w:szCs w:val="24"/>
        </w:rPr>
      </w:pPr>
      <w:r w:rsidRPr="00EF7D53">
        <w:rPr>
          <w:color w:val="auto"/>
          <w:sz w:val="24"/>
          <w:szCs w:val="24"/>
        </w:rPr>
        <w:t xml:space="preserve">Home Office (2012) </w:t>
      </w:r>
      <w:r w:rsidRPr="00EF7D53">
        <w:rPr>
          <w:i/>
          <w:iCs/>
          <w:color w:val="auto"/>
          <w:sz w:val="24"/>
          <w:szCs w:val="24"/>
        </w:rPr>
        <w:t>New definition of domestic violence</w:t>
      </w:r>
      <w:r w:rsidRPr="00EF7D53">
        <w:rPr>
          <w:color w:val="auto"/>
          <w:sz w:val="24"/>
          <w:szCs w:val="24"/>
        </w:rPr>
        <w:t xml:space="preserve">. [online] Available at: </w:t>
      </w:r>
      <w:hyperlink r:id="rId29" w:history="1">
        <w:r w:rsidRPr="00EF7D53">
          <w:rPr>
            <w:rStyle w:val="Hyperlink"/>
            <w:color w:val="auto"/>
            <w:sz w:val="24"/>
            <w:szCs w:val="24"/>
            <w:u w:val="none"/>
          </w:rPr>
          <w:t>https://www.gov.uk/government/news/new-definition-of-domestic-violence</w:t>
        </w:r>
      </w:hyperlink>
      <w:r w:rsidRPr="00EF7D53">
        <w:rPr>
          <w:color w:val="auto"/>
          <w:sz w:val="24"/>
          <w:szCs w:val="24"/>
        </w:rPr>
        <w:t>.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4F75E075" w14:textId="77777777" w:rsidR="00CA5F34" w:rsidRPr="00EF7D53" w:rsidRDefault="00CA5F34" w:rsidP="00CA5F34">
      <w:pPr>
        <w:spacing w:line="360" w:lineRule="auto"/>
        <w:rPr>
          <w:color w:val="auto"/>
          <w:sz w:val="24"/>
          <w:szCs w:val="24"/>
        </w:rPr>
      </w:pPr>
    </w:p>
    <w:p w14:paraId="7830D273" w14:textId="77777777" w:rsidR="00CA5F34" w:rsidRPr="005F3B5B" w:rsidRDefault="00CA5F34" w:rsidP="00CA5F34">
      <w:pPr>
        <w:spacing w:line="360" w:lineRule="auto"/>
        <w:rPr>
          <w:color w:val="auto"/>
          <w:sz w:val="24"/>
          <w:szCs w:val="24"/>
        </w:rPr>
      </w:pPr>
      <w:r w:rsidRPr="005F3B5B">
        <w:rPr>
          <w:color w:val="auto"/>
          <w:sz w:val="24"/>
          <w:szCs w:val="24"/>
        </w:rPr>
        <w:lastRenderedPageBreak/>
        <w:t>Lebow, H. (2016). </w:t>
      </w:r>
      <w:r w:rsidRPr="005F3B5B">
        <w:rPr>
          <w:i/>
          <w:iCs/>
          <w:color w:val="auto"/>
          <w:sz w:val="24"/>
          <w:szCs w:val="24"/>
        </w:rPr>
        <w:t>What is Emotional Intelligence (EQ)?</w:t>
      </w:r>
      <w:r w:rsidRPr="005F3B5B">
        <w:rPr>
          <w:color w:val="auto"/>
          <w:sz w:val="24"/>
          <w:szCs w:val="24"/>
        </w:rPr>
        <w:t xml:space="preserve"> [online] Available at: </w:t>
      </w:r>
      <w:hyperlink r:id="rId30" w:history="1">
        <w:r w:rsidRPr="005F3B5B">
          <w:rPr>
            <w:rStyle w:val="Hyperlink"/>
            <w:color w:val="auto"/>
            <w:sz w:val="24"/>
            <w:szCs w:val="24"/>
            <w:u w:val="none"/>
          </w:rPr>
          <w:t>https://psychcentral.com/lib/what-is-emotional-intelligence-eq</w:t>
        </w:r>
      </w:hyperlink>
      <w:r w:rsidRPr="005F3B5B">
        <w:rPr>
          <w:color w:val="auto"/>
          <w:sz w:val="24"/>
          <w:szCs w:val="24"/>
        </w:rPr>
        <w:t xml:space="preserv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04067FD7" w14:textId="77777777" w:rsidR="00CA5F34" w:rsidRPr="00EF7D53" w:rsidRDefault="00CA5F34" w:rsidP="00CA5F34">
      <w:pPr>
        <w:spacing w:line="360" w:lineRule="auto"/>
        <w:rPr>
          <w:color w:val="auto"/>
          <w:sz w:val="24"/>
          <w:szCs w:val="24"/>
        </w:rPr>
      </w:pPr>
    </w:p>
    <w:p w14:paraId="08630A8A" w14:textId="77777777" w:rsidR="00CA5F34" w:rsidRPr="00EF7D53" w:rsidRDefault="00CA5F34" w:rsidP="00CA5F34">
      <w:pPr>
        <w:spacing w:line="360" w:lineRule="auto"/>
        <w:rPr>
          <w:color w:val="auto"/>
          <w:sz w:val="24"/>
          <w:szCs w:val="24"/>
        </w:rPr>
      </w:pPr>
      <w:r w:rsidRPr="003C3658">
        <w:rPr>
          <w:color w:val="auto"/>
          <w:sz w:val="24"/>
          <w:szCs w:val="24"/>
        </w:rPr>
        <w:t>Liang, D. (2021). </w:t>
      </w:r>
      <w:r w:rsidRPr="003C3658">
        <w:rPr>
          <w:i/>
          <w:iCs/>
          <w:color w:val="auto"/>
          <w:sz w:val="24"/>
          <w:szCs w:val="24"/>
        </w:rPr>
        <w:t>Recruiting more women won’t solve police brutality</w:t>
      </w:r>
      <w:r w:rsidRPr="003C3658">
        <w:rPr>
          <w:color w:val="auto"/>
          <w:sz w:val="24"/>
          <w:szCs w:val="24"/>
        </w:rPr>
        <w:t xml:space="preserve">. [online] Available at: https://www.aspistrategist.org.au/recruiting-more-women-wont-solve-police-brutality/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5A9802C8" w14:textId="77777777" w:rsidR="00CA5F34" w:rsidRPr="00EF7D53" w:rsidRDefault="00CA5F34" w:rsidP="00CA5F34">
      <w:pPr>
        <w:spacing w:line="360" w:lineRule="auto"/>
        <w:rPr>
          <w:color w:val="auto"/>
          <w:sz w:val="24"/>
          <w:szCs w:val="24"/>
        </w:rPr>
      </w:pPr>
    </w:p>
    <w:p w14:paraId="14AFAAC5" w14:textId="77777777" w:rsidR="00CA5F34" w:rsidRDefault="00CA5F34" w:rsidP="00CA5F34">
      <w:pPr>
        <w:spacing w:line="360" w:lineRule="auto"/>
        <w:rPr>
          <w:color w:val="auto"/>
          <w:sz w:val="24"/>
          <w:szCs w:val="24"/>
        </w:rPr>
      </w:pPr>
      <w:r w:rsidRPr="00EF7D53">
        <w:rPr>
          <w:color w:val="auto"/>
          <w:sz w:val="24"/>
          <w:szCs w:val="24"/>
        </w:rPr>
        <w:t xml:space="preserve">Mann, R. and Bermingham, R. (2020). </w:t>
      </w:r>
      <w:r w:rsidRPr="00C20642">
        <w:rPr>
          <w:i/>
          <w:iCs/>
          <w:color w:val="auto"/>
          <w:sz w:val="24"/>
          <w:szCs w:val="24"/>
        </w:rPr>
        <w:t>Non-custodial sentences</w:t>
      </w:r>
      <w:r w:rsidRPr="00EF7D53">
        <w:rPr>
          <w:color w:val="auto"/>
          <w:sz w:val="24"/>
          <w:szCs w:val="24"/>
        </w:rPr>
        <w:t xml:space="preserve"> [online] Available at: </w:t>
      </w:r>
      <w:hyperlink r:id="rId31" w:history="1">
        <w:r w:rsidRPr="00EF7D53">
          <w:rPr>
            <w:rStyle w:val="Hyperlink"/>
            <w:color w:val="auto"/>
            <w:sz w:val="24"/>
            <w:szCs w:val="24"/>
            <w:u w:val="none"/>
          </w:rPr>
          <w:t>https://post.parliament.uk/research-briefings/post-pn-0613/</w:t>
        </w:r>
      </w:hyperlink>
      <w:r w:rsidRPr="00EF7D53">
        <w:rPr>
          <w:color w:val="auto"/>
          <w:sz w:val="24"/>
          <w:szCs w:val="24"/>
        </w:rPr>
        <w:t>.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32370190" w14:textId="77777777" w:rsidR="00CA5F34" w:rsidRPr="00EF7D53" w:rsidRDefault="00CA5F34" w:rsidP="00CA5F34">
      <w:pPr>
        <w:spacing w:line="360" w:lineRule="auto"/>
        <w:rPr>
          <w:color w:val="auto"/>
          <w:sz w:val="24"/>
          <w:szCs w:val="24"/>
          <w:shd w:val="clear" w:color="auto" w:fill="FFFFFF"/>
        </w:rPr>
      </w:pPr>
    </w:p>
    <w:p w14:paraId="0343BB6C" w14:textId="77777777" w:rsidR="00CA5F34" w:rsidRPr="00EF7D53" w:rsidRDefault="00CA5F34" w:rsidP="00CA5F34">
      <w:pPr>
        <w:spacing w:line="360" w:lineRule="auto"/>
        <w:rPr>
          <w:color w:val="auto"/>
          <w:sz w:val="24"/>
          <w:szCs w:val="24"/>
          <w:shd w:val="clear" w:color="auto" w:fill="FFFFFF"/>
        </w:rPr>
      </w:pPr>
      <w:r w:rsidRPr="00EF7D53">
        <w:rPr>
          <w:color w:val="auto"/>
          <w:sz w:val="24"/>
          <w:szCs w:val="24"/>
          <w:shd w:val="clear" w:color="auto" w:fill="FFFFFF"/>
        </w:rPr>
        <w:t xml:space="preserve">Maslow, A. H. (1943) A theory of human motivation. </w:t>
      </w:r>
      <w:r w:rsidRPr="00EF7D53">
        <w:rPr>
          <w:i/>
          <w:iCs/>
          <w:color w:val="auto"/>
          <w:sz w:val="24"/>
          <w:szCs w:val="24"/>
          <w:shd w:val="clear" w:color="auto" w:fill="FFFFFF"/>
        </w:rPr>
        <w:t>Psychological Review, 50</w:t>
      </w:r>
      <w:r w:rsidRPr="00EF7D53">
        <w:rPr>
          <w:color w:val="auto"/>
          <w:sz w:val="24"/>
          <w:szCs w:val="24"/>
          <w:shd w:val="clear" w:color="auto" w:fill="FFFFFF"/>
        </w:rPr>
        <w:t>(4), pp. 370-396.</w:t>
      </w:r>
    </w:p>
    <w:p w14:paraId="5879C3FF" w14:textId="77777777" w:rsidR="00CA5F34" w:rsidRPr="00EF7D53" w:rsidRDefault="00CA5F34" w:rsidP="00CA5F34">
      <w:pPr>
        <w:spacing w:line="360" w:lineRule="auto"/>
        <w:rPr>
          <w:color w:val="auto"/>
          <w:sz w:val="24"/>
          <w:szCs w:val="24"/>
        </w:rPr>
      </w:pPr>
    </w:p>
    <w:p w14:paraId="5260FC75" w14:textId="77777777" w:rsidR="00CA5F34" w:rsidRDefault="00CA5F34" w:rsidP="00CA5F34">
      <w:pPr>
        <w:spacing w:line="360" w:lineRule="auto"/>
        <w:rPr>
          <w:color w:val="auto"/>
          <w:sz w:val="24"/>
          <w:szCs w:val="24"/>
        </w:rPr>
      </w:pPr>
      <w:r w:rsidRPr="00E92B5A">
        <w:rPr>
          <w:color w:val="auto"/>
          <w:sz w:val="24"/>
          <w:szCs w:val="24"/>
        </w:rPr>
        <w:t>McLeod, S. (2022). </w:t>
      </w:r>
      <w:r w:rsidRPr="00E92B5A">
        <w:rPr>
          <w:i/>
          <w:iCs/>
          <w:color w:val="auto"/>
          <w:sz w:val="24"/>
          <w:szCs w:val="24"/>
        </w:rPr>
        <w:t>Maslow’s Hierarchy of Needs</w:t>
      </w:r>
      <w:r w:rsidRPr="00E92B5A">
        <w:rPr>
          <w:color w:val="auto"/>
          <w:sz w:val="24"/>
          <w:szCs w:val="24"/>
        </w:rPr>
        <w:t xml:space="preserve">. [online] Available at: https://www.simplypsychology.org/maslow.html. </w:t>
      </w:r>
      <w:bookmarkStart w:id="1" w:name="_Hlk124775676"/>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6DC1F7C8" w14:textId="77777777" w:rsidR="00CA5F34" w:rsidRPr="00EF7D53" w:rsidRDefault="00CA5F34" w:rsidP="00CA5F34">
      <w:pPr>
        <w:spacing w:line="360" w:lineRule="auto"/>
        <w:rPr>
          <w:color w:val="auto"/>
          <w:sz w:val="24"/>
          <w:szCs w:val="24"/>
        </w:rPr>
      </w:pPr>
    </w:p>
    <w:p w14:paraId="454BA758" w14:textId="77777777" w:rsidR="00CA5F34" w:rsidRPr="00EF7D53" w:rsidRDefault="00CA5F34" w:rsidP="00CA5F34">
      <w:pPr>
        <w:spacing w:line="360" w:lineRule="auto"/>
        <w:rPr>
          <w:color w:val="auto"/>
          <w:sz w:val="24"/>
          <w:szCs w:val="24"/>
        </w:rPr>
      </w:pPr>
      <w:r w:rsidRPr="00EF7D53">
        <w:rPr>
          <w:color w:val="auto"/>
          <w:sz w:val="24"/>
          <w:szCs w:val="24"/>
        </w:rPr>
        <w:t>Ministry of Justice (2020). </w:t>
      </w:r>
      <w:r w:rsidRPr="00C20642">
        <w:rPr>
          <w:i/>
          <w:iCs/>
          <w:color w:val="auto"/>
          <w:sz w:val="24"/>
          <w:szCs w:val="24"/>
        </w:rPr>
        <w:t>Code of Practice for Victims of Crime in England and Wales.</w:t>
      </w:r>
      <w:r w:rsidRPr="00EF7D53">
        <w:rPr>
          <w:color w:val="auto"/>
          <w:sz w:val="24"/>
          <w:szCs w:val="24"/>
        </w:rPr>
        <w:t xml:space="preserve"> [online] Available at: </w:t>
      </w:r>
      <w:hyperlink r:id="rId32" w:history="1">
        <w:r w:rsidRPr="00EF7D53">
          <w:rPr>
            <w:rStyle w:val="Hyperlink"/>
            <w:color w:val="auto"/>
            <w:sz w:val="24"/>
            <w:szCs w:val="24"/>
            <w:u w:val="none"/>
          </w:rPr>
          <w:t>https://assets.publishing.service.gov.uk/government/uploads/system/uploads/attachment_data/file/936239/victims-code-2020.pdf</w:t>
        </w:r>
      </w:hyperlink>
      <w:r w:rsidRPr="00EF7D53">
        <w:rPr>
          <w:color w:val="auto"/>
          <w:sz w:val="24"/>
          <w:szCs w:val="24"/>
        </w:rPr>
        <w:t>.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bookmarkEnd w:id="1"/>
    <w:p w14:paraId="025FC632" w14:textId="77777777" w:rsidR="00CA5F34" w:rsidRPr="00EF7D53" w:rsidRDefault="00CA5F34" w:rsidP="00CA5F34">
      <w:pPr>
        <w:spacing w:line="360" w:lineRule="auto"/>
        <w:rPr>
          <w:color w:val="auto"/>
          <w:sz w:val="24"/>
          <w:szCs w:val="24"/>
        </w:rPr>
      </w:pPr>
    </w:p>
    <w:p w14:paraId="2F431CDE" w14:textId="77777777" w:rsidR="00CA5F34" w:rsidRPr="00EF7D53" w:rsidRDefault="00CA5F34" w:rsidP="00CA5F34">
      <w:pPr>
        <w:spacing w:line="360" w:lineRule="auto"/>
        <w:rPr>
          <w:color w:val="auto"/>
          <w:sz w:val="24"/>
          <w:szCs w:val="24"/>
        </w:rPr>
      </w:pPr>
      <w:r w:rsidRPr="00EF7D53">
        <w:rPr>
          <w:color w:val="auto"/>
          <w:sz w:val="24"/>
          <w:szCs w:val="24"/>
        </w:rPr>
        <w:t>Office for National Statistics (2020). </w:t>
      </w:r>
      <w:r w:rsidRPr="00C20642">
        <w:rPr>
          <w:i/>
          <w:iCs/>
          <w:color w:val="auto"/>
          <w:sz w:val="24"/>
          <w:szCs w:val="24"/>
        </w:rPr>
        <w:t>Domestic abuse victim characteristics, England and Wales - Office for National Statistics.</w:t>
      </w:r>
      <w:r w:rsidRPr="00EF7D53">
        <w:rPr>
          <w:color w:val="auto"/>
          <w:sz w:val="24"/>
          <w:szCs w:val="24"/>
        </w:rPr>
        <w:t xml:space="preserve"> [online] Available at: </w:t>
      </w:r>
      <w:hyperlink r:id="rId33" w:history="1">
        <w:r w:rsidRPr="00EF7D53">
          <w:rPr>
            <w:rStyle w:val="Hyperlink"/>
            <w:color w:val="auto"/>
            <w:sz w:val="24"/>
            <w:szCs w:val="24"/>
            <w:u w:val="none"/>
          </w:rPr>
          <w:t>https://www.ons.gov.uk/peoplepopulationandcommunity/crimeandjustice/articles/domesticabusevictimcharacteristicsenglandandwales/yearendingmarch2020</w:t>
        </w:r>
      </w:hyperlink>
      <w:r w:rsidRPr="00EF7D53">
        <w:rPr>
          <w:color w:val="auto"/>
          <w:sz w:val="24"/>
          <w:szCs w:val="24"/>
        </w:rPr>
        <w:t>.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3CB74D0A" w14:textId="77777777" w:rsidR="00CA5F34" w:rsidRPr="00EF7D53" w:rsidRDefault="00CA5F34" w:rsidP="00CA5F34">
      <w:pPr>
        <w:spacing w:line="360" w:lineRule="auto"/>
        <w:rPr>
          <w:color w:val="auto"/>
          <w:sz w:val="24"/>
          <w:szCs w:val="24"/>
        </w:rPr>
      </w:pPr>
    </w:p>
    <w:p w14:paraId="5F1341B0" w14:textId="77777777" w:rsidR="00CA5F34" w:rsidRPr="00EF7D53" w:rsidRDefault="00CA5F34" w:rsidP="00CA5F34">
      <w:pPr>
        <w:spacing w:line="360" w:lineRule="auto"/>
        <w:rPr>
          <w:color w:val="auto"/>
          <w:sz w:val="24"/>
          <w:szCs w:val="24"/>
        </w:rPr>
      </w:pPr>
      <w:r w:rsidRPr="005A4B82">
        <w:rPr>
          <w:color w:val="auto"/>
          <w:sz w:val="24"/>
          <w:szCs w:val="24"/>
        </w:rPr>
        <w:t>O</w:t>
      </w:r>
      <w:r>
        <w:rPr>
          <w:color w:val="auto"/>
          <w:sz w:val="24"/>
          <w:szCs w:val="24"/>
        </w:rPr>
        <w:t>ffice for National Statistics</w:t>
      </w:r>
      <w:r w:rsidRPr="005A4B82">
        <w:rPr>
          <w:color w:val="auto"/>
          <w:sz w:val="24"/>
          <w:szCs w:val="24"/>
        </w:rPr>
        <w:t xml:space="preserve"> (2018). </w:t>
      </w:r>
      <w:r w:rsidRPr="005A4B82">
        <w:rPr>
          <w:i/>
          <w:iCs/>
          <w:color w:val="auto"/>
          <w:sz w:val="24"/>
          <w:szCs w:val="24"/>
        </w:rPr>
        <w:t>Domestic abuse in England and Wales - Office for National Statistics</w:t>
      </w:r>
      <w:r w:rsidRPr="005A4B82">
        <w:rPr>
          <w:color w:val="auto"/>
          <w:sz w:val="24"/>
          <w:szCs w:val="24"/>
        </w:rPr>
        <w:t xml:space="preserve">. [online] Available at: </w:t>
      </w:r>
      <w:hyperlink r:id="rId34" w:history="1">
        <w:r w:rsidRPr="005A4B82">
          <w:rPr>
            <w:rStyle w:val="Hyperlink"/>
            <w:color w:val="auto"/>
            <w:sz w:val="24"/>
            <w:szCs w:val="24"/>
            <w:u w:val="none"/>
          </w:rPr>
          <w:t>https://www.ons.gov.uk/peoplepopulationandcommunity/crimeandjustice/bulletins/domesticabuseinenglandandwales/yearendingmarch2018#domestic-abuse-related-offences-specific-crime-types</w:t>
        </w:r>
      </w:hyperlink>
      <w:r w:rsidRPr="005A4B82">
        <w:rPr>
          <w:color w:val="auto"/>
          <w:sz w:val="24"/>
          <w:szCs w:val="24"/>
        </w:rPr>
        <w:t xml:space="preserv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00CBDA9A" w14:textId="77777777" w:rsidR="00CA5F34" w:rsidRPr="00EF7D53" w:rsidRDefault="00CA5F34" w:rsidP="00CA5F34">
      <w:pPr>
        <w:spacing w:line="360" w:lineRule="auto"/>
        <w:rPr>
          <w:color w:val="auto"/>
          <w:sz w:val="24"/>
          <w:szCs w:val="24"/>
          <w:shd w:val="clear" w:color="auto" w:fill="FFFFFF"/>
        </w:rPr>
      </w:pPr>
    </w:p>
    <w:p w14:paraId="278DFB5F" w14:textId="77777777" w:rsidR="00CA5F34" w:rsidRPr="00EF7D53" w:rsidRDefault="00CA5F34" w:rsidP="00CA5F34">
      <w:pPr>
        <w:spacing w:line="360" w:lineRule="auto"/>
        <w:rPr>
          <w:color w:val="auto"/>
          <w:sz w:val="24"/>
          <w:szCs w:val="24"/>
        </w:rPr>
      </w:pPr>
      <w:r w:rsidRPr="00EF7D53">
        <w:rPr>
          <w:color w:val="auto"/>
          <w:sz w:val="24"/>
          <w:szCs w:val="24"/>
          <w:shd w:val="clear" w:color="auto" w:fill="FFFFFF"/>
        </w:rPr>
        <w:t>Parsons, J. and Bergin, T. (2010) ‘The impact of criminal justice involvement on victims’ mental health’, </w:t>
      </w:r>
      <w:r w:rsidRPr="00EF7D53">
        <w:rPr>
          <w:i/>
          <w:iCs/>
          <w:color w:val="auto"/>
          <w:sz w:val="24"/>
          <w:szCs w:val="24"/>
          <w:shd w:val="clear" w:color="auto" w:fill="FFFFFF"/>
        </w:rPr>
        <w:t>Journal of traumatic stress</w:t>
      </w:r>
      <w:r w:rsidRPr="00EF7D53">
        <w:rPr>
          <w:color w:val="auto"/>
          <w:sz w:val="24"/>
          <w:szCs w:val="24"/>
          <w:shd w:val="clear" w:color="auto" w:fill="FFFFFF"/>
        </w:rPr>
        <w:t xml:space="preserve">, 23(2), pp. 182–188. Available at: </w:t>
      </w:r>
      <w:hyperlink r:id="rId35" w:history="1">
        <w:r w:rsidRPr="00EF7D53">
          <w:rPr>
            <w:rStyle w:val="Hyperlink"/>
            <w:color w:val="auto"/>
            <w:sz w:val="24"/>
            <w:szCs w:val="24"/>
            <w:u w:val="none"/>
            <w:shd w:val="clear" w:color="auto" w:fill="FFFFFF"/>
          </w:rPr>
          <w:t>https://doi.org/10.1002/jts.20505</w:t>
        </w:r>
      </w:hyperlink>
      <w:r w:rsidRPr="00EF7D53">
        <w:rPr>
          <w:color w:val="auto"/>
          <w:sz w:val="24"/>
          <w:szCs w:val="24"/>
          <w:shd w:val="clear" w:color="auto" w:fill="FFFFFF"/>
        </w:rPr>
        <w:t xml:space="preserv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0CF1328C" w14:textId="77777777" w:rsidR="00CA5F34" w:rsidRPr="00EF7D53" w:rsidRDefault="00CA5F34" w:rsidP="00CA5F34">
      <w:pPr>
        <w:spacing w:line="360" w:lineRule="auto"/>
        <w:rPr>
          <w:color w:val="auto"/>
          <w:sz w:val="24"/>
          <w:szCs w:val="24"/>
          <w:shd w:val="clear" w:color="auto" w:fill="FFFFFF"/>
        </w:rPr>
      </w:pPr>
    </w:p>
    <w:p w14:paraId="1C2CEB55" w14:textId="77777777" w:rsidR="00CA5F34" w:rsidRPr="00EF7D53" w:rsidRDefault="00CA5F34" w:rsidP="00CA5F34">
      <w:pPr>
        <w:spacing w:line="360" w:lineRule="auto"/>
        <w:rPr>
          <w:color w:val="auto"/>
          <w:sz w:val="24"/>
          <w:szCs w:val="24"/>
        </w:rPr>
      </w:pPr>
      <w:r w:rsidRPr="00EF7D53">
        <w:rPr>
          <w:color w:val="auto"/>
          <w:sz w:val="24"/>
          <w:szCs w:val="24"/>
          <w:shd w:val="clear" w:color="auto" w:fill="FFFFFF"/>
        </w:rPr>
        <w:t>Pichère, P., Cadiat, A.-C. and Probert, C. (2015) </w:t>
      </w:r>
      <w:r w:rsidRPr="00EF7D53">
        <w:rPr>
          <w:i/>
          <w:iCs/>
          <w:color w:val="auto"/>
          <w:sz w:val="24"/>
          <w:szCs w:val="24"/>
          <w:shd w:val="clear" w:color="auto" w:fill="FFFFFF"/>
        </w:rPr>
        <w:t>Maslow’s hierarchy of needs</w:t>
      </w:r>
      <w:r w:rsidRPr="00EF7D53">
        <w:rPr>
          <w:color w:val="auto"/>
          <w:sz w:val="24"/>
          <w:szCs w:val="24"/>
          <w:shd w:val="clear" w:color="auto" w:fill="FFFFFF"/>
        </w:rPr>
        <w:t>.</w:t>
      </w:r>
      <w:r>
        <w:rPr>
          <w:color w:val="auto"/>
          <w:sz w:val="24"/>
          <w:szCs w:val="24"/>
          <w:shd w:val="clear" w:color="auto" w:fill="FFFFFF"/>
        </w:rPr>
        <w:t xml:space="preserve"> [online]</w:t>
      </w:r>
      <w:r w:rsidRPr="00EF7D53">
        <w:rPr>
          <w:color w:val="auto"/>
          <w:sz w:val="24"/>
          <w:szCs w:val="24"/>
          <w:shd w:val="clear" w:color="auto" w:fill="FFFFFF"/>
        </w:rPr>
        <w:t xml:space="preserve"> Available at: </w:t>
      </w:r>
      <w:hyperlink r:id="rId36" w:history="1">
        <w:r w:rsidRPr="00EF7D53">
          <w:rPr>
            <w:rStyle w:val="Hyperlink"/>
            <w:color w:val="auto"/>
            <w:sz w:val="24"/>
            <w:szCs w:val="24"/>
            <w:u w:val="none"/>
            <w:shd w:val="clear" w:color="auto" w:fill="FFFFFF"/>
          </w:rPr>
          <w:t>https://r2.vlereader.com/EpubReader?ean=1782806265876#</w:t>
        </w:r>
      </w:hyperlink>
      <w:r w:rsidRPr="00EF7D53">
        <w:rPr>
          <w:color w:val="auto"/>
          <w:sz w:val="24"/>
          <w:szCs w:val="24"/>
          <w:shd w:val="clear" w:color="auto" w:fill="FFFFFF"/>
        </w:rPr>
        <w:t xml:space="preserv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024CDC22" w14:textId="77777777" w:rsidR="00CA5F34" w:rsidRPr="00EF7D53" w:rsidRDefault="00CA5F34" w:rsidP="00CA5F34">
      <w:pPr>
        <w:spacing w:line="360" w:lineRule="auto"/>
        <w:rPr>
          <w:color w:val="auto"/>
          <w:sz w:val="24"/>
          <w:szCs w:val="24"/>
        </w:rPr>
      </w:pPr>
    </w:p>
    <w:p w14:paraId="59A5C1AE" w14:textId="77777777" w:rsidR="00CA5F34" w:rsidRPr="00EF7D53" w:rsidRDefault="00CA5F34" w:rsidP="00CA5F34">
      <w:pPr>
        <w:spacing w:line="360" w:lineRule="auto"/>
        <w:rPr>
          <w:color w:val="auto"/>
          <w:sz w:val="24"/>
          <w:szCs w:val="24"/>
        </w:rPr>
      </w:pPr>
      <w:r w:rsidRPr="00EF7D53">
        <w:rPr>
          <w:color w:val="auto"/>
          <w:sz w:val="24"/>
          <w:szCs w:val="24"/>
        </w:rPr>
        <w:t>Selva, J. (2019). </w:t>
      </w:r>
      <w:r w:rsidRPr="00C20642">
        <w:rPr>
          <w:i/>
          <w:iCs/>
          <w:color w:val="auto"/>
          <w:sz w:val="24"/>
          <w:szCs w:val="24"/>
        </w:rPr>
        <w:t>What is Self-Actualization? A Psychologist’s Definition</w:t>
      </w:r>
      <w:r w:rsidRPr="00EF7D53">
        <w:rPr>
          <w:color w:val="auto"/>
          <w:sz w:val="24"/>
          <w:szCs w:val="24"/>
        </w:rPr>
        <w:t>. [online]. Available at: https://positivepsychology.com/self-actualization/.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470410AF" w14:textId="77777777" w:rsidR="00CA5F34" w:rsidRPr="00EF7D53" w:rsidRDefault="00CA5F34" w:rsidP="00CA5F34">
      <w:pPr>
        <w:spacing w:line="360" w:lineRule="auto"/>
        <w:rPr>
          <w:color w:val="auto"/>
          <w:sz w:val="24"/>
          <w:szCs w:val="24"/>
        </w:rPr>
      </w:pPr>
    </w:p>
    <w:p w14:paraId="0200E1EB" w14:textId="77777777" w:rsidR="00CA5F34" w:rsidRPr="00EF7D53" w:rsidRDefault="00CA5F34" w:rsidP="00CA5F34">
      <w:pPr>
        <w:spacing w:line="360" w:lineRule="auto"/>
        <w:rPr>
          <w:color w:val="auto"/>
          <w:sz w:val="24"/>
          <w:szCs w:val="24"/>
        </w:rPr>
      </w:pPr>
      <w:r w:rsidRPr="00EF7D53">
        <w:rPr>
          <w:color w:val="auto"/>
          <w:sz w:val="24"/>
          <w:szCs w:val="24"/>
        </w:rPr>
        <w:t>Sentencing Council (2021). </w:t>
      </w:r>
      <w:r w:rsidRPr="00EF7D53">
        <w:rPr>
          <w:i/>
          <w:iCs/>
          <w:color w:val="auto"/>
          <w:sz w:val="24"/>
          <w:szCs w:val="24"/>
        </w:rPr>
        <w:t>Assault – Sentencing</w:t>
      </w:r>
      <w:r w:rsidRPr="00EF7D53">
        <w:rPr>
          <w:color w:val="auto"/>
          <w:sz w:val="24"/>
          <w:szCs w:val="24"/>
        </w:rPr>
        <w:t>. [online] Available at: https://www.sentencingcouncil.org.uk/sentencing-and-the-council/about-sentencing-guidelines/about-published-guidelines/assault/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76E7ADC3" w14:textId="77777777" w:rsidR="00CA5F34" w:rsidRPr="00EF7D53" w:rsidRDefault="00CA5F34" w:rsidP="00CA5F34">
      <w:pPr>
        <w:spacing w:line="360" w:lineRule="auto"/>
        <w:rPr>
          <w:color w:val="auto"/>
          <w:sz w:val="24"/>
          <w:szCs w:val="24"/>
        </w:rPr>
      </w:pPr>
    </w:p>
    <w:p w14:paraId="3102174A" w14:textId="77777777" w:rsidR="00CA5F34" w:rsidRPr="00EF7D53" w:rsidRDefault="00CA5F34" w:rsidP="00CA5F34">
      <w:pPr>
        <w:spacing w:line="360" w:lineRule="auto"/>
        <w:rPr>
          <w:color w:val="auto"/>
          <w:sz w:val="24"/>
          <w:szCs w:val="24"/>
        </w:rPr>
      </w:pPr>
      <w:r w:rsidRPr="00EF7D53">
        <w:rPr>
          <w:color w:val="auto"/>
          <w:sz w:val="24"/>
          <w:szCs w:val="24"/>
        </w:rPr>
        <w:t xml:space="preserve">South Wales Police. (2022). </w:t>
      </w:r>
      <w:r w:rsidRPr="00C20642">
        <w:rPr>
          <w:i/>
          <w:iCs/>
          <w:color w:val="auto"/>
          <w:sz w:val="24"/>
          <w:szCs w:val="24"/>
        </w:rPr>
        <w:t>South Wales Police encourage reports of domestic violence concerns over New Year after increase over last five years</w:t>
      </w:r>
      <w:r w:rsidRPr="00EF7D53">
        <w:rPr>
          <w:color w:val="auto"/>
          <w:sz w:val="24"/>
          <w:szCs w:val="24"/>
        </w:rPr>
        <w:t xml:space="preserve">. </w:t>
      </w:r>
      <w:r>
        <w:rPr>
          <w:color w:val="auto"/>
          <w:sz w:val="24"/>
          <w:szCs w:val="24"/>
        </w:rPr>
        <w:t xml:space="preserve">[online] </w:t>
      </w:r>
      <w:r w:rsidRPr="00EF7D53">
        <w:rPr>
          <w:color w:val="auto"/>
          <w:sz w:val="24"/>
          <w:szCs w:val="24"/>
        </w:rPr>
        <w:t xml:space="preserve">Available at: </w:t>
      </w:r>
      <w:hyperlink r:id="rId37" w:history="1">
        <w:r w:rsidRPr="00EF7D53">
          <w:rPr>
            <w:rStyle w:val="Hyperlink"/>
            <w:color w:val="auto"/>
            <w:sz w:val="24"/>
            <w:szCs w:val="24"/>
            <w:u w:val="none"/>
          </w:rPr>
          <w:t>https://www.south-wales.police.uk/news/south-wales/news/2022/rha-dec/south-wales-police-encourage-reports-of-domestic-violence-concerns-over-new-year-after-increase-over-last-five-years/</w:t>
        </w:r>
      </w:hyperlink>
      <w:r w:rsidRPr="00EF7D53">
        <w:rPr>
          <w:color w:val="auto"/>
          <w:sz w:val="24"/>
          <w:szCs w:val="24"/>
        </w:rPr>
        <w:t xml:space="preserve">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38444F9E" w14:textId="77777777" w:rsidR="00CA5F34" w:rsidRPr="00EF7D53" w:rsidRDefault="00CA5F34" w:rsidP="00CA5F34">
      <w:pPr>
        <w:spacing w:line="360" w:lineRule="auto"/>
        <w:rPr>
          <w:color w:val="auto"/>
          <w:sz w:val="24"/>
          <w:szCs w:val="24"/>
        </w:rPr>
      </w:pPr>
    </w:p>
    <w:p w14:paraId="2FAF4328" w14:textId="77777777" w:rsidR="00CA5F34" w:rsidRPr="00EF7D53" w:rsidRDefault="00CA5F34" w:rsidP="00CA5F34">
      <w:pPr>
        <w:spacing w:line="360" w:lineRule="auto"/>
        <w:rPr>
          <w:color w:val="auto"/>
          <w:sz w:val="24"/>
          <w:szCs w:val="24"/>
        </w:rPr>
      </w:pPr>
      <w:r w:rsidRPr="00E92B5A">
        <w:rPr>
          <w:color w:val="auto"/>
          <w:sz w:val="24"/>
          <w:szCs w:val="24"/>
        </w:rPr>
        <w:t>St John Ambulance (2019). </w:t>
      </w:r>
      <w:r w:rsidRPr="00E92B5A">
        <w:rPr>
          <w:i/>
          <w:iCs/>
          <w:color w:val="auto"/>
          <w:sz w:val="24"/>
          <w:szCs w:val="24"/>
        </w:rPr>
        <w:t>Primary Survey and DR ABC - First Aid Advice</w:t>
      </w:r>
      <w:r w:rsidRPr="00E92B5A">
        <w:rPr>
          <w:color w:val="auto"/>
          <w:sz w:val="24"/>
          <w:szCs w:val="24"/>
        </w:rPr>
        <w:t xml:space="preserve">. [online] Available at: https://www.sja.org.uk/get-advice/first-aid-advice/how-to/how-to-do-the-primary-survey/.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71B01871" w14:textId="77777777" w:rsidR="00CA5F34" w:rsidRPr="00EF7D53" w:rsidRDefault="00CA5F34" w:rsidP="00CA5F34">
      <w:pPr>
        <w:spacing w:line="360" w:lineRule="auto"/>
        <w:rPr>
          <w:color w:val="auto"/>
          <w:sz w:val="24"/>
          <w:szCs w:val="24"/>
        </w:rPr>
      </w:pPr>
    </w:p>
    <w:p w14:paraId="0BA688C3" w14:textId="77777777" w:rsidR="00CA5F34" w:rsidRPr="007C2A10" w:rsidRDefault="00CA5F34" w:rsidP="00CA5F34">
      <w:pPr>
        <w:spacing w:line="360" w:lineRule="auto"/>
        <w:rPr>
          <w:color w:val="auto"/>
          <w:sz w:val="24"/>
          <w:szCs w:val="24"/>
        </w:rPr>
      </w:pPr>
      <w:r w:rsidRPr="007C2A10">
        <w:rPr>
          <w:color w:val="auto"/>
          <w:sz w:val="24"/>
          <w:szCs w:val="24"/>
        </w:rPr>
        <w:t>The Crown Prosecution Service (2020). </w:t>
      </w:r>
      <w:r w:rsidRPr="007C2A10">
        <w:rPr>
          <w:i/>
          <w:iCs/>
          <w:color w:val="auto"/>
          <w:sz w:val="24"/>
          <w:szCs w:val="24"/>
        </w:rPr>
        <w:t>Domestic Abuse</w:t>
      </w:r>
      <w:r w:rsidRPr="007C2A10">
        <w:rPr>
          <w:color w:val="auto"/>
          <w:sz w:val="24"/>
          <w:szCs w:val="24"/>
        </w:rPr>
        <w:t xml:space="preserve">. [online] Available at: </w:t>
      </w:r>
      <w:hyperlink r:id="rId38" w:history="1">
        <w:r w:rsidRPr="007C2A10">
          <w:rPr>
            <w:rStyle w:val="Hyperlink"/>
            <w:color w:val="auto"/>
            <w:sz w:val="24"/>
            <w:szCs w:val="24"/>
            <w:u w:val="none"/>
          </w:rPr>
          <w:t>https://www.cps.gov.uk/legal-guidance/domestic-abuse</w:t>
        </w:r>
      </w:hyperlink>
      <w:r w:rsidRPr="007C2A10">
        <w:rPr>
          <w:color w:val="auto"/>
          <w:sz w:val="24"/>
          <w:szCs w:val="24"/>
        </w:rPr>
        <w:t xml:space="preserv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0ED94EED" w14:textId="77777777" w:rsidR="00CA5F34" w:rsidRPr="00EF7D53" w:rsidRDefault="00CA5F34" w:rsidP="00CA5F34">
      <w:pPr>
        <w:spacing w:line="360" w:lineRule="auto"/>
        <w:rPr>
          <w:color w:val="auto"/>
          <w:sz w:val="24"/>
          <w:szCs w:val="24"/>
        </w:rPr>
      </w:pPr>
    </w:p>
    <w:p w14:paraId="41B58269" w14:textId="77777777" w:rsidR="00CA5F34" w:rsidRPr="009937AA" w:rsidRDefault="00CA5F34" w:rsidP="00CA5F34">
      <w:pPr>
        <w:spacing w:line="360" w:lineRule="auto"/>
        <w:rPr>
          <w:color w:val="auto"/>
          <w:sz w:val="24"/>
          <w:szCs w:val="24"/>
        </w:rPr>
      </w:pPr>
      <w:r w:rsidRPr="009937AA">
        <w:rPr>
          <w:color w:val="auto"/>
          <w:sz w:val="24"/>
          <w:szCs w:val="24"/>
        </w:rPr>
        <w:t>UK Government (1998). </w:t>
      </w:r>
      <w:r w:rsidRPr="009937AA">
        <w:rPr>
          <w:i/>
          <w:iCs/>
          <w:color w:val="auto"/>
          <w:sz w:val="24"/>
          <w:szCs w:val="24"/>
        </w:rPr>
        <w:t>Human Rights Act 1998</w:t>
      </w:r>
      <w:r w:rsidRPr="009937AA">
        <w:rPr>
          <w:color w:val="auto"/>
          <w:sz w:val="24"/>
          <w:szCs w:val="24"/>
        </w:rPr>
        <w:t xml:space="preserve">. [online] Available at: https://www.legislation.gov.uk/ukpga/1998/42/contents.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6B58C557" w14:textId="77777777" w:rsidR="00CA5F34" w:rsidRPr="00EF7D53" w:rsidRDefault="00CA5F34" w:rsidP="00CA5F34">
      <w:pPr>
        <w:spacing w:line="360" w:lineRule="auto"/>
        <w:rPr>
          <w:color w:val="auto"/>
          <w:sz w:val="24"/>
          <w:szCs w:val="24"/>
        </w:rPr>
      </w:pPr>
    </w:p>
    <w:p w14:paraId="47979A95" w14:textId="77777777" w:rsidR="00CA5F34" w:rsidRDefault="00CA5F34" w:rsidP="00CA5F34">
      <w:pPr>
        <w:spacing w:line="360" w:lineRule="auto"/>
        <w:rPr>
          <w:color w:val="auto"/>
          <w:sz w:val="24"/>
          <w:szCs w:val="24"/>
        </w:rPr>
      </w:pPr>
      <w:r w:rsidRPr="00EF7D53">
        <w:rPr>
          <w:color w:val="auto"/>
          <w:sz w:val="24"/>
          <w:szCs w:val="24"/>
        </w:rPr>
        <w:t>UK Government (2012). </w:t>
      </w:r>
      <w:r w:rsidRPr="00C20642">
        <w:rPr>
          <w:i/>
          <w:iCs/>
          <w:color w:val="auto"/>
          <w:sz w:val="24"/>
          <w:szCs w:val="24"/>
        </w:rPr>
        <w:t>G POLICE AND CRIMINAL EVIDENCE ACT 1984 (PACE) CODE G REVISED CODE OF PRACTICE FOR THE STATUTORY POWER OF ARREST BY POLICE OFFICERS</w:t>
      </w:r>
      <w:r w:rsidRPr="00EF7D53">
        <w:rPr>
          <w:color w:val="auto"/>
          <w:sz w:val="24"/>
          <w:szCs w:val="24"/>
        </w:rPr>
        <w:t xml:space="preserve">. [online] Available at: </w:t>
      </w:r>
      <w:hyperlink r:id="rId39" w:history="1">
        <w:r w:rsidRPr="00EF7D53">
          <w:rPr>
            <w:rStyle w:val="Hyperlink"/>
            <w:color w:val="auto"/>
            <w:sz w:val="24"/>
            <w:szCs w:val="24"/>
            <w:u w:val="none"/>
          </w:rPr>
          <w:t>https://assets.publishing.service.gov.uk/government/uploads/system/uploads/attachment_data/file/903814/pace-code-g-2012.pdf</w:t>
        </w:r>
      </w:hyperlink>
      <w:r w:rsidRPr="00EF7D53">
        <w:rPr>
          <w:color w:val="auto"/>
          <w:sz w:val="24"/>
          <w:szCs w:val="24"/>
        </w:rPr>
        <w:t>.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1E122943" w14:textId="77777777" w:rsidR="00CA5F34" w:rsidRDefault="00CA5F34" w:rsidP="00CA5F34">
      <w:pPr>
        <w:spacing w:line="360" w:lineRule="auto"/>
        <w:rPr>
          <w:color w:val="auto"/>
          <w:sz w:val="24"/>
          <w:szCs w:val="24"/>
        </w:rPr>
      </w:pPr>
    </w:p>
    <w:p w14:paraId="39C5AEBB" w14:textId="77777777" w:rsidR="00CA5F34" w:rsidRPr="00EF7D53" w:rsidRDefault="00CA5F34" w:rsidP="00CA5F34">
      <w:pPr>
        <w:spacing w:line="360" w:lineRule="auto"/>
        <w:rPr>
          <w:color w:val="auto"/>
          <w:sz w:val="24"/>
          <w:szCs w:val="24"/>
        </w:rPr>
      </w:pPr>
      <w:r>
        <w:rPr>
          <w:color w:val="auto"/>
          <w:sz w:val="24"/>
          <w:szCs w:val="24"/>
        </w:rPr>
        <w:t>UK Government</w:t>
      </w:r>
      <w:r w:rsidRPr="009937AA">
        <w:rPr>
          <w:color w:val="auto"/>
          <w:sz w:val="24"/>
          <w:szCs w:val="24"/>
        </w:rPr>
        <w:t xml:space="preserve"> (2023). </w:t>
      </w:r>
      <w:r w:rsidRPr="009937AA">
        <w:rPr>
          <w:i/>
          <w:iCs/>
          <w:color w:val="auto"/>
          <w:sz w:val="24"/>
          <w:szCs w:val="24"/>
        </w:rPr>
        <w:t>The Police (Conduct) Regulations 1999</w:t>
      </w:r>
      <w:r w:rsidRPr="009937AA">
        <w:rPr>
          <w:color w:val="auto"/>
          <w:sz w:val="24"/>
          <w:szCs w:val="24"/>
        </w:rPr>
        <w:t xml:space="preserve">. [online] Available at: https://www.legislation.gov.uk/uksi/1999/730/schedule/1/made#:~:text=Whether%20on%20or%20off%20duty%2C%20police%20officers%20should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6FCD0908" w14:textId="77777777" w:rsidR="00CA5F34" w:rsidRPr="00EF7D53" w:rsidRDefault="00CA5F34" w:rsidP="00CA5F34">
      <w:pPr>
        <w:spacing w:line="360" w:lineRule="auto"/>
        <w:rPr>
          <w:color w:val="auto"/>
          <w:sz w:val="24"/>
          <w:szCs w:val="24"/>
        </w:rPr>
      </w:pPr>
    </w:p>
    <w:p w14:paraId="27E07497" w14:textId="77777777" w:rsidR="00CA5F34" w:rsidRPr="00EF7D53" w:rsidRDefault="00CA5F34" w:rsidP="00CA5F34">
      <w:pPr>
        <w:spacing w:line="360" w:lineRule="auto"/>
        <w:rPr>
          <w:color w:val="auto"/>
          <w:sz w:val="24"/>
          <w:szCs w:val="24"/>
        </w:rPr>
      </w:pPr>
      <w:r w:rsidRPr="00EF7D53">
        <w:rPr>
          <w:color w:val="auto"/>
          <w:sz w:val="24"/>
          <w:szCs w:val="24"/>
        </w:rPr>
        <w:t>Victim Support (2016). </w:t>
      </w:r>
      <w:r w:rsidRPr="00C20642">
        <w:rPr>
          <w:i/>
          <w:iCs/>
          <w:color w:val="auto"/>
          <w:sz w:val="24"/>
          <w:szCs w:val="24"/>
        </w:rPr>
        <w:t>Victim Support.</w:t>
      </w:r>
      <w:r w:rsidRPr="00EF7D53">
        <w:rPr>
          <w:color w:val="auto"/>
          <w:sz w:val="24"/>
          <w:szCs w:val="24"/>
        </w:rPr>
        <w:t xml:space="preserve"> [online] Available at: https://www.victimsupport.org.uk/.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68E581EB" w14:textId="77777777" w:rsidR="00CA5F34" w:rsidRPr="00EF7D53" w:rsidRDefault="00CA5F34" w:rsidP="00CA5F34">
      <w:pPr>
        <w:spacing w:line="360" w:lineRule="auto"/>
        <w:rPr>
          <w:color w:val="auto"/>
          <w:sz w:val="24"/>
          <w:szCs w:val="24"/>
        </w:rPr>
      </w:pPr>
    </w:p>
    <w:p w14:paraId="47B615FF" w14:textId="77777777" w:rsidR="00CA5F34" w:rsidRPr="00EF7D53" w:rsidRDefault="00CA5F34" w:rsidP="00CA5F34">
      <w:pPr>
        <w:spacing w:line="360" w:lineRule="auto"/>
        <w:rPr>
          <w:color w:val="auto"/>
          <w:sz w:val="24"/>
          <w:szCs w:val="24"/>
        </w:rPr>
      </w:pPr>
      <w:r w:rsidRPr="00EF7D53">
        <w:rPr>
          <w:color w:val="auto"/>
          <w:sz w:val="24"/>
          <w:szCs w:val="24"/>
        </w:rPr>
        <w:t>Welsh Government (2022). </w:t>
      </w:r>
      <w:r w:rsidRPr="00C20642">
        <w:rPr>
          <w:i/>
          <w:iCs/>
          <w:color w:val="auto"/>
          <w:sz w:val="24"/>
          <w:szCs w:val="24"/>
        </w:rPr>
        <w:t>Live Fear Free helpline</w:t>
      </w:r>
      <w:r w:rsidRPr="00EF7D53">
        <w:rPr>
          <w:color w:val="auto"/>
          <w:sz w:val="24"/>
          <w:szCs w:val="24"/>
        </w:rPr>
        <w:t>. [online] Available at: https://www.gov.wales/live-fear-free [Accessed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2F76BA9E" w14:textId="77777777" w:rsidR="00CA5F34" w:rsidRPr="00EF7D53" w:rsidRDefault="00CA5F34" w:rsidP="00CA5F34">
      <w:pPr>
        <w:spacing w:line="360" w:lineRule="auto"/>
        <w:rPr>
          <w:color w:val="auto"/>
          <w:sz w:val="24"/>
          <w:szCs w:val="24"/>
        </w:rPr>
      </w:pPr>
    </w:p>
    <w:p w14:paraId="78E21736" w14:textId="77777777" w:rsidR="00CA5F34" w:rsidRPr="005A4B82" w:rsidRDefault="00CA5F34" w:rsidP="00CA5F34">
      <w:pPr>
        <w:spacing w:line="360" w:lineRule="auto"/>
        <w:rPr>
          <w:color w:val="auto"/>
          <w:sz w:val="24"/>
          <w:szCs w:val="24"/>
        </w:rPr>
      </w:pPr>
      <w:r w:rsidRPr="005A4B82">
        <w:rPr>
          <w:color w:val="auto"/>
          <w:sz w:val="24"/>
          <w:szCs w:val="24"/>
        </w:rPr>
        <w:t>Women's Aid (2015). </w:t>
      </w:r>
      <w:r w:rsidRPr="005A4B82">
        <w:rPr>
          <w:i/>
          <w:iCs/>
          <w:color w:val="auto"/>
          <w:sz w:val="24"/>
          <w:szCs w:val="24"/>
        </w:rPr>
        <w:t>What Is Domestic abuse?</w:t>
      </w:r>
      <w:r w:rsidRPr="005A4B82">
        <w:rPr>
          <w:color w:val="auto"/>
          <w:sz w:val="24"/>
          <w:szCs w:val="24"/>
        </w:rPr>
        <w:t> [online</w:t>
      </w:r>
      <w:r>
        <w:rPr>
          <w:color w:val="auto"/>
          <w:sz w:val="24"/>
          <w:szCs w:val="24"/>
        </w:rPr>
        <w:t>]</w:t>
      </w:r>
      <w:r w:rsidRPr="005A4B82">
        <w:rPr>
          <w:color w:val="auto"/>
          <w:sz w:val="24"/>
          <w:szCs w:val="24"/>
        </w:rPr>
        <w:t xml:space="preserve"> Available at: https://www.womensaid.org.uk/information-support/what-is-domestic-abuse/.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14A16E54" w14:textId="77777777" w:rsidR="00CA5F34" w:rsidRPr="00EF7D53" w:rsidRDefault="00CA5F34" w:rsidP="00CA5F34">
      <w:pPr>
        <w:spacing w:line="360" w:lineRule="auto"/>
        <w:rPr>
          <w:color w:val="auto"/>
          <w:sz w:val="24"/>
          <w:szCs w:val="24"/>
        </w:rPr>
      </w:pPr>
    </w:p>
    <w:p w14:paraId="10123BCC" w14:textId="77777777" w:rsidR="00CA5F34" w:rsidRPr="00EF7D53" w:rsidRDefault="00CA5F34" w:rsidP="00CA5F34">
      <w:pPr>
        <w:spacing w:line="360" w:lineRule="auto"/>
        <w:rPr>
          <w:color w:val="auto"/>
          <w:sz w:val="24"/>
          <w:szCs w:val="24"/>
        </w:rPr>
      </w:pPr>
      <w:r w:rsidRPr="00EF7D53">
        <w:rPr>
          <w:color w:val="auto"/>
          <w:sz w:val="24"/>
          <w:szCs w:val="24"/>
        </w:rPr>
        <w:t>Zenger, J. and Folkman, J. (2019). </w:t>
      </w:r>
      <w:r w:rsidRPr="00EF7D53">
        <w:rPr>
          <w:i/>
          <w:iCs/>
          <w:color w:val="auto"/>
          <w:sz w:val="24"/>
          <w:szCs w:val="24"/>
        </w:rPr>
        <w:t>The 3 Elements of Trust</w:t>
      </w:r>
      <w:r w:rsidRPr="00EF7D53">
        <w:rPr>
          <w:color w:val="auto"/>
          <w:sz w:val="24"/>
          <w:szCs w:val="24"/>
        </w:rPr>
        <w:t xml:space="preserve">. [online] Available at: </w:t>
      </w:r>
      <w:hyperlink r:id="rId40" w:history="1">
        <w:r w:rsidRPr="00EF7D53">
          <w:rPr>
            <w:rStyle w:val="Hyperlink"/>
            <w:color w:val="auto"/>
            <w:sz w:val="24"/>
            <w:szCs w:val="24"/>
            <w:u w:val="none"/>
          </w:rPr>
          <w:t>https://hbr.org/2019/02/the-3-elements-of-trust</w:t>
        </w:r>
      </w:hyperlink>
      <w:r w:rsidRPr="00EF7D53">
        <w:rPr>
          <w:color w:val="auto"/>
          <w:sz w:val="24"/>
          <w:szCs w:val="24"/>
        </w:rPr>
        <w:t>.</w:t>
      </w:r>
      <w:r>
        <w:rPr>
          <w:color w:val="auto"/>
          <w:sz w:val="24"/>
          <w:szCs w:val="24"/>
        </w:rPr>
        <w:t xml:space="preserve"> </w:t>
      </w:r>
      <w:r w:rsidRPr="00EF7D53">
        <w:rPr>
          <w:color w:val="auto"/>
          <w:sz w:val="24"/>
          <w:szCs w:val="24"/>
        </w:rPr>
        <w:t>[Accessed</w:t>
      </w:r>
      <w:r>
        <w:rPr>
          <w:color w:val="auto"/>
          <w:sz w:val="24"/>
          <w:szCs w:val="24"/>
        </w:rPr>
        <w:t xml:space="preserve"> on:</w:t>
      </w:r>
      <w:r w:rsidRPr="00EF7D53">
        <w:rPr>
          <w:color w:val="auto"/>
          <w:sz w:val="24"/>
          <w:szCs w:val="24"/>
        </w:rPr>
        <w:t xml:space="preserve"> 16</w:t>
      </w:r>
      <w:r w:rsidRPr="00EF7D53">
        <w:rPr>
          <w:color w:val="auto"/>
          <w:sz w:val="24"/>
          <w:szCs w:val="24"/>
          <w:vertAlign w:val="superscript"/>
        </w:rPr>
        <w:t>th</w:t>
      </w:r>
      <w:r w:rsidRPr="00EF7D53">
        <w:rPr>
          <w:color w:val="auto"/>
          <w:sz w:val="24"/>
          <w:szCs w:val="24"/>
        </w:rPr>
        <w:t xml:space="preserve"> Jan 2023].</w:t>
      </w:r>
    </w:p>
    <w:p w14:paraId="0AB807FE" w14:textId="2453AAD8" w:rsidR="1E8636EB" w:rsidRDefault="1E8636EB" w:rsidP="00CA5F34">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852F60" w14:textId="77777777" w:rsidR="00CA5F34" w:rsidRDefault="00CA5F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1E9C9" w14:textId="77777777" w:rsidR="00CA5F34" w:rsidRDefault="00CA5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1A0D6" w14:textId="77777777" w:rsidR="00CA5F34" w:rsidRDefault="00CA5F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BD2F34" w14:textId="77777777" w:rsidR="00CA5F34" w:rsidRDefault="00CA5F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7BF52" w14:textId="77777777" w:rsidR="00CA5F34" w:rsidRDefault="00CA5F34">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038698B4"/>
    <w:lvl w:ilvl="0" w:tplc="D92ABAC0">
      <w:start w:val="1"/>
      <w:numFmt w:val="decimal"/>
      <w:lvlText w:val="%1."/>
      <w:lvlJc w:val="left"/>
      <w:pPr>
        <w:ind w:left="720" w:hanging="360"/>
      </w:pPr>
    </w:lvl>
    <w:lvl w:ilvl="1" w:tplc="CE18181C">
      <w:start w:val="1"/>
      <w:numFmt w:val="lowerLetter"/>
      <w:lvlText w:val="%2."/>
      <w:lvlJc w:val="left"/>
      <w:pPr>
        <w:ind w:left="1440" w:hanging="360"/>
      </w:pPr>
    </w:lvl>
    <w:lvl w:ilvl="2" w:tplc="52E47E42">
      <w:start w:val="1"/>
      <w:numFmt w:val="lowerRoman"/>
      <w:lvlText w:val="%3."/>
      <w:lvlJc w:val="right"/>
      <w:pPr>
        <w:ind w:left="2160" w:hanging="180"/>
      </w:pPr>
    </w:lvl>
    <w:lvl w:ilvl="3" w:tplc="4118AC36">
      <w:start w:val="1"/>
      <w:numFmt w:val="decimal"/>
      <w:lvlText w:val="%4."/>
      <w:lvlJc w:val="left"/>
      <w:pPr>
        <w:ind w:left="2880" w:hanging="360"/>
      </w:pPr>
    </w:lvl>
    <w:lvl w:ilvl="4" w:tplc="039A76B4">
      <w:start w:val="1"/>
      <w:numFmt w:val="lowerLetter"/>
      <w:lvlText w:val="%5."/>
      <w:lvlJc w:val="left"/>
      <w:pPr>
        <w:ind w:left="3600" w:hanging="360"/>
      </w:pPr>
    </w:lvl>
    <w:lvl w:ilvl="5" w:tplc="58646B2C">
      <w:start w:val="1"/>
      <w:numFmt w:val="lowerRoman"/>
      <w:lvlText w:val="%6."/>
      <w:lvlJc w:val="right"/>
      <w:pPr>
        <w:ind w:left="4320" w:hanging="180"/>
      </w:pPr>
    </w:lvl>
    <w:lvl w:ilvl="6" w:tplc="DD5A44F8">
      <w:start w:val="1"/>
      <w:numFmt w:val="decimal"/>
      <w:lvlText w:val="%7."/>
      <w:lvlJc w:val="left"/>
      <w:pPr>
        <w:ind w:left="5040" w:hanging="360"/>
      </w:pPr>
    </w:lvl>
    <w:lvl w:ilvl="7" w:tplc="6BDC3100">
      <w:start w:val="1"/>
      <w:numFmt w:val="lowerLetter"/>
      <w:lvlText w:val="%8."/>
      <w:lvlJc w:val="left"/>
      <w:pPr>
        <w:ind w:left="5760" w:hanging="360"/>
      </w:pPr>
    </w:lvl>
    <w:lvl w:ilvl="8" w:tplc="22903D16">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4B267C0E"/>
    <w:lvl w:ilvl="0" w:tplc="C83E6E8E">
      <w:start w:val="1"/>
      <w:numFmt w:val="decimal"/>
      <w:lvlText w:val="%1."/>
      <w:lvlJc w:val="left"/>
      <w:pPr>
        <w:ind w:left="720" w:hanging="360"/>
      </w:pPr>
    </w:lvl>
    <w:lvl w:ilvl="1" w:tplc="DCDEB284">
      <w:start w:val="1"/>
      <w:numFmt w:val="decimal"/>
      <w:lvlText w:val="%2."/>
      <w:lvlJc w:val="left"/>
      <w:pPr>
        <w:ind w:left="1440" w:hanging="360"/>
      </w:pPr>
    </w:lvl>
    <w:lvl w:ilvl="2" w:tplc="FB2A4350">
      <w:start w:val="1"/>
      <w:numFmt w:val="lowerRoman"/>
      <w:lvlText w:val="%3."/>
      <w:lvlJc w:val="right"/>
      <w:pPr>
        <w:ind w:left="2160" w:hanging="180"/>
      </w:pPr>
    </w:lvl>
    <w:lvl w:ilvl="3" w:tplc="E3D4D1F6">
      <w:start w:val="1"/>
      <w:numFmt w:val="decimal"/>
      <w:lvlText w:val="%4."/>
      <w:lvlJc w:val="left"/>
      <w:pPr>
        <w:ind w:left="2880" w:hanging="360"/>
      </w:pPr>
    </w:lvl>
    <w:lvl w:ilvl="4" w:tplc="838890AA">
      <w:start w:val="1"/>
      <w:numFmt w:val="lowerLetter"/>
      <w:lvlText w:val="%5."/>
      <w:lvlJc w:val="left"/>
      <w:pPr>
        <w:ind w:left="3600" w:hanging="360"/>
      </w:pPr>
    </w:lvl>
    <w:lvl w:ilvl="5" w:tplc="54CEDFA6">
      <w:start w:val="1"/>
      <w:numFmt w:val="lowerRoman"/>
      <w:lvlText w:val="%6."/>
      <w:lvlJc w:val="right"/>
      <w:pPr>
        <w:ind w:left="4320" w:hanging="180"/>
      </w:pPr>
    </w:lvl>
    <w:lvl w:ilvl="6" w:tplc="680ADC7E">
      <w:start w:val="1"/>
      <w:numFmt w:val="decimal"/>
      <w:lvlText w:val="%7."/>
      <w:lvlJc w:val="left"/>
      <w:pPr>
        <w:ind w:left="5040" w:hanging="360"/>
      </w:pPr>
    </w:lvl>
    <w:lvl w:ilvl="7" w:tplc="90EC247C">
      <w:start w:val="1"/>
      <w:numFmt w:val="lowerLetter"/>
      <w:lvlText w:val="%8."/>
      <w:lvlJc w:val="left"/>
      <w:pPr>
        <w:ind w:left="5760" w:hanging="360"/>
      </w:pPr>
    </w:lvl>
    <w:lvl w:ilvl="8" w:tplc="1224406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7"/>
  </w:num>
  <w:num w:numId="2">
    <w:abstractNumId w:val="10"/>
  </w:num>
  <w:num w:numId="3">
    <w:abstractNumId w:val="1"/>
    <w:lvlOverride w:ilvl="0">
      <w:lvl w:ilvl="0">
        <w:start w:val="1"/>
        <w:numFmt w:val="bullet"/>
        <w:lvlText w:val=""/>
        <w:lvlJc w:val="left"/>
        <w:pPr>
          <w:ind w:left="720" w:hanging="360"/>
        </w:pPr>
        <w:rPr>
          <w:rFonts w:ascii="Symbol" w:hAnsi="Symbol" w:hint="default"/>
        </w:rPr>
      </w:lvl>
    </w:lvlOverride>
  </w:num>
  <w:num w:numId="4">
    <w:abstractNumId w:val="22"/>
  </w:num>
  <w:num w:numId="5">
    <w:abstractNumId w:val="44"/>
  </w:num>
  <w:num w:numId="6">
    <w:abstractNumId w:val="46"/>
  </w:num>
  <w:num w:numId="7">
    <w:abstractNumId w:val="34"/>
  </w:num>
  <w:num w:numId="8">
    <w:abstractNumId w:val="32"/>
  </w:num>
  <w:num w:numId="9">
    <w:abstractNumId w:val="29"/>
  </w:num>
  <w:num w:numId="10">
    <w:abstractNumId w:val="30"/>
  </w:num>
  <w:num w:numId="11">
    <w:abstractNumId w:val="9"/>
  </w:num>
  <w:num w:numId="12">
    <w:abstractNumId w:val="33"/>
  </w:num>
  <w:num w:numId="13">
    <w:abstractNumId w:val="17"/>
  </w:num>
  <w:num w:numId="14">
    <w:abstractNumId w:val="16"/>
  </w:num>
  <w:num w:numId="15">
    <w:abstractNumId w:val="26"/>
  </w:num>
  <w:num w:numId="16">
    <w:abstractNumId w:val="7"/>
  </w:num>
  <w:num w:numId="17">
    <w:abstractNumId w:val="25"/>
  </w:num>
  <w:num w:numId="18">
    <w:abstractNumId w:val="15"/>
  </w:num>
  <w:num w:numId="19">
    <w:abstractNumId w:val="13"/>
  </w:num>
  <w:num w:numId="2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3"/>
  </w:num>
  <w:num w:numId="22">
    <w:abstractNumId w:val="18"/>
  </w:num>
  <w:num w:numId="23">
    <w:abstractNumId w:val="14"/>
  </w:num>
  <w:num w:numId="24">
    <w:abstractNumId w:val="11"/>
  </w:num>
  <w:num w:numId="25">
    <w:abstractNumId w:val="27"/>
  </w:num>
  <w:num w:numId="26">
    <w:abstractNumId w:val="19"/>
  </w:num>
  <w:num w:numId="27">
    <w:abstractNumId w:val="40"/>
  </w:num>
  <w:num w:numId="28">
    <w:abstractNumId w:val="35"/>
  </w:num>
  <w:num w:numId="29">
    <w:abstractNumId w:val="39"/>
  </w:num>
  <w:num w:numId="30">
    <w:abstractNumId w:val="20"/>
  </w:num>
  <w:num w:numId="31">
    <w:abstractNumId w:val="42"/>
  </w:num>
  <w:num w:numId="32">
    <w:abstractNumId w:val="31"/>
  </w:num>
  <w:num w:numId="33">
    <w:abstractNumId w:val="12"/>
  </w:num>
  <w:num w:numId="34">
    <w:abstractNumId w:val="43"/>
  </w:num>
  <w:num w:numId="35">
    <w:abstractNumId w:val="38"/>
  </w:num>
  <w:num w:numId="36">
    <w:abstractNumId w:val="4"/>
  </w:num>
  <w:num w:numId="37">
    <w:abstractNumId w:val="45"/>
  </w:num>
  <w:num w:numId="38">
    <w:abstractNumId w:val="41"/>
  </w:num>
  <w:num w:numId="39">
    <w:abstractNumId w:val="36"/>
  </w:num>
  <w:num w:numId="40">
    <w:abstractNumId w:val="37"/>
  </w:num>
  <w:num w:numId="41">
    <w:abstractNumId w:val="3"/>
  </w:num>
  <w:num w:numId="42">
    <w:abstractNumId w:val="5"/>
  </w:num>
  <w:num w:numId="43">
    <w:abstractNumId w:val="24"/>
  </w:num>
  <w:num w:numId="44">
    <w:abstractNumId w:val="6"/>
  </w:num>
  <w:num w:numId="45">
    <w:abstractNumId w:val="2"/>
  </w:num>
  <w:num w:numId="46">
    <w:abstractNumId w:val="0"/>
  </w:num>
  <w:num w:numId="47">
    <w:abstractNumId w:val="21"/>
  </w:num>
  <w:num w:numId="48">
    <w:abstractNumId w:val="28"/>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5F34"/>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psychologytoday.com/us/blog/in-it-together/202006/active-listening-skills" TargetMode="External"/><Relationship Id="rId39" Type="http://schemas.openxmlformats.org/officeDocument/2006/relationships/hyperlink" Target="https://assets.publishing.service.gov.uk/government/uploads/system/uploads/attachment_data/file/903814/pace-code-g-2012.pdf" TargetMode="External"/><Relationship Id="rId21" Type="http://schemas.openxmlformats.org/officeDocument/2006/relationships/hyperlink" Target="https://www.sciencedirect.com/science/article/abs/pii/003050736990004X" TargetMode="External"/><Relationship Id="rId34" Type="http://schemas.openxmlformats.org/officeDocument/2006/relationships/hyperlink" Target="https://www.ons.gov.uk/peoplepopulationandcommunity/crimeandjustice/bulletins/domesticabuseinenglandandwales/yearendingmarch2018#domestic-abuse-related-offences-specific-crime-types"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gov.uk/government/news/new-definition-of-domestic-violenc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on-process?highlight=golden%20hour" TargetMode="External"/><Relationship Id="rId32" Type="http://schemas.openxmlformats.org/officeDocument/2006/relationships/hyperlink" Target="https://assets.publishing.service.gov.uk/government/uploads/system/uploads/attachment_data/file/936239/victims-code-2020.pdf" TargetMode="External"/><Relationship Id="rId37" Type="http://schemas.openxmlformats.org/officeDocument/2006/relationships/hyperlink" Target="https://www.south-wales.police.uk/news/south-wales/news/2022/rha-dec/south-wales-police-encourage-reports-of-domestic-violence-concerns-over-new-year-after-increase-over-last-five-years/" TargetMode="External"/><Relationship Id="rId40" Type="http://schemas.openxmlformats.org/officeDocument/2006/relationships/hyperlink" Target="https://hbr.org/2019/02/the-3-elements-of-trust"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verywellmind.com/multitasking-2795003" TargetMode="External"/><Relationship Id="rId28" Type="http://schemas.openxmlformats.org/officeDocument/2006/relationships/hyperlink" Target="https://www.justiceinspectorates.gov.uk/hmicfrs/wp-content/uploads/2014/03/south-wales-approach-to-tackling-domestic-abuse.pdf" TargetMode="External"/><Relationship Id="rId36" Type="http://schemas.openxmlformats.org/officeDocument/2006/relationships/hyperlink" Target="https://r2.vlereader.com/EpubReader?ean=1782806265876#"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post.parliament.uk/research-briefings/post-pn-061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rcvc.ca/docs/victimization.pdf" TargetMode="External"/><Relationship Id="rId27" Type="http://schemas.openxmlformats.org/officeDocument/2006/relationships/hyperlink" Target="https://doi.org/10.3389/fpsyg.2017.00851" TargetMode="External"/><Relationship Id="rId30" Type="http://schemas.openxmlformats.org/officeDocument/2006/relationships/hyperlink" Target="https://psychcentral.com/lib/what-is-emotional-intelligence-eq" TargetMode="External"/><Relationship Id="rId35" Type="http://schemas.openxmlformats.org/officeDocument/2006/relationships/hyperlink" Target="https://doi.org/10.1002/jts.20505" TargetMode="External"/><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doi.org/10.1007/s10896-009-9274-z" TargetMode="External"/><Relationship Id="rId33" Type="http://schemas.openxmlformats.org/officeDocument/2006/relationships/hyperlink" Target="https://www.ons.gov.uk/peoplepopulationandcommunity/crimeandjustice/articles/domesticabusevictimcharacteristicsenglandandwales/yearendingmarch2020" TargetMode="External"/><Relationship Id="rId38" Type="http://schemas.openxmlformats.org/officeDocument/2006/relationships/hyperlink" Target="https://www.cps.gov.uk/legal-guidance/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28</Pages>
  <Words>6265</Words>
  <Characters>40091</Characters>
  <Application>Microsoft Office Word</Application>
  <DocSecurity>0</DocSecurity>
  <Lines>334</Lines>
  <Paragraphs>92</Paragraphs>
  <ScaleCrop>false</ScaleCrop>
  <Company>Powys County Council</Company>
  <LinksUpToDate>false</LinksUpToDate>
  <CharactersWithSpaces>46264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Jack Travis</cp:lastModifiedBy>
  <cp:revision>2</cp:revision>
  <cp:lastPrinted>2014-08-26T08:55:00Z</cp:lastPrinted>
  <dcterms:created xsi:type="dcterms:W3CDTF">2023-01-16T19:02:00Z</dcterms:created>
  <dcterms:modified xsi:type="dcterms:W3CDTF">2023-01-16T19:02:00Z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2023-01-16T19:00:57Z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a72bb622-afc1-4f0a-bf86-13ccabb76f34</vt:lpwstr>
  </property>
  <property fmtid="{D5CDD505-2E9C-101B-9397-08002B2CF9AE}" pid="9" name="MSIP_Label_66cf8fe5-b7b7-4df7-b38d-1c61ac2f6639_ContentBits">
    <vt:lpwstr>0</vt:lpwstr>
  </property>
</Properties>
</file>