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37DB9" w14:textId="006F635F" w:rsidR="00DD725A" w:rsidRPr="00E6540F" w:rsidRDefault="00702906" w:rsidP="00074CB9">
      <w:pPr>
        <w:pStyle w:val="Textbody"/>
        <w:spacing w:line="360" w:lineRule="auto"/>
        <w:jc w:val="center"/>
        <w:rPr>
          <w:rFonts w:ascii="Arial" w:hAnsi="Arial"/>
          <w:b/>
          <w:bCs/>
        </w:rPr>
      </w:pPr>
      <w:r w:rsidRPr="00E6540F">
        <w:rPr>
          <w:rFonts w:ascii="Arial" w:hAnsi="Arial"/>
          <w:b/>
          <w:bCs/>
        </w:rPr>
        <w:t>Applied Social and Educational Research (ECYW5007)</w:t>
      </w:r>
      <w:r w:rsidR="00797D71">
        <w:rPr>
          <w:rFonts w:ascii="Arial" w:hAnsi="Arial"/>
          <w:b/>
          <w:bCs/>
        </w:rPr>
        <w:t xml:space="preserve"> Assessment</w:t>
      </w:r>
    </w:p>
    <w:p w14:paraId="3A513627" w14:textId="28961013" w:rsidR="00DD725A" w:rsidRDefault="00DD725A" w:rsidP="00074CB9">
      <w:pPr>
        <w:pStyle w:val="Textbody"/>
        <w:spacing w:line="360" w:lineRule="auto"/>
        <w:jc w:val="center"/>
        <w:rPr>
          <w:rFonts w:ascii="Arial" w:hAnsi="Arial"/>
          <w:b/>
          <w:bCs/>
          <w:sz w:val="36"/>
          <w:szCs w:val="36"/>
        </w:rPr>
      </w:pPr>
      <w:r>
        <w:rPr>
          <w:rFonts w:ascii="Arial" w:hAnsi="Arial"/>
          <w:b/>
          <w:bCs/>
          <w:sz w:val="36"/>
          <w:szCs w:val="36"/>
        </w:rPr>
        <w:t>PART ONE</w:t>
      </w:r>
    </w:p>
    <w:p w14:paraId="593987ED" w14:textId="1F77C403" w:rsidR="00CE3441" w:rsidRDefault="00F367B0" w:rsidP="00074CB9">
      <w:pPr>
        <w:pStyle w:val="Textbody"/>
        <w:spacing w:line="360" w:lineRule="auto"/>
        <w:jc w:val="center"/>
        <w:rPr>
          <w:rFonts w:ascii="Arial" w:hAnsi="Arial"/>
          <w:b/>
          <w:bCs/>
          <w:sz w:val="36"/>
          <w:szCs w:val="36"/>
        </w:rPr>
      </w:pPr>
      <w:r w:rsidRPr="00A606C9">
        <w:rPr>
          <w:rFonts w:ascii="Arial" w:hAnsi="Arial"/>
          <w:b/>
          <w:bCs/>
          <w:sz w:val="36"/>
          <w:szCs w:val="36"/>
        </w:rPr>
        <w:t xml:space="preserve">Critical Analysis of </w:t>
      </w:r>
      <w:r w:rsidR="004B0300" w:rsidRPr="00A606C9">
        <w:rPr>
          <w:rFonts w:ascii="Arial" w:hAnsi="Arial"/>
          <w:b/>
          <w:bCs/>
          <w:sz w:val="36"/>
          <w:szCs w:val="36"/>
        </w:rPr>
        <w:t>Williams &amp; Richardson</w:t>
      </w:r>
      <w:r w:rsidR="00A606C9" w:rsidRPr="00A606C9">
        <w:rPr>
          <w:rFonts w:ascii="Arial" w:hAnsi="Arial"/>
          <w:b/>
          <w:bCs/>
          <w:sz w:val="36"/>
          <w:szCs w:val="36"/>
        </w:rPr>
        <w:t xml:space="preserve"> (2024) </w:t>
      </w:r>
      <w:r w:rsidR="00A606C9" w:rsidRPr="00A606C9">
        <w:rPr>
          <w:rFonts w:ascii="Arial" w:hAnsi="Arial"/>
          <w:b/>
          <w:bCs/>
          <w:sz w:val="36"/>
          <w:szCs w:val="36"/>
        </w:rPr>
        <w:t>‘What Do JNC Youth Workers Conceive of as “Professional Maturity” in Youth Work Practice’</w:t>
      </w:r>
    </w:p>
    <w:p w14:paraId="0F2071A2" w14:textId="77777777" w:rsidR="00CE3441" w:rsidRPr="00074CB9" w:rsidRDefault="00F367B0" w:rsidP="00074CB9">
      <w:pPr>
        <w:pStyle w:val="Textbody"/>
        <w:spacing w:line="360" w:lineRule="auto"/>
        <w:jc w:val="center"/>
        <w:rPr>
          <w:rFonts w:ascii="Arial" w:hAnsi="Arial"/>
          <w:b/>
          <w:bCs/>
          <w:sz w:val="28"/>
          <w:szCs w:val="28"/>
        </w:rPr>
      </w:pPr>
      <w:r w:rsidRPr="00074CB9">
        <w:rPr>
          <w:rFonts w:ascii="Arial" w:hAnsi="Arial"/>
          <w:b/>
          <w:bCs/>
          <w:sz w:val="28"/>
          <w:szCs w:val="28"/>
        </w:rPr>
        <w:t>Introduction</w:t>
      </w:r>
    </w:p>
    <w:p w14:paraId="6AB401DB" w14:textId="5914F9F3" w:rsidR="00CE3441" w:rsidRPr="00074CB9" w:rsidRDefault="00F367B0" w:rsidP="00074CB9">
      <w:pPr>
        <w:pStyle w:val="Textbody"/>
        <w:spacing w:after="0" w:line="360" w:lineRule="auto"/>
        <w:rPr>
          <w:rFonts w:ascii="Arial" w:hAnsi="Arial"/>
        </w:rPr>
      </w:pPr>
      <w:r w:rsidRPr="00074CB9">
        <w:rPr>
          <w:rFonts w:ascii="Arial" w:hAnsi="Arial"/>
        </w:rPr>
        <w:t xml:space="preserve">The following work will provide a critical analysis of the 2024 </w:t>
      </w:r>
      <w:r w:rsidRPr="00074CB9">
        <w:rPr>
          <w:rFonts w:ascii="Arial" w:hAnsi="Arial"/>
          <w:i/>
        </w:rPr>
        <w:t>Journal of Applied Youth Studies</w:t>
      </w:r>
      <w:r w:rsidRPr="00074CB9">
        <w:rPr>
          <w:rFonts w:ascii="Arial" w:hAnsi="Arial"/>
        </w:rPr>
        <w:t xml:space="preserve"> article exploring the concept of </w:t>
      </w:r>
      <w:r w:rsidR="00114707" w:rsidRPr="00074CB9">
        <w:rPr>
          <w:rFonts w:ascii="Arial" w:hAnsi="Arial"/>
        </w:rPr>
        <w:t>‘</w:t>
      </w:r>
      <w:r w:rsidRPr="00074CB9">
        <w:rPr>
          <w:rFonts w:ascii="Arial" w:hAnsi="Arial"/>
        </w:rPr>
        <w:t>Professional Maturity</w:t>
      </w:r>
      <w:r w:rsidR="00114707" w:rsidRPr="00074CB9">
        <w:rPr>
          <w:rFonts w:ascii="Arial" w:hAnsi="Arial"/>
        </w:rPr>
        <w:t>’</w:t>
      </w:r>
      <w:r w:rsidRPr="00074CB9">
        <w:rPr>
          <w:rFonts w:ascii="Arial" w:hAnsi="Arial"/>
        </w:rPr>
        <w:t xml:space="preserve"> within youth work practice. Through examination of the article’s themes, methodology and conclusions, this </w:t>
      </w:r>
      <w:r w:rsidR="00F16747" w:rsidRPr="00074CB9">
        <w:rPr>
          <w:rFonts w:ascii="Arial" w:hAnsi="Arial"/>
        </w:rPr>
        <w:t>paper</w:t>
      </w:r>
      <w:r w:rsidRPr="00074CB9">
        <w:rPr>
          <w:rFonts w:ascii="Arial" w:hAnsi="Arial"/>
        </w:rPr>
        <w:t xml:space="preserve"> will consider the effectiveness of the research and the extent to which it contributes to current understandings of professionalism within youth work. </w:t>
      </w:r>
      <w:proofErr w:type="gramStart"/>
      <w:r w:rsidRPr="00074CB9">
        <w:rPr>
          <w:rFonts w:ascii="Arial" w:hAnsi="Arial"/>
        </w:rPr>
        <w:t>Particular focus</w:t>
      </w:r>
      <w:proofErr w:type="gramEnd"/>
      <w:r w:rsidRPr="00074CB9">
        <w:rPr>
          <w:rFonts w:ascii="Arial" w:hAnsi="Arial"/>
        </w:rPr>
        <w:t xml:space="preserve"> will be given to the study’s exploration of supervision, reflective practice, professional values and </w:t>
      </w:r>
      <w:r w:rsidR="00133E73" w:rsidRPr="00074CB9">
        <w:rPr>
          <w:rFonts w:ascii="Arial" w:hAnsi="Arial"/>
        </w:rPr>
        <w:t>‘</w:t>
      </w:r>
      <w:r w:rsidRPr="00074CB9">
        <w:rPr>
          <w:rFonts w:ascii="Arial" w:hAnsi="Arial"/>
        </w:rPr>
        <w:t>Professional Transference</w:t>
      </w:r>
      <w:r w:rsidR="00133E73" w:rsidRPr="00074CB9">
        <w:rPr>
          <w:rFonts w:ascii="Arial" w:hAnsi="Arial"/>
        </w:rPr>
        <w:t>’</w:t>
      </w:r>
      <w:r w:rsidRPr="00074CB9">
        <w:rPr>
          <w:rFonts w:ascii="Arial" w:hAnsi="Arial"/>
        </w:rPr>
        <w:t xml:space="preserve">, </w:t>
      </w:r>
      <w:r w:rsidR="00F16747" w:rsidRPr="00074CB9">
        <w:rPr>
          <w:rFonts w:ascii="Arial" w:hAnsi="Arial"/>
        </w:rPr>
        <w:t xml:space="preserve">as well as </w:t>
      </w:r>
      <w:r w:rsidR="001F3168" w:rsidRPr="00074CB9">
        <w:rPr>
          <w:rFonts w:ascii="Arial" w:hAnsi="Arial"/>
        </w:rPr>
        <w:t>a</w:t>
      </w:r>
      <w:r w:rsidRPr="00074CB9">
        <w:rPr>
          <w:rFonts w:ascii="Arial" w:hAnsi="Arial"/>
        </w:rPr>
        <w:t xml:space="preserve"> consideration of the ethical and methodological approaches utilised by the researchers. Relevant literature regarding qualitative social research, youth work values and professionalism will be referenced throughout </w:t>
      </w:r>
      <w:proofErr w:type="gramStart"/>
      <w:r w:rsidRPr="00074CB9">
        <w:rPr>
          <w:rFonts w:ascii="Arial" w:hAnsi="Arial"/>
        </w:rPr>
        <w:t>in order to</w:t>
      </w:r>
      <w:proofErr w:type="gramEnd"/>
      <w:r w:rsidRPr="00074CB9">
        <w:rPr>
          <w:rFonts w:ascii="Arial" w:hAnsi="Arial"/>
        </w:rPr>
        <w:t xml:space="preserve"> evaluate both the strengths and limitations of the study. Finally, suggestions will be made concerning how the research could be improved and developed further.</w:t>
      </w:r>
    </w:p>
    <w:p w14:paraId="7E436938" w14:textId="77777777" w:rsidR="001F3168" w:rsidRPr="00074CB9" w:rsidRDefault="001F3168" w:rsidP="00074CB9">
      <w:pPr>
        <w:pStyle w:val="Textbody"/>
        <w:spacing w:after="0" w:line="360" w:lineRule="auto"/>
        <w:rPr>
          <w:rFonts w:ascii="Arial" w:hAnsi="Arial"/>
        </w:rPr>
      </w:pPr>
    </w:p>
    <w:p w14:paraId="16B81CA2" w14:textId="32D57E22" w:rsidR="00CE3441" w:rsidRDefault="00F367B0" w:rsidP="00074CB9">
      <w:pPr>
        <w:pStyle w:val="Textbody"/>
        <w:spacing w:line="360" w:lineRule="auto"/>
        <w:rPr>
          <w:rFonts w:ascii="Arial" w:hAnsi="Arial"/>
        </w:rPr>
      </w:pPr>
      <w:r w:rsidRPr="00074CB9">
        <w:rPr>
          <w:rFonts w:ascii="Arial" w:hAnsi="Arial"/>
        </w:rPr>
        <w:t>Before moving on to the main body of this analysis</w:t>
      </w:r>
      <w:r w:rsidR="001F3168" w:rsidRPr="00074CB9">
        <w:rPr>
          <w:rFonts w:ascii="Arial" w:hAnsi="Arial"/>
        </w:rPr>
        <w:t>,</w:t>
      </w:r>
      <w:r w:rsidRPr="00074CB9">
        <w:rPr>
          <w:rFonts w:ascii="Arial" w:hAnsi="Arial"/>
        </w:rPr>
        <w:t xml:space="preserve"> it is important to briefly contextualise</w:t>
      </w:r>
      <w:r w:rsidR="00D76B91">
        <w:rPr>
          <w:rFonts w:ascii="Arial" w:hAnsi="Arial"/>
        </w:rPr>
        <w:t xml:space="preserve"> the </w:t>
      </w:r>
      <w:r w:rsidR="006D1736">
        <w:rPr>
          <w:rFonts w:ascii="Arial" w:hAnsi="Arial"/>
        </w:rPr>
        <w:t xml:space="preserve">scope </w:t>
      </w:r>
      <w:r w:rsidR="00204B8D">
        <w:rPr>
          <w:rFonts w:ascii="Arial" w:hAnsi="Arial"/>
        </w:rPr>
        <w:t xml:space="preserve">and setting of the article. </w:t>
      </w:r>
      <w:r w:rsidRPr="00074CB9">
        <w:rPr>
          <w:rFonts w:ascii="Arial" w:hAnsi="Arial"/>
        </w:rPr>
        <w:t xml:space="preserve">Youth work has long struggled with questions surrounding professionalism and identity, particularly due to the fluid and adaptable nature of practice. The National Occupational Standards for Youth Work (NOS, 2019) identify youth work as a distinct professional </w:t>
      </w:r>
      <w:r w:rsidR="00B87836" w:rsidRPr="00074CB9">
        <w:rPr>
          <w:rFonts w:ascii="Arial" w:hAnsi="Arial"/>
        </w:rPr>
        <w:t>practice</w:t>
      </w:r>
      <w:r w:rsidRPr="00074CB9">
        <w:rPr>
          <w:rFonts w:ascii="Arial" w:hAnsi="Arial"/>
        </w:rPr>
        <w:t xml:space="preserve"> </w:t>
      </w:r>
      <w:r w:rsidR="003B75F1">
        <w:rPr>
          <w:rFonts w:ascii="Arial" w:hAnsi="Arial"/>
        </w:rPr>
        <w:t>grounded</w:t>
      </w:r>
      <w:r w:rsidRPr="00074CB9">
        <w:rPr>
          <w:rFonts w:ascii="Arial" w:hAnsi="Arial"/>
        </w:rPr>
        <w:t xml:space="preserve"> in voluntary participation, relationship-based practice and informal education. Similarly, </w:t>
      </w:r>
      <w:r w:rsidRPr="00074CB9">
        <w:rPr>
          <w:rFonts w:ascii="Arial" w:hAnsi="Arial"/>
          <w:i/>
        </w:rPr>
        <w:t>Youth Work in Wales: Principles and Purposes</w:t>
      </w:r>
      <w:r w:rsidRPr="00074CB9">
        <w:rPr>
          <w:rFonts w:ascii="Arial" w:hAnsi="Arial"/>
        </w:rPr>
        <w:t xml:space="preserve"> (Welsh Government, 2022) emphasises that youth work is underpinned by values such as inclusion, empowerment, participation and education. It is within this wider </w:t>
      </w:r>
      <w:r w:rsidR="00B904A8" w:rsidRPr="00074CB9">
        <w:rPr>
          <w:rFonts w:ascii="Arial" w:hAnsi="Arial"/>
        </w:rPr>
        <w:t>context</w:t>
      </w:r>
      <w:r w:rsidRPr="00074CB9">
        <w:rPr>
          <w:rFonts w:ascii="Arial" w:hAnsi="Arial"/>
        </w:rPr>
        <w:t xml:space="preserve"> concerning professional identity and practice that the article attempts to position the concept of </w:t>
      </w:r>
      <w:r w:rsidR="00057C9D" w:rsidRPr="00074CB9">
        <w:rPr>
          <w:rFonts w:ascii="Arial" w:hAnsi="Arial"/>
        </w:rPr>
        <w:t>‘</w:t>
      </w:r>
      <w:r w:rsidRPr="00074CB9">
        <w:rPr>
          <w:rFonts w:ascii="Arial" w:hAnsi="Arial"/>
        </w:rPr>
        <w:t>Professional Maturity</w:t>
      </w:r>
      <w:r w:rsidR="00057C9D" w:rsidRPr="00074CB9">
        <w:rPr>
          <w:rFonts w:ascii="Arial" w:hAnsi="Arial"/>
        </w:rPr>
        <w:t>’</w:t>
      </w:r>
      <w:r w:rsidRPr="00074CB9">
        <w:rPr>
          <w:rFonts w:ascii="Arial" w:hAnsi="Arial"/>
        </w:rPr>
        <w:t>.</w:t>
      </w:r>
    </w:p>
    <w:p w14:paraId="729AAA92" w14:textId="77777777" w:rsidR="00690C07" w:rsidRDefault="00690C07" w:rsidP="00074CB9">
      <w:pPr>
        <w:pStyle w:val="Textbody"/>
        <w:spacing w:line="360" w:lineRule="auto"/>
        <w:rPr>
          <w:rFonts w:ascii="Arial" w:hAnsi="Arial"/>
        </w:rPr>
      </w:pPr>
    </w:p>
    <w:p w14:paraId="6600F290" w14:textId="77777777" w:rsidR="00797D71" w:rsidRPr="00074CB9" w:rsidRDefault="00797D71" w:rsidP="00074CB9">
      <w:pPr>
        <w:pStyle w:val="Textbody"/>
        <w:spacing w:line="360" w:lineRule="auto"/>
        <w:rPr>
          <w:rFonts w:ascii="Arial" w:hAnsi="Arial"/>
        </w:rPr>
      </w:pPr>
    </w:p>
    <w:p w14:paraId="302F1FCF" w14:textId="77777777" w:rsidR="00CE3441" w:rsidRPr="00074CB9" w:rsidRDefault="00F367B0" w:rsidP="00074CB9">
      <w:pPr>
        <w:pStyle w:val="Textbody"/>
        <w:spacing w:line="360" w:lineRule="auto"/>
        <w:jc w:val="center"/>
        <w:rPr>
          <w:rFonts w:ascii="Arial" w:hAnsi="Arial"/>
          <w:b/>
          <w:bCs/>
          <w:sz w:val="28"/>
          <w:szCs w:val="28"/>
        </w:rPr>
      </w:pPr>
      <w:r w:rsidRPr="00074CB9">
        <w:rPr>
          <w:rFonts w:ascii="Arial" w:hAnsi="Arial"/>
          <w:b/>
          <w:bCs/>
          <w:sz w:val="28"/>
          <w:szCs w:val="28"/>
        </w:rPr>
        <w:lastRenderedPageBreak/>
        <w:t>Professionalism and Social Construction</w:t>
      </w:r>
    </w:p>
    <w:p w14:paraId="1AE42171" w14:textId="3064DC84" w:rsidR="00CE3441" w:rsidRPr="00074CB9" w:rsidRDefault="00F367B0" w:rsidP="00074CB9">
      <w:pPr>
        <w:pStyle w:val="Textbody"/>
        <w:spacing w:after="0" w:line="360" w:lineRule="auto"/>
        <w:rPr>
          <w:rFonts w:ascii="Arial" w:hAnsi="Arial"/>
        </w:rPr>
      </w:pPr>
      <w:r w:rsidRPr="00074CB9">
        <w:rPr>
          <w:rFonts w:ascii="Arial" w:hAnsi="Arial"/>
        </w:rPr>
        <w:t xml:space="preserve">One of the key strengths of the article is its recognition that </w:t>
      </w:r>
      <w:r w:rsidR="00114707" w:rsidRPr="00074CB9">
        <w:rPr>
          <w:rFonts w:ascii="Arial" w:hAnsi="Arial"/>
        </w:rPr>
        <w:t xml:space="preserve">an understanding of </w:t>
      </w:r>
      <w:r w:rsidRPr="00074CB9">
        <w:rPr>
          <w:rFonts w:ascii="Arial" w:hAnsi="Arial"/>
        </w:rPr>
        <w:t xml:space="preserve">professionalism within youth work is not fixed or universally agreed upon. Rather than presenting </w:t>
      </w:r>
      <w:r w:rsidR="00B87836" w:rsidRPr="00074CB9">
        <w:rPr>
          <w:rFonts w:ascii="Arial" w:hAnsi="Arial"/>
        </w:rPr>
        <w:t>‘</w:t>
      </w:r>
      <w:r w:rsidRPr="00074CB9">
        <w:rPr>
          <w:rFonts w:ascii="Arial" w:hAnsi="Arial"/>
        </w:rPr>
        <w:t>Professional Maturity</w:t>
      </w:r>
      <w:r w:rsidR="00B87836" w:rsidRPr="00074CB9">
        <w:rPr>
          <w:rFonts w:ascii="Arial" w:hAnsi="Arial"/>
        </w:rPr>
        <w:t>’</w:t>
      </w:r>
      <w:r w:rsidRPr="00074CB9">
        <w:rPr>
          <w:rFonts w:ascii="Arial" w:hAnsi="Arial"/>
        </w:rPr>
        <w:t xml:space="preserve"> as something achieved solely through qualifications, the study suggests that professionalism develops through practice, supervision, reflection and interpersonal learning</w:t>
      </w:r>
      <w:r w:rsidR="00C35986">
        <w:rPr>
          <w:rFonts w:ascii="Arial" w:hAnsi="Arial"/>
        </w:rPr>
        <w:t xml:space="preserve"> (Williams &amp; Richardson, 2024, p</w:t>
      </w:r>
      <w:r w:rsidR="003E3D94">
        <w:rPr>
          <w:rFonts w:ascii="Arial" w:hAnsi="Arial"/>
        </w:rPr>
        <w:t xml:space="preserve">p. </w:t>
      </w:r>
      <w:r w:rsidR="00DB7226">
        <w:rPr>
          <w:rFonts w:ascii="Arial" w:hAnsi="Arial"/>
        </w:rPr>
        <w:t>157-176)</w:t>
      </w:r>
      <w:r w:rsidRPr="00074CB9">
        <w:rPr>
          <w:rFonts w:ascii="Arial" w:hAnsi="Arial"/>
        </w:rPr>
        <w:t>. This is in line with interpretivist approaches to qualitative research, which argue that meaning is socially constructed through interaction and lived experience (Bryman, 2016, pp. 375–399).</w:t>
      </w:r>
    </w:p>
    <w:p w14:paraId="0628B954" w14:textId="77777777" w:rsidR="001365E1" w:rsidRPr="00074CB9" w:rsidRDefault="001365E1" w:rsidP="00074CB9">
      <w:pPr>
        <w:pStyle w:val="Textbody"/>
        <w:spacing w:after="0" w:line="360" w:lineRule="auto"/>
        <w:rPr>
          <w:rFonts w:ascii="Arial" w:hAnsi="Arial"/>
        </w:rPr>
      </w:pPr>
    </w:p>
    <w:p w14:paraId="3CE3AC57" w14:textId="77777777" w:rsidR="00CE3441" w:rsidRPr="00074CB9" w:rsidRDefault="00F367B0" w:rsidP="00074CB9">
      <w:pPr>
        <w:pStyle w:val="Textbody"/>
        <w:spacing w:after="0" w:line="360" w:lineRule="auto"/>
        <w:rPr>
          <w:rFonts w:ascii="Arial" w:hAnsi="Arial"/>
        </w:rPr>
      </w:pPr>
      <w:r w:rsidRPr="00074CB9">
        <w:rPr>
          <w:rFonts w:ascii="Arial" w:hAnsi="Arial"/>
        </w:rPr>
        <w:t>This is particularly relevant within youth work, a field often described as diverse, relational and context-sensitive (Davies, 2008, pp. 11–35). As identified within the NOS (2019), youth work is not confined to a single setting or delivery method but instead adapts to the needs and circumstances of young people. Consequently, defining professionalism within such a flexible field becomes difficult, something the article effectively highlights through its discussion of inconsistent language and varying perce</w:t>
      </w:r>
      <w:r w:rsidRPr="00074CB9">
        <w:rPr>
          <w:rFonts w:ascii="Arial" w:hAnsi="Arial"/>
        </w:rPr>
        <w:t>ptions of maturity.</w:t>
      </w:r>
    </w:p>
    <w:p w14:paraId="04F67E48" w14:textId="77777777" w:rsidR="007A1C99" w:rsidRPr="00074CB9" w:rsidRDefault="007A1C99" w:rsidP="00074CB9">
      <w:pPr>
        <w:pStyle w:val="Textbody"/>
        <w:spacing w:after="0" w:line="360" w:lineRule="auto"/>
        <w:rPr>
          <w:rFonts w:ascii="Arial" w:hAnsi="Arial"/>
        </w:rPr>
      </w:pPr>
    </w:p>
    <w:p w14:paraId="0557599B" w14:textId="0D819DAC" w:rsidR="00CE3441" w:rsidRPr="00074CB9" w:rsidRDefault="00F367B0" w:rsidP="00074CB9">
      <w:pPr>
        <w:pStyle w:val="Textbody"/>
        <w:spacing w:after="0" w:line="360" w:lineRule="auto"/>
        <w:rPr>
          <w:rFonts w:ascii="Arial" w:hAnsi="Arial"/>
        </w:rPr>
      </w:pPr>
      <w:r w:rsidRPr="00074CB9">
        <w:rPr>
          <w:rFonts w:ascii="Arial" w:hAnsi="Arial"/>
        </w:rPr>
        <w:t xml:space="preserve">The article’s concept of </w:t>
      </w:r>
      <w:r w:rsidR="007A1C99" w:rsidRPr="00074CB9">
        <w:rPr>
          <w:rFonts w:ascii="Arial" w:hAnsi="Arial"/>
        </w:rPr>
        <w:t>‘</w:t>
      </w:r>
      <w:r w:rsidRPr="00074CB9">
        <w:rPr>
          <w:rFonts w:ascii="Arial" w:hAnsi="Arial"/>
        </w:rPr>
        <w:t>Professional Transference</w:t>
      </w:r>
      <w:r w:rsidR="007A1C99" w:rsidRPr="00074CB9">
        <w:rPr>
          <w:rFonts w:ascii="Arial" w:hAnsi="Arial"/>
        </w:rPr>
        <w:t>’</w:t>
      </w:r>
      <w:r w:rsidRPr="00074CB9">
        <w:rPr>
          <w:rFonts w:ascii="Arial" w:hAnsi="Arial"/>
        </w:rPr>
        <w:t xml:space="preserve"> is</w:t>
      </w:r>
      <w:r w:rsidR="0068019B">
        <w:rPr>
          <w:rFonts w:ascii="Arial" w:hAnsi="Arial"/>
        </w:rPr>
        <w:t>,</w:t>
      </w:r>
      <w:r w:rsidRPr="00074CB9">
        <w:rPr>
          <w:rFonts w:ascii="Arial" w:hAnsi="Arial"/>
        </w:rPr>
        <w:t xml:space="preserve"> arguably</w:t>
      </w:r>
      <w:r w:rsidR="0068019B">
        <w:rPr>
          <w:rFonts w:ascii="Arial" w:hAnsi="Arial"/>
        </w:rPr>
        <w:t>,</w:t>
      </w:r>
      <w:r w:rsidRPr="00074CB9">
        <w:rPr>
          <w:rFonts w:ascii="Arial" w:hAnsi="Arial"/>
        </w:rPr>
        <w:t xml:space="preserve"> its most valuable contribution. The term refers to the passing on of professional behaviours, skills and attitudes through supervision, mentoring and workplace relationships. While the authors do not directly reference Wenger’s theory of </w:t>
      </w:r>
      <w:r w:rsidR="007A1C99" w:rsidRPr="00074CB9">
        <w:rPr>
          <w:rFonts w:ascii="Arial" w:hAnsi="Arial"/>
        </w:rPr>
        <w:t>‘</w:t>
      </w:r>
      <w:r w:rsidRPr="00074CB9">
        <w:rPr>
          <w:rFonts w:ascii="Arial" w:hAnsi="Arial"/>
        </w:rPr>
        <w:t>communities of practice</w:t>
      </w:r>
      <w:r w:rsidR="007A1C99" w:rsidRPr="00074CB9">
        <w:rPr>
          <w:rFonts w:ascii="Arial" w:hAnsi="Arial"/>
        </w:rPr>
        <w:t>’</w:t>
      </w:r>
      <w:r w:rsidRPr="00074CB9">
        <w:rPr>
          <w:rFonts w:ascii="Arial" w:hAnsi="Arial"/>
        </w:rPr>
        <w:t>, there are clear similarities between the concepts. Wenger (1998) argues that professional learning occurs socially through participation alongside experienced practitioners (pp. 72–98), something clearly reflected in respondents’ descriptions of supervision and workplace influence</w:t>
      </w:r>
      <w:r w:rsidR="002F0884">
        <w:rPr>
          <w:rFonts w:ascii="Arial" w:hAnsi="Arial"/>
        </w:rPr>
        <w:t xml:space="preserve"> </w:t>
      </w:r>
      <w:r w:rsidR="002F0884">
        <w:rPr>
          <w:rFonts w:ascii="Arial" w:hAnsi="Arial"/>
        </w:rPr>
        <w:t>(Williams &amp; Richardson, 2024, pp. 1</w:t>
      </w:r>
      <w:r w:rsidR="002E41FE">
        <w:rPr>
          <w:rFonts w:ascii="Arial" w:hAnsi="Arial"/>
        </w:rPr>
        <w:t>66</w:t>
      </w:r>
      <w:r w:rsidR="002F0884">
        <w:rPr>
          <w:rFonts w:ascii="Arial" w:hAnsi="Arial"/>
        </w:rPr>
        <w:t>-1</w:t>
      </w:r>
      <w:r w:rsidR="002E41FE">
        <w:rPr>
          <w:rFonts w:ascii="Arial" w:hAnsi="Arial"/>
        </w:rPr>
        <w:t>67</w:t>
      </w:r>
      <w:r w:rsidR="002F0884">
        <w:rPr>
          <w:rFonts w:ascii="Arial" w:hAnsi="Arial"/>
        </w:rPr>
        <w:t>)</w:t>
      </w:r>
      <w:r w:rsidRPr="00074CB9">
        <w:rPr>
          <w:rFonts w:ascii="Arial" w:hAnsi="Arial"/>
        </w:rPr>
        <w:t>.</w:t>
      </w:r>
    </w:p>
    <w:p w14:paraId="41758506" w14:textId="77777777" w:rsidR="00400F7A" w:rsidRPr="00074CB9" w:rsidRDefault="00400F7A" w:rsidP="00074CB9">
      <w:pPr>
        <w:pStyle w:val="Textbody"/>
        <w:spacing w:after="0" w:line="360" w:lineRule="auto"/>
        <w:rPr>
          <w:rFonts w:ascii="Arial" w:hAnsi="Arial"/>
        </w:rPr>
      </w:pPr>
    </w:p>
    <w:p w14:paraId="0315342D" w14:textId="77777777" w:rsidR="00CE3441" w:rsidRPr="00074CB9" w:rsidRDefault="00F367B0" w:rsidP="00074CB9">
      <w:pPr>
        <w:pStyle w:val="Textbody"/>
        <w:spacing w:after="0" w:line="360" w:lineRule="auto"/>
        <w:rPr>
          <w:rFonts w:ascii="Arial" w:hAnsi="Arial"/>
        </w:rPr>
      </w:pPr>
      <w:r w:rsidRPr="00074CB9">
        <w:rPr>
          <w:rFonts w:ascii="Arial" w:hAnsi="Arial"/>
        </w:rPr>
        <w:t xml:space="preserve">Similarly, Schön’s (1983) concept of the “Reflective Practitioner” supports the article’s emphasis on reflective learning and supervision as central to professional development (pp. 49–69). This aligns strongly with both the NOS (2019) and </w:t>
      </w:r>
      <w:r w:rsidRPr="00074CB9">
        <w:rPr>
          <w:rFonts w:ascii="Arial" w:hAnsi="Arial"/>
          <w:i/>
        </w:rPr>
        <w:t>Youth Work in Wales: Principles and Purposes</w:t>
      </w:r>
      <w:r w:rsidRPr="00074CB9">
        <w:rPr>
          <w:rFonts w:ascii="Arial" w:hAnsi="Arial"/>
        </w:rPr>
        <w:t xml:space="preserve"> (Welsh Government, 2022), which identify reflective practice and continual professional development as essential components of effective youth work.</w:t>
      </w:r>
    </w:p>
    <w:p w14:paraId="5D86F88A" w14:textId="77777777" w:rsidR="00400F7A" w:rsidRPr="00074CB9" w:rsidRDefault="00400F7A" w:rsidP="00074CB9">
      <w:pPr>
        <w:pStyle w:val="Textbody"/>
        <w:spacing w:after="0" w:line="360" w:lineRule="auto"/>
        <w:rPr>
          <w:rFonts w:ascii="Arial" w:hAnsi="Arial"/>
        </w:rPr>
      </w:pPr>
    </w:p>
    <w:p w14:paraId="5F7F63E9" w14:textId="4C302D2F" w:rsidR="00CE3441" w:rsidRPr="00074CB9" w:rsidRDefault="00F367B0" w:rsidP="00074CB9">
      <w:pPr>
        <w:pStyle w:val="Textbody"/>
        <w:spacing w:line="360" w:lineRule="auto"/>
        <w:rPr>
          <w:rFonts w:ascii="Arial" w:hAnsi="Arial"/>
        </w:rPr>
      </w:pPr>
      <w:r w:rsidRPr="00074CB9">
        <w:rPr>
          <w:rFonts w:ascii="Arial" w:hAnsi="Arial"/>
        </w:rPr>
        <w:t xml:space="preserve">However, while the concept of </w:t>
      </w:r>
      <w:r w:rsidR="00400F7A" w:rsidRPr="00074CB9">
        <w:rPr>
          <w:rFonts w:ascii="Arial" w:hAnsi="Arial"/>
        </w:rPr>
        <w:t>‘</w:t>
      </w:r>
      <w:r w:rsidRPr="00074CB9">
        <w:rPr>
          <w:rFonts w:ascii="Arial" w:hAnsi="Arial"/>
        </w:rPr>
        <w:t>Professional Transference</w:t>
      </w:r>
      <w:r w:rsidR="00400F7A" w:rsidRPr="00074CB9">
        <w:rPr>
          <w:rFonts w:ascii="Arial" w:hAnsi="Arial"/>
        </w:rPr>
        <w:t>’</w:t>
      </w:r>
      <w:r w:rsidRPr="00074CB9">
        <w:rPr>
          <w:rFonts w:ascii="Arial" w:hAnsi="Arial"/>
        </w:rPr>
        <w:t xml:space="preserve"> is useful, the article does not fully explore its potential limitations. The authors briefly acknowledge that practitioners may replicate approaches simply because they were </w:t>
      </w:r>
      <w:r w:rsidR="00B74085" w:rsidRPr="00074CB9">
        <w:rPr>
          <w:rFonts w:ascii="Arial" w:hAnsi="Arial"/>
        </w:rPr>
        <w:t>demonstrated</w:t>
      </w:r>
      <w:r w:rsidRPr="00074CB9">
        <w:rPr>
          <w:rFonts w:ascii="Arial" w:hAnsi="Arial"/>
        </w:rPr>
        <w:t xml:space="preserve"> during training or supervision, </w:t>
      </w:r>
      <w:r w:rsidR="0020439B" w:rsidRPr="00074CB9">
        <w:rPr>
          <w:rFonts w:ascii="Arial" w:hAnsi="Arial"/>
        </w:rPr>
        <w:t>a</w:t>
      </w:r>
      <w:r w:rsidRPr="00074CB9">
        <w:rPr>
          <w:rFonts w:ascii="Arial" w:hAnsi="Arial"/>
        </w:rPr>
        <w:t xml:space="preserve"> point </w:t>
      </w:r>
      <w:r w:rsidR="00B46DFD" w:rsidRPr="00074CB9">
        <w:rPr>
          <w:rFonts w:ascii="Arial" w:hAnsi="Arial"/>
        </w:rPr>
        <w:t xml:space="preserve">that, </w:t>
      </w:r>
      <w:r w:rsidR="00B74085" w:rsidRPr="00074CB9">
        <w:rPr>
          <w:rFonts w:ascii="Arial" w:hAnsi="Arial"/>
        </w:rPr>
        <w:t>arguably</w:t>
      </w:r>
      <w:r w:rsidR="00B46DFD" w:rsidRPr="00074CB9">
        <w:rPr>
          <w:rFonts w:ascii="Arial" w:hAnsi="Arial"/>
        </w:rPr>
        <w:t>,</w:t>
      </w:r>
      <w:r w:rsidR="00B74085" w:rsidRPr="00074CB9">
        <w:rPr>
          <w:rFonts w:ascii="Arial" w:hAnsi="Arial"/>
        </w:rPr>
        <w:t xml:space="preserve"> </w:t>
      </w:r>
      <w:r w:rsidRPr="00074CB9">
        <w:rPr>
          <w:rFonts w:ascii="Arial" w:hAnsi="Arial"/>
        </w:rPr>
        <w:t xml:space="preserve">deserves greater </w:t>
      </w:r>
      <w:r w:rsidRPr="00074CB9">
        <w:rPr>
          <w:rFonts w:ascii="Arial" w:hAnsi="Arial"/>
        </w:rPr>
        <w:t>examination</w:t>
      </w:r>
      <w:r w:rsidR="00B74085" w:rsidRPr="00074CB9">
        <w:rPr>
          <w:rFonts w:ascii="Arial" w:hAnsi="Arial"/>
        </w:rPr>
        <w:t>; h</w:t>
      </w:r>
      <w:r w:rsidRPr="00074CB9">
        <w:rPr>
          <w:rFonts w:ascii="Arial" w:hAnsi="Arial"/>
        </w:rPr>
        <w:t xml:space="preserve">armful or exclusionary </w:t>
      </w:r>
      <w:r w:rsidRPr="00074CB9">
        <w:rPr>
          <w:rFonts w:ascii="Arial" w:hAnsi="Arial"/>
        </w:rPr>
        <w:lastRenderedPageBreak/>
        <w:t xml:space="preserve">practices may also be transferred through professional relationships, particularly if practitioners are discouraged from </w:t>
      </w:r>
      <w:r w:rsidRPr="00074CB9">
        <w:rPr>
          <w:rFonts w:ascii="Arial" w:hAnsi="Arial"/>
        </w:rPr>
        <w:t xml:space="preserve">challenging </w:t>
      </w:r>
      <w:r w:rsidR="00F02427" w:rsidRPr="00074CB9">
        <w:rPr>
          <w:rFonts w:ascii="Arial" w:hAnsi="Arial"/>
        </w:rPr>
        <w:t>the ‘status quo’</w:t>
      </w:r>
      <w:r w:rsidRPr="00074CB9">
        <w:rPr>
          <w:rFonts w:ascii="Arial" w:hAnsi="Arial"/>
        </w:rPr>
        <w:t xml:space="preserve">. This becomes especially significant when considering issues of </w:t>
      </w:r>
      <w:r w:rsidR="00FE0353" w:rsidRPr="00074CB9">
        <w:rPr>
          <w:rFonts w:ascii="Arial" w:hAnsi="Arial"/>
        </w:rPr>
        <w:t>hierarchical imbalance</w:t>
      </w:r>
      <w:r w:rsidRPr="00074CB9">
        <w:rPr>
          <w:rFonts w:ascii="Arial" w:hAnsi="Arial"/>
        </w:rPr>
        <w:t xml:space="preserve"> within professional environments.</w:t>
      </w:r>
    </w:p>
    <w:p w14:paraId="3984EE7D" w14:textId="77777777" w:rsidR="007F2669" w:rsidRDefault="007F2669" w:rsidP="00074CB9">
      <w:pPr>
        <w:pStyle w:val="Textbody"/>
        <w:spacing w:line="360" w:lineRule="auto"/>
        <w:jc w:val="center"/>
        <w:rPr>
          <w:rFonts w:ascii="Arial" w:hAnsi="Arial"/>
          <w:b/>
          <w:bCs/>
          <w:sz w:val="28"/>
          <w:szCs w:val="28"/>
        </w:rPr>
      </w:pPr>
    </w:p>
    <w:p w14:paraId="3528B904" w14:textId="3BBDF825" w:rsidR="00CE3441" w:rsidRPr="00074CB9" w:rsidRDefault="00F367B0" w:rsidP="00074CB9">
      <w:pPr>
        <w:pStyle w:val="Textbody"/>
        <w:spacing w:line="360" w:lineRule="auto"/>
        <w:jc w:val="center"/>
        <w:rPr>
          <w:rFonts w:ascii="Arial" w:hAnsi="Arial"/>
          <w:b/>
          <w:bCs/>
          <w:sz w:val="28"/>
          <w:szCs w:val="28"/>
        </w:rPr>
      </w:pPr>
      <w:r w:rsidRPr="00074CB9">
        <w:rPr>
          <w:rFonts w:ascii="Arial" w:hAnsi="Arial"/>
          <w:b/>
          <w:bCs/>
          <w:sz w:val="28"/>
          <w:szCs w:val="28"/>
        </w:rPr>
        <w:t>Methodology and Research Design</w:t>
      </w:r>
    </w:p>
    <w:p w14:paraId="3F1D1F23" w14:textId="6C75E169" w:rsidR="00CE3441" w:rsidRPr="00074CB9" w:rsidRDefault="00F367B0" w:rsidP="00074CB9">
      <w:pPr>
        <w:pStyle w:val="Textbody"/>
        <w:spacing w:after="0" w:line="360" w:lineRule="auto"/>
        <w:rPr>
          <w:rFonts w:ascii="Arial" w:hAnsi="Arial"/>
        </w:rPr>
      </w:pPr>
      <w:r w:rsidRPr="00074CB9">
        <w:rPr>
          <w:rFonts w:ascii="Arial" w:hAnsi="Arial"/>
        </w:rPr>
        <w:t xml:space="preserve">While the article raises valuable conceptual points, there are notable methodological weaknesses throughout the study. </w:t>
      </w:r>
      <w:r w:rsidRPr="00074CB9">
        <w:rPr>
          <w:rFonts w:ascii="Arial" w:hAnsi="Arial"/>
        </w:rPr>
        <w:t xml:space="preserve">Though </w:t>
      </w:r>
      <w:r w:rsidR="009653B2" w:rsidRPr="00074CB9">
        <w:rPr>
          <w:rFonts w:ascii="Arial" w:hAnsi="Arial"/>
        </w:rPr>
        <w:t xml:space="preserve">the </w:t>
      </w:r>
      <w:r w:rsidRPr="00074CB9">
        <w:rPr>
          <w:rFonts w:ascii="Arial" w:hAnsi="Arial"/>
        </w:rPr>
        <w:t>findings are presented clearly, there is limited explanation regarding how the researchers moved from raw data to final thematic categories. Braun and Clarke (2006) argue that thematic analysis requires a transparent and systematic coding process to ensure reliability and coherence within qualitative research (pp. 77–101). Without this detail it becomes difficult to assess whether the themes genuinely emerged from participant perspectives or whether they were heavily influenced by researcher interpretation.</w:t>
      </w:r>
    </w:p>
    <w:p w14:paraId="731A5E87" w14:textId="77777777" w:rsidR="000A34C8" w:rsidRPr="00074CB9" w:rsidRDefault="000A34C8" w:rsidP="00074CB9">
      <w:pPr>
        <w:pStyle w:val="Textbody"/>
        <w:spacing w:after="0" w:line="360" w:lineRule="auto"/>
        <w:rPr>
          <w:rFonts w:ascii="Arial" w:hAnsi="Arial"/>
        </w:rPr>
      </w:pPr>
    </w:p>
    <w:p w14:paraId="5B406AD7" w14:textId="1A305354" w:rsidR="00CE3441" w:rsidRPr="00074CB9" w:rsidRDefault="00F367B0" w:rsidP="00074CB9">
      <w:pPr>
        <w:pStyle w:val="Textbody"/>
        <w:spacing w:after="0" w:line="360" w:lineRule="auto"/>
        <w:rPr>
          <w:rFonts w:ascii="Arial" w:hAnsi="Arial"/>
        </w:rPr>
      </w:pPr>
      <w:r w:rsidRPr="00074CB9">
        <w:rPr>
          <w:rFonts w:ascii="Arial" w:hAnsi="Arial"/>
        </w:rPr>
        <w:t>Additionally, the article does not clearly identify its philosophical or methodological positioning. Creswell (2007) argues that qualitative researchers should make explicit the philosophical assumptions and interpretive frameworks that guide their work, as these influence both data collection and analysis (pp. 15–37). The article appears to adopt a constructivist perspective, given its emphasis on subjective understandings of professionalism, yet this is never explicitly stated. Greater clarity regarding t</w:t>
      </w:r>
      <w:r w:rsidRPr="00074CB9">
        <w:rPr>
          <w:rFonts w:ascii="Arial" w:hAnsi="Arial"/>
        </w:rPr>
        <w:t>he researchers’</w:t>
      </w:r>
      <w:r w:rsidRPr="00074CB9">
        <w:rPr>
          <w:rFonts w:ascii="Arial" w:hAnsi="Arial"/>
        </w:rPr>
        <w:t xml:space="preserve"> standpoint would have strengthened the study considerably.</w:t>
      </w:r>
    </w:p>
    <w:p w14:paraId="5E903085" w14:textId="77777777" w:rsidR="008D4277" w:rsidRPr="00074CB9" w:rsidRDefault="008D4277" w:rsidP="00074CB9">
      <w:pPr>
        <w:pStyle w:val="Textbody"/>
        <w:spacing w:after="0" w:line="360" w:lineRule="auto"/>
        <w:rPr>
          <w:rFonts w:ascii="Arial" w:hAnsi="Arial"/>
        </w:rPr>
      </w:pPr>
    </w:p>
    <w:p w14:paraId="514F8DE0" w14:textId="77777777" w:rsidR="00CE3441" w:rsidRPr="00074CB9" w:rsidRDefault="00F367B0" w:rsidP="00074CB9">
      <w:pPr>
        <w:pStyle w:val="Textbody"/>
        <w:spacing w:after="0" w:line="360" w:lineRule="auto"/>
        <w:rPr>
          <w:rFonts w:ascii="Arial" w:hAnsi="Arial"/>
        </w:rPr>
      </w:pPr>
      <w:r w:rsidRPr="00074CB9">
        <w:rPr>
          <w:rFonts w:ascii="Arial" w:hAnsi="Arial"/>
        </w:rPr>
        <w:t>Similarly, there is limited evidence of reflexivity throughout the article. Reflexivity is particularly important within qualitative social research because researchers inevitably influence interpretation through their own experiences, values and professional identities (Finlay, 2002, pp. 209–230). Given that the topic of professionalism is itself contested and subjective, greater acknowledgement of researcher positionality would have improved the credibility of the findings.</w:t>
      </w:r>
    </w:p>
    <w:p w14:paraId="5AF452CA" w14:textId="77777777" w:rsidR="008D4277" w:rsidRPr="00074CB9" w:rsidRDefault="008D4277" w:rsidP="00074CB9">
      <w:pPr>
        <w:pStyle w:val="Textbody"/>
        <w:spacing w:after="0" w:line="360" w:lineRule="auto"/>
        <w:rPr>
          <w:rFonts w:ascii="Arial" w:hAnsi="Arial"/>
        </w:rPr>
      </w:pPr>
    </w:p>
    <w:p w14:paraId="7402A70F" w14:textId="77777777" w:rsidR="00CE3441" w:rsidRPr="00074CB9" w:rsidRDefault="00F367B0" w:rsidP="00074CB9">
      <w:pPr>
        <w:pStyle w:val="Textbody"/>
        <w:spacing w:after="0" w:line="360" w:lineRule="auto"/>
        <w:rPr>
          <w:rFonts w:ascii="Arial" w:hAnsi="Arial"/>
        </w:rPr>
      </w:pPr>
      <w:r w:rsidRPr="00074CB9">
        <w:rPr>
          <w:rFonts w:ascii="Arial" w:hAnsi="Arial"/>
        </w:rPr>
        <w:t xml:space="preserve">The study also appears heavily reliant on participant self-reporting through questionnaires and semi-structured interviews. While these methods are useful for exploring lived experience, they may create issues surrounding social desirability bias. Kvale and Brinkmann (2009) note that participants in qualitative interviews often shape responses </w:t>
      </w:r>
      <w:r w:rsidRPr="00074CB9">
        <w:rPr>
          <w:rFonts w:ascii="Arial" w:hAnsi="Arial"/>
        </w:rPr>
        <w:lastRenderedPageBreak/>
        <w:t>according to what they believe is socially or professionally acceptable (pp. 48–61). In this case, respondents discussing professionalism may have presented idealised versions of themselves or their practice.</w:t>
      </w:r>
    </w:p>
    <w:p w14:paraId="5F592097" w14:textId="77777777" w:rsidR="00A556C0" w:rsidRPr="00074CB9" w:rsidRDefault="00A556C0" w:rsidP="00074CB9">
      <w:pPr>
        <w:pStyle w:val="Textbody"/>
        <w:spacing w:after="0" w:line="360" w:lineRule="auto"/>
        <w:rPr>
          <w:rFonts w:ascii="Arial" w:hAnsi="Arial"/>
        </w:rPr>
      </w:pPr>
    </w:p>
    <w:p w14:paraId="24CFDEBD" w14:textId="36472B36" w:rsidR="00CE3441" w:rsidRDefault="00F367B0" w:rsidP="00074CB9">
      <w:pPr>
        <w:pStyle w:val="Textbody"/>
        <w:spacing w:line="360" w:lineRule="auto"/>
        <w:rPr>
          <w:rFonts w:ascii="Arial" w:hAnsi="Arial"/>
        </w:rPr>
      </w:pPr>
      <w:r w:rsidRPr="00074CB9">
        <w:rPr>
          <w:rFonts w:ascii="Arial" w:hAnsi="Arial"/>
        </w:rPr>
        <w:t xml:space="preserve">One possible improvement to the study would therefore be </w:t>
      </w:r>
      <w:r w:rsidR="00D25329">
        <w:rPr>
          <w:rFonts w:ascii="Arial" w:hAnsi="Arial"/>
        </w:rPr>
        <w:t xml:space="preserve">to </w:t>
      </w:r>
      <w:r w:rsidR="00BC73A1">
        <w:rPr>
          <w:rFonts w:ascii="Arial" w:hAnsi="Arial"/>
        </w:rPr>
        <w:t xml:space="preserve">employ </w:t>
      </w:r>
      <w:r w:rsidR="00025F5A">
        <w:rPr>
          <w:rFonts w:ascii="Arial" w:hAnsi="Arial"/>
        </w:rPr>
        <w:t>a broader range of research methodologies. As</w:t>
      </w:r>
      <w:r w:rsidRPr="00074CB9">
        <w:rPr>
          <w:rFonts w:ascii="Arial" w:hAnsi="Arial"/>
        </w:rPr>
        <w:t xml:space="preserve"> Denzin (1978) suggests</w:t>
      </w:r>
      <w:r w:rsidR="007053B2">
        <w:rPr>
          <w:rFonts w:ascii="Arial" w:hAnsi="Arial"/>
        </w:rPr>
        <w:t xml:space="preserve">, </w:t>
      </w:r>
      <w:r w:rsidRPr="00074CB9">
        <w:rPr>
          <w:rFonts w:ascii="Arial" w:hAnsi="Arial"/>
        </w:rPr>
        <w:t xml:space="preserve">combining multiple </w:t>
      </w:r>
      <w:r w:rsidRPr="00074CB9">
        <w:rPr>
          <w:rFonts w:ascii="Arial" w:hAnsi="Arial"/>
        </w:rPr>
        <w:t xml:space="preserve">methods, such as interviews, observations and document analysis, can strengthen the credibility of qualitative research by allowing researchers to compare different forms of evidence (pp. 291–307). Observations of youth workers in practice, for example, may have provided deeper insight into how </w:t>
      </w:r>
      <w:r w:rsidR="00125DFF" w:rsidRPr="00074CB9">
        <w:rPr>
          <w:rFonts w:ascii="Arial" w:hAnsi="Arial"/>
        </w:rPr>
        <w:t>‘</w:t>
      </w:r>
      <w:r w:rsidRPr="00074CB9">
        <w:rPr>
          <w:rFonts w:ascii="Arial" w:hAnsi="Arial"/>
        </w:rPr>
        <w:t>Professional Maturity</w:t>
      </w:r>
      <w:r w:rsidR="00125DFF" w:rsidRPr="00074CB9">
        <w:rPr>
          <w:rFonts w:ascii="Arial" w:hAnsi="Arial"/>
        </w:rPr>
        <w:t>’</w:t>
      </w:r>
      <w:r w:rsidRPr="00074CB9">
        <w:rPr>
          <w:rFonts w:ascii="Arial" w:hAnsi="Arial"/>
        </w:rPr>
        <w:t xml:space="preserve"> is demonstrated within real-world settings</w:t>
      </w:r>
      <w:r w:rsidR="007053B2">
        <w:rPr>
          <w:rFonts w:ascii="Arial" w:hAnsi="Arial"/>
        </w:rPr>
        <w:t xml:space="preserve"> and practice</w:t>
      </w:r>
      <w:r w:rsidR="009B286D" w:rsidRPr="00074CB9">
        <w:rPr>
          <w:rFonts w:ascii="Arial" w:hAnsi="Arial"/>
        </w:rPr>
        <w:t xml:space="preserve">, though it is noted </w:t>
      </w:r>
      <w:r w:rsidR="002E0728" w:rsidRPr="00074CB9">
        <w:rPr>
          <w:rFonts w:ascii="Arial" w:hAnsi="Arial"/>
        </w:rPr>
        <w:t xml:space="preserve">by the authors that </w:t>
      </w:r>
      <w:r w:rsidR="009B286D" w:rsidRPr="00074CB9">
        <w:rPr>
          <w:rFonts w:ascii="Arial" w:hAnsi="Arial"/>
        </w:rPr>
        <w:t xml:space="preserve">the initial research </w:t>
      </w:r>
      <w:r w:rsidR="002E0728" w:rsidRPr="00074CB9">
        <w:rPr>
          <w:rFonts w:ascii="Arial" w:hAnsi="Arial"/>
        </w:rPr>
        <w:t>was undertaken during the COVID</w:t>
      </w:r>
      <w:r w:rsidR="0053673E" w:rsidRPr="00074CB9">
        <w:rPr>
          <w:rFonts w:ascii="Arial" w:hAnsi="Arial"/>
        </w:rPr>
        <w:t>-</w:t>
      </w:r>
      <w:r w:rsidR="002E0728" w:rsidRPr="00074CB9">
        <w:rPr>
          <w:rFonts w:ascii="Arial" w:hAnsi="Arial"/>
        </w:rPr>
        <w:t>19 pandemic</w:t>
      </w:r>
      <w:r w:rsidR="00EE09DF" w:rsidRPr="00074CB9">
        <w:rPr>
          <w:rFonts w:ascii="Arial" w:hAnsi="Arial"/>
        </w:rPr>
        <w:t xml:space="preserve">, </w:t>
      </w:r>
      <w:r w:rsidR="00401404" w:rsidRPr="00074CB9">
        <w:rPr>
          <w:rFonts w:ascii="Arial" w:hAnsi="Arial"/>
        </w:rPr>
        <w:t>presenting</w:t>
      </w:r>
      <w:r w:rsidR="00EE09DF" w:rsidRPr="00074CB9">
        <w:rPr>
          <w:rFonts w:ascii="Arial" w:hAnsi="Arial"/>
        </w:rPr>
        <w:t xml:space="preserve"> a significant limiting factor</w:t>
      </w:r>
      <w:r w:rsidR="00710DA1">
        <w:rPr>
          <w:rFonts w:ascii="Arial" w:hAnsi="Arial"/>
        </w:rPr>
        <w:t xml:space="preserve"> in this regard</w:t>
      </w:r>
      <w:r w:rsidR="0098488D">
        <w:rPr>
          <w:rFonts w:ascii="Arial" w:hAnsi="Arial"/>
        </w:rPr>
        <w:t xml:space="preserve"> </w:t>
      </w:r>
      <w:r w:rsidR="0098488D">
        <w:rPr>
          <w:rFonts w:ascii="Arial" w:hAnsi="Arial"/>
        </w:rPr>
        <w:t>(Williams &amp; Richardson, 2024, p</w:t>
      </w:r>
      <w:r w:rsidR="00243CFD">
        <w:rPr>
          <w:rFonts w:ascii="Arial" w:hAnsi="Arial"/>
        </w:rPr>
        <w:t>. 158</w:t>
      </w:r>
      <w:r w:rsidR="0098488D">
        <w:rPr>
          <w:rFonts w:ascii="Arial" w:hAnsi="Arial"/>
        </w:rPr>
        <w:t>)</w:t>
      </w:r>
      <w:r w:rsidR="00EE09DF" w:rsidRPr="00074CB9">
        <w:rPr>
          <w:rFonts w:ascii="Arial" w:hAnsi="Arial"/>
        </w:rPr>
        <w:t>.</w:t>
      </w:r>
    </w:p>
    <w:p w14:paraId="31FB771A" w14:textId="77777777" w:rsidR="00710DA1" w:rsidRDefault="00710DA1" w:rsidP="00074CB9">
      <w:pPr>
        <w:spacing w:line="360" w:lineRule="auto"/>
        <w:jc w:val="center"/>
        <w:rPr>
          <w:rFonts w:ascii="Arial" w:hAnsi="Arial"/>
          <w:b/>
          <w:bCs/>
          <w:sz w:val="28"/>
          <w:szCs w:val="28"/>
        </w:rPr>
      </w:pPr>
    </w:p>
    <w:p w14:paraId="55A0CEE7" w14:textId="12466774" w:rsidR="00CE3441" w:rsidRPr="00074CB9" w:rsidRDefault="00F367B0" w:rsidP="00074CB9">
      <w:pPr>
        <w:spacing w:line="360" w:lineRule="auto"/>
        <w:jc w:val="center"/>
        <w:rPr>
          <w:rFonts w:ascii="Arial" w:hAnsi="Arial"/>
          <w:b/>
          <w:bCs/>
          <w:sz w:val="28"/>
          <w:szCs w:val="28"/>
        </w:rPr>
      </w:pPr>
      <w:r w:rsidRPr="00074CB9">
        <w:rPr>
          <w:rFonts w:ascii="Arial" w:hAnsi="Arial"/>
          <w:b/>
          <w:bCs/>
          <w:sz w:val="28"/>
          <w:szCs w:val="28"/>
        </w:rPr>
        <w:t>Ethical Considerations</w:t>
      </w:r>
    </w:p>
    <w:p w14:paraId="152E5062" w14:textId="2D406819" w:rsidR="00CE3441" w:rsidRPr="00074CB9" w:rsidRDefault="00F367B0" w:rsidP="00074CB9">
      <w:pPr>
        <w:pStyle w:val="Textbody"/>
        <w:spacing w:after="0" w:line="360" w:lineRule="auto"/>
        <w:rPr>
          <w:rFonts w:ascii="Arial" w:hAnsi="Arial"/>
        </w:rPr>
      </w:pPr>
      <w:r w:rsidRPr="00074CB9">
        <w:rPr>
          <w:rFonts w:ascii="Arial" w:hAnsi="Arial"/>
        </w:rPr>
        <w:t>Ethically, the study demonstrates several strengths</w:t>
      </w:r>
      <w:r w:rsidR="00F23809" w:rsidRPr="00074CB9">
        <w:rPr>
          <w:rFonts w:ascii="Arial" w:hAnsi="Arial"/>
        </w:rPr>
        <w:t>;</w:t>
      </w:r>
      <w:r w:rsidRPr="00074CB9">
        <w:rPr>
          <w:rFonts w:ascii="Arial" w:hAnsi="Arial"/>
        </w:rPr>
        <w:t xml:space="preserve"> </w:t>
      </w:r>
      <w:r w:rsidR="00F23809" w:rsidRPr="00074CB9">
        <w:rPr>
          <w:rFonts w:ascii="Arial" w:hAnsi="Arial"/>
        </w:rPr>
        <w:t>t</w:t>
      </w:r>
      <w:r w:rsidRPr="00074CB9">
        <w:rPr>
          <w:rFonts w:ascii="Arial" w:hAnsi="Arial"/>
        </w:rPr>
        <w:t>he researchers obtained ethical approval, ensured informed consent and provided participants with withdrawal rights and debriefing information. These procedures align with the ethical principles outlined by the British Educational Research Association (BERA, 2018, pp. 5–18), particularly regarding participant autonomy, confidentiality and minimising harm.</w:t>
      </w:r>
    </w:p>
    <w:p w14:paraId="37F5709D" w14:textId="77777777" w:rsidR="00401404" w:rsidRPr="00074CB9" w:rsidRDefault="00401404" w:rsidP="00074CB9">
      <w:pPr>
        <w:pStyle w:val="Textbody"/>
        <w:spacing w:after="0" w:line="360" w:lineRule="auto"/>
        <w:rPr>
          <w:rFonts w:ascii="Arial" w:hAnsi="Arial"/>
        </w:rPr>
      </w:pPr>
    </w:p>
    <w:p w14:paraId="2CCE78A0" w14:textId="6ED1D8D3" w:rsidR="00CE3441" w:rsidRPr="00074CB9" w:rsidRDefault="00F367B0" w:rsidP="00074CB9">
      <w:pPr>
        <w:pStyle w:val="Textbody"/>
        <w:spacing w:after="0" w:line="360" w:lineRule="auto"/>
        <w:rPr>
          <w:rFonts w:ascii="Arial" w:hAnsi="Arial"/>
        </w:rPr>
      </w:pPr>
      <w:r w:rsidRPr="00074CB9">
        <w:rPr>
          <w:rFonts w:ascii="Arial" w:hAnsi="Arial"/>
        </w:rPr>
        <w:t xml:space="preserve">The inclusion of GDPR considerations further demonstrates awareness of ethical </w:t>
      </w:r>
      <w:r w:rsidR="00A13CFD" w:rsidRPr="00074CB9">
        <w:rPr>
          <w:rFonts w:ascii="Arial" w:hAnsi="Arial"/>
        </w:rPr>
        <w:t xml:space="preserve">and professional </w:t>
      </w:r>
      <w:r w:rsidRPr="00074CB9">
        <w:rPr>
          <w:rFonts w:ascii="Arial" w:hAnsi="Arial"/>
        </w:rPr>
        <w:t>responsibilities concerning participant privacy and data protection. Given that respondents were discussing professional identity and workplace experiences, these protections were clearly necessary.</w:t>
      </w:r>
    </w:p>
    <w:p w14:paraId="2D0F6F8D" w14:textId="77777777" w:rsidR="00A13CFD" w:rsidRPr="00074CB9" w:rsidRDefault="00A13CFD" w:rsidP="00074CB9">
      <w:pPr>
        <w:pStyle w:val="Textbody"/>
        <w:spacing w:after="0" w:line="360" w:lineRule="auto"/>
        <w:rPr>
          <w:rFonts w:ascii="Arial" w:hAnsi="Arial"/>
        </w:rPr>
      </w:pPr>
    </w:p>
    <w:p w14:paraId="07F64E5F" w14:textId="192274BE" w:rsidR="00CE3441" w:rsidRPr="00074CB9" w:rsidRDefault="00F367B0" w:rsidP="00074CB9">
      <w:pPr>
        <w:pStyle w:val="Textbody"/>
        <w:spacing w:after="0" w:line="360" w:lineRule="auto"/>
        <w:rPr>
          <w:rFonts w:ascii="Arial" w:hAnsi="Arial"/>
        </w:rPr>
      </w:pPr>
      <w:r w:rsidRPr="00074CB9">
        <w:rPr>
          <w:rFonts w:ascii="Arial" w:hAnsi="Arial"/>
        </w:rPr>
        <w:t xml:space="preserve">However, the article fails to fully address several ethical considerations. The study does not significantly examine the power </w:t>
      </w:r>
      <w:r w:rsidR="00A13CFD" w:rsidRPr="00074CB9">
        <w:rPr>
          <w:rFonts w:ascii="Arial" w:hAnsi="Arial"/>
        </w:rPr>
        <w:t>dynamic</w:t>
      </w:r>
      <w:r w:rsidRPr="00074CB9">
        <w:rPr>
          <w:rFonts w:ascii="Arial" w:hAnsi="Arial"/>
        </w:rPr>
        <w:t xml:space="preserve"> between researchers and participants. As Kvale and Brinkmann (2009) argue, interviews are shaped by unequal power dynamics, with researchers controlling both discussion and interpretation (pp. 17–35). Participants may therefore have felt pressure to describe themselves as reflective, ethical or professionally mature due to the socially desirable nature of the topic.</w:t>
      </w:r>
    </w:p>
    <w:p w14:paraId="0D6CA076" w14:textId="77777777" w:rsidR="00074CB9" w:rsidRPr="00074CB9" w:rsidRDefault="00074CB9" w:rsidP="00074CB9">
      <w:pPr>
        <w:pStyle w:val="Textbody"/>
        <w:spacing w:after="0" w:line="360" w:lineRule="auto"/>
        <w:rPr>
          <w:rFonts w:ascii="Arial" w:hAnsi="Arial"/>
        </w:rPr>
      </w:pPr>
    </w:p>
    <w:p w14:paraId="3DA849FF" w14:textId="5D80AF59" w:rsidR="00CE3441" w:rsidRPr="00074CB9" w:rsidRDefault="00F367B0" w:rsidP="00074CB9">
      <w:pPr>
        <w:pStyle w:val="Textbody"/>
        <w:spacing w:after="0" w:line="360" w:lineRule="auto"/>
        <w:rPr>
          <w:rFonts w:ascii="Arial" w:hAnsi="Arial"/>
        </w:rPr>
      </w:pPr>
      <w:r w:rsidRPr="00074CB9">
        <w:rPr>
          <w:rFonts w:ascii="Arial" w:hAnsi="Arial"/>
        </w:rPr>
        <w:lastRenderedPageBreak/>
        <w:t>Additionally, there is little consideration of diversity or representation within the participant group. The article does not provide sufficient demographic information regarding gender, ethnicity, class or age. This omission is significant because</w:t>
      </w:r>
      <w:r w:rsidR="00710DA1">
        <w:rPr>
          <w:rFonts w:ascii="Arial" w:hAnsi="Arial"/>
        </w:rPr>
        <w:t xml:space="preserve"> perceptions of</w:t>
      </w:r>
      <w:r w:rsidRPr="00074CB9">
        <w:rPr>
          <w:rFonts w:ascii="Arial" w:hAnsi="Arial"/>
        </w:rPr>
        <w:t xml:space="preserve"> professionalism</w:t>
      </w:r>
      <w:r w:rsidR="00782846">
        <w:rPr>
          <w:rFonts w:ascii="Arial" w:hAnsi="Arial"/>
        </w:rPr>
        <w:t xml:space="preserve"> are</w:t>
      </w:r>
      <w:r w:rsidRPr="00074CB9">
        <w:rPr>
          <w:rFonts w:ascii="Arial" w:hAnsi="Arial"/>
        </w:rPr>
        <w:t xml:space="preserve"> often influenced by social and cultural expectations (Bourdieu, 1984, pp. 56–68). Certain characteristics associated with </w:t>
      </w:r>
      <w:r w:rsidR="003426D3">
        <w:rPr>
          <w:rFonts w:ascii="Arial" w:hAnsi="Arial"/>
        </w:rPr>
        <w:t>‘</w:t>
      </w:r>
      <w:r w:rsidRPr="00074CB9">
        <w:rPr>
          <w:rFonts w:ascii="Arial" w:hAnsi="Arial"/>
        </w:rPr>
        <w:t>Professional Maturity</w:t>
      </w:r>
      <w:r w:rsidR="003426D3">
        <w:rPr>
          <w:rFonts w:ascii="Arial" w:hAnsi="Arial"/>
        </w:rPr>
        <w:t>’</w:t>
      </w:r>
      <w:r w:rsidRPr="00074CB9">
        <w:rPr>
          <w:rFonts w:ascii="Arial" w:hAnsi="Arial"/>
        </w:rPr>
        <w:t>, such as confidence or communication style, ma</w:t>
      </w:r>
      <w:r w:rsidRPr="00074CB9">
        <w:rPr>
          <w:rFonts w:ascii="Arial" w:hAnsi="Arial"/>
        </w:rPr>
        <w:t>y</w:t>
      </w:r>
      <w:r w:rsidRPr="00074CB9">
        <w:rPr>
          <w:rFonts w:ascii="Arial" w:hAnsi="Arial"/>
        </w:rPr>
        <w:t xml:space="preserve"> </w:t>
      </w:r>
      <w:r w:rsidR="00F37AE5">
        <w:rPr>
          <w:rFonts w:ascii="Arial" w:hAnsi="Arial"/>
        </w:rPr>
        <w:t>favour</w:t>
      </w:r>
      <w:r w:rsidRPr="00074CB9">
        <w:rPr>
          <w:rFonts w:ascii="Arial" w:hAnsi="Arial"/>
        </w:rPr>
        <w:t xml:space="preserve"> </w:t>
      </w:r>
      <w:r w:rsidRPr="00074CB9">
        <w:rPr>
          <w:rFonts w:ascii="Arial" w:hAnsi="Arial"/>
        </w:rPr>
        <w:t>dominant cultural norms while marginalising others.</w:t>
      </w:r>
      <w:r w:rsidR="00074CB9" w:rsidRPr="00074CB9">
        <w:rPr>
          <w:rFonts w:ascii="Arial" w:hAnsi="Arial"/>
        </w:rPr>
        <w:t xml:space="preserve"> </w:t>
      </w:r>
      <w:r w:rsidRPr="00074CB9">
        <w:rPr>
          <w:rFonts w:ascii="Arial" w:hAnsi="Arial"/>
        </w:rPr>
        <w:t>Future research would therefore benefit from adopting a more intersectional approach that explores how professionalism may be experienced differently depending on identity and social position.</w:t>
      </w:r>
    </w:p>
    <w:p w14:paraId="7CC37CBF" w14:textId="77777777" w:rsidR="00074CB9" w:rsidRPr="00074CB9" w:rsidRDefault="00074CB9" w:rsidP="00074CB9">
      <w:pPr>
        <w:pStyle w:val="Textbody"/>
        <w:spacing w:after="0" w:line="360" w:lineRule="auto"/>
        <w:rPr>
          <w:rFonts w:ascii="Arial" w:hAnsi="Arial"/>
        </w:rPr>
      </w:pPr>
    </w:p>
    <w:p w14:paraId="7C2B8F54" w14:textId="77777777" w:rsidR="00CE3441" w:rsidRPr="00752F53" w:rsidRDefault="00F367B0" w:rsidP="00074CB9">
      <w:pPr>
        <w:pStyle w:val="Textbody"/>
        <w:spacing w:line="360" w:lineRule="auto"/>
        <w:jc w:val="center"/>
        <w:rPr>
          <w:rFonts w:ascii="Arial" w:hAnsi="Arial"/>
          <w:b/>
          <w:bCs/>
          <w:sz w:val="28"/>
          <w:szCs w:val="28"/>
        </w:rPr>
      </w:pPr>
      <w:r w:rsidRPr="00752F53">
        <w:rPr>
          <w:rFonts w:ascii="Arial" w:hAnsi="Arial"/>
          <w:b/>
          <w:bCs/>
          <w:sz w:val="28"/>
          <w:szCs w:val="28"/>
        </w:rPr>
        <w:t>Professional Values and Youth Work Practice</w:t>
      </w:r>
    </w:p>
    <w:p w14:paraId="2E268599" w14:textId="5D7613C4" w:rsidR="00CE3441" w:rsidRDefault="00F367B0" w:rsidP="00074CB9">
      <w:pPr>
        <w:pStyle w:val="Textbody"/>
        <w:spacing w:after="0" w:line="360" w:lineRule="auto"/>
        <w:rPr>
          <w:rFonts w:ascii="Arial" w:hAnsi="Arial"/>
        </w:rPr>
      </w:pPr>
      <w:r w:rsidRPr="00074CB9">
        <w:rPr>
          <w:rFonts w:ascii="Arial" w:hAnsi="Arial"/>
        </w:rPr>
        <w:t xml:space="preserve">The </w:t>
      </w:r>
      <w:r w:rsidRPr="00074CB9">
        <w:rPr>
          <w:rFonts w:ascii="Arial" w:hAnsi="Arial"/>
        </w:rPr>
        <w:t xml:space="preserve">discussion surrounding professional values is one of the stronger aspects of the article. Respondents consistently described values as central to youth work practice, yet there appeared to be little shared understanding regarding what these values </w:t>
      </w:r>
      <w:proofErr w:type="gramStart"/>
      <w:r w:rsidRPr="00074CB9">
        <w:rPr>
          <w:rFonts w:ascii="Arial" w:hAnsi="Arial"/>
        </w:rPr>
        <w:t>actually were</w:t>
      </w:r>
      <w:proofErr w:type="gramEnd"/>
      <w:r w:rsidRPr="00074CB9">
        <w:rPr>
          <w:rFonts w:ascii="Arial" w:hAnsi="Arial"/>
        </w:rPr>
        <w:t>. As the article identifies, there was no unified professional language surrounding professionalism or maturity.</w:t>
      </w:r>
    </w:p>
    <w:p w14:paraId="7C516CBA" w14:textId="77777777" w:rsidR="009511EB" w:rsidRPr="00074CB9" w:rsidRDefault="009511EB" w:rsidP="00074CB9">
      <w:pPr>
        <w:pStyle w:val="Textbody"/>
        <w:spacing w:after="0" w:line="360" w:lineRule="auto"/>
        <w:rPr>
          <w:rFonts w:ascii="Arial" w:hAnsi="Arial"/>
        </w:rPr>
      </w:pPr>
    </w:p>
    <w:p w14:paraId="16E010A2" w14:textId="77777777" w:rsidR="00CE3441" w:rsidRDefault="00F367B0" w:rsidP="00074CB9">
      <w:pPr>
        <w:pStyle w:val="Textbody"/>
        <w:spacing w:after="0" w:line="360" w:lineRule="auto"/>
        <w:rPr>
          <w:rFonts w:ascii="Arial" w:hAnsi="Arial"/>
        </w:rPr>
      </w:pPr>
      <w:r w:rsidRPr="00074CB9">
        <w:rPr>
          <w:rFonts w:ascii="Arial" w:hAnsi="Arial"/>
        </w:rPr>
        <w:t xml:space="preserve">This reflects wider discussions within youth work literature. Both the NOS (2019) and </w:t>
      </w:r>
      <w:r w:rsidRPr="00074CB9">
        <w:rPr>
          <w:rFonts w:ascii="Arial" w:hAnsi="Arial"/>
          <w:i/>
        </w:rPr>
        <w:t>Youth Work in Wales: Principles and Purposes</w:t>
      </w:r>
      <w:r w:rsidRPr="00074CB9">
        <w:rPr>
          <w:rFonts w:ascii="Arial" w:hAnsi="Arial"/>
        </w:rPr>
        <w:t xml:space="preserve"> (Welsh Government, 2022) position youth work as a values-driven profession grounded in participation, empowerment, inclusion and education. However, translating these broad principles into practice can be challenging, particularly given the diversity of youth work settings and organisations.</w:t>
      </w:r>
    </w:p>
    <w:p w14:paraId="58A47735" w14:textId="77777777" w:rsidR="009511EB" w:rsidRPr="00074CB9" w:rsidRDefault="009511EB" w:rsidP="00074CB9">
      <w:pPr>
        <w:pStyle w:val="Textbody"/>
        <w:spacing w:after="0" w:line="360" w:lineRule="auto"/>
        <w:rPr>
          <w:rFonts w:ascii="Arial" w:hAnsi="Arial"/>
        </w:rPr>
      </w:pPr>
    </w:p>
    <w:p w14:paraId="2CEAC65C" w14:textId="47FFA16E" w:rsidR="00CE3441" w:rsidRDefault="00F367B0" w:rsidP="00074CB9">
      <w:pPr>
        <w:pStyle w:val="Textbody"/>
        <w:spacing w:after="0" w:line="360" w:lineRule="auto"/>
        <w:rPr>
          <w:rFonts w:ascii="Arial" w:hAnsi="Arial"/>
        </w:rPr>
      </w:pPr>
      <w:r w:rsidRPr="00074CB9">
        <w:rPr>
          <w:rFonts w:ascii="Arial" w:hAnsi="Arial"/>
        </w:rPr>
        <w:t xml:space="preserve">Banks (2010) argues that professional ethics within caring professions are often negotiated and contested rather than universally agreed upon (pp. 1–24). This is evident within the article, where respondents describe values in differing and often vague ways. While some participants viewed professional values as something to </w:t>
      </w:r>
      <w:r w:rsidR="00A9118E">
        <w:rPr>
          <w:rFonts w:ascii="Arial" w:hAnsi="Arial"/>
        </w:rPr>
        <w:t>“</w:t>
      </w:r>
      <w:r w:rsidRPr="00074CB9">
        <w:rPr>
          <w:rFonts w:ascii="Arial" w:hAnsi="Arial"/>
        </w:rPr>
        <w:t>uphold”, others described them as a “driving force” or an aspiration.</w:t>
      </w:r>
    </w:p>
    <w:p w14:paraId="77DA7A98" w14:textId="77777777" w:rsidR="00A41A75" w:rsidRPr="00074CB9" w:rsidRDefault="00A41A75" w:rsidP="00074CB9">
      <w:pPr>
        <w:pStyle w:val="Textbody"/>
        <w:spacing w:after="0" w:line="360" w:lineRule="auto"/>
        <w:rPr>
          <w:rFonts w:ascii="Arial" w:hAnsi="Arial"/>
        </w:rPr>
      </w:pPr>
    </w:p>
    <w:p w14:paraId="45C8710B" w14:textId="6BDB52D1" w:rsidR="00CE3441" w:rsidRDefault="00F367B0" w:rsidP="00074CB9">
      <w:pPr>
        <w:pStyle w:val="Textbody"/>
        <w:spacing w:after="0" w:line="360" w:lineRule="auto"/>
        <w:rPr>
          <w:rFonts w:ascii="Arial" w:hAnsi="Arial"/>
        </w:rPr>
      </w:pPr>
      <w:r w:rsidRPr="00074CB9">
        <w:rPr>
          <w:rFonts w:ascii="Arial" w:hAnsi="Arial"/>
        </w:rPr>
        <w:t>What is particularly interesting is the article’s recognition that some respondents associated managerial professionalism with a loss of authentic connection to young people. This reflects wider tensions within youth work between relational practice and managerial accountability</w:t>
      </w:r>
      <w:r w:rsidR="00944FAC">
        <w:rPr>
          <w:rFonts w:ascii="Arial" w:hAnsi="Arial"/>
        </w:rPr>
        <w:t xml:space="preserve"> </w:t>
      </w:r>
      <w:r w:rsidR="00944FAC">
        <w:rPr>
          <w:rFonts w:ascii="Arial" w:hAnsi="Arial"/>
        </w:rPr>
        <w:t>(Williams &amp; Richardson, 2024, p</w:t>
      </w:r>
      <w:r w:rsidR="00944FAC">
        <w:rPr>
          <w:rFonts w:ascii="Arial" w:hAnsi="Arial"/>
        </w:rPr>
        <w:t>. 169</w:t>
      </w:r>
      <w:r w:rsidR="00944FAC">
        <w:rPr>
          <w:rFonts w:ascii="Arial" w:hAnsi="Arial"/>
        </w:rPr>
        <w:t>)</w:t>
      </w:r>
      <w:r w:rsidRPr="00074CB9">
        <w:rPr>
          <w:rFonts w:ascii="Arial" w:hAnsi="Arial"/>
        </w:rPr>
        <w:t>. However, the article does not explore these tensions in significant depth.</w:t>
      </w:r>
    </w:p>
    <w:p w14:paraId="34D483E0" w14:textId="77777777" w:rsidR="00A41A75" w:rsidRPr="00074CB9" w:rsidRDefault="00A41A75" w:rsidP="00074CB9">
      <w:pPr>
        <w:pStyle w:val="Textbody"/>
        <w:spacing w:after="0" w:line="360" w:lineRule="auto"/>
        <w:rPr>
          <w:rFonts w:ascii="Arial" w:hAnsi="Arial"/>
        </w:rPr>
      </w:pPr>
    </w:p>
    <w:p w14:paraId="35A5809F" w14:textId="77777777" w:rsidR="00CE3441" w:rsidRDefault="00F367B0" w:rsidP="00074CB9">
      <w:pPr>
        <w:pStyle w:val="Textbody"/>
        <w:spacing w:line="360" w:lineRule="auto"/>
        <w:rPr>
          <w:rFonts w:ascii="Arial" w:hAnsi="Arial"/>
        </w:rPr>
      </w:pPr>
      <w:r w:rsidRPr="00074CB9">
        <w:rPr>
          <w:rFonts w:ascii="Arial" w:hAnsi="Arial"/>
        </w:rPr>
        <w:lastRenderedPageBreak/>
        <w:t>There is very limited discussion concerning austerity, neoliberalism or policy-driven practice despite these factors having significant impact on contemporary youth work provision (Ord, 2016, pp. 72–95). This omission weakens the study overall because professionalism does not exist independently from political and organisational structures. Foucault’s (1977) theories regarding disciplinary power and institutional control would have strengthened the analysis considerably (pp. 170–194).</w:t>
      </w:r>
    </w:p>
    <w:p w14:paraId="6B44F6D8" w14:textId="77777777" w:rsidR="00797D71" w:rsidRPr="00074CB9" w:rsidRDefault="00797D71" w:rsidP="00074CB9">
      <w:pPr>
        <w:pStyle w:val="Textbody"/>
        <w:spacing w:line="360" w:lineRule="auto"/>
        <w:rPr>
          <w:rFonts w:ascii="Arial" w:hAnsi="Arial"/>
        </w:rPr>
      </w:pPr>
    </w:p>
    <w:p w14:paraId="33C712A2" w14:textId="07621880" w:rsidR="00DB7E99" w:rsidRPr="00DB7E99" w:rsidRDefault="00F367B0" w:rsidP="00DB7E99">
      <w:pPr>
        <w:pStyle w:val="Textbody"/>
        <w:spacing w:line="360" w:lineRule="auto"/>
        <w:jc w:val="center"/>
        <w:rPr>
          <w:rFonts w:ascii="Arial" w:hAnsi="Arial"/>
          <w:b/>
          <w:bCs/>
          <w:sz w:val="28"/>
          <w:szCs w:val="28"/>
        </w:rPr>
      </w:pPr>
      <w:r w:rsidRPr="00DB7E99">
        <w:rPr>
          <w:rFonts w:ascii="Arial" w:hAnsi="Arial"/>
          <w:b/>
          <w:bCs/>
          <w:sz w:val="28"/>
          <w:szCs w:val="28"/>
        </w:rPr>
        <w:t>Suggestions for Improvement</w:t>
      </w:r>
    </w:p>
    <w:p w14:paraId="389EB2B8" w14:textId="542C1FFC" w:rsidR="00CE3441" w:rsidRPr="00074CB9" w:rsidRDefault="00F367B0" w:rsidP="00074CB9">
      <w:pPr>
        <w:pStyle w:val="Textbody"/>
        <w:spacing w:after="0" w:line="360" w:lineRule="auto"/>
        <w:rPr>
          <w:rFonts w:ascii="Arial" w:hAnsi="Arial"/>
        </w:rPr>
      </w:pPr>
      <w:r w:rsidRPr="00074CB9">
        <w:rPr>
          <w:rFonts w:ascii="Arial" w:hAnsi="Arial"/>
        </w:rPr>
        <w:t>While the article contributes meaningfully to discussions surrounding youth work professionalism, several improvements could strengthen future research in this area</w:t>
      </w:r>
      <w:r w:rsidR="00C50A7C">
        <w:rPr>
          <w:rFonts w:ascii="Arial" w:hAnsi="Arial"/>
        </w:rPr>
        <w:t>;</w:t>
      </w:r>
      <w:r w:rsidR="00EE5DED">
        <w:rPr>
          <w:rFonts w:ascii="Arial" w:hAnsi="Arial"/>
        </w:rPr>
        <w:t xml:space="preserve"> a number of which are noted by the authors</w:t>
      </w:r>
      <w:r w:rsidR="00C50A7C">
        <w:rPr>
          <w:rFonts w:ascii="Arial" w:hAnsi="Arial"/>
        </w:rPr>
        <w:t xml:space="preserve">. </w:t>
      </w:r>
      <w:r w:rsidR="00C50A7C">
        <w:rPr>
          <w:rFonts w:ascii="Arial" w:hAnsi="Arial"/>
        </w:rPr>
        <w:t>(Williams &amp; Richardson, 2024, p</w:t>
      </w:r>
      <w:r w:rsidR="00C50A7C">
        <w:rPr>
          <w:rFonts w:ascii="Arial" w:hAnsi="Arial"/>
        </w:rPr>
        <w:t>. 173</w:t>
      </w:r>
      <w:r w:rsidR="00C50A7C">
        <w:rPr>
          <w:rFonts w:ascii="Arial" w:hAnsi="Arial"/>
        </w:rPr>
        <w:t>)</w:t>
      </w:r>
    </w:p>
    <w:p w14:paraId="3B3B1ABB" w14:textId="77777777" w:rsidR="00CE3441" w:rsidRPr="00074CB9" w:rsidRDefault="00F367B0" w:rsidP="00074CB9">
      <w:pPr>
        <w:pStyle w:val="Textbody"/>
        <w:spacing w:after="0" w:line="360" w:lineRule="auto"/>
        <w:rPr>
          <w:rFonts w:ascii="Arial" w:hAnsi="Arial"/>
        </w:rPr>
      </w:pPr>
      <w:r w:rsidRPr="00074CB9">
        <w:rPr>
          <w:rFonts w:ascii="Arial" w:hAnsi="Arial"/>
        </w:rPr>
        <w:t>Firstly, greater methodological transparency is needed. Future studies should provide clearer information regarding participant demographics, recruitment strategies and analytical procedures. This would improve both reliability and credibility.</w:t>
      </w:r>
    </w:p>
    <w:p w14:paraId="657D4243" w14:textId="77777777" w:rsidR="00CE3441" w:rsidRPr="00074CB9" w:rsidRDefault="00F367B0" w:rsidP="00074CB9">
      <w:pPr>
        <w:pStyle w:val="Textbody"/>
        <w:spacing w:after="0" w:line="360" w:lineRule="auto"/>
        <w:rPr>
          <w:rFonts w:ascii="Arial" w:hAnsi="Arial"/>
        </w:rPr>
      </w:pPr>
      <w:r w:rsidRPr="00074CB9">
        <w:rPr>
          <w:rFonts w:ascii="Arial" w:hAnsi="Arial"/>
        </w:rPr>
        <w:t>Secondly, subsequent research should incorporate stronger reflexive practice. Researchers should explicitly acknowledge how their own professional experiences and assumptions may influence their interpretation of the data. Lincoln and Guba (1985) argue that reflexive processes and peer review can improve trustworthiness within qualitative inquiry (pp. 289–331).</w:t>
      </w:r>
    </w:p>
    <w:p w14:paraId="1163E560" w14:textId="7DEECF82" w:rsidR="00CE3441" w:rsidRPr="00074CB9" w:rsidRDefault="00F367B0" w:rsidP="00074CB9">
      <w:pPr>
        <w:pStyle w:val="Textbody"/>
        <w:spacing w:after="0" w:line="360" w:lineRule="auto"/>
        <w:rPr>
          <w:rFonts w:ascii="Arial" w:hAnsi="Arial"/>
        </w:rPr>
      </w:pPr>
      <w:r w:rsidRPr="00074CB9">
        <w:rPr>
          <w:rFonts w:ascii="Arial" w:hAnsi="Arial"/>
        </w:rPr>
        <w:t xml:space="preserve">Thirdly, the study would benefit from greater engagement with structural and political influences on professionalism. Exploring the impact of austerity, funding pressures and managerialism would provide a more comprehensive understanding of </w:t>
      </w:r>
      <w:r w:rsidR="007621CA">
        <w:rPr>
          <w:rFonts w:ascii="Arial" w:hAnsi="Arial"/>
        </w:rPr>
        <w:t>‘</w:t>
      </w:r>
      <w:r w:rsidRPr="00074CB9">
        <w:rPr>
          <w:rFonts w:ascii="Arial" w:hAnsi="Arial"/>
        </w:rPr>
        <w:t>Professional Maturity</w:t>
      </w:r>
      <w:r w:rsidR="007621CA">
        <w:rPr>
          <w:rFonts w:ascii="Arial" w:hAnsi="Arial"/>
        </w:rPr>
        <w:t>’</w:t>
      </w:r>
      <w:r w:rsidRPr="00074CB9">
        <w:rPr>
          <w:rFonts w:ascii="Arial" w:hAnsi="Arial"/>
        </w:rPr>
        <w:t xml:space="preserve"> within contemporary youth work.</w:t>
      </w:r>
    </w:p>
    <w:p w14:paraId="40634FF8" w14:textId="77777777" w:rsidR="00CE3441" w:rsidRPr="00074CB9" w:rsidRDefault="00F367B0" w:rsidP="00074CB9">
      <w:pPr>
        <w:pStyle w:val="Textbody"/>
        <w:spacing w:after="0" w:line="360" w:lineRule="auto"/>
        <w:rPr>
          <w:rFonts w:ascii="Arial" w:hAnsi="Arial"/>
        </w:rPr>
      </w:pPr>
      <w:r w:rsidRPr="00074CB9">
        <w:rPr>
          <w:rFonts w:ascii="Arial" w:hAnsi="Arial"/>
        </w:rPr>
        <w:t>Additionally, future studies should examine issues of diversity and representation more directly. Exploring how race, gender, sexuality and class shape perceptions of professionalism would provide a more nuanced understanding of the concept and avoid presenting professionalism as culturally neutral.</w:t>
      </w:r>
    </w:p>
    <w:p w14:paraId="3CFFAA7F" w14:textId="34EDC678" w:rsidR="00CE3441" w:rsidRDefault="00F367B0" w:rsidP="00074CB9">
      <w:pPr>
        <w:pStyle w:val="Textbody"/>
        <w:spacing w:line="360" w:lineRule="auto"/>
        <w:rPr>
          <w:rFonts w:ascii="Arial" w:hAnsi="Arial"/>
        </w:rPr>
      </w:pPr>
      <w:r w:rsidRPr="00074CB9">
        <w:rPr>
          <w:rFonts w:ascii="Arial" w:hAnsi="Arial"/>
        </w:rPr>
        <w:t xml:space="preserve">Finally, </w:t>
      </w:r>
      <w:r w:rsidR="006E73D3">
        <w:rPr>
          <w:rFonts w:ascii="Arial" w:hAnsi="Arial"/>
        </w:rPr>
        <w:t xml:space="preserve">as Williams and Richardson </w:t>
      </w:r>
      <w:r w:rsidR="004E3ECF">
        <w:rPr>
          <w:rFonts w:ascii="Arial" w:hAnsi="Arial"/>
        </w:rPr>
        <w:t xml:space="preserve">(2024) </w:t>
      </w:r>
      <w:r w:rsidR="006E73D3">
        <w:rPr>
          <w:rFonts w:ascii="Arial" w:hAnsi="Arial"/>
        </w:rPr>
        <w:t>note</w:t>
      </w:r>
      <w:r w:rsidR="004E3ECF">
        <w:rPr>
          <w:rFonts w:ascii="Arial" w:hAnsi="Arial"/>
        </w:rPr>
        <w:t>, the research</w:t>
      </w:r>
      <w:r w:rsidRPr="00074CB9">
        <w:rPr>
          <w:rFonts w:ascii="Arial" w:hAnsi="Arial"/>
        </w:rPr>
        <w:t xml:space="preserve"> could strengthen the practical application of the model by </w:t>
      </w:r>
      <w:r w:rsidRPr="00074CB9">
        <w:rPr>
          <w:rFonts w:ascii="Arial" w:hAnsi="Arial"/>
        </w:rPr>
        <w:t>testing it within youth work training or supervision settings</w:t>
      </w:r>
      <w:r w:rsidR="004E3ECF">
        <w:rPr>
          <w:rFonts w:ascii="Arial" w:hAnsi="Arial"/>
        </w:rPr>
        <w:t xml:space="preserve"> (p.173)</w:t>
      </w:r>
      <w:r w:rsidRPr="00074CB9">
        <w:rPr>
          <w:rFonts w:ascii="Arial" w:hAnsi="Arial"/>
        </w:rPr>
        <w:t xml:space="preserve">. While the spiral model presented within the article </w:t>
      </w:r>
      <w:r w:rsidR="00BE3114">
        <w:rPr>
          <w:rFonts w:ascii="Arial" w:hAnsi="Arial"/>
        </w:rPr>
        <w:t>(</w:t>
      </w:r>
      <w:r w:rsidR="00BE3114">
        <w:rPr>
          <w:rFonts w:ascii="Arial" w:hAnsi="Arial"/>
          <w:i/>
          <w:iCs/>
        </w:rPr>
        <w:t xml:space="preserve">ibid, </w:t>
      </w:r>
      <w:r w:rsidR="00BE3114">
        <w:rPr>
          <w:rFonts w:ascii="Arial" w:hAnsi="Arial"/>
        </w:rPr>
        <w:t xml:space="preserve">p. </w:t>
      </w:r>
      <w:r w:rsidR="00D1152C">
        <w:rPr>
          <w:rFonts w:ascii="Arial" w:hAnsi="Arial"/>
        </w:rPr>
        <w:t xml:space="preserve">171) </w:t>
      </w:r>
      <w:r w:rsidRPr="00074CB9">
        <w:rPr>
          <w:rFonts w:ascii="Arial" w:hAnsi="Arial"/>
        </w:rPr>
        <w:t>is conceptually useful, it currently remains largely theoretical. Applying the framework within real-world practice would allow for greater critical evaluation and refinement.</w:t>
      </w:r>
    </w:p>
    <w:p w14:paraId="58B9D9F1" w14:textId="77777777" w:rsidR="00D1152C" w:rsidRPr="00074CB9" w:rsidRDefault="00D1152C" w:rsidP="00074CB9">
      <w:pPr>
        <w:pStyle w:val="Textbody"/>
        <w:spacing w:line="360" w:lineRule="auto"/>
        <w:rPr>
          <w:rFonts w:ascii="Arial" w:hAnsi="Arial"/>
        </w:rPr>
      </w:pPr>
    </w:p>
    <w:p w14:paraId="373C95F7" w14:textId="77777777" w:rsidR="00CE3441" w:rsidRPr="00690C07" w:rsidRDefault="00F367B0" w:rsidP="00E54239">
      <w:pPr>
        <w:pStyle w:val="Textbody"/>
        <w:spacing w:line="360" w:lineRule="auto"/>
        <w:jc w:val="center"/>
        <w:rPr>
          <w:rFonts w:ascii="Arial" w:hAnsi="Arial"/>
          <w:b/>
          <w:bCs/>
          <w:sz w:val="28"/>
          <w:szCs w:val="28"/>
        </w:rPr>
      </w:pPr>
      <w:r w:rsidRPr="00690C07">
        <w:rPr>
          <w:rFonts w:ascii="Arial" w:hAnsi="Arial"/>
          <w:b/>
          <w:bCs/>
          <w:sz w:val="28"/>
          <w:szCs w:val="28"/>
        </w:rPr>
        <w:lastRenderedPageBreak/>
        <w:t>Conclusion</w:t>
      </w:r>
    </w:p>
    <w:p w14:paraId="2A51F7AE" w14:textId="56231B65" w:rsidR="00CE3441" w:rsidRPr="00074CB9" w:rsidRDefault="00F367B0" w:rsidP="00074CB9">
      <w:pPr>
        <w:pStyle w:val="Textbody"/>
        <w:spacing w:after="0" w:line="360" w:lineRule="auto"/>
        <w:rPr>
          <w:rFonts w:ascii="Arial" w:hAnsi="Arial"/>
        </w:rPr>
      </w:pPr>
      <w:r w:rsidRPr="00074CB9">
        <w:rPr>
          <w:rFonts w:ascii="Arial" w:hAnsi="Arial"/>
        </w:rPr>
        <w:t xml:space="preserve">Overall, the article provides a valuable exploration of </w:t>
      </w:r>
      <w:r w:rsidR="00A4266F">
        <w:rPr>
          <w:rFonts w:ascii="Arial" w:hAnsi="Arial"/>
        </w:rPr>
        <w:t>‘</w:t>
      </w:r>
      <w:r w:rsidRPr="00074CB9">
        <w:rPr>
          <w:rFonts w:ascii="Arial" w:hAnsi="Arial"/>
        </w:rPr>
        <w:t>Professional Maturity</w:t>
      </w:r>
      <w:r w:rsidR="00E54239">
        <w:rPr>
          <w:rFonts w:ascii="Arial" w:hAnsi="Arial"/>
        </w:rPr>
        <w:t>’</w:t>
      </w:r>
      <w:r w:rsidRPr="00074CB9">
        <w:rPr>
          <w:rFonts w:ascii="Arial" w:hAnsi="Arial"/>
        </w:rPr>
        <w:t xml:space="preserve"> within youth work and raises important questions regarding professionalism, supervision and reflective practice. The concept of </w:t>
      </w:r>
      <w:r w:rsidR="00A4266F">
        <w:rPr>
          <w:rFonts w:ascii="Arial" w:hAnsi="Arial"/>
        </w:rPr>
        <w:t>‘</w:t>
      </w:r>
      <w:r w:rsidRPr="00074CB9">
        <w:rPr>
          <w:rFonts w:ascii="Arial" w:hAnsi="Arial"/>
        </w:rPr>
        <w:t>Professional Transference</w:t>
      </w:r>
      <w:r w:rsidR="00A4266F">
        <w:rPr>
          <w:rFonts w:ascii="Arial" w:hAnsi="Arial"/>
        </w:rPr>
        <w:t>’</w:t>
      </w:r>
      <w:r w:rsidRPr="00074CB9">
        <w:rPr>
          <w:rFonts w:ascii="Arial" w:hAnsi="Arial"/>
        </w:rPr>
        <w:t xml:space="preserve"> is particularly useful in highlighting the relational and experiential nature of professional development within youth work settings. Furthermore, the article successfully identifies tensions between qualifications and practice experience, as well as between managerialism and relationship-based youth work.</w:t>
      </w:r>
    </w:p>
    <w:p w14:paraId="2597849C" w14:textId="77777777" w:rsidR="00CE3441" w:rsidRPr="00074CB9" w:rsidRDefault="00F367B0" w:rsidP="00074CB9">
      <w:pPr>
        <w:pStyle w:val="Textbody"/>
        <w:spacing w:after="0" w:line="360" w:lineRule="auto"/>
        <w:rPr>
          <w:rFonts w:ascii="Arial" w:hAnsi="Arial"/>
        </w:rPr>
      </w:pPr>
      <w:r w:rsidRPr="00074CB9">
        <w:rPr>
          <w:rFonts w:ascii="Arial" w:hAnsi="Arial"/>
        </w:rPr>
        <w:t>However, despite these strengths, the study is weakened by limited methodological transparency, insufficient reflexivity and a lack of engagement with wider political and structural influences on professionalism. The absence of detailed discussion regarding power, diversity and institutional pressures ultimately limits the depth of the analysis.</w:t>
      </w:r>
    </w:p>
    <w:p w14:paraId="40C72991" w14:textId="357D5BEF" w:rsidR="00CE3441" w:rsidRPr="00074CB9" w:rsidRDefault="00F367B0" w:rsidP="00074CB9">
      <w:pPr>
        <w:pStyle w:val="Textbody"/>
        <w:spacing w:after="0" w:line="360" w:lineRule="auto"/>
        <w:rPr>
          <w:rFonts w:ascii="Arial" w:hAnsi="Arial"/>
        </w:rPr>
      </w:pPr>
      <w:r w:rsidRPr="00074CB9">
        <w:rPr>
          <w:rFonts w:ascii="Arial" w:hAnsi="Arial"/>
        </w:rPr>
        <w:t xml:space="preserve">Ultimately, while the article succeeds in opening discussion around an under-researched concept within youth work, further research is needed to develop clearer definitions of </w:t>
      </w:r>
      <w:r w:rsidR="00D47B81">
        <w:rPr>
          <w:rFonts w:ascii="Arial" w:hAnsi="Arial"/>
        </w:rPr>
        <w:t>‘</w:t>
      </w:r>
      <w:r w:rsidRPr="00074CB9">
        <w:rPr>
          <w:rFonts w:ascii="Arial" w:hAnsi="Arial"/>
        </w:rPr>
        <w:t>Professional Maturity</w:t>
      </w:r>
      <w:r w:rsidR="00D47B81">
        <w:rPr>
          <w:rFonts w:ascii="Arial" w:hAnsi="Arial"/>
        </w:rPr>
        <w:t>’</w:t>
      </w:r>
      <w:r w:rsidRPr="00074CB9">
        <w:rPr>
          <w:rFonts w:ascii="Arial" w:hAnsi="Arial"/>
        </w:rPr>
        <w:t xml:space="preserve"> and explore how professionalism is shaped by wider social, political and organisational contexts.</w:t>
      </w:r>
    </w:p>
    <w:p w14:paraId="339271CC" w14:textId="77777777" w:rsidR="00CE3441" w:rsidRPr="00074CB9" w:rsidRDefault="00CE3441" w:rsidP="00074CB9">
      <w:pPr>
        <w:pStyle w:val="Textbody"/>
        <w:spacing w:line="360" w:lineRule="auto"/>
        <w:rPr>
          <w:rFonts w:ascii="Arial" w:hAnsi="Arial"/>
        </w:rPr>
      </w:pPr>
    </w:p>
    <w:p w14:paraId="1074EE30" w14:textId="77777777" w:rsidR="00F23809" w:rsidRDefault="00F23809" w:rsidP="00074CB9">
      <w:pPr>
        <w:pStyle w:val="Textbody"/>
        <w:spacing w:line="360" w:lineRule="auto"/>
        <w:rPr>
          <w:rFonts w:ascii="Arial" w:hAnsi="Arial"/>
        </w:rPr>
      </w:pPr>
    </w:p>
    <w:p w14:paraId="32108684" w14:textId="77777777" w:rsidR="00690C07" w:rsidRDefault="00690C07" w:rsidP="00074CB9">
      <w:pPr>
        <w:pStyle w:val="Textbody"/>
        <w:spacing w:line="360" w:lineRule="auto"/>
        <w:rPr>
          <w:rFonts w:ascii="Arial" w:hAnsi="Arial"/>
        </w:rPr>
      </w:pPr>
    </w:p>
    <w:p w14:paraId="45A88066" w14:textId="77777777" w:rsidR="00690C07" w:rsidRDefault="00690C07" w:rsidP="00074CB9">
      <w:pPr>
        <w:pStyle w:val="Textbody"/>
        <w:spacing w:line="360" w:lineRule="auto"/>
        <w:rPr>
          <w:rFonts w:ascii="Arial" w:hAnsi="Arial"/>
        </w:rPr>
      </w:pPr>
    </w:p>
    <w:p w14:paraId="38572757" w14:textId="77777777" w:rsidR="00690C07" w:rsidRDefault="00690C07" w:rsidP="00074CB9">
      <w:pPr>
        <w:pStyle w:val="Textbody"/>
        <w:spacing w:line="360" w:lineRule="auto"/>
        <w:rPr>
          <w:rFonts w:ascii="Arial" w:hAnsi="Arial"/>
        </w:rPr>
      </w:pPr>
    </w:p>
    <w:p w14:paraId="76A9D184" w14:textId="77777777" w:rsidR="00690C07" w:rsidRDefault="00690C07" w:rsidP="00074CB9">
      <w:pPr>
        <w:pStyle w:val="Textbody"/>
        <w:spacing w:line="360" w:lineRule="auto"/>
        <w:rPr>
          <w:rFonts w:ascii="Arial" w:hAnsi="Arial"/>
        </w:rPr>
      </w:pPr>
    </w:p>
    <w:p w14:paraId="4D142ACB" w14:textId="77777777" w:rsidR="00690C07" w:rsidRDefault="00690C07" w:rsidP="00074CB9">
      <w:pPr>
        <w:pStyle w:val="Textbody"/>
        <w:spacing w:line="360" w:lineRule="auto"/>
        <w:rPr>
          <w:rFonts w:ascii="Arial" w:hAnsi="Arial"/>
        </w:rPr>
      </w:pPr>
    </w:p>
    <w:p w14:paraId="23609DA2" w14:textId="77777777" w:rsidR="00690C07" w:rsidRDefault="00690C07" w:rsidP="00074CB9">
      <w:pPr>
        <w:pStyle w:val="Textbody"/>
        <w:spacing w:line="360" w:lineRule="auto"/>
        <w:rPr>
          <w:rFonts w:ascii="Arial" w:hAnsi="Arial"/>
        </w:rPr>
      </w:pPr>
    </w:p>
    <w:p w14:paraId="34796764" w14:textId="77777777" w:rsidR="00690C07" w:rsidRDefault="00690C07" w:rsidP="00074CB9">
      <w:pPr>
        <w:pStyle w:val="Textbody"/>
        <w:spacing w:line="360" w:lineRule="auto"/>
        <w:rPr>
          <w:rFonts w:ascii="Arial" w:hAnsi="Arial"/>
        </w:rPr>
      </w:pPr>
    </w:p>
    <w:p w14:paraId="4498918D" w14:textId="77777777" w:rsidR="00690C07" w:rsidRDefault="00690C07" w:rsidP="00074CB9">
      <w:pPr>
        <w:pStyle w:val="Textbody"/>
        <w:spacing w:line="360" w:lineRule="auto"/>
        <w:rPr>
          <w:rFonts w:ascii="Arial" w:hAnsi="Arial"/>
        </w:rPr>
      </w:pPr>
    </w:p>
    <w:p w14:paraId="2E04D08F" w14:textId="77777777" w:rsidR="00690C07" w:rsidRDefault="00690C07" w:rsidP="00074CB9">
      <w:pPr>
        <w:pStyle w:val="Textbody"/>
        <w:spacing w:line="360" w:lineRule="auto"/>
        <w:rPr>
          <w:rFonts w:ascii="Arial" w:hAnsi="Arial"/>
        </w:rPr>
      </w:pPr>
    </w:p>
    <w:p w14:paraId="67B7A925" w14:textId="77777777" w:rsidR="00690C07" w:rsidRDefault="00690C07" w:rsidP="00074CB9">
      <w:pPr>
        <w:pStyle w:val="Textbody"/>
        <w:spacing w:line="360" w:lineRule="auto"/>
        <w:rPr>
          <w:rFonts w:ascii="Arial" w:hAnsi="Arial"/>
        </w:rPr>
      </w:pPr>
    </w:p>
    <w:p w14:paraId="4E0CCC2B" w14:textId="77777777" w:rsidR="00690C07" w:rsidRDefault="00690C07" w:rsidP="00074CB9">
      <w:pPr>
        <w:pStyle w:val="Textbody"/>
        <w:spacing w:line="360" w:lineRule="auto"/>
        <w:rPr>
          <w:rFonts w:ascii="Arial" w:hAnsi="Arial"/>
        </w:rPr>
      </w:pPr>
    </w:p>
    <w:p w14:paraId="3B69BCDF" w14:textId="77777777" w:rsidR="00690C07" w:rsidRDefault="00690C07" w:rsidP="00074CB9">
      <w:pPr>
        <w:pStyle w:val="Textbody"/>
        <w:spacing w:line="360" w:lineRule="auto"/>
        <w:rPr>
          <w:rFonts w:ascii="Arial" w:hAnsi="Arial"/>
        </w:rPr>
      </w:pPr>
    </w:p>
    <w:p w14:paraId="4F5875BC" w14:textId="77777777" w:rsidR="00690C07" w:rsidRDefault="00690C07" w:rsidP="00074CB9">
      <w:pPr>
        <w:pStyle w:val="Textbody"/>
        <w:spacing w:line="360" w:lineRule="auto"/>
        <w:rPr>
          <w:rFonts w:ascii="Arial" w:hAnsi="Arial"/>
        </w:rPr>
      </w:pPr>
    </w:p>
    <w:p w14:paraId="39F6EFF4" w14:textId="4FC4B3A3" w:rsidR="00F23809" w:rsidRPr="00074CB9" w:rsidRDefault="00797D71" w:rsidP="00797D71">
      <w:pPr>
        <w:pStyle w:val="Textbody"/>
        <w:spacing w:line="360" w:lineRule="auto"/>
        <w:jc w:val="center"/>
        <w:rPr>
          <w:rFonts w:ascii="Arial" w:hAnsi="Arial"/>
        </w:rPr>
      </w:pPr>
      <w:r>
        <w:rPr>
          <w:rFonts w:ascii="Arial" w:hAnsi="Arial"/>
          <w:b/>
          <w:bCs/>
          <w:sz w:val="36"/>
          <w:szCs w:val="36"/>
        </w:rPr>
        <w:lastRenderedPageBreak/>
        <w:t>PART TWO</w:t>
      </w:r>
    </w:p>
    <w:p w14:paraId="14247BF3" w14:textId="70E27031" w:rsidR="00CE3441" w:rsidRPr="00690C07" w:rsidRDefault="00F367B0" w:rsidP="00690C07">
      <w:pPr>
        <w:pStyle w:val="Textbody"/>
        <w:spacing w:line="360" w:lineRule="auto"/>
        <w:jc w:val="center"/>
        <w:rPr>
          <w:rFonts w:ascii="Arial" w:hAnsi="Arial"/>
          <w:b/>
          <w:bCs/>
          <w:sz w:val="32"/>
          <w:szCs w:val="32"/>
        </w:rPr>
      </w:pPr>
      <w:r w:rsidRPr="00690C07">
        <w:rPr>
          <w:rFonts w:ascii="Arial" w:hAnsi="Arial"/>
          <w:b/>
          <w:bCs/>
          <w:sz w:val="32"/>
          <w:szCs w:val="32"/>
        </w:rPr>
        <w:t>Research Ethics &amp; Reflection Portfolio</w:t>
      </w:r>
    </w:p>
    <w:p w14:paraId="56B3CEC6" w14:textId="77777777" w:rsidR="00CE3441" w:rsidRPr="00690C07" w:rsidRDefault="00F367B0" w:rsidP="00690C07">
      <w:pPr>
        <w:pStyle w:val="Textbody"/>
        <w:spacing w:line="360" w:lineRule="auto"/>
        <w:jc w:val="center"/>
        <w:rPr>
          <w:rFonts w:ascii="Arial" w:hAnsi="Arial"/>
          <w:b/>
          <w:bCs/>
          <w:sz w:val="28"/>
          <w:szCs w:val="28"/>
        </w:rPr>
      </w:pPr>
      <w:r w:rsidRPr="00690C07">
        <w:rPr>
          <w:rFonts w:ascii="Arial" w:hAnsi="Arial"/>
          <w:b/>
          <w:bCs/>
          <w:sz w:val="28"/>
          <w:szCs w:val="28"/>
        </w:rPr>
        <w:t>Introduction</w:t>
      </w:r>
    </w:p>
    <w:p w14:paraId="4B10764B" w14:textId="77777777" w:rsidR="00CE3441" w:rsidRPr="00074CB9" w:rsidRDefault="00F367B0" w:rsidP="00074CB9">
      <w:pPr>
        <w:pStyle w:val="Textbody"/>
        <w:spacing w:line="360" w:lineRule="auto"/>
        <w:rPr>
          <w:rFonts w:ascii="Arial" w:hAnsi="Arial"/>
        </w:rPr>
      </w:pPr>
      <w:r w:rsidRPr="00074CB9">
        <w:rPr>
          <w:rFonts w:ascii="Arial" w:hAnsi="Arial"/>
        </w:rPr>
        <w:t xml:space="preserve">The following work will critically examine research methodologies, ethics and reflective practice within the context of youth and community work research. Through engagement with contemporary literature and relevant professional frameworks, this portfolio will explore the strengths and limitations of qualitative, quantitative and participatory methodologies, alongside consideration of ethical responsibilities when conducting research involving young people and communities. </w:t>
      </w:r>
      <w:proofErr w:type="gramStart"/>
      <w:r w:rsidRPr="00074CB9">
        <w:rPr>
          <w:rFonts w:ascii="Arial" w:hAnsi="Arial"/>
        </w:rPr>
        <w:t>Particular attention</w:t>
      </w:r>
      <w:proofErr w:type="gramEnd"/>
      <w:r w:rsidRPr="00074CB9">
        <w:rPr>
          <w:rFonts w:ascii="Arial" w:hAnsi="Arial"/>
        </w:rPr>
        <w:t xml:space="preserve"> will be given to issues surrounding power, consent, safeguarding, trustworthiness and reflexivity, all of which are especially significant within youth work settings due to the relational and often informal nature of practice.</w:t>
      </w:r>
    </w:p>
    <w:p w14:paraId="5196F875" w14:textId="77777777" w:rsidR="00CE3441" w:rsidRPr="00074CB9" w:rsidRDefault="00F367B0" w:rsidP="00074CB9">
      <w:pPr>
        <w:pStyle w:val="Textbody"/>
        <w:spacing w:line="360" w:lineRule="auto"/>
        <w:rPr>
          <w:rFonts w:ascii="Arial" w:hAnsi="Arial"/>
        </w:rPr>
      </w:pPr>
      <w:r w:rsidRPr="00074CB9">
        <w:rPr>
          <w:rFonts w:ascii="Arial" w:hAnsi="Arial"/>
        </w:rPr>
        <w:t xml:space="preserve">As youth work is </w:t>
      </w:r>
      <w:r w:rsidRPr="00074CB9">
        <w:rPr>
          <w:rFonts w:ascii="Arial" w:hAnsi="Arial"/>
        </w:rPr>
        <w:t xml:space="preserve">fundamentally values-driven (Youth Work National Occupational Standards, 2019), research undertaken within the sector must also reflect these values. The </w:t>
      </w:r>
      <w:r w:rsidRPr="00074CB9">
        <w:rPr>
          <w:rFonts w:ascii="Arial" w:hAnsi="Arial"/>
          <w:i/>
        </w:rPr>
        <w:t>Youth Work in Wales: Principles and Purposes</w:t>
      </w:r>
      <w:r w:rsidRPr="00074CB9">
        <w:rPr>
          <w:rFonts w:ascii="Arial" w:hAnsi="Arial"/>
        </w:rPr>
        <w:t xml:space="preserve"> (Welsh Government, 2022) </w:t>
      </w:r>
      <w:proofErr w:type="gramStart"/>
      <w:r w:rsidRPr="00074CB9">
        <w:rPr>
          <w:rFonts w:ascii="Arial" w:hAnsi="Arial"/>
        </w:rPr>
        <w:t>identifies</w:t>
      </w:r>
      <w:proofErr w:type="gramEnd"/>
      <w:r w:rsidRPr="00074CB9">
        <w:rPr>
          <w:rFonts w:ascii="Arial" w:hAnsi="Arial"/>
        </w:rPr>
        <w:t xml:space="preserve"> participation, empowerment, inclusion and education as central to meaningful youth work practice. Consequently, research involving young people should not simply extract information from participants but instead aim to create collaborative and ethical spaces in which young peo</w:t>
      </w:r>
      <w:r w:rsidRPr="00074CB9">
        <w:rPr>
          <w:rFonts w:ascii="Arial" w:hAnsi="Arial"/>
        </w:rPr>
        <w:t>ple are respected as active contributors to knowledge production.</w:t>
      </w:r>
    </w:p>
    <w:p w14:paraId="27C678D9" w14:textId="77777777" w:rsidR="00CE3441" w:rsidRPr="00074CB9" w:rsidRDefault="00F367B0" w:rsidP="00074CB9">
      <w:pPr>
        <w:pStyle w:val="Textbody"/>
        <w:spacing w:line="360" w:lineRule="auto"/>
        <w:rPr>
          <w:rFonts w:ascii="Arial" w:hAnsi="Arial"/>
        </w:rPr>
      </w:pPr>
      <w:r w:rsidRPr="00074CB9">
        <w:rPr>
          <w:rFonts w:ascii="Arial" w:hAnsi="Arial"/>
        </w:rPr>
        <w:t>This portfolio will therefore examine not only how research is conducted, but why particular methodologies may be more appropriate within youth work contexts. Throughout this discussion, consideration will also be given to reflective practice and action research as methods of developing both professional understanding and ethical awareness.</w:t>
      </w:r>
    </w:p>
    <w:p w14:paraId="60526349" w14:textId="77777777" w:rsidR="00076758" w:rsidRDefault="00076758" w:rsidP="00074CB9">
      <w:pPr>
        <w:pStyle w:val="Textbody"/>
        <w:spacing w:line="360" w:lineRule="auto"/>
        <w:rPr>
          <w:rFonts w:ascii="Arial" w:hAnsi="Arial"/>
        </w:rPr>
      </w:pPr>
    </w:p>
    <w:p w14:paraId="0416D63B" w14:textId="76EF95CA" w:rsidR="00CE3441" w:rsidRPr="00076758" w:rsidRDefault="00F367B0" w:rsidP="00076758">
      <w:pPr>
        <w:pStyle w:val="Textbody"/>
        <w:spacing w:line="360" w:lineRule="auto"/>
        <w:jc w:val="center"/>
        <w:rPr>
          <w:rFonts w:ascii="Arial" w:hAnsi="Arial"/>
          <w:b/>
          <w:bCs/>
          <w:sz w:val="28"/>
          <w:szCs w:val="28"/>
        </w:rPr>
      </w:pPr>
      <w:r w:rsidRPr="00076758">
        <w:rPr>
          <w:rFonts w:ascii="Arial" w:hAnsi="Arial"/>
          <w:b/>
          <w:bCs/>
          <w:sz w:val="28"/>
          <w:szCs w:val="28"/>
        </w:rPr>
        <w:t>Research Methodologies within Youth Work</w:t>
      </w:r>
    </w:p>
    <w:p w14:paraId="7B254E27" w14:textId="47AF18DD" w:rsidR="00CE3441" w:rsidRPr="00074CB9" w:rsidRDefault="00F367B0" w:rsidP="00074CB9">
      <w:pPr>
        <w:pStyle w:val="Textbody"/>
        <w:spacing w:line="360" w:lineRule="auto"/>
        <w:rPr>
          <w:rFonts w:ascii="Arial" w:hAnsi="Arial"/>
        </w:rPr>
      </w:pPr>
      <w:r w:rsidRPr="00074CB9">
        <w:rPr>
          <w:rFonts w:ascii="Arial" w:hAnsi="Arial"/>
        </w:rPr>
        <w:t xml:space="preserve">Research methodologies provide the </w:t>
      </w:r>
      <w:r w:rsidR="008F2EBC">
        <w:rPr>
          <w:rFonts w:ascii="Arial" w:hAnsi="Arial"/>
        </w:rPr>
        <w:t>foundations and frameworks</w:t>
      </w:r>
      <w:r w:rsidRPr="00074CB9">
        <w:rPr>
          <w:rFonts w:ascii="Arial" w:hAnsi="Arial"/>
        </w:rPr>
        <w:t xml:space="preserve"> through which researchers gather, interpret and present information. Creswell (2007) suggests that research methodologies are shaped by broader assumptions regarding knowledge, reality and the role of the researcher (pp. 15–23). Consequently, </w:t>
      </w:r>
      <w:r w:rsidR="008F2EBC">
        <w:rPr>
          <w:rFonts w:ascii="Arial" w:hAnsi="Arial"/>
        </w:rPr>
        <w:t>a researcher’s</w:t>
      </w:r>
      <w:r w:rsidRPr="00074CB9">
        <w:rPr>
          <w:rFonts w:ascii="Arial" w:hAnsi="Arial"/>
        </w:rPr>
        <w:t xml:space="preserve"> choice of methodology has a significant impact on both the research process and the findings produced.</w:t>
      </w:r>
    </w:p>
    <w:p w14:paraId="61341B43" w14:textId="1164E97F" w:rsidR="00CE3441" w:rsidRPr="00074CB9" w:rsidRDefault="00F367B0" w:rsidP="00074CB9">
      <w:pPr>
        <w:pStyle w:val="Textbody"/>
        <w:spacing w:line="360" w:lineRule="auto"/>
        <w:rPr>
          <w:rFonts w:ascii="Arial" w:hAnsi="Arial"/>
        </w:rPr>
      </w:pPr>
      <w:r w:rsidRPr="00074CB9">
        <w:rPr>
          <w:rFonts w:ascii="Arial" w:hAnsi="Arial"/>
        </w:rPr>
        <w:lastRenderedPageBreak/>
        <w:t xml:space="preserve">Within youth work research, </w:t>
      </w:r>
      <w:r w:rsidR="00187CFC">
        <w:rPr>
          <w:rFonts w:ascii="Arial" w:hAnsi="Arial"/>
        </w:rPr>
        <w:t xml:space="preserve">as with any social research, </w:t>
      </w:r>
      <w:r w:rsidRPr="00074CB9">
        <w:rPr>
          <w:rFonts w:ascii="Arial" w:hAnsi="Arial"/>
        </w:rPr>
        <w:t>qualitative methodologies are often particularly valuable due to the relational and experiential nature of practice. Qualitative approaches focus on understanding meaning, experience and interpretation rather than measuring numerical data (Bryman, 2016, pp. 375–399). This makes qualitative methods especially useful when exploring complex social issues such as identity, wellbeing, relationships and professional practice.</w:t>
      </w:r>
    </w:p>
    <w:p w14:paraId="2706C52A" w14:textId="77777777" w:rsidR="00CE3441" w:rsidRPr="00074CB9" w:rsidRDefault="00F367B0" w:rsidP="00074CB9">
      <w:pPr>
        <w:pStyle w:val="Textbody"/>
        <w:spacing w:line="360" w:lineRule="auto"/>
        <w:rPr>
          <w:rFonts w:ascii="Arial" w:hAnsi="Arial"/>
        </w:rPr>
      </w:pPr>
      <w:r w:rsidRPr="00074CB9">
        <w:rPr>
          <w:rFonts w:ascii="Arial" w:hAnsi="Arial"/>
        </w:rPr>
        <w:t>Semi-structured interviews, for example, are widely utilised within youth work research because they allow participants flexibility to discuss experiences in depth while still providing the researcher with some structure (Kvale and Brinkmann, 2009, pp. 48–61). This can be particularly beneficial when working with young people as it creates opportunities for participants to discuss issues important to them rather than restricting them to rigid questioning.</w:t>
      </w:r>
    </w:p>
    <w:p w14:paraId="49C69E58" w14:textId="77777777" w:rsidR="00CE3441" w:rsidRPr="00074CB9" w:rsidRDefault="00F367B0" w:rsidP="00074CB9">
      <w:pPr>
        <w:pStyle w:val="Textbody"/>
        <w:spacing w:line="360" w:lineRule="auto"/>
        <w:rPr>
          <w:rFonts w:ascii="Arial" w:hAnsi="Arial"/>
        </w:rPr>
      </w:pPr>
      <w:r w:rsidRPr="00074CB9">
        <w:rPr>
          <w:rFonts w:ascii="Arial" w:hAnsi="Arial"/>
        </w:rPr>
        <w:t>Similarly, focus groups are often valuable within youth work settings because they encourage collaborative discussion and allow researchers to observe how opinions and ideas develop socially (Morgan, 1997, pp. 12–19). Given that youth work itself frequently takes place in group settings, focus groups may feel more natural and less intimidating for young participants than one-to-one interviews.</w:t>
      </w:r>
    </w:p>
    <w:p w14:paraId="63B577C0" w14:textId="77777777" w:rsidR="00CE3441" w:rsidRPr="00074CB9" w:rsidRDefault="00F367B0" w:rsidP="00074CB9">
      <w:pPr>
        <w:pStyle w:val="Textbody"/>
        <w:spacing w:line="360" w:lineRule="auto"/>
        <w:rPr>
          <w:rFonts w:ascii="Arial" w:hAnsi="Arial"/>
        </w:rPr>
      </w:pPr>
      <w:r w:rsidRPr="00074CB9">
        <w:rPr>
          <w:rFonts w:ascii="Arial" w:hAnsi="Arial"/>
        </w:rPr>
        <w:t>However, qualitative methodologies are not without limitations. One criticism is that findings are often difficult to generalise due to smaller sample sizes and context-specific data (Bryman, 2016, pp. 408–410). Additionally, qualitative research can be heavily influenced by researcher interpretation, creating concerns regarding bias and subjectivity.</w:t>
      </w:r>
    </w:p>
    <w:p w14:paraId="43BFDC2A" w14:textId="77777777" w:rsidR="00CE3441" w:rsidRPr="00074CB9" w:rsidRDefault="00F367B0" w:rsidP="00074CB9">
      <w:pPr>
        <w:pStyle w:val="Textbody"/>
        <w:spacing w:line="360" w:lineRule="auto"/>
        <w:rPr>
          <w:rFonts w:ascii="Arial" w:hAnsi="Arial"/>
        </w:rPr>
      </w:pPr>
      <w:r w:rsidRPr="00074CB9">
        <w:rPr>
          <w:rFonts w:ascii="Arial" w:hAnsi="Arial"/>
        </w:rPr>
        <w:t>Quantitative methodologies, conversely, aim to collect measurable data that can be statistically analysed. Surveys and questionnaires are common examples of quantitative methods and can be useful when attempting to gather information from larger populations efficiently (Cohen, Manion and Morrison, 2018, pp. 334–372). For example, a youth organisation seeking feedback regarding service provision may utilise questionnaires to identify general trends in young people’s experiences.</w:t>
      </w:r>
    </w:p>
    <w:p w14:paraId="326E01D0" w14:textId="77777777" w:rsidR="00CE3441" w:rsidRPr="00074CB9" w:rsidRDefault="00F367B0" w:rsidP="00074CB9">
      <w:pPr>
        <w:pStyle w:val="Textbody"/>
        <w:spacing w:line="360" w:lineRule="auto"/>
        <w:rPr>
          <w:rFonts w:ascii="Arial" w:hAnsi="Arial"/>
        </w:rPr>
      </w:pPr>
      <w:r w:rsidRPr="00074CB9">
        <w:rPr>
          <w:rFonts w:ascii="Arial" w:hAnsi="Arial"/>
        </w:rPr>
        <w:t>The primary strength of quantitative research is found in its potential reliability and replicability. Standardised methods allow findings to be compared across groups and contexts. However, quantitative methods may fail to capture the complexity of lived experience, particularly within youth work contexts where relationships, emotions and identity are significant factors.</w:t>
      </w:r>
    </w:p>
    <w:p w14:paraId="41485823" w14:textId="61B303DD" w:rsidR="00CE3441" w:rsidRPr="00074CB9" w:rsidRDefault="00F367B0" w:rsidP="00074CB9">
      <w:pPr>
        <w:pStyle w:val="Textbody"/>
        <w:spacing w:line="360" w:lineRule="auto"/>
        <w:rPr>
          <w:rFonts w:ascii="Arial" w:hAnsi="Arial"/>
        </w:rPr>
      </w:pPr>
      <w:r w:rsidRPr="00074CB9">
        <w:rPr>
          <w:rFonts w:ascii="Arial" w:hAnsi="Arial"/>
        </w:rPr>
        <w:lastRenderedPageBreak/>
        <w:t xml:space="preserve">This reflects a </w:t>
      </w:r>
      <w:r w:rsidR="008B3A5E">
        <w:rPr>
          <w:rFonts w:ascii="Arial" w:hAnsi="Arial"/>
        </w:rPr>
        <w:t xml:space="preserve">wider </w:t>
      </w:r>
      <w:r w:rsidR="008D2271">
        <w:rPr>
          <w:rFonts w:ascii="Arial" w:hAnsi="Arial"/>
        </w:rPr>
        <w:t>discussion</w:t>
      </w:r>
      <w:r w:rsidRPr="00074CB9">
        <w:rPr>
          <w:rFonts w:ascii="Arial" w:hAnsi="Arial"/>
        </w:rPr>
        <w:t xml:space="preserve"> within social research regarding positivist and interpretivist approaches. Positivist researchers argue that reality can be objectively measured through scientific methods, whereas interpretivist approaches suggest that reality is socially constructed and therefore best understood through lived experience and interpretation (Creswell, 2007, pp. 20–23).</w:t>
      </w:r>
    </w:p>
    <w:p w14:paraId="0F6A0CD0" w14:textId="77777777" w:rsidR="00CE3441" w:rsidRPr="00074CB9" w:rsidRDefault="00F367B0" w:rsidP="00074CB9">
      <w:pPr>
        <w:pStyle w:val="Textbody"/>
        <w:spacing w:line="360" w:lineRule="auto"/>
        <w:rPr>
          <w:rFonts w:ascii="Arial" w:hAnsi="Arial"/>
        </w:rPr>
      </w:pPr>
      <w:r w:rsidRPr="00074CB9">
        <w:rPr>
          <w:rFonts w:ascii="Arial" w:hAnsi="Arial"/>
        </w:rPr>
        <w:t>Within youth work research, interpretivist approaches often appear more aligned with professional values due to their emphasis on voice, participation and individual experience. However, combining qualitative and quantitative approaches through mixed methods research can provide a more comprehensive understanding of complex issues.</w:t>
      </w:r>
    </w:p>
    <w:p w14:paraId="6C474E8A" w14:textId="77777777" w:rsidR="008D2271" w:rsidRDefault="008D2271" w:rsidP="00074CB9">
      <w:pPr>
        <w:pStyle w:val="Textbody"/>
        <w:spacing w:line="360" w:lineRule="auto"/>
        <w:rPr>
          <w:rFonts w:ascii="Arial" w:hAnsi="Arial"/>
        </w:rPr>
      </w:pPr>
    </w:p>
    <w:p w14:paraId="5485B3D5" w14:textId="3365F769" w:rsidR="00CE3441" w:rsidRPr="00074CB9" w:rsidRDefault="00F367B0" w:rsidP="008D2271">
      <w:pPr>
        <w:pStyle w:val="Textbody"/>
        <w:spacing w:line="360" w:lineRule="auto"/>
        <w:jc w:val="center"/>
        <w:rPr>
          <w:rFonts w:ascii="Arial" w:hAnsi="Arial"/>
        </w:rPr>
      </w:pPr>
      <w:r w:rsidRPr="008D2271">
        <w:rPr>
          <w:rFonts w:ascii="Arial" w:hAnsi="Arial"/>
          <w:b/>
          <w:bCs/>
          <w:sz w:val="28"/>
          <w:szCs w:val="28"/>
        </w:rPr>
        <w:t>Participatory Research Methods</w:t>
      </w:r>
    </w:p>
    <w:p w14:paraId="2850D450" w14:textId="77777777" w:rsidR="00CE3441" w:rsidRPr="00074CB9" w:rsidRDefault="00F367B0" w:rsidP="00074CB9">
      <w:pPr>
        <w:pStyle w:val="Textbody"/>
        <w:spacing w:line="360" w:lineRule="auto"/>
        <w:rPr>
          <w:rFonts w:ascii="Arial" w:hAnsi="Arial"/>
        </w:rPr>
      </w:pPr>
      <w:r w:rsidRPr="00074CB9">
        <w:rPr>
          <w:rFonts w:ascii="Arial" w:hAnsi="Arial"/>
        </w:rPr>
        <w:t>Participatory research methods have become increasingly influential within youth work and community research because they seek to reduce power imbalances between researchers and participants. Rather than treating participants as passive subjects, participatory methodologies position them as active contributors within the research process (Cornwall and Jewkes, 1995, pp. 1667–1676).</w:t>
      </w:r>
    </w:p>
    <w:p w14:paraId="3FEDC40C" w14:textId="77777777" w:rsidR="00CE3441" w:rsidRPr="00074CB9" w:rsidRDefault="00F367B0" w:rsidP="00074CB9">
      <w:pPr>
        <w:pStyle w:val="Textbody"/>
        <w:spacing w:line="360" w:lineRule="auto"/>
        <w:rPr>
          <w:rFonts w:ascii="Arial" w:hAnsi="Arial"/>
        </w:rPr>
      </w:pPr>
      <w:r w:rsidRPr="00074CB9">
        <w:rPr>
          <w:rFonts w:ascii="Arial" w:hAnsi="Arial"/>
        </w:rPr>
        <w:t xml:space="preserve">This approach strongly reflects the values outlined within the NOS (2019) and </w:t>
      </w:r>
      <w:r w:rsidRPr="00074CB9">
        <w:rPr>
          <w:rFonts w:ascii="Arial" w:hAnsi="Arial"/>
          <w:i/>
        </w:rPr>
        <w:t>Youth Work in Wales: Principles and Purposes</w:t>
      </w:r>
      <w:r w:rsidRPr="00074CB9">
        <w:rPr>
          <w:rFonts w:ascii="Arial" w:hAnsi="Arial"/>
        </w:rPr>
        <w:t xml:space="preserve"> (Welsh Government, 2022), particularly regarding empowerment, participation and partnership with young people.</w:t>
      </w:r>
    </w:p>
    <w:p w14:paraId="1F86E909" w14:textId="77777777" w:rsidR="00CE3441" w:rsidRPr="00074CB9" w:rsidRDefault="00F367B0" w:rsidP="00074CB9">
      <w:pPr>
        <w:pStyle w:val="Textbody"/>
        <w:spacing w:line="360" w:lineRule="auto"/>
        <w:rPr>
          <w:rFonts w:ascii="Arial" w:hAnsi="Arial"/>
        </w:rPr>
      </w:pPr>
      <w:r w:rsidRPr="00074CB9">
        <w:rPr>
          <w:rFonts w:ascii="Arial" w:hAnsi="Arial"/>
        </w:rPr>
        <w:t>Participatory Action Research (PAR), for example, combines research with social action and reflection. Kemmis and McTaggart (1988) describe PAR as a cyclical process involving planning, action, observation and reflection (pp. 5–32). This methodology is particularly relevant to youth work because it encourages collaborative problem-solving and allows participants to influence change within their communities.</w:t>
      </w:r>
    </w:p>
    <w:p w14:paraId="15A6CE98" w14:textId="5C9598C4" w:rsidR="00CE3441" w:rsidRPr="00074CB9" w:rsidRDefault="00F367B0" w:rsidP="00074CB9">
      <w:pPr>
        <w:pStyle w:val="Textbody"/>
        <w:spacing w:line="360" w:lineRule="auto"/>
        <w:rPr>
          <w:rFonts w:ascii="Arial" w:hAnsi="Arial"/>
        </w:rPr>
      </w:pPr>
      <w:r w:rsidRPr="00074CB9">
        <w:rPr>
          <w:rFonts w:ascii="Arial" w:hAnsi="Arial"/>
        </w:rPr>
        <w:t xml:space="preserve">An example of participatory research within youth work may involve young people </w:t>
      </w:r>
      <w:r w:rsidR="00A60617">
        <w:rPr>
          <w:rFonts w:ascii="Arial" w:hAnsi="Arial"/>
        </w:rPr>
        <w:t xml:space="preserve">collaborating with professionals on </w:t>
      </w:r>
      <w:r w:rsidRPr="00074CB9">
        <w:rPr>
          <w:rFonts w:ascii="Arial" w:hAnsi="Arial"/>
        </w:rPr>
        <w:t>research exploring safety within their local area. Rather than adults deciding the focus and methods independently, young participants contribute to designing questions, gathering data and analysing findings. This approach not only produces valuable insight but can also empower participants through involvement in decision-making processes.</w:t>
      </w:r>
    </w:p>
    <w:p w14:paraId="3B506C45" w14:textId="77777777" w:rsidR="00CE3441" w:rsidRPr="00074CB9" w:rsidRDefault="00F367B0" w:rsidP="00074CB9">
      <w:pPr>
        <w:pStyle w:val="Textbody"/>
        <w:spacing w:line="360" w:lineRule="auto"/>
        <w:rPr>
          <w:rFonts w:ascii="Arial" w:hAnsi="Arial"/>
        </w:rPr>
      </w:pPr>
      <w:r w:rsidRPr="00074CB9">
        <w:rPr>
          <w:rFonts w:ascii="Arial" w:hAnsi="Arial"/>
        </w:rPr>
        <w:t xml:space="preserve">However, participatory research also presents challenges. While participatory methodologies aim to redistribute power, completely equal relationships between </w:t>
      </w:r>
      <w:r w:rsidRPr="00074CB9">
        <w:rPr>
          <w:rFonts w:ascii="Arial" w:hAnsi="Arial"/>
        </w:rPr>
        <w:lastRenderedPageBreak/>
        <w:t>researchers and participants are difficult to achieve. Researchers still often control funding, ethical approval processes and final publication of findings (Cooke and Kothari, 2001, pp. 1–15). Consequently, participatory approaches risk becoming tokenistic if young people are involved superficially rather than meaningfully.</w:t>
      </w:r>
    </w:p>
    <w:p w14:paraId="17565EBF" w14:textId="77777777" w:rsidR="00CE3441" w:rsidRPr="00074CB9" w:rsidRDefault="00F367B0" w:rsidP="00074CB9">
      <w:pPr>
        <w:pStyle w:val="Textbody"/>
        <w:spacing w:line="360" w:lineRule="auto"/>
        <w:rPr>
          <w:rFonts w:ascii="Arial" w:hAnsi="Arial"/>
        </w:rPr>
      </w:pPr>
      <w:r w:rsidRPr="00074CB9">
        <w:rPr>
          <w:rFonts w:ascii="Arial" w:hAnsi="Arial"/>
        </w:rPr>
        <w:t>Additionally, participatory methods can be time-intensive and require significant relationship building, flexibility and reflexivity. This may create practical difficulties within organisations facing funding pressures or limited resources.</w:t>
      </w:r>
    </w:p>
    <w:p w14:paraId="677D8A65" w14:textId="12ED7DFE" w:rsidR="00CE3441" w:rsidRDefault="00F367B0" w:rsidP="00074CB9">
      <w:pPr>
        <w:pStyle w:val="Textbody"/>
        <w:spacing w:line="360" w:lineRule="auto"/>
        <w:rPr>
          <w:rFonts w:ascii="Arial" w:hAnsi="Arial"/>
        </w:rPr>
      </w:pPr>
      <w:r w:rsidRPr="00074CB9">
        <w:rPr>
          <w:rFonts w:ascii="Arial" w:hAnsi="Arial"/>
        </w:rPr>
        <w:t xml:space="preserve">Despite these limitations, participatory methodologies arguably align most closely with youth work values due to their emphasis on collaboration, empowerment and social </w:t>
      </w:r>
      <w:r w:rsidR="00B62E00">
        <w:rPr>
          <w:rFonts w:ascii="Arial" w:hAnsi="Arial"/>
        </w:rPr>
        <w:t>equity</w:t>
      </w:r>
      <w:r w:rsidRPr="00074CB9">
        <w:rPr>
          <w:rFonts w:ascii="Arial" w:hAnsi="Arial"/>
        </w:rPr>
        <w:t>.</w:t>
      </w:r>
    </w:p>
    <w:p w14:paraId="2C61D585" w14:textId="77777777" w:rsidR="00D1152C" w:rsidRPr="00074CB9" w:rsidRDefault="00D1152C" w:rsidP="00074CB9">
      <w:pPr>
        <w:pStyle w:val="Textbody"/>
        <w:spacing w:line="360" w:lineRule="auto"/>
        <w:rPr>
          <w:rFonts w:ascii="Arial" w:hAnsi="Arial"/>
        </w:rPr>
      </w:pPr>
    </w:p>
    <w:p w14:paraId="563329B2" w14:textId="77777777" w:rsidR="00CE3441" w:rsidRPr="00B62E00" w:rsidRDefault="00F367B0" w:rsidP="00B62E00">
      <w:pPr>
        <w:pStyle w:val="Textbody"/>
        <w:spacing w:line="360" w:lineRule="auto"/>
        <w:jc w:val="center"/>
        <w:rPr>
          <w:rFonts w:ascii="Arial" w:hAnsi="Arial"/>
          <w:b/>
          <w:bCs/>
          <w:sz w:val="28"/>
          <w:szCs w:val="28"/>
        </w:rPr>
      </w:pPr>
      <w:r w:rsidRPr="00B62E00">
        <w:rPr>
          <w:rFonts w:ascii="Arial" w:hAnsi="Arial"/>
          <w:b/>
          <w:bCs/>
          <w:sz w:val="28"/>
          <w:szCs w:val="28"/>
        </w:rPr>
        <w:t>Research Ethics within Youth Work</w:t>
      </w:r>
    </w:p>
    <w:p w14:paraId="03D365D0" w14:textId="77777777" w:rsidR="00CE3441" w:rsidRPr="00074CB9" w:rsidRDefault="00F367B0" w:rsidP="00074CB9">
      <w:pPr>
        <w:pStyle w:val="Textbody"/>
        <w:spacing w:line="360" w:lineRule="auto"/>
        <w:rPr>
          <w:rFonts w:ascii="Arial" w:hAnsi="Arial"/>
        </w:rPr>
      </w:pPr>
      <w:r w:rsidRPr="00074CB9">
        <w:rPr>
          <w:rFonts w:ascii="Arial" w:hAnsi="Arial"/>
        </w:rPr>
        <w:t>Ethics are central to all forms of social research, particularly when working with potentially vulnerable groups such as children and young people. The British Educational Research Association (BERA, 2018) identifies key ethical principles including informed consent, confidentiality, voluntary participation, minimising harm and maintaining integrity throughout the research process (pp. 5–18).</w:t>
      </w:r>
    </w:p>
    <w:p w14:paraId="5FF58F5D" w14:textId="77777777" w:rsidR="00CE3441" w:rsidRPr="00074CB9" w:rsidRDefault="00F367B0" w:rsidP="00074CB9">
      <w:pPr>
        <w:pStyle w:val="Textbody"/>
        <w:spacing w:line="360" w:lineRule="auto"/>
        <w:rPr>
          <w:rFonts w:ascii="Arial" w:hAnsi="Arial"/>
        </w:rPr>
      </w:pPr>
      <w:r w:rsidRPr="00074CB9">
        <w:rPr>
          <w:rFonts w:ascii="Arial" w:hAnsi="Arial"/>
        </w:rPr>
        <w:t>Within youth work settings, ethical considerations become especially significant due to the relational nature of practice. Youth workers often hold positions of trust and authority, creating potential power imbalances between researcher and participant.</w:t>
      </w:r>
    </w:p>
    <w:p w14:paraId="6A89C277" w14:textId="77777777" w:rsidR="00CE3441" w:rsidRPr="00074CB9" w:rsidRDefault="00F367B0" w:rsidP="00074CB9">
      <w:pPr>
        <w:pStyle w:val="Textbody"/>
        <w:spacing w:line="360" w:lineRule="auto"/>
        <w:rPr>
          <w:rFonts w:ascii="Arial" w:hAnsi="Arial"/>
        </w:rPr>
      </w:pPr>
      <w:r w:rsidRPr="00074CB9">
        <w:rPr>
          <w:rFonts w:ascii="Arial" w:hAnsi="Arial"/>
        </w:rPr>
        <w:t>Informed consent is one of the most fundamental ethical requirements within research. Participants should fully understand the purpose of the research, how information will be used and their right to withdraw at any stage (BERA, 2018, pp. 11–12). However, obtaining informed consent when working with young people can be more complex than with adults.</w:t>
      </w:r>
    </w:p>
    <w:p w14:paraId="41F64DB6" w14:textId="77777777" w:rsidR="00CE3441" w:rsidRPr="00074CB9" w:rsidRDefault="00F367B0" w:rsidP="00074CB9">
      <w:pPr>
        <w:pStyle w:val="Textbody"/>
        <w:spacing w:line="360" w:lineRule="auto"/>
        <w:rPr>
          <w:rFonts w:ascii="Arial" w:hAnsi="Arial"/>
        </w:rPr>
      </w:pPr>
      <w:r w:rsidRPr="00074CB9">
        <w:rPr>
          <w:rFonts w:ascii="Arial" w:hAnsi="Arial"/>
        </w:rPr>
        <w:t>Questions arise concerning age, capacity and understanding. Alderson and Morrow (2020) argue that children and young people should not automatically be viewed as incapable of informed decision-making, but researchers must ensure that information is communicated accessibly and appropriately (pp. 96–118).</w:t>
      </w:r>
    </w:p>
    <w:p w14:paraId="211009F9" w14:textId="77777777" w:rsidR="00CE3441" w:rsidRPr="00074CB9" w:rsidRDefault="00F367B0" w:rsidP="00074CB9">
      <w:pPr>
        <w:pStyle w:val="Textbody"/>
        <w:spacing w:line="360" w:lineRule="auto"/>
        <w:rPr>
          <w:rFonts w:ascii="Arial" w:hAnsi="Arial"/>
        </w:rPr>
      </w:pPr>
      <w:r w:rsidRPr="00074CB9">
        <w:rPr>
          <w:rFonts w:ascii="Arial" w:hAnsi="Arial"/>
        </w:rPr>
        <w:t>Safeguarding is another major ethical consideration within youth work research. Researchers may encounter disclosures relating to abuse, exploitation, self-harm or criminal activity. Consequently, clear safeguarding procedures and confidentiality boundaries must be established before research begins.</w:t>
      </w:r>
    </w:p>
    <w:p w14:paraId="7F5B5A8A" w14:textId="77777777" w:rsidR="00CE3441" w:rsidRPr="00074CB9" w:rsidRDefault="00F367B0" w:rsidP="00074CB9">
      <w:pPr>
        <w:pStyle w:val="Textbody"/>
        <w:spacing w:line="360" w:lineRule="auto"/>
        <w:rPr>
          <w:rFonts w:ascii="Arial" w:hAnsi="Arial"/>
        </w:rPr>
      </w:pPr>
      <w:r w:rsidRPr="00074CB9">
        <w:rPr>
          <w:rFonts w:ascii="Arial" w:hAnsi="Arial"/>
        </w:rPr>
        <w:lastRenderedPageBreak/>
        <w:t>Confidentiality itself presents ethical tensions. While protecting participant privacy is essential, researchers also hold responsibilities regarding risk and safety. As Wiles (2013) notes, confidentiality can never be entirely absolute within social research, particularly where safeguarding concerns emerge (pp. 41–58).</w:t>
      </w:r>
    </w:p>
    <w:p w14:paraId="6EAD4C1A" w14:textId="77777777" w:rsidR="00CE3441" w:rsidRPr="00074CB9" w:rsidRDefault="00F367B0" w:rsidP="00074CB9">
      <w:pPr>
        <w:pStyle w:val="Textbody"/>
        <w:spacing w:line="360" w:lineRule="auto"/>
        <w:rPr>
          <w:rFonts w:ascii="Arial" w:hAnsi="Arial"/>
        </w:rPr>
      </w:pPr>
      <w:r w:rsidRPr="00074CB9">
        <w:rPr>
          <w:rFonts w:ascii="Arial" w:hAnsi="Arial"/>
        </w:rPr>
        <w:t xml:space="preserve">Power dynamics also significantly influence ethical practice. Foucault (1977) argues that power operates through social relationships and institutions rather than simply through overt authority (pp. 170–194). Within </w:t>
      </w:r>
      <w:r w:rsidRPr="00074CB9">
        <w:rPr>
          <w:rFonts w:ascii="Arial" w:hAnsi="Arial"/>
        </w:rPr>
        <w:t>research contexts, researchers possess power through their control over interpretation and representation.</w:t>
      </w:r>
    </w:p>
    <w:p w14:paraId="094D77E9" w14:textId="77777777" w:rsidR="00CE3441" w:rsidRDefault="00F367B0" w:rsidP="00074CB9">
      <w:pPr>
        <w:pStyle w:val="Textbody"/>
        <w:spacing w:line="360" w:lineRule="auto"/>
        <w:rPr>
          <w:rFonts w:ascii="Arial" w:hAnsi="Arial"/>
        </w:rPr>
      </w:pPr>
      <w:r w:rsidRPr="00074CB9">
        <w:rPr>
          <w:rFonts w:ascii="Arial" w:hAnsi="Arial"/>
        </w:rPr>
        <w:t>This becomes particularly relevant within youth work where adults are often researching young people’s lives and experiences. Without reflexive awareness, researchers may unintentionally reinforce unequal relationships or misrepresent participant voices.</w:t>
      </w:r>
    </w:p>
    <w:p w14:paraId="291976C5" w14:textId="77777777" w:rsidR="0040594D" w:rsidRPr="00074CB9" w:rsidRDefault="0040594D" w:rsidP="00074CB9">
      <w:pPr>
        <w:pStyle w:val="Textbody"/>
        <w:spacing w:line="360" w:lineRule="auto"/>
        <w:rPr>
          <w:rFonts w:ascii="Arial" w:hAnsi="Arial"/>
        </w:rPr>
      </w:pPr>
    </w:p>
    <w:p w14:paraId="7BFDDFDC" w14:textId="77777777" w:rsidR="00CE3441" w:rsidRPr="0040594D" w:rsidRDefault="00F367B0" w:rsidP="0040594D">
      <w:pPr>
        <w:pStyle w:val="Textbody"/>
        <w:spacing w:line="360" w:lineRule="auto"/>
        <w:jc w:val="center"/>
        <w:rPr>
          <w:rFonts w:ascii="Arial" w:hAnsi="Arial"/>
          <w:b/>
          <w:bCs/>
          <w:sz w:val="28"/>
          <w:szCs w:val="28"/>
        </w:rPr>
      </w:pPr>
      <w:r w:rsidRPr="0040594D">
        <w:rPr>
          <w:rFonts w:ascii="Arial" w:hAnsi="Arial"/>
          <w:b/>
          <w:bCs/>
          <w:sz w:val="28"/>
          <w:szCs w:val="28"/>
        </w:rPr>
        <w:t>Reflection and Reflexive Practice</w:t>
      </w:r>
    </w:p>
    <w:p w14:paraId="5582004B" w14:textId="77777777" w:rsidR="00CE3441" w:rsidRPr="00074CB9" w:rsidRDefault="00F367B0" w:rsidP="00074CB9">
      <w:pPr>
        <w:pStyle w:val="Textbody"/>
        <w:spacing w:line="360" w:lineRule="auto"/>
        <w:rPr>
          <w:rFonts w:ascii="Arial" w:hAnsi="Arial"/>
        </w:rPr>
      </w:pPr>
      <w:r w:rsidRPr="00074CB9">
        <w:rPr>
          <w:rFonts w:ascii="Arial" w:hAnsi="Arial"/>
        </w:rPr>
        <w:t xml:space="preserve">Reflective practice is widely recognised as essential within youth work and social research. Schön (1983) describes reflection as the process through which professionals critically examine their actions and assumptions </w:t>
      </w:r>
      <w:proofErr w:type="gramStart"/>
      <w:r w:rsidRPr="00074CB9">
        <w:rPr>
          <w:rFonts w:ascii="Arial" w:hAnsi="Arial"/>
        </w:rPr>
        <w:t>in order to</w:t>
      </w:r>
      <w:proofErr w:type="gramEnd"/>
      <w:r w:rsidRPr="00074CB9">
        <w:rPr>
          <w:rFonts w:ascii="Arial" w:hAnsi="Arial"/>
        </w:rPr>
        <w:t xml:space="preserve"> improve practice (pp. 49–69).</w:t>
      </w:r>
    </w:p>
    <w:p w14:paraId="7752235F" w14:textId="77777777" w:rsidR="00CE3441" w:rsidRPr="00074CB9" w:rsidRDefault="00F367B0" w:rsidP="00074CB9">
      <w:pPr>
        <w:pStyle w:val="Textbody"/>
        <w:spacing w:line="360" w:lineRule="auto"/>
        <w:rPr>
          <w:rFonts w:ascii="Arial" w:hAnsi="Arial"/>
        </w:rPr>
      </w:pPr>
      <w:r w:rsidRPr="00074CB9">
        <w:rPr>
          <w:rFonts w:ascii="Arial" w:hAnsi="Arial"/>
        </w:rPr>
        <w:t>Within research, reflexivity extends beyond reflection-on-action and involves recognising how the researcher’s own beliefs, experiences and identity influence the research process (Finlay, 2002, pp. 209–230). Reflexive practice is particularly important within qualitative research because interpretation is inevitably shaped by the researcher’s perspective.</w:t>
      </w:r>
    </w:p>
    <w:p w14:paraId="7C1FFE34" w14:textId="77777777" w:rsidR="001904DA" w:rsidRDefault="00F367B0" w:rsidP="00074CB9">
      <w:pPr>
        <w:pStyle w:val="Textbody"/>
        <w:spacing w:line="360" w:lineRule="auto"/>
        <w:rPr>
          <w:rFonts w:ascii="Arial" w:hAnsi="Arial"/>
        </w:rPr>
      </w:pPr>
      <w:r w:rsidRPr="00074CB9">
        <w:rPr>
          <w:rFonts w:ascii="Arial" w:hAnsi="Arial"/>
        </w:rPr>
        <w:t>For example, a youth worker researching young people within their own community may possess insider knowledge and established relationships that improve trust and communication. However, this familiarity may also create assumptions or biases that influence interpretation of findings.</w:t>
      </w:r>
    </w:p>
    <w:p w14:paraId="6CD9C15D" w14:textId="4EF73102" w:rsidR="00CE3441" w:rsidRPr="00074CB9" w:rsidRDefault="00F367B0" w:rsidP="00074CB9">
      <w:pPr>
        <w:pStyle w:val="Textbody"/>
        <w:spacing w:line="360" w:lineRule="auto"/>
        <w:rPr>
          <w:rFonts w:ascii="Arial" w:hAnsi="Arial"/>
        </w:rPr>
      </w:pPr>
      <w:r w:rsidRPr="00074CB9">
        <w:rPr>
          <w:rFonts w:ascii="Arial" w:hAnsi="Arial"/>
        </w:rPr>
        <w:t>Maintaining reflexive journals throughout research projects can therefore be useful in identifying personal assumptions, emotional responses and ethical tensions. Gibbs’ (1988) reflective cycle is often utilised within professional practice to structure reflection through stages of description, feelings, evaluation, analysis and action planning (pp. 49–56).</w:t>
      </w:r>
    </w:p>
    <w:p w14:paraId="78DC0006" w14:textId="660D9835" w:rsidR="00CE3441" w:rsidRPr="00074CB9" w:rsidRDefault="00F367B0" w:rsidP="00074CB9">
      <w:pPr>
        <w:pStyle w:val="Textbody"/>
        <w:spacing w:line="360" w:lineRule="auto"/>
        <w:rPr>
          <w:rFonts w:ascii="Arial" w:hAnsi="Arial"/>
        </w:rPr>
      </w:pPr>
      <w:r w:rsidRPr="00074CB9">
        <w:rPr>
          <w:rFonts w:ascii="Arial" w:hAnsi="Arial"/>
        </w:rPr>
        <w:t xml:space="preserve">Reflection is also central to action research methodologies. Action research differs from traditional research approaches because it seeks not only to understand practice but to actively improve it (McNiff, 2013, pp. 23–39). This methodology is particularly relevant </w:t>
      </w:r>
      <w:r w:rsidRPr="00074CB9">
        <w:rPr>
          <w:rFonts w:ascii="Arial" w:hAnsi="Arial"/>
        </w:rPr>
        <w:lastRenderedPageBreak/>
        <w:t xml:space="preserve">within </w:t>
      </w:r>
      <w:r w:rsidR="00AD4EED">
        <w:rPr>
          <w:rFonts w:ascii="Arial" w:hAnsi="Arial"/>
        </w:rPr>
        <w:t xml:space="preserve">a </w:t>
      </w:r>
      <w:r w:rsidRPr="00074CB9">
        <w:rPr>
          <w:rFonts w:ascii="Arial" w:hAnsi="Arial"/>
        </w:rPr>
        <w:t xml:space="preserve">youth work </w:t>
      </w:r>
      <w:r w:rsidR="00AD4EED">
        <w:rPr>
          <w:rFonts w:ascii="Arial" w:hAnsi="Arial"/>
        </w:rPr>
        <w:t xml:space="preserve">setting, </w:t>
      </w:r>
      <w:r w:rsidRPr="00074CB9">
        <w:rPr>
          <w:rFonts w:ascii="Arial" w:hAnsi="Arial"/>
        </w:rPr>
        <w:t>where practitioners often aim to create positive social change alongside generating knowledge.</w:t>
      </w:r>
    </w:p>
    <w:p w14:paraId="2AF9CE1B" w14:textId="77777777" w:rsidR="00CE3441" w:rsidRPr="00074CB9" w:rsidRDefault="00F367B0" w:rsidP="00074CB9">
      <w:pPr>
        <w:pStyle w:val="Textbody"/>
        <w:spacing w:line="360" w:lineRule="auto"/>
        <w:rPr>
          <w:rFonts w:ascii="Arial" w:hAnsi="Arial"/>
        </w:rPr>
      </w:pPr>
      <w:r w:rsidRPr="00074CB9">
        <w:rPr>
          <w:rFonts w:ascii="Arial" w:hAnsi="Arial"/>
        </w:rPr>
        <w:t>For example, a youth worker may identify low engagement within a youth provision, implement new participatory activities, reflect upon outcomes and adapt practice accordingly. This cyclical process allows research and professional development to occur simultaneously.</w:t>
      </w:r>
    </w:p>
    <w:p w14:paraId="4C64B940" w14:textId="77777777" w:rsidR="00CE3441" w:rsidRPr="00074CB9" w:rsidRDefault="00F367B0" w:rsidP="00074CB9">
      <w:pPr>
        <w:pStyle w:val="Textbody"/>
        <w:spacing w:line="360" w:lineRule="auto"/>
        <w:rPr>
          <w:rFonts w:ascii="Arial" w:hAnsi="Arial"/>
        </w:rPr>
      </w:pPr>
      <w:r w:rsidRPr="00074CB9">
        <w:rPr>
          <w:rFonts w:ascii="Arial" w:hAnsi="Arial"/>
        </w:rPr>
        <w:t>However, reflective practice itself is not without criticism. Fook (2016) argues that reflection can become superficial if practitioners simply describe experiences without critically examining structural influences or power relations (pp. 89–106). Consequently, meaningful reflection requires critical engagement with wider social, political and organisational contexts.</w:t>
      </w:r>
    </w:p>
    <w:p w14:paraId="4F23A51D" w14:textId="4A05ADE3" w:rsidR="00CE3441" w:rsidRPr="00E44365" w:rsidRDefault="00F367B0" w:rsidP="00E44365">
      <w:pPr>
        <w:pStyle w:val="Textbody"/>
        <w:spacing w:line="360" w:lineRule="auto"/>
        <w:jc w:val="center"/>
        <w:rPr>
          <w:rFonts w:ascii="Arial" w:hAnsi="Arial"/>
          <w:b/>
          <w:bCs/>
          <w:sz w:val="28"/>
          <w:szCs w:val="28"/>
        </w:rPr>
      </w:pPr>
      <w:r w:rsidRPr="00E44365">
        <w:rPr>
          <w:rFonts w:ascii="Arial" w:hAnsi="Arial"/>
          <w:b/>
          <w:bCs/>
          <w:sz w:val="28"/>
          <w:szCs w:val="28"/>
        </w:rPr>
        <w:t>Validity</w:t>
      </w:r>
      <w:r w:rsidR="00E44365">
        <w:rPr>
          <w:rFonts w:ascii="Arial" w:hAnsi="Arial"/>
          <w:b/>
          <w:bCs/>
          <w:sz w:val="28"/>
          <w:szCs w:val="28"/>
        </w:rPr>
        <w:t xml:space="preserve"> and Reliability</w:t>
      </w:r>
    </w:p>
    <w:p w14:paraId="258233B6" w14:textId="77777777" w:rsidR="00CE3441" w:rsidRPr="00074CB9" w:rsidRDefault="00F367B0" w:rsidP="00074CB9">
      <w:pPr>
        <w:pStyle w:val="Textbody"/>
        <w:spacing w:line="360" w:lineRule="auto"/>
        <w:rPr>
          <w:rFonts w:ascii="Arial" w:hAnsi="Arial"/>
        </w:rPr>
      </w:pPr>
      <w:r w:rsidRPr="00074CB9">
        <w:rPr>
          <w:rFonts w:ascii="Arial" w:hAnsi="Arial"/>
        </w:rPr>
        <w:t>Questions surrounding validity and reliability are significant within all forms of research. Quantitative research often prioritises reliability, replicability and objectivity, whereas qualitative research focuses more heavily on credibility and trustworthiness (Lincoln and Guba, 1985, pp. 289–331).</w:t>
      </w:r>
    </w:p>
    <w:p w14:paraId="0F068F5B" w14:textId="70DCAD83" w:rsidR="00CE3441" w:rsidRPr="00074CB9" w:rsidRDefault="00F367B0" w:rsidP="00074CB9">
      <w:pPr>
        <w:pStyle w:val="Textbody"/>
        <w:spacing w:line="360" w:lineRule="auto"/>
        <w:rPr>
          <w:rFonts w:ascii="Arial" w:hAnsi="Arial"/>
        </w:rPr>
      </w:pPr>
      <w:r w:rsidRPr="00074CB9">
        <w:rPr>
          <w:rFonts w:ascii="Arial" w:hAnsi="Arial"/>
        </w:rPr>
        <w:t xml:space="preserve">Within qualitative youth work research, </w:t>
      </w:r>
      <w:r w:rsidRPr="00074CB9">
        <w:rPr>
          <w:rFonts w:ascii="Arial" w:hAnsi="Arial"/>
        </w:rPr>
        <w:t xml:space="preserve">trustworthiness may be strengthened through </w:t>
      </w:r>
      <w:r w:rsidR="004A7986">
        <w:rPr>
          <w:rFonts w:ascii="Arial" w:hAnsi="Arial"/>
        </w:rPr>
        <w:t>triangulation</w:t>
      </w:r>
      <w:r w:rsidRPr="00074CB9">
        <w:rPr>
          <w:rFonts w:ascii="Arial" w:hAnsi="Arial"/>
        </w:rPr>
        <w:t>, prolonged engagement and participant validation. Triangulation involves using multiple methods or data sources to compare findings (Denzin, 1978, pp. 291–307). For example, combining interviews, observations and document analysis may improve the depth and credibility of research findings.</w:t>
      </w:r>
    </w:p>
    <w:p w14:paraId="09B65F6B" w14:textId="77777777" w:rsidR="00CE3441" w:rsidRPr="00074CB9" w:rsidRDefault="00F367B0" w:rsidP="00074CB9">
      <w:pPr>
        <w:pStyle w:val="Textbody"/>
        <w:spacing w:line="360" w:lineRule="auto"/>
        <w:rPr>
          <w:rFonts w:ascii="Arial" w:hAnsi="Arial"/>
        </w:rPr>
      </w:pPr>
      <w:r w:rsidRPr="00074CB9">
        <w:rPr>
          <w:rFonts w:ascii="Arial" w:hAnsi="Arial"/>
        </w:rPr>
        <w:t>Bias also presents challenges within social research. Researchers may consciously or unconsciously interpret information in ways that reflect personal assumptions or expectations. Reflexive practice therefore becomes essential in identifying and reducing potential bias.</w:t>
      </w:r>
    </w:p>
    <w:p w14:paraId="347738AE" w14:textId="77777777" w:rsidR="00CE3441" w:rsidRDefault="00F367B0" w:rsidP="00074CB9">
      <w:pPr>
        <w:pStyle w:val="Textbody"/>
        <w:spacing w:line="360" w:lineRule="auto"/>
        <w:rPr>
          <w:rFonts w:ascii="Arial" w:hAnsi="Arial"/>
        </w:rPr>
      </w:pPr>
      <w:r w:rsidRPr="00074CB9">
        <w:rPr>
          <w:rFonts w:ascii="Arial" w:hAnsi="Arial"/>
        </w:rPr>
        <w:t>Importantly, youth work research must also recognise the limitations of knowledge production itself. Experiences are subjective, socially situated and constantly changing. Consequently, no research can provide entirely objective or universal truth.</w:t>
      </w:r>
    </w:p>
    <w:p w14:paraId="577713C1" w14:textId="77777777" w:rsidR="00BD3CDA" w:rsidRPr="00074CB9" w:rsidRDefault="00BD3CDA" w:rsidP="00074CB9">
      <w:pPr>
        <w:pStyle w:val="Textbody"/>
        <w:spacing w:line="360" w:lineRule="auto"/>
        <w:rPr>
          <w:rFonts w:ascii="Arial" w:hAnsi="Arial"/>
        </w:rPr>
      </w:pPr>
    </w:p>
    <w:p w14:paraId="4E7DFA94" w14:textId="77777777" w:rsidR="00D1152C" w:rsidRDefault="00D1152C" w:rsidP="00BD3CDA">
      <w:pPr>
        <w:pStyle w:val="Textbody"/>
        <w:spacing w:line="360" w:lineRule="auto"/>
        <w:jc w:val="center"/>
        <w:rPr>
          <w:rFonts w:ascii="Arial" w:hAnsi="Arial"/>
          <w:b/>
          <w:bCs/>
          <w:sz w:val="28"/>
          <w:szCs w:val="28"/>
        </w:rPr>
      </w:pPr>
    </w:p>
    <w:p w14:paraId="5293BEC8" w14:textId="77777777" w:rsidR="00D1152C" w:rsidRDefault="00D1152C" w:rsidP="00BD3CDA">
      <w:pPr>
        <w:pStyle w:val="Textbody"/>
        <w:spacing w:line="360" w:lineRule="auto"/>
        <w:jc w:val="center"/>
        <w:rPr>
          <w:rFonts w:ascii="Arial" w:hAnsi="Arial"/>
          <w:b/>
          <w:bCs/>
          <w:sz w:val="28"/>
          <w:szCs w:val="28"/>
        </w:rPr>
      </w:pPr>
    </w:p>
    <w:p w14:paraId="5CC63683" w14:textId="5202DAE1" w:rsidR="00CE3441" w:rsidRPr="00BD3CDA" w:rsidRDefault="00F367B0" w:rsidP="00BD3CDA">
      <w:pPr>
        <w:pStyle w:val="Textbody"/>
        <w:spacing w:line="360" w:lineRule="auto"/>
        <w:jc w:val="center"/>
        <w:rPr>
          <w:rFonts w:ascii="Arial" w:hAnsi="Arial"/>
          <w:b/>
          <w:bCs/>
          <w:sz w:val="28"/>
          <w:szCs w:val="28"/>
        </w:rPr>
      </w:pPr>
      <w:r w:rsidRPr="00BD3CDA">
        <w:rPr>
          <w:rFonts w:ascii="Arial" w:hAnsi="Arial"/>
          <w:b/>
          <w:bCs/>
          <w:sz w:val="28"/>
          <w:szCs w:val="28"/>
        </w:rPr>
        <w:lastRenderedPageBreak/>
        <w:t>Conclusion</w:t>
      </w:r>
    </w:p>
    <w:p w14:paraId="3B262E7C" w14:textId="4106AF88" w:rsidR="00CE3441" w:rsidRPr="00074CB9" w:rsidRDefault="00F367B0" w:rsidP="00074CB9">
      <w:pPr>
        <w:pStyle w:val="Textbody"/>
        <w:spacing w:line="360" w:lineRule="auto"/>
        <w:rPr>
          <w:rFonts w:ascii="Arial" w:hAnsi="Arial"/>
        </w:rPr>
      </w:pPr>
      <w:r w:rsidRPr="00074CB9">
        <w:rPr>
          <w:rFonts w:ascii="Arial" w:hAnsi="Arial"/>
        </w:rPr>
        <w:t>Ultimately, research within youth and community work</w:t>
      </w:r>
      <w:r w:rsidR="00D1152C">
        <w:rPr>
          <w:rFonts w:ascii="Arial" w:hAnsi="Arial"/>
        </w:rPr>
        <w:t xml:space="preserve">, as with any </w:t>
      </w:r>
      <w:r w:rsidR="00D94E9E">
        <w:rPr>
          <w:rFonts w:ascii="Arial" w:hAnsi="Arial"/>
        </w:rPr>
        <w:t>social research,</w:t>
      </w:r>
      <w:r w:rsidRPr="00074CB9">
        <w:rPr>
          <w:rFonts w:ascii="Arial" w:hAnsi="Arial"/>
        </w:rPr>
        <w:t xml:space="preserve"> requires careful consideration of methodology, ethics and reflective practice. As discussed throughout this portfolio, different research approaches offer distinct strengths and limitations depending upon the context and aims of the study.</w:t>
      </w:r>
    </w:p>
    <w:p w14:paraId="42D21E4B" w14:textId="77777777" w:rsidR="00CE3441" w:rsidRPr="00074CB9" w:rsidRDefault="00F367B0" w:rsidP="00074CB9">
      <w:pPr>
        <w:pStyle w:val="Textbody"/>
        <w:spacing w:line="360" w:lineRule="auto"/>
        <w:rPr>
          <w:rFonts w:ascii="Arial" w:hAnsi="Arial"/>
        </w:rPr>
      </w:pPr>
      <w:r w:rsidRPr="00074CB9">
        <w:rPr>
          <w:rFonts w:ascii="Arial" w:hAnsi="Arial"/>
        </w:rPr>
        <w:t>Qualitative and participatory methodologies appear particularly valuable within youth work settings due to their alignment with professional values surrounding participation, empowerment and relationship-based practice. However, these approaches also require strong reflexive awareness and ethical consideration due to issues surrounding power, bias and representation.</w:t>
      </w:r>
    </w:p>
    <w:p w14:paraId="11E0F585" w14:textId="77777777" w:rsidR="00CE3441" w:rsidRPr="00074CB9" w:rsidRDefault="00F367B0" w:rsidP="00074CB9">
      <w:pPr>
        <w:pStyle w:val="Textbody"/>
        <w:spacing w:line="360" w:lineRule="auto"/>
        <w:rPr>
          <w:rFonts w:ascii="Arial" w:hAnsi="Arial"/>
        </w:rPr>
      </w:pPr>
      <w:r w:rsidRPr="00074CB9">
        <w:rPr>
          <w:rFonts w:ascii="Arial" w:hAnsi="Arial"/>
        </w:rPr>
        <w:t>Similarly, ethical practice within youth work research extends beyond procedural requirements such as consent forms and confidentiality agreements. Meaningful ethical research requires ongoing reflection regarding relationships, safeguarding, participation and the wider consequences of knowledge production.</w:t>
      </w:r>
    </w:p>
    <w:p w14:paraId="7E37B3B9" w14:textId="13545960" w:rsidR="00CE3441" w:rsidRDefault="00F367B0" w:rsidP="00074CB9">
      <w:pPr>
        <w:pStyle w:val="Textbody"/>
        <w:spacing w:line="360" w:lineRule="auto"/>
        <w:rPr>
          <w:rFonts w:ascii="Arial" w:hAnsi="Arial"/>
        </w:rPr>
      </w:pPr>
      <w:r w:rsidRPr="00074CB9">
        <w:rPr>
          <w:rFonts w:ascii="Arial" w:hAnsi="Arial"/>
        </w:rPr>
        <w:t>Reflective and reflexive practice therefore</w:t>
      </w:r>
      <w:r w:rsidR="00834D2D">
        <w:rPr>
          <w:rFonts w:ascii="Arial" w:hAnsi="Arial"/>
        </w:rPr>
        <w:t xml:space="preserve"> stand out</w:t>
      </w:r>
      <w:r w:rsidRPr="00074CB9">
        <w:rPr>
          <w:rFonts w:ascii="Arial" w:hAnsi="Arial"/>
        </w:rPr>
        <w:t xml:space="preserve"> as essential components of both effective youth work and ethical social research. Through critical reflection researchers and practitioners can continually examine their assumptions, improve practice</w:t>
      </w:r>
      <w:r w:rsidR="00834D2D">
        <w:rPr>
          <w:rFonts w:ascii="Arial" w:hAnsi="Arial"/>
        </w:rPr>
        <w:t>,</w:t>
      </w:r>
      <w:r w:rsidRPr="00074CB9">
        <w:rPr>
          <w:rFonts w:ascii="Arial" w:hAnsi="Arial"/>
        </w:rPr>
        <w:t xml:space="preserve"> and ensure that research remains grounded in the values of participation, inclusion and social </w:t>
      </w:r>
      <w:r w:rsidR="00834D2D">
        <w:rPr>
          <w:rFonts w:ascii="Arial" w:hAnsi="Arial"/>
        </w:rPr>
        <w:t>equity</w:t>
      </w:r>
      <w:r w:rsidRPr="00074CB9">
        <w:rPr>
          <w:rFonts w:ascii="Arial" w:hAnsi="Arial"/>
        </w:rPr>
        <w:t xml:space="preserve"> central to youth work itself.</w:t>
      </w:r>
    </w:p>
    <w:p w14:paraId="0F9769C7" w14:textId="77777777" w:rsidR="00C076EE" w:rsidRDefault="00C076EE" w:rsidP="00074CB9">
      <w:pPr>
        <w:pStyle w:val="Textbody"/>
        <w:spacing w:line="360" w:lineRule="auto"/>
        <w:rPr>
          <w:rFonts w:ascii="Arial" w:hAnsi="Arial"/>
        </w:rPr>
      </w:pPr>
    </w:p>
    <w:p w14:paraId="283F680A" w14:textId="77777777" w:rsidR="00C076EE" w:rsidRDefault="00C076EE" w:rsidP="00074CB9">
      <w:pPr>
        <w:pStyle w:val="Textbody"/>
        <w:spacing w:line="360" w:lineRule="auto"/>
        <w:rPr>
          <w:rFonts w:ascii="Arial" w:hAnsi="Arial"/>
        </w:rPr>
      </w:pPr>
    </w:p>
    <w:p w14:paraId="1064246B" w14:textId="77777777" w:rsidR="00C076EE" w:rsidRDefault="00C076EE" w:rsidP="00074CB9">
      <w:pPr>
        <w:pStyle w:val="Textbody"/>
        <w:spacing w:line="360" w:lineRule="auto"/>
        <w:rPr>
          <w:rFonts w:ascii="Arial" w:hAnsi="Arial"/>
        </w:rPr>
      </w:pPr>
    </w:p>
    <w:p w14:paraId="64167BF0" w14:textId="77777777" w:rsidR="00C076EE" w:rsidRDefault="00C076EE" w:rsidP="00074CB9">
      <w:pPr>
        <w:pStyle w:val="Textbody"/>
        <w:spacing w:line="360" w:lineRule="auto"/>
        <w:rPr>
          <w:rFonts w:ascii="Arial" w:hAnsi="Arial"/>
        </w:rPr>
      </w:pPr>
    </w:p>
    <w:p w14:paraId="322DB136" w14:textId="77777777" w:rsidR="00C076EE" w:rsidRDefault="00C076EE" w:rsidP="00074CB9">
      <w:pPr>
        <w:pStyle w:val="Textbody"/>
        <w:spacing w:line="360" w:lineRule="auto"/>
        <w:rPr>
          <w:rFonts w:ascii="Arial" w:hAnsi="Arial"/>
        </w:rPr>
      </w:pPr>
    </w:p>
    <w:p w14:paraId="4F30D080" w14:textId="1EE126FE" w:rsidR="00690C07" w:rsidRDefault="00690C07" w:rsidP="00074CB9">
      <w:pPr>
        <w:pStyle w:val="Textbody"/>
        <w:spacing w:line="360" w:lineRule="auto"/>
        <w:rPr>
          <w:rFonts w:ascii="Arial" w:hAnsi="Arial"/>
        </w:rPr>
      </w:pPr>
    </w:p>
    <w:p w14:paraId="5BE1F090" w14:textId="77777777" w:rsidR="00690C07" w:rsidRDefault="00690C07" w:rsidP="00074CB9">
      <w:pPr>
        <w:pStyle w:val="Textbody"/>
        <w:spacing w:line="360" w:lineRule="auto"/>
        <w:rPr>
          <w:rFonts w:ascii="Arial" w:hAnsi="Arial"/>
        </w:rPr>
      </w:pPr>
    </w:p>
    <w:p w14:paraId="14FCB5AA" w14:textId="77777777" w:rsidR="00690C07" w:rsidRDefault="00690C07" w:rsidP="00074CB9">
      <w:pPr>
        <w:pStyle w:val="Textbody"/>
        <w:spacing w:line="360" w:lineRule="auto"/>
        <w:rPr>
          <w:rFonts w:ascii="Arial" w:hAnsi="Arial"/>
        </w:rPr>
      </w:pPr>
    </w:p>
    <w:p w14:paraId="38A7B13D" w14:textId="77777777" w:rsidR="00690C07" w:rsidRDefault="00690C07" w:rsidP="00074CB9">
      <w:pPr>
        <w:pStyle w:val="Textbody"/>
        <w:spacing w:line="360" w:lineRule="auto"/>
        <w:rPr>
          <w:rFonts w:ascii="Arial" w:hAnsi="Arial"/>
        </w:rPr>
      </w:pPr>
    </w:p>
    <w:p w14:paraId="0CB94053" w14:textId="77777777" w:rsidR="00690C07" w:rsidRDefault="00690C07" w:rsidP="00074CB9">
      <w:pPr>
        <w:pStyle w:val="Textbody"/>
        <w:spacing w:line="360" w:lineRule="auto"/>
        <w:rPr>
          <w:rFonts w:ascii="Arial" w:hAnsi="Arial"/>
        </w:rPr>
      </w:pPr>
    </w:p>
    <w:p w14:paraId="3017CA11" w14:textId="77777777" w:rsidR="00690C07" w:rsidRDefault="00690C07" w:rsidP="00074CB9">
      <w:pPr>
        <w:pStyle w:val="Textbody"/>
        <w:spacing w:line="360" w:lineRule="auto"/>
        <w:rPr>
          <w:rFonts w:ascii="Arial" w:hAnsi="Arial"/>
        </w:rPr>
      </w:pPr>
    </w:p>
    <w:p w14:paraId="4951B88D" w14:textId="77777777" w:rsidR="00CE3441" w:rsidRPr="00D12EB7" w:rsidRDefault="00F367B0" w:rsidP="00DC7D01">
      <w:pPr>
        <w:pStyle w:val="Textbody"/>
        <w:rPr>
          <w:b/>
        </w:rPr>
      </w:pPr>
      <w:r w:rsidRPr="00D12EB7">
        <w:rPr>
          <w:b/>
        </w:rPr>
        <w:lastRenderedPageBreak/>
        <w:t>References</w:t>
      </w:r>
    </w:p>
    <w:p w14:paraId="340A4BEB" w14:textId="7663466C" w:rsidR="00CA75E4" w:rsidRDefault="00CA75E4" w:rsidP="00CA75E4">
      <w:pPr>
        <w:pStyle w:val="Textbody"/>
        <w:spacing w:after="0" w:line="360" w:lineRule="auto"/>
        <w:rPr>
          <w:rFonts w:hint="eastAsia"/>
        </w:rPr>
      </w:pPr>
      <w:r>
        <w:t>Alderso</w:t>
      </w:r>
      <w:r>
        <w:rPr>
          <w:rFonts w:hint="eastAsia"/>
        </w:rPr>
        <w:t>n</w:t>
      </w:r>
      <w:r>
        <w:t xml:space="preserve">, P. and Morrow, V. (2020) </w:t>
      </w:r>
      <w:r>
        <w:rPr>
          <w:i/>
        </w:rPr>
        <w:t>The Ethics of Research with Children and Young People</w:t>
      </w:r>
      <w:r>
        <w:t xml:space="preserve">. 2nd </w:t>
      </w:r>
      <w:proofErr w:type="spellStart"/>
      <w:r>
        <w:t>edn</w:t>
      </w:r>
      <w:proofErr w:type="spellEnd"/>
      <w:r>
        <w:t>. London: Sage, pp. 96–118.</w:t>
      </w:r>
    </w:p>
    <w:p w14:paraId="0A0F4726" w14:textId="77777777" w:rsidR="00CA75E4" w:rsidRDefault="00CA75E4" w:rsidP="00CA75E4">
      <w:pPr>
        <w:pStyle w:val="Textbody"/>
        <w:spacing w:after="0" w:line="360" w:lineRule="auto"/>
        <w:rPr>
          <w:rFonts w:hint="eastAsia"/>
        </w:rPr>
      </w:pPr>
      <w:r>
        <w:t xml:space="preserve">Banks, S. (2010) </w:t>
      </w:r>
      <w:r>
        <w:rPr>
          <w:i/>
        </w:rPr>
        <w:t>Ethics and Values in Social Work</w:t>
      </w:r>
      <w:r>
        <w:t xml:space="preserve">. 4th </w:t>
      </w:r>
      <w:proofErr w:type="spellStart"/>
      <w:r>
        <w:t>edn</w:t>
      </w:r>
      <w:proofErr w:type="spellEnd"/>
      <w:r>
        <w:t>. Basingstoke: Palgrave Macmillan, pp. 1–24.</w:t>
      </w:r>
    </w:p>
    <w:p w14:paraId="072928F1" w14:textId="77777777" w:rsidR="00CA75E4" w:rsidRDefault="00CA75E4" w:rsidP="00CA75E4">
      <w:pPr>
        <w:pStyle w:val="Textbody"/>
        <w:spacing w:after="0" w:line="360" w:lineRule="auto"/>
        <w:rPr>
          <w:rFonts w:hint="eastAsia"/>
        </w:rPr>
      </w:pPr>
      <w:r>
        <w:t xml:space="preserve">BERA (2018) </w:t>
      </w:r>
      <w:r>
        <w:rPr>
          <w:i/>
        </w:rPr>
        <w:t>Ethical Guidelines for Educational Research</w:t>
      </w:r>
      <w:r>
        <w:t xml:space="preserve">. 4th </w:t>
      </w:r>
      <w:proofErr w:type="spellStart"/>
      <w:r>
        <w:t>edn</w:t>
      </w:r>
      <w:proofErr w:type="spellEnd"/>
      <w:r>
        <w:t>. London: British Educational Research Association, pp. 5–18.</w:t>
      </w:r>
    </w:p>
    <w:p w14:paraId="51145880" w14:textId="77777777" w:rsidR="00CA75E4" w:rsidRDefault="00CA75E4" w:rsidP="00CA75E4">
      <w:pPr>
        <w:pStyle w:val="Textbody"/>
        <w:spacing w:after="0" w:line="360" w:lineRule="auto"/>
        <w:rPr>
          <w:rFonts w:hint="eastAsia"/>
        </w:rPr>
      </w:pPr>
      <w:r>
        <w:t xml:space="preserve">Bourdieu, P. (1984) </w:t>
      </w:r>
      <w:r>
        <w:rPr>
          <w:i/>
        </w:rPr>
        <w:t>Distinction: A Social Critique of the Judgement of Taste</w:t>
      </w:r>
      <w:r>
        <w:t>. London: Routledge, pp. 56–68.</w:t>
      </w:r>
    </w:p>
    <w:p w14:paraId="14941420" w14:textId="77777777" w:rsidR="00CA75E4" w:rsidRDefault="00CA75E4" w:rsidP="00CA75E4">
      <w:pPr>
        <w:pStyle w:val="Textbody"/>
        <w:spacing w:after="0" w:line="360" w:lineRule="auto"/>
        <w:rPr>
          <w:rFonts w:hint="eastAsia"/>
        </w:rPr>
      </w:pPr>
      <w:r>
        <w:t xml:space="preserve">Braun, V. and Clarke, V. (2006) ‘Using thematic analysis in psychology’, </w:t>
      </w:r>
      <w:r>
        <w:rPr>
          <w:i/>
        </w:rPr>
        <w:t>Qualitative Research in Psychology</w:t>
      </w:r>
      <w:r>
        <w:t>, 3(2), pp. 77–101.</w:t>
      </w:r>
    </w:p>
    <w:p w14:paraId="0FD4B923" w14:textId="77777777" w:rsidR="00CA75E4" w:rsidRDefault="00CA75E4" w:rsidP="00CA75E4">
      <w:pPr>
        <w:pStyle w:val="Textbody"/>
        <w:spacing w:after="0" w:line="360" w:lineRule="auto"/>
        <w:rPr>
          <w:rFonts w:hint="eastAsia"/>
        </w:rPr>
      </w:pPr>
      <w:r>
        <w:t xml:space="preserve">Bryman, A. (2016) </w:t>
      </w:r>
      <w:r>
        <w:rPr>
          <w:i/>
        </w:rPr>
        <w:t>Social Research Methods</w:t>
      </w:r>
      <w:r>
        <w:t xml:space="preserve">. 5th </w:t>
      </w:r>
      <w:proofErr w:type="spellStart"/>
      <w:r>
        <w:t>edn</w:t>
      </w:r>
      <w:proofErr w:type="spellEnd"/>
      <w:r>
        <w:t>. Oxford: Oxford University Press, pp. 375–410, 584–619.</w:t>
      </w:r>
    </w:p>
    <w:p w14:paraId="6ECF3F51" w14:textId="77777777" w:rsidR="00CA75E4" w:rsidRDefault="00CA75E4" w:rsidP="00CA75E4">
      <w:pPr>
        <w:pStyle w:val="Textbody"/>
        <w:spacing w:after="0" w:line="360" w:lineRule="auto"/>
        <w:rPr>
          <w:rFonts w:hint="eastAsia"/>
        </w:rPr>
      </w:pPr>
      <w:r>
        <w:t xml:space="preserve">Cohen, L., Manion, L. and Morrison, K. (2018) </w:t>
      </w:r>
      <w:r>
        <w:rPr>
          <w:i/>
        </w:rPr>
        <w:t>Research Methods in Education</w:t>
      </w:r>
      <w:r>
        <w:t xml:space="preserve">. 8th </w:t>
      </w:r>
      <w:proofErr w:type="spellStart"/>
      <w:r>
        <w:t>edn</w:t>
      </w:r>
      <w:proofErr w:type="spellEnd"/>
      <w:r>
        <w:t>. London: Routledge, pp. 334–372.</w:t>
      </w:r>
    </w:p>
    <w:p w14:paraId="1FBCEAD5" w14:textId="77777777" w:rsidR="00CA75E4" w:rsidRDefault="00CA75E4" w:rsidP="00CA75E4">
      <w:pPr>
        <w:pStyle w:val="Textbody"/>
        <w:spacing w:after="0" w:line="360" w:lineRule="auto"/>
        <w:rPr>
          <w:rFonts w:hint="eastAsia"/>
        </w:rPr>
      </w:pPr>
      <w:r>
        <w:t xml:space="preserve">Cooke, B. and Kothari, U. (2001) </w:t>
      </w:r>
      <w:r>
        <w:rPr>
          <w:i/>
        </w:rPr>
        <w:t>Participation: The New Tyranny?</w:t>
      </w:r>
      <w:r>
        <w:t xml:space="preserve"> London: Zed Books, pp. 1–15.</w:t>
      </w:r>
    </w:p>
    <w:p w14:paraId="2D89B024" w14:textId="77777777" w:rsidR="00CA75E4" w:rsidRDefault="00CA75E4" w:rsidP="00CA75E4">
      <w:pPr>
        <w:pStyle w:val="Textbody"/>
        <w:spacing w:after="0" w:line="360" w:lineRule="auto"/>
        <w:rPr>
          <w:rFonts w:hint="eastAsia"/>
        </w:rPr>
      </w:pPr>
      <w:r>
        <w:t xml:space="preserve">Cornwall, A. and Jewkes, R. (1995) ‘What is participatory research?’, </w:t>
      </w:r>
      <w:r>
        <w:rPr>
          <w:i/>
        </w:rPr>
        <w:t>Social Science &amp; Medicine</w:t>
      </w:r>
      <w:r>
        <w:t>, 41(12), pp. 1667–1676.</w:t>
      </w:r>
    </w:p>
    <w:p w14:paraId="163728DA" w14:textId="77777777" w:rsidR="00CA75E4" w:rsidRDefault="00CA75E4" w:rsidP="00CA75E4">
      <w:pPr>
        <w:pStyle w:val="Textbody"/>
        <w:spacing w:after="0" w:line="360" w:lineRule="auto"/>
        <w:rPr>
          <w:rFonts w:hint="eastAsia"/>
        </w:rPr>
      </w:pPr>
      <w:r>
        <w:t xml:space="preserve">Creswell, J.W. (2007) </w:t>
      </w:r>
      <w:r>
        <w:rPr>
          <w:i/>
        </w:rPr>
        <w:t>Qualitative Inquiry and Research Design: Choosing Among Five Approaches</w:t>
      </w:r>
      <w:r>
        <w:t xml:space="preserve">. 2nd </w:t>
      </w:r>
      <w:proofErr w:type="spellStart"/>
      <w:r>
        <w:t>edn</w:t>
      </w:r>
      <w:proofErr w:type="spellEnd"/>
      <w:r>
        <w:t>. London: Sage, pp. 15–37.</w:t>
      </w:r>
    </w:p>
    <w:p w14:paraId="5D26E984" w14:textId="77777777" w:rsidR="00CA75E4" w:rsidRDefault="00CA75E4" w:rsidP="00CA75E4">
      <w:pPr>
        <w:pStyle w:val="Textbody"/>
        <w:spacing w:after="0" w:line="360" w:lineRule="auto"/>
        <w:rPr>
          <w:rFonts w:hint="eastAsia"/>
        </w:rPr>
      </w:pPr>
      <w:r>
        <w:t xml:space="preserve">Davies, B. (2008) </w:t>
      </w:r>
      <w:r>
        <w:rPr>
          <w:i/>
        </w:rPr>
        <w:t>The New Labour Years: A History of the Youth Service in England</w:t>
      </w:r>
      <w:r>
        <w:t>. Leicester: National Youth Agency, pp. 11–35.</w:t>
      </w:r>
    </w:p>
    <w:p w14:paraId="38D9613E" w14:textId="77777777" w:rsidR="00CA75E4" w:rsidRDefault="00CA75E4" w:rsidP="00CA75E4">
      <w:pPr>
        <w:pStyle w:val="Textbody"/>
        <w:spacing w:after="0" w:line="360" w:lineRule="auto"/>
        <w:rPr>
          <w:rFonts w:hint="eastAsia"/>
        </w:rPr>
      </w:pPr>
      <w:r>
        <w:t xml:space="preserve">Denzin, N.K. (1978) </w:t>
      </w:r>
      <w:r>
        <w:rPr>
          <w:i/>
        </w:rPr>
        <w:t>The Research Act</w:t>
      </w:r>
      <w:r>
        <w:t xml:space="preserve">. 2nd </w:t>
      </w:r>
      <w:proofErr w:type="spellStart"/>
      <w:r>
        <w:t>edn</w:t>
      </w:r>
      <w:proofErr w:type="spellEnd"/>
      <w:r>
        <w:t>. New York: McGraw-Hill, pp. 291–307.</w:t>
      </w:r>
    </w:p>
    <w:p w14:paraId="06745DC5" w14:textId="77777777" w:rsidR="00CA75E4" w:rsidRDefault="00CA75E4" w:rsidP="00CA75E4">
      <w:pPr>
        <w:pStyle w:val="Textbody"/>
        <w:spacing w:after="0" w:line="360" w:lineRule="auto"/>
        <w:rPr>
          <w:rFonts w:hint="eastAsia"/>
        </w:rPr>
      </w:pPr>
      <w:r>
        <w:t xml:space="preserve">Finlay, L. (2002) ‘Negotiating the swamp: The opportunity and challenge of reflexivity in research practice’, </w:t>
      </w:r>
      <w:r>
        <w:rPr>
          <w:i/>
        </w:rPr>
        <w:t>Qualitative Research</w:t>
      </w:r>
      <w:r>
        <w:t>, 2(2), pp. 209–230.</w:t>
      </w:r>
    </w:p>
    <w:p w14:paraId="393E04AA" w14:textId="77777777" w:rsidR="00CA75E4" w:rsidRDefault="00CA75E4" w:rsidP="00CA75E4">
      <w:pPr>
        <w:pStyle w:val="Textbody"/>
        <w:spacing w:after="0" w:line="360" w:lineRule="auto"/>
        <w:rPr>
          <w:rFonts w:hint="eastAsia"/>
        </w:rPr>
      </w:pPr>
      <w:r>
        <w:t xml:space="preserve">Fook, J. (2016) </w:t>
      </w:r>
      <w:r>
        <w:rPr>
          <w:i/>
        </w:rPr>
        <w:t>Social Work: A Critical Approach to Practice</w:t>
      </w:r>
      <w:r>
        <w:t xml:space="preserve">. 3rd </w:t>
      </w:r>
      <w:proofErr w:type="spellStart"/>
      <w:r>
        <w:t>edn</w:t>
      </w:r>
      <w:proofErr w:type="spellEnd"/>
      <w:r>
        <w:t>. London: Sage, pp. 89–106.</w:t>
      </w:r>
    </w:p>
    <w:p w14:paraId="1B45CD25" w14:textId="77777777" w:rsidR="00CA75E4" w:rsidRDefault="00CA75E4" w:rsidP="00CA75E4">
      <w:pPr>
        <w:pStyle w:val="Textbody"/>
        <w:spacing w:after="0" w:line="360" w:lineRule="auto"/>
        <w:rPr>
          <w:rFonts w:hint="eastAsia"/>
        </w:rPr>
      </w:pPr>
      <w:r>
        <w:t xml:space="preserve">Foucault, M. (1977) </w:t>
      </w:r>
      <w:r>
        <w:rPr>
          <w:i/>
        </w:rPr>
        <w:t>Discipline and Punish: The Birth of the Prison</w:t>
      </w:r>
      <w:r>
        <w:t>. London: Penguin, pp. 170–194.</w:t>
      </w:r>
    </w:p>
    <w:p w14:paraId="5FDBC0AF" w14:textId="77777777" w:rsidR="00CA75E4" w:rsidRDefault="00CA75E4" w:rsidP="00CA75E4">
      <w:pPr>
        <w:pStyle w:val="Textbody"/>
        <w:spacing w:after="0" w:line="360" w:lineRule="auto"/>
        <w:rPr>
          <w:rFonts w:hint="eastAsia"/>
        </w:rPr>
      </w:pPr>
      <w:r>
        <w:t xml:space="preserve">Gibbs, G. (1988) </w:t>
      </w:r>
      <w:r>
        <w:rPr>
          <w:i/>
        </w:rPr>
        <w:t>Learning by Doing: A Guide to Teaching and Learning Methods</w:t>
      </w:r>
      <w:r>
        <w:t>. Oxford: Oxford Polytechnic, pp. 49–56.</w:t>
      </w:r>
    </w:p>
    <w:p w14:paraId="0C7BD4EA" w14:textId="77777777" w:rsidR="00CA75E4" w:rsidRDefault="00CA75E4" w:rsidP="00CA75E4">
      <w:pPr>
        <w:pStyle w:val="Textbody"/>
        <w:spacing w:after="0" w:line="360" w:lineRule="auto"/>
        <w:rPr>
          <w:rFonts w:hint="eastAsia"/>
        </w:rPr>
      </w:pPr>
      <w:r>
        <w:t xml:space="preserve">Kemmis, S. and McTaggart, R. (1988) </w:t>
      </w:r>
      <w:r>
        <w:rPr>
          <w:i/>
        </w:rPr>
        <w:t>The Action Research Planner</w:t>
      </w:r>
      <w:r>
        <w:t xml:space="preserve">. 3rd </w:t>
      </w:r>
      <w:proofErr w:type="spellStart"/>
      <w:r>
        <w:t>edn</w:t>
      </w:r>
      <w:proofErr w:type="spellEnd"/>
      <w:r>
        <w:t>. Victoria: Deakin University Press, pp. 5–32.</w:t>
      </w:r>
    </w:p>
    <w:p w14:paraId="05A3D899" w14:textId="77777777" w:rsidR="00CA75E4" w:rsidRDefault="00CA75E4" w:rsidP="00CA75E4">
      <w:pPr>
        <w:pStyle w:val="Textbody"/>
        <w:spacing w:after="0" w:line="360" w:lineRule="auto"/>
        <w:rPr>
          <w:rFonts w:hint="eastAsia"/>
        </w:rPr>
      </w:pPr>
      <w:r>
        <w:t xml:space="preserve">Kvale, S. and Brinkmann, S. (2009) </w:t>
      </w:r>
      <w:proofErr w:type="spellStart"/>
      <w:r>
        <w:rPr>
          <w:i/>
        </w:rPr>
        <w:t>InterViews</w:t>
      </w:r>
      <w:proofErr w:type="spellEnd"/>
      <w:r>
        <w:rPr>
          <w:i/>
        </w:rPr>
        <w:t>: Learning the Craft of Qualitative Research Interviewing</w:t>
      </w:r>
      <w:r>
        <w:t xml:space="preserve">. 2nd </w:t>
      </w:r>
      <w:proofErr w:type="spellStart"/>
      <w:r>
        <w:t>edn</w:t>
      </w:r>
      <w:proofErr w:type="spellEnd"/>
      <w:r>
        <w:t>. London: Sage, pp. 17–61.</w:t>
      </w:r>
    </w:p>
    <w:p w14:paraId="79B912E9" w14:textId="77777777" w:rsidR="00CA75E4" w:rsidRDefault="00CA75E4" w:rsidP="00CA75E4">
      <w:pPr>
        <w:pStyle w:val="Textbody"/>
        <w:spacing w:after="0" w:line="360" w:lineRule="auto"/>
        <w:rPr>
          <w:rFonts w:hint="eastAsia"/>
        </w:rPr>
      </w:pPr>
      <w:r>
        <w:t xml:space="preserve">Lincoln, Y.S. and Guba, E.G. (1985) </w:t>
      </w:r>
      <w:r>
        <w:rPr>
          <w:i/>
        </w:rPr>
        <w:t>Naturalistic Inquiry</w:t>
      </w:r>
      <w:r>
        <w:t>. Beverly Hills: Sage, pp. 289–331.</w:t>
      </w:r>
    </w:p>
    <w:p w14:paraId="4C1770BA" w14:textId="77777777" w:rsidR="00CA75E4" w:rsidRDefault="00CA75E4" w:rsidP="00CA75E4">
      <w:pPr>
        <w:pStyle w:val="Textbody"/>
        <w:spacing w:after="0" w:line="360" w:lineRule="auto"/>
        <w:rPr>
          <w:rFonts w:hint="eastAsia"/>
        </w:rPr>
      </w:pPr>
      <w:r>
        <w:lastRenderedPageBreak/>
        <w:t xml:space="preserve">McNiff, J. (2013) </w:t>
      </w:r>
      <w:r>
        <w:rPr>
          <w:i/>
        </w:rPr>
        <w:t>Action Research: Principles and Practice</w:t>
      </w:r>
      <w:r>
        <w:t xml:space="preserve">. 3rd </w:t>
      </w:r>
      <w:proofErr w:type="spellStart"/>
      <w:r>
        <w:t>edn</w:t>
      </w:r>
      <w:proofErr w:type="spellEnd"/>
      <w:r>
        <w:t>. London: Routledge, pp. 23–39.</w:t>
      </w:r>
    </w:p>
    <w:p w14:paraId="3A4C619E" w14:textId="77777777" w:rsidR="00CA75E4" w:rsidRDefault="00CA75E4" w:rsidP="00CA75E4">
      <w:pPr>
        <w:pStyle w:val="Textbody"/>
        <w:spacing w:after="0" w:line="360" w:lineRule="auto"/>
        <w:rPr>
          <w:rFonts w:hint="eastAsia"/>
        </w:rPr>
      </w:pPr>
      <w:r>
        <w:t xml:space="preserve">Morgan, D.L. (1997) </w:t>
      </w:r>
      <w:r>
        <w:rPr>
          <w:i/>
        </w:rPr>
        <w:t>Focus Groups as Qualitative Research</w:t>
      </w:r>
      <w:r>
        <w:t xml:space="preserve">. 2nd </w:t>
      </w:r>
      <w:proofErr w:type="spellStart"/>
      <w:r>
        <w:t>edn</w:t>
      </w:r>
      <w:proofErr w:type="spellEnd"/>
      <w:r>
        <w:t>. London: Sage, pp. 12–19.</w:t>
      </w:r>
    </w:p>
    <w:p w14:paraId="1F49C045" w14:textId="77777777" w:rsidR="00CA75E4" w:rsidRDefault="00CA75E4" w:rsidP="00CA75E4">
      <w:pPr>
        <w:pStyle w:val="Textbody"/>
        <w:spacing w:after="0" w:line="360" w:lineRule="auto"/>
        <w:rPr>
          <w:rFonts w:hint="eastAsia"/>
        </w:rPr>
      </w:pPr>
      <w:r>
        <w:t xml:space="preserve">National Occupational Standards for Youth Work (2019) </w:t>
      </w:r>
      <w:r>
        <w:rPr>
          <w:i/>
        </w:rPr>
        <w:t>Youth Work National Occupational Standards</w:t>
      </w:r>
      <w:r>
        <w:t>. London: CLD Standards Council.</w:t>
      </w:r>
    </w:p>
    <w:p w14:paraId="6B61D0AF" w14:textId="77777777" w:rsidR="00CA75E4" w:rsidRDefault="00CA75E4" w:rsidP="00CA75E4">
      <w:pPr>
        <w:pStyle w:val="Textbody"/>
        <w:spacing w:after="0" w:line="360" w:lineRule="auto"/>
        <w:rPr>
          <w:rFonts w:hint="eastAsia"/>
        </w:rPr>
      </w:pPr>
      <w:r>
        <w:t xml:space="preserve">Ord, J. (2016) </w:t>
      </w:r>
      <w:r>
        <w:rPr>
          <w:i/>
        </w:rPr>
        <w:t>Youth Work: Process, Product and Practice</w:t>
      </w:r>
      <w:r>
        <w:t xml:space="preserve">. 2nd </w:t>
      </w:r>
      <w:proofErr w:type="spellStart"/>
      <w:r>
        <w:t>edn</w:t>
      </w:r>
      <w:proofErr w:type="spellEnd"/>
      <w:r>
        <w:t>. London: Routledge, pp. 72–95.</w:t>
      </w:r>
    </w:p>
    <w:p w14:paraId="228FBD91" w14:textId="77777777" w:rsidR="00CA75E4" w:rsidRDefault="00CA75E4" w:rsidP="00CA75E4">
      <w:pPr>
        <w:pStyle w:val="Textbody"/>
        <w:spacing w:after="0" w:line="360" w:lineRule="auto"/>
        <w:rPr>
          <w:rFonts w:hint="eastAsia"/>
        </w:rPr>
      </w:pPr>
      <w:r>
        <w:t xml:space="preserve">Schön, D.A. (1983) </w:t>
      </w:r>
      <w:r>
        <w:rPr>
          <w:i/>
        </w:rPr>
        <w:t>The Reflective Practitioner</w:t>
      </w:r>
      <w:r>
        <w:t>. New York: Basic Books, pp. 49–69.</w:t>
      </w:r>
    </w:p>
    <w:p w14:paraId="7F681E0B" w14:textId="77777777" w:rsidR="00CA75E4" w:rsidRDefault="00CA75E4" w:rsidP="00CA75E4">
      <w:pPr>
        <w:pStyle w:val="Textbody"/>
        <w:spacing w:after="0" w:line="360" w:lineRule="auto"/>
        <w:rPr>
          <w:rFonts w:hint="eastAsia"/>
        </w:rPr>
      </w:pPr>
      <w:r>
        <w:t xml:space="preserve">Welsh Government (2022) </w:t>
      </w:r>
      <w:r>
        <w:rPr>
          <w:i/>
        </w:rPr>
        <w:t>Youth Work in Wales: Principles and Purposes</w:t>
      </w:r>
      <w:r>
        <w:t>. Cardiff: Welsh Government.</w:t>
      </w:r>
    </w:p>
    <w:p w14:paraId="585578F1" w14:textId="77777777" w:rsidR="00CA75E4" w:rsidRDefault="00CA75E4" w:rsidP="00CA75E4">
      <w:pPr>
        <w:pStyle w:val="Textbody"/>
        <w:spacing w:after="0" w:line="360" w:lineRule="auto"/>
        <w:rPr>
          <w:rFonts w:hint="eastAsia"/>
        </w:rPr>
      </w:pPr>
      <w:r>
        <w:t xml:space="preserve">Wenger, E. (1998) </w:t>
      </w:r>
      <w:r>
        <w:rPr>
          <w:i/>
        </w:rPr>
        <w:t>Communities of Practice: Learning, Meaning and Identity</w:t>
      </w:r>
      <w:r>
        <w:t>. Cambridge: Cambridge University Press, pp. 72–98.</w:t>
      </w:r>
    </w:p>
    <w:p w14:paraId="620D9396" w14:textId="77777777" w:rsidR="00CA75E4" w:rsidRDefault="00CA75E4" w:rsidP="00CA75E4">
      <w:pPr>
        <w:pStyle w:val="Textbody"/>
        <w:spacing w:after="0" w:line="360" w:lineRule="auto"/>
        <w:rPr>
          <w:rFonts w:hint="eastAsia"/>
        </w:rPr>
      </w:pPr>
      <w:r>
        <w:t xml:space="preserve">Wiles, R. (2013) </w:t>
      </w:r>
      <w:r>
        <w:rPr>
          <w:i/>
        </w:rPr>
        <w:t>What are Qualitative Research Ethics?</w:t>
      </w:r>
      <w:r>
        <w:t xml:space="preserve"> London: Bloomsbury, pp. 41–58.</w:t>
      </w:r>
    </w:p>
    <w:p w14:paraId="6434EDDF" w14:textId="70831B04" w:rsidR="00D240EB" w:rsidRPr="00D12EB7" w:rsidRDefault="00C33198" w:rsidP="00CA75E4">
      <w:pPr>
        <w:pStyle w:val="Textbody"/>
        <w:spacing w:line="360" w:lineRule="auto"/>
      </w:pPr>
      <w:r w:rsidRPr="00C33198">
        <w:t>Williams, S. and Richardson, R. (2024) ‘What Do JNC Youth Workers Conceive of as “Professional Maturity” in Youth Work Practice’, </w:t>
      </w:r>
      <w:r w:rsidRPr="00C33198">
        <w:rPr>
          <w:i/>
          <w:iCs/>
        </w:rPr>
        <w:t>Journal of Applied Youth Studies</w:t>
      </w:r>
      <w:r w:rsidR="00CA2AA1">
        <w:t xml:space="preserve">, </w:t>
      </w:r>
      <w:r w:rsidR="00EE1954">
        <w:t>7, pp. 157-176</w:t>
      </w:r>
    </w:p>
    <w:p w14:paraId="1913C694" w14:textId="77777777" w:rsidR="00CE3441" w:rsidRPr="00D12EB7" w:rsidRDefault="00CE3441" w:rsidP="00DC7D01">
      <w:pPr>
        <w:pStyle w:val="Textbody"/>
      </w:pPr>
    </w:p>
    <w:p w14:paraId="26B5EB7E" w14:textId="77777777" w:rsidR="00CE3441" w:rsidRPr="00D12EB7" w:rsidRDefault="00CE3441" w:rsidP="00DC7D01">
      <w:pPr>
        <w:pStyle w:val="Textbody"/>
      </w:pPr>
    </w:p>
    <w:sectPr w:rsidR="00CE3441" w:rsidRPr="00D12EB7">
      <w:headerReference w:type="default" r:id="rId6"/>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E46DC" w14:textId="77777777" w:rsidR="00F367B0" w:rsidRDefault="00F367B0">
      <w:pPr>
        <w:rPr>
          <w:rFonts w:hint="eastAsia"/>
        </w:rPr>
      </w:pPr>
      <w:r>
        <w:separator/>
      </w:r>
    </w:p>
  </w:endnote>
  <w:endnote w:type="continuationSeparator" w:id="0">
    <w:p w14:paraId="7321966F" w14:textId="77777777" w:rsidR="00F367B0" w:rsidRDefault="00F367B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3393F" w14:textId="77777777" w:rsidR="00F367B0" w:rsidRDefault="00F367B0">
      <w:pPr>
        <w:rPr>
          <w:rFonts w:hint="eastAsia"/>
        </w:rPr>
      </w:pPr>
      <w:r>
        <w:rPr>
          <w:color w:val="000000"/>
        </w:rPr>
        <w:separator/>
      </w:r>
    </w:p>
  </w:footnote>
  <w:footnote w:type="continuationSeparator" w:id="0">
    <w:p w14:paraId="2BF6BDD5" w14:textId="77777777" w:rsidR="00F367B0" w:rsidRDefault="00F367B0">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BCDDB" w14:textId="4F924C2F" w:rsidR="006A4D1F" w:rsidRDefault="000F5E1F">
    <w:pPr>
      <w:pStyle w:val="Header"/>
      <w:rPr>
        <w:rFonts w:hint="eastAsia"/>
      </w:rPr>
    </w:pPr>
    <w:r w:rsidRPr="005376BB">
      <w:rPr>
        <w:sz w:val="18"/>
        <w:szCs w:val="18"/>
      </w:rPr>
      <w:t>James Askill</w:t>
    </w:r>
    <w:r w:rsidR="006A4D1F" w:rsidRPr="005376BB">
      <w:rPr>
        <w:sz w:val="18"/>
        <w:szCs w:val="18"/>
      </w:rPr>
      <w:ptab w:relativeTo="margin" w:alignment="center" w:leader="none"/>
    </w:r>
    <w:r w:rsidR="006A4D1F" w:rsidRPr="005376BB">
      <w:rPr>
        <w:sz w:val="18"/>
        <w:szCs w:val="18"/>
      </w:rPr>
      <w:ptab w:relativeTo="margin" w:alignment="right" w:leader="none"/>
    </w:r>
    <w:r w:rsidRPr="005376BB">
      <w:rPr>
        <w:sz w:val="18"/>
        <w:szCs w:val="18"/>
      </w:rPr>
      <w:t xml:space="preserve"> 2319039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CE3441"/>
    <w:rsid w:val="00003C19"/>
    <w:rsid w:val="00025F5A"/>
    <w:rsid w:val="00050B01"/>
    <w:rsid w:val="00057C9D"/>
    <w:rsid w:val="00074CB9"/>
    <w:rsid w:val="00076758"/>
    <w:rsid w:val="000A34C8"/>
    <w:rsid w:val="000F5E1F"/>
    <w:rsid w:val="00114707"/>
    <w:rsid w:val="00125DFF"/>
    <w:rsid w:val="00133E73"/>
    <w:rsid w:val="001365E1"/>
    <w:rsid w:val="00176E7B"/>
    <w:rsid w:val="00187CFC"/>
    <w:rsid w:val="001904DA"/>
    <w:rsid w:val="001F3168"/>
    <w:rsid w:val="0020439B"/>
    <w:rsid w:val="00204B8D"/>
    <w:rsid w:val="00243CFD"/>
    <w:rsid w:val="002A047F"/>
    <w:rsid w:val="002E0728"/>
    <w:rsid w:val="002E41FE"/>
    <w:rsid w:val="002F0884"/>
    <w:rsid w:val="00334FB3"/>
    <w:rsid w:val="003426D3"/>
    <w:rsid w:val="003B75F1"/>
    <w:rsid w:val="003E3D94"/>
    <w:rsid w:val="00400F7A"/>
    <w:rsid w:val="00401404"/>
    <w:rsid w:val="0040594D"/>
    <w:rsid w:val="004A7986"/>
    <w:rsid w:val="004B0300"/>
    <w:rsid w:val="004E3ECF"/>
    <w:rsid w:val="0053673E"/>
    <w:rsid w:val="005376BB"/>
    <w:rsid w:val="005B40A5"/>
    <w:rsid w:val="005B6EBA"/>
    <w:rsid w:val="005D5608"/>
    <w:rsid w:val="00616E23"/>
    <w:rsid w:val="0068019B"/>
    <w:rsid w:val="00690C07"/>
    <w:rsid w:val="006A4D1F"/>
    <w:rsid w:val="006D1736"/>
    <w:rsid w:val="006E73D3"/>
    <w:rsid w:val="00702906"/>
    <w:rsid w:val="007053B2"/>
    <w:rsid w:val="00710DA1"/>
    <w:rsid w:val="007134E9"/>
    <w:rsid w:val="00752F53"/>
    <w:rsid w:val="007621CA"/>
    <w:rsid w:val="00782846"/>
    <w:rsid w:val="00797D71"/>
    <w:rsid w:val="007A1C99"/>
    <w:rsid w:val="007E39E2"/>
    <w:rsid w:val="007F2669"/>
    <w:rsid w:val="007F46EE"/>
    <w:rsid w:val="007F51C5"/>
    <w:rsid w:val="00824C25"/>
    <w:rsid w:val="00834D2D"/>
    <w:rsid w:val="008B3A5E"/>
    <w:rsid w:val="008D2271"/>
    <w:rsid w:val="008D4277"/>
    <w:rsid w:val="008F2EBC"/>
    <w:rsid w:val="00944FAC"/>
    <w:rsid w:val="009511EB"/>
    <w:rsid w:val="009653B2"/>
    <w:rsid w:val="0098488D"/>
    <w:rsid w:val="009B286D"/>
    <w:rsid w:val="009D2503"/>
    <w:rsid w:val="00A13CFD"/>
    <w:rsid w:val="00A36AE5"/>
    <w:rsid w:val="00A41A75"/>
    <w:rsid w:val="00A4266F"/>
    <w:rsid w:val="00A4713A"/>
    <w:rsid w:val="00A556C0"/>
    <w:rsid w:val="00A60617"/>
    <w:rsid w:val="00A606C9"/>
    <w:rsid w:val="00A62B67"/>
    <w:rsid w:val="00A9118E"/>
    <w:rsid w:val="00AD4EED"/>
    <w:rsid w:val="00B356FC"/>
    <w:rsid w:val="00B46DFD"/>
    <w:rsid w:val="00B62E00"/>
    <w:rsid w:val="00B74085"/>
    <w:rsid w:val="00B87836"/>
    <w:rsid w:val="00B904A8"/>
    <w:rsid w:val="00BC73A1"/>
    <w:rsid w:val="00BD3CDA"/>
    <w:rsid w:val="00BE3114"/>
    <w:rsid w:val="00BF31CE"/>
    <w:rsid w:val="00BF3E9F"/>
    <w:rsid w:val="00BF7E5F"/>
    <w:rsid w:val="00C076EE"/>
    <w:rsid w:val="00C2229F"/>
    <w:rsid w:val="00C33198"/>
    <w:rsid w:val="00C35986"/>
    <w:rsid w:val="00C50A7C"/>
    <w:rsid w:val="00C569F9"/>
    <w:rsid w:val="00CA2AA1"/>
    <w:rsid w:val="00CA75E4"/>
    <w:rsid w:val="00CB1E5F"/>
    <w:rsid w:val="00CC6025"/>
    <w:rsid w:val="00CE3441"/>
    <w:rsid w:val="00D1152C"/>
    <w:rsid w:val="00D12EB7"/>
    <w:rsid w:val="00D240EB"/>
    <w:rsid w:val="00D2452C"/>
    <w:rsid w:val="00D25329"/>
    <w:rsid w:val="00D47B81"/>
    <w:rsid w:val="00D76B91"/>
    <w:rsid w:val="00D94E9E"/>
    <w:rsid w:val="00DB7226"/>
    <w:rsid w:val="00DB7E99"/>
    <w:rsid w:val="00DC7D01"/>
    <w:rsid w:val="00DD725A"/>
    <w:rsid w:val="00E44365"/>
    <w:rsid w:val="00E54239"/>
    <w:rsid w:val="00E6540F"/>
    <w:rsid w:val="00E85CA7"/>
    <w:rsid w:val="00EE09DF"/>
    <w:rsid w:val="00EE1954"/>
    <w:rsid w:val="00EE5DED"/>
    <w:rsid w:val="00EF3E94"/>
    <w:rsid w:val="00EF402D"/>
    <w:rsid w:val="00F02427"/>
    <w:rsid w:val="00F16747"/>
    <w:rsid w:val="00F23809"/>
    <w:rsid w:val="00F367B0"/>
    <w:rsid w:val="00F37AE5"/>
    <w:rsid w:val="00FE0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CE5C8"/>
  <w15:docId w15:val="{21FE999F-FEA5-425B-93B5-32E30B79C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en-GB"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
    <w:next w:val="Textbody"/>
    <w:uiPriority w:val="9"/>
    <w:qFormat/>
    <w:pPr>
      <w:outlineLvl w:val="0"/>
    </w:pPr>
    <w:rPr>
      <w:rFonts w:ascii="Liberation Serif" w:eastAsia="NSimSun" w:hAnsi="Liberation Serif"/>
      <w:b/>
      <w:bCs/>
      <w:sz w:val="48"/>
      <w:szCs w:val="48"/>
    </w:rPr>
  </w:style>
  <w:style w:type="paragraph" w:styleId="Heading2">
    <w:name w:val="heading 2"/>
    <w:basedOn w:val="Heading"/>
    <w:next w:val="Textbody"/>
    <w:uiPriority w:val="9"/>
    <w:unhideWhenUsed/>
    <w:qFormat/>
    <w:pPr>
      <w:spacing w:before="200"/>
      <w:outlineLvl w:val="1"/>
    </w:pPr>
    <w:rPr>
      <w:rFonts w:ascii="Liberation Serif" w:eastAsia="NSimSun" w:hAnsi="Liberation Serif"/>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styleId="Hyperlink">
    <w:name w:val="Hyperlink"/>
    <w:basedOn w:val="DefaultParagraphFont"/>
    <w:uiPriority w:val="99"/>
    <w:unhideWhenUsed/>
    <w:rsid w:val="00702906"/>
    <w:rPr>
      <w:color w:val="467886" w:themeColor="hyperlink"/>
      <w:u w:val="single"/>
    </w:rPr>
  </w:style>
  <w:style w:type="character" w:styleId="UnresolvedMention">
    <w:name w:val="Unresolved Mention"/>
    <w:basedOn w:val="DefaultParagraphFont"/>
    <w:uiPriority w:val="99"/>
    <w:semiHidden/>
    <w:unhideWhenUsed/>
    <w:rsid w:val="00702906"/>
    <w:rPr>
      <w:color w:val="605E5C"/>
      <w:shd w:val="clear" w:color="auto" w:fill="E1DFDD"/>
    </w:rPr>
  </w:style>
  <w:style w:type="paragraph" w:styleId="Header">
    <w:name w:val="header"/>
    <w:basedOn w:val="Normal"/>
    <w:link w:val="HeaderChar"/>
    <w:uiPriority w:val="99"/>
    <w:unhideWhenUsed/>
    <w:rsid w:val="006A4D1F"/>
    <w:pPr>
      <w:tabs>
        <w:tab w:val="center" w:pos="4513"/>
        <w:tab w:val="right" w:pos="9026"/>
      </w:tabs>
    </w:pPr>
    <w:rPr>
      <w:rFonts w:cs="Mangal"/>
      <w:szCs w:val="21"/>
    </w:rPr>
  </w:style>
  <w:style w:type="character" w:customStyle="1" w:styleId="HeaderChar">
    <w:name w:val="Header Char"/>
    <w:basedOn w:val="DefaultParagraphFont"/>
    <w:link w:val="Header"/>
    <w:uiPriority w:val="99"/>
    <w:rsid w:val="006A4D1F"/>
    <w:rPr>
      <w:rFonts w:cs="Mangal"/>
      <w:szCs w:val="21"/>
    </w:rPr>
  </w:style>
  <w:style w:type="paragraph" w:styleId="Footer">
    <w:name w:val="footer"/>
    <w:basedOn w:val="Normal"/>
    <w:link w:val="FooterChar"/>
    <w:uiPriority w:val="99"/>
    <w:unhideWhenUsed/>
    <w:rsid w:val="006A4D1F"/>
    <w:pPr>
      <w:tabs>
        <w:tab w:val="center" w:pos="4513"/>
        <w:tab w:val="right" w:pos="9026"/>
      </w:tabs>
    </w:pPr>
    <w:rPr>
      <w:rFonts w:cs="Mangal"/>
      <w:szCs w:val="21"/>
    </w:rPr>
  </w:style>
  <w:style w:type="character" w:customStyle="1" w:styleId="FooterChar">
    <w:name w:val="Footer Char"/>
    <w:basedOn w:val="DefaultParagraphFont"/>
    <w:link w:val="Footer"/>
    <w:uiPriority w:val="99"/>
    <w:rsid w:val="006A4D1F"/>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5044</Words>
  <Characters>28756</Characters>
  <Application>Microsoft Office Word</Application>
  <DocSecurity>0</DocSecurity>
  <Lines>239</Lines>
  <Paragraphs>67</Paragraphs>
  <ScaleCrop>false</ScaleCrop>
  <Company>City &amp; County of Swansea</Company>
  <LinksUpToDate>false</LinksUpToDate>
  <CharactersWithSpaces>33733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Askill</dc:creator>
  <cp:lastModifiedBy>James Askill</cp:lastModifiedBy>
  <cp:revision>2</cp:revision>
  <dcterms:created xsi:type="dcterms:W3CDTF">2026-05-28T17:51:00Z</dcterms:created>
  <dcterms:modified xsi:type="dcterms:W3CDTF">2026-05-28T17:51:00Z</dcterms:modified>
</cp:coreProperties>
</file>