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78482112"/>
        <w:docPartObj>
          <w:docPartGallery w:val="Cover Pages"/>
          <w:docPartUnique/>
        </w:docPartObj>
      </w:sdtPr>
      <w:sdtEndPr>
        <w:rPr>
          <w:rFonts w:ascii="Times New Roman" w:hAnsi="Times New Roman" w:cs="Times New Roman"/>
          <w:sz w:val="24"/>
          <w:szCs w:val="24"/>
        </w:rPr>
      </w:sdtEndPr>
      <w:sdtContent>
        <w:p w:rsidR="00926636" w:rsidRDefault="00926636">
          <w:r>
            <w:rPr>
              <w:noProof/>
              <w:lang w:eastAsia="en-GB"/>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926636" w:rsidRDefault="00083BA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Pr>
                                        <w:noProof/>
                                        <w:color w:val="44546A" w:themeColor="text2"/>
                                      </w:rPr>
                                      <w:t>Cerys Roch</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926636" w:rsidRDefault="00083BA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Pr>
                                  <w:noProof/>
                                  <w:color w:val="44546A" w:themeColor="text2"/>
                                </w:rPr>
                                <w:t>Cerys Roch</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926636" w:rsidRDefault="0092663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rsidR="00926636" w:rsidRDefault="00926636"/>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26636" w:rsidRDefault="00083BA6">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926636">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926636" w:rsidRDefault="00926636">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34C052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5053AA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rsidR="00926636" w:rsidRDefault="0092663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5B9BD5" w:themeColor="accent1"/>
                                    <w:sz w:val="72"/>
                                    <w:szCs w:val="72"/>
                                  </w:rPr>
                                  <w:t>Reflective Commentary on Video Recording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p w:rsidR="00926636" w:rsidRDefault="0092663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5B9BD5" w:themeColor="accent1"/>
                              <w:sz w:val="72"/>
                              <w:szCs w:val="72"/>
                            </w:rPr>
                            <w:t>Reflective Commentary on Video Recording</w:t>
                          </w:r>
                        </w:p>
                      </w:txbxContent>
                    </v:textbox>
                    <w10:wrap type="square" anchorx="page" anchory="page"/>
                  </v:shape>
                </w:pict>
              </mc:Fallback>
            </mc:AlternateContent>
          </w:r>
        </w:p>
        <w:p w:rsidR="00926636" w:rsidRDefault="00926636">
          <w:pPr>
            <w:rPr>
              <w:rFonts w:ascii="Times New Roman" w:hAnsi="Times New Roman" w:cs="Times New Roman"/>
              <w:sz w:val="24"/>
              <w:szCs w:val="24"/>
            </w:rPr>
          </w:pPr>
          <w:r>
            <w:rPr>
              <w:rFonts w:ascii="Times New Roman" w:hAnsi="Times New Roman" w:cs="Times New Roman"/>
              <w:sz w:val="24"/>
              <w:szCs w:val="24"/>
            </w:rPr>
            <w:br w:type="page"/>
          </w:r>
        </w:p>
      </w:sdtContent>
    </w:sdt>
    <w:p w:rsidR="00F43B7D" w:rsidRPr="00F43B7D" w:rsidRDefault="00F43B7D" w:rsidP="00F43B7D">
      <w:pPr>
        <w:spacing w:line="360" w:lineRule="auto"/>
        <w:rPr>
          <w:rFonts w:ascii="Times New Roman" w:hAnsi="Times New Roman" w:cs="Times New Roman"/>
          <w:sz w:val="24"/>
          <w:szCs w:val="24"/>
        </w:rPr>
      </w:pPr>
      <w:r w:rsidRPr="00F43B7D">
        <w:rPr>
          <w:rFonts w:ascii="Times New Roman" w:hAnsi="Times New Roman" w:cs="Times New Roman"/>
          <w:sz w:val="24"/>
          <w:szCs w:val="24"/>
        </w:rPr>
        <w:lastRenderedPageBreak/>
        <w:t xml:space="preserve">Throughout my three years as a psychology and counselling student, I have acquired knowledge of both the theatrical and practical elements of counselling. In addition to the importance of self-awareness and self-reflection (Bennett-Levy, 2019) and the ethical framework of BACP (2018) and the BPS (2018). During this time I had the opportunity to work on my counselling skills and participated in practical sessions with my fellow students.  In the first two years of my studies, these counselling skills were carried out within the psychology laboratories and conducted face-to-face. However, in the final year of my degree, this has not been possible due to the Covid 19 pandemic, therefore the reflexive counselling module has been delivered online. This has provided me with a new and challenging experience. </w:t>
      </w:r>
    </w:p>
    <w:p w:rsidR="00F43B7D" w:rsidRPr="00F43B7D" w:rsidRDefault="00F43B7D" w:rsidP="00F43B7D">
      <w:pPr>
        <w:spacing w:line="360" w:lineRule="auto"/>
        <w:rPr>
          <w:rFonts w:ascii="Times New Roman" w:hAnsi="Times New Roman" w:cs="Times New Roman"/>
          <w:sz w:val="24"/>
          <w:szCs w:val="24"/>
        </w:rPr>
      </w:pPr>
      <w:r w:rsidRPr="00F43B7D">
        <w:rPr>
          <w:rFonts w:ascii="Times New Roman" w:hAnsi="Times New Roman" w:cs="Times New Roman"/>
          <w:sz w:val="24"/>
          <w:szCs w:val="24"/>
        </w:rPr>
        <w:t xml:space="preserve">Despite the challenges of online-based studies the opportunity to further expand my skills as being invaluable and to work with individuals that I had not previously worked with has added to this experience. Furthermore, the time between this year’s and last year’s modules has highlighted to me how some of the skills have become deeper rooted and my ability to utilise them effectively is more apparent. However, this is not the case for all the skills as some as they require constant monitoring and reflecting as they do not come as naturally to me. As part of the reflexive counselling module, I was required to participate in a 20-minute video recording to demonstrate my counselling skills, this recording also provided me with the opportunity to reflect on my skills. In order, to reflect effectively I have used the Gibbs cycle of reflection (Gibbs, 2005). </w:t>
      </w:r>
    </w:p>
    <w:p w:rsidR="00F43B7D" w:rsidRPr="00F43B7D" w:rsidRDefault="00F43B7D" w:rsidP="00F43B7D">
      <w:pPr>
        <w:spacing w:line="360" w:lineRule="auto"/>
        <w:rPr>
          <w:rFonts w:ascii="Times New Roman" w:hAnsi="Times New Roman" w:cs="Times New Roman"/>
          <w:sz w:val="24"/>
          <w:szCs w:val="24"/>
        </w:rPr>
      </w:pPr>
      <w:r w:rsidRPr="00F43B7D">
        <w:rPr>
          <w:rFonts w:ascii="Times New Roman" w:hAnsi="Times New Roman" w:cs="Times New Roman"/>
          <w:sz w:val="24"/>
          <w:szCs w:val="24"/>
        </w:rPr>
        <w:t>At the start of the recording, I made the client aware of the observers and that the session was being recorded. I believe this to be vital to help to establish a safe and secure therapeutic environment but also is a requirement of the ethical framework (West, 2002). Additionally, without a secure environment, it would be impossible to establish any therapeutic relational depth (Wiggins et al.,2012).  Furthermore, I also referred to the previous week’s session, I believe this also facilitates a safe and familiar environment which allows the client to regain comfortability sooner within the session and helps to prevent repetition so more progress is achieved. However, it also allows the client to reflect on any changes or progress they have made in addition to being able to discuss any reoccurring issues. Although this was the third session with the client I feel that the fact the video recording was taking place impacted on my comfortability which also impacted on the clients, this is apparent to me as the session did not flow as naturally as previous ones.</w:t>
      </w:r>
    </w:p>
    <w:p w:rsidR="00F43B7D" w:rsidRPr="00F43B7D" w:rsidRDefault="00F43B7D" w:rsidP="00F43B7D">
      <w:pPr>
        <w:spacing w:line="360" w:lineRule="auto"/>
        <w:rPr>
          <w:rFonts w:ascii="Times New Roman" w:hAnsi="Times New Roman" w:cs="Times New Roman"/>
          <w:sz w:val="24"/>
          <w:szCs w:val="24"/>
        </w:rPr>
      </w:pPr>
      <w:r w:rsidRPr="00F43B7D">
        <w:rPr>
          <w:rFonts w:ascii="Times New Roman" w:hAnsi="Times New Roman" w:cs="Times New Roman"/>
          <w:sz w:val="24"/>
          <w:szCs w:val="24"/>
        </w:rPr>
        <w:lastRenderedPageBreak/>
        <w:t xml:space="preserve">The client was a 36-year-old female who presented with anxiety, as this was the third session I was aware of this before the recording.  Throughout the recording, I maintain a calm and natural persona this is critical as it creates a warm and friendly environment for the client and aids in the possibility of therapeutic relational depth, although this was not achieved it would always be an important goal. I also feel that achieving therapeutic relation depth would be harder as the session was carried out remotely using the internet. Despite therapeutic relational depth not being achieved I feel that by creating this calm environment it allowed the client to dig deep and disclose issues of a sensitive nature if she wished.  By encouraging this healthy therapeutic environment I believe the client was able to speak freely and it allowed the session to flow coherently. An additional, benefit to a calm approach is it provides the client with the opportunity to feel they are being heard. However, a counselling skill that can be difficult to include is appropriate silences, historically I have always struggled with this as I feel it can be awkward and seem as though I am not sure what to say nevertheless, I have always understood the importance of their inclusion as allowing appropriate silences gives the client more time to think deeply and perhaps the counsellor the opportunity to pick up on a deeper thought or a theme within the client. Although I have noticed an improvement in my comfortability with appropriate silences within the session, I am aware that this might be due to the online delivery providing some comfort (Midwinter &amp; Dickson, 2015). </w:t>
      </w:r>
    </w:p>
    <w:p w:rsidR="00F43B7D" w:rsidRPr="00F43B7D" w:rsidRDefault="00F43B7D" w:rsidP="00F43B7D">
      <w:pPr>
        <w:spacing w:line="360" w:lineRule="auto"/>
        <w:rPr>
          <w:rFonts w:ascii="Times New Roman" w:hAnsi="Times New Roman" w:cs="Times New Roman"/>
          <w:sz w:val="24"/>
          <w:szCs w:val="24"/>
        </w:rPr>
      </w:pPr>
      <w:r w:rsidRPr="00F43B7D">
        <w:rPr>
          <w:rFonts w:ascii="Times New Roman" w:hAnsi="Times New Roman" w:cs="Times New Roman"/>
          <w:sz w:val="24"/>
          <w:szCs w:val="24"/>
        </w:rPr>
        <w:t xml:space="preserve">Restating is one of the skills I find most difficult to implement as I am mindful not to sound patronising, this is a skill I did use in my recording but its presence was minimal. I understand the importance of restating as it demonstrates to the client that they are being heard (Rautalinko, 2013). Within the recording, it is clear to me that my preference is to use my paraphrasing skills over restating this does not surprise me as paraphrasing has always felt more comfortable to implement. By paraphrasing, I feel it demonstrates to the client that not only have they been heard but have also been understood. However, I recognise there is always a danger when paraphrasing or misinterpreting what has been said which can lead to a negative impact on the therapeutic relationship (Rautalinko, 2013). I recognise a need to continue to work on my restating skills to limit the possibility of incorrectly paraphrasing or potentially provoking emotions or subject matters that the client does not want to explore and sometimes a simple restating can just reassure the client that I am present and engaged in the session. Additionally, restating takes less time than paraphrasing so I must continue to work on this, as when utilised well it can be very beneficial. </w:t>
      </w:r>
    </w:p>
    <w:p w:rsidR="00F43B7D" w:rsidRPr="00F43B7D" w:rsidRDefault="00F43B7D" w:rsidP="00F43B7D">
      <w:pPr>
        <w:spacing w:line="360" w:lineRule="auto"/>
        <w:rPr>
          <w:rFonts w:ascii="Times New Roman" w:hAnsi="Times New Roman" w:cs="Times New Roman"/>
          <w:sz w:val="24"/>
          <w:szCs w:val="24"/>
        </w:rPr>
      </w:pPr>
      <w:r w:rsidRPr="00F43B7D">
        <w:rPr>
          <w:rFonts w:ascii="Times New Roman" w:hAnsi="Times New Roman" w:cs="Times New Roman"/>
          <w:sz w:val="24"/>
          <w:szCs w:val="24"/>
        </w:rPr>
        <w:lastRenderedPageBreak/>
        <w:t>During the session I made use of the metaphor “it sounds like you have a lot on your plate” I felt that this was a good reference to make as it was a further way to demonstrate to the client that I hear her and understand what she is telling me. I believe by using this metaphor I was helping the client to summarise her concerns into one simple sentence which can be reassuring as it feels less overwhelming than just reiterating everything she has said. Despite the inclusion of this metaphor, there may have been an opportunity to introduce more within the session, however, I feel that too many could be overbearing (Tay, 2014).</w:t>
      </w:r>
    </w:p>
    <w:p w:rsidR="00F43B7D" w:rsidRPr="00F43B7D" w:rsidRDefault="00F43B7D" w:rsidP="00F43B7D">
      <w:pPr>
        <w:spacing w:line="360" w:lineRule="auto"/>
        <w:rPr>
          <w:rFonts w:ascii="Times New Roman" w:hAnsi="Times New Roman" w:cs="Times New Roman"/>
          <w:sz w:val="24"/>
          <w:szCs w:val="24"/>
        </w:rPr>
      </w:pPr>
      <w:r w:rsidRPr="00F43B7D">
        <w:rPr>
          <w:rFonts w:ascii="Times New Roman" w:hAnsi="Times New Roman" w:cs="Times New Roman"/>
          <w:sz w:val="24"/>
          <w:szCs w:val="24"/>
        </w:rPr>
        <w:t xml:space="preserve">Within the recording the client expressed feeling the way she does now on previous occasions, I encouraged her to draw on old coping strategies that had helped her in the past, I believe this was a good suggestion as it is a way of highlighting that she has been through this before and was able to cope. The suggestion of drawing on these coping techniques is an underlying way of highlighting an inner strength within the client that they may not have recognised. I also referred to self-care techniques but allowed the client to address these herself and find ways to implement them. This is important as the approach is not telling the client what to do but making helpful productive suggestions of coping strategies whilst the client remains in control (Skovholt &amp; Trotter-Mathison, 2014). </w:t>
      </w:r>
    </w:p>
    <w:p w:rsidR="00F43B7D" w:rsidRPr="00F43B7D" w:rsidRDefault="00F43B7D" w:rsidP="00F43B7D">
      <w:pPr>
        <w:spacing w:line="360" w:lineRule="auto"/>
        <w:rPr>
          <w:rFonts w:ascii="Times New Roman" w:hAnsi="Times New Roman" w:cs="Times New Roman"/>
          <w:sz w:val="24"/>
          <w:szCs w:val="24"/>
        </w:rPr>
      </w:pPr>
      <w:r w:rsidRPr="00F43B7D">
        <w:rPr>
          <w:rFonts w:ascii="Times New Roman" w:hAnsi="Times New Roman" w:cs="Times New Roman"/>
          <w:sz w:val="24"/>
          <w:szCs w:val="24"/>
        </w:rPr>
        <w:t xml:space="preserve">During the recording I display good use of minimal encourages in the form of nodding my head and slight vocalisations, these minimal encourages can help to build a good therapeutic relationship and create a warm environment where the client does not feel judged.  However, due to the video recording and the proximity of my camera, it was difficult to display good use of all my SOLER skills as the rest of my body was not visible. I was able to demonstrate that I was engaged in the conversation as my focus was on the screen and remained so (Skovholt, &amp; Trotter-Mathison, 2014). Unfortunately, I was unable to display an open posture as the camera was focused too closely this could have impacted the comfortability of the client. Furthermore, although I had lent in towards the camera it is unclear if this would have been noted by the client and could also impact how engaged I appeared. Although my focus remained on the client it was hard to demonstrate good eye contact through a screen. I maintained a relaxed and composed nature throughout the recording, however it was difficult to demonstrate all these skills I have obtained due to the mode of delivery. I believe that I implemented the SOLER skills to the best of my ability given the circumstances except for an open posture as it was hard to lean into the camera and retain an open posture (Hough, 2006). Furthermore, on reflection of the recording, it appears that I was positioned quite close to the camera this could be quite off-putting for the client and could harm the session. If I was to </w:t>
      </w:r>
      <w:r w:rsidRPr="00F43B7D">
        <w:rPr>
          <w:rFonts w:ascii="Times New Roman" w:hAnsi="Times New Roman" w:cs="Times New Roman"/>
          <w:sz w:val="24"/>
          <w:szCs w:val="24"/>
        </w:rPr>
        <w:lastRenderedPageBreak/>
        <w:t>complete counselling skills again online I would ensure that I was positioned in a less encroaching manner to encourage and maintain a comfortable environment.</w:t>
      </w:r>
    </w:p>
    <w:p w:rsidR="00F43B7D" w:rsidRPr="00F43B7D" w:rsidRDefault="00F43B7D" w:rsidP="00F43B7D">
      <w:pPr>
        <w:spacing w:line="360" w:lineRule="auto"/>
        <w:rPr>
          <w:rFonts w:ascii="Times New Roman" w:hAnsi="Times New Roman" w:cs="Times New Roman"/>
          <w:sz w:val="24"/>
          <w:szCs w:val="24"/>
        </w:rPr>
      </w:pPr>
      <w:r w:rsidRPr="00F43B7D">
        <w:rPr>
          <w:rFonts w:ascii="Times New Roman" w:hAnsi="Times New Roman" w:cs="Times New Roman"/>
          <w:sz w:val="24"/>
          <w:szCs w:val="24"/>
        </w:rPr>
        <w:t>I made some good use of questions is an effective way to get the client to think deeply, I think my ability to time these questions have improved from last year, and including a miracle question just before the summary allowed ending the session on a hopeful note. I believe this to be a good scenario to end on as it is quite possible that the client feels more optimistic than they previously did. Additionally, this demonstrated my awareness of solution-focused therapy although miracle questions are useful they can also cause concern if the client is unable to find a solution, (Bill, 2012). However, miracle questions are beneficial to encourage goals that the client can work on before the next session, so they can continue to improve their situation and maintain control over their life (Phipps, 2019).</w:t>
      </w:r>
    </w:p>
    <w:p w:rsidR="00F43B7D" w:rsidRPr="00F43B7D" w:rsidRDefault="00F43B7D" w:rsidP="00F43B7D">
      <w:pPr>
        <w:spacing w:line="360" w:lineRule="auto"/>
        <w:rPr>
          <w:rFonts w:ascii="Times New Roman" w:hAnsi="Times New Roman" w:cs="Times New Roman"/>
          <w:sz w:val="24"/>
          <w:szCs w:val="24"/>
        </w:rPr>
      </w:pPr>
      <w:r w:rsidRPr="00F43B7D">
        <w:rPr>
          <w:rFonts w:ascii="Times New Roman" w:hAnsi="Times New Roman" w:cs="Times New Roman"/>
          <w:sz w:val="24"/>
          <w:szCs w:val="24"/>
        </w:rPr>
        <w:t xml:space="preserve">Towards the end of the session, I ensured that the client was aware that the session was coming to an end for it not to feel rushed. I also provided a summary of what had been said which I believe offers the client further reassurance that they had been heard throughout the session. On reflection of the recording, I feel I could have included additional references to what the client had said but I was conscious not to overload and re-burden the client with the things she had discussed. In addition, to the summary, I also allowed the client to discuss anything further before the session ended this is an appropriate way to end a session as it ensures the client that you are there to help them and do not want them to feel rushed. Furthermore, it allows the client to address any further issues they have before the session ends, perhaps they had forgotten to address something earlier and a simple question can remind them. </w:t>
      </w:r>
    </w:p>
    <w:p w:rsidR="00F43B7D" w:rsidRPr="00F43B7D" w:rsidRDefault="00F43B7D" w:rsidP="00F43B7D">
      <w:pPr>
        <w:spacing w:line="360" w:lineRule="auto"/>
        <w:rPr>
          <w:rFonts w:ascii="Times New Roman" w:hAnsi="Times New Roman" w:cs="Times New Roman"/>
          <w:sz w:val="24"/>
          <w:szCs w:val="24"/>
        </w:rPr>
      </w:pPr>
      <w:r w:rsidRPr="00F43B7D">
        <w:rPr>
          <w:rFonts w:ascii="Times New Roman" w:hAnsi="Times New Roman" w:cs="Times New Roman"/>
          <w:sz w:val="24"/>
          <w:szCs w:val="24"/>
        </w:rPr>
        <w:t>I believe throughout the session I maintained a good rapport with the client as the client disclosed very personal issues to me, this demonstrated a good level of comfortability. I feel this is because I displayed empathy, unconditional positive regard and congruence (core conditions) to the best of my ability, but could also demonstrate a comfortability I have established with the client due to her being a classmate of mine for the last 3 years. The structure of the session was clear as a beginning, middle and end were established.</w:t>
      </w:r>
    </w:p>
    <w:p w:rsidR="00FA78BA" w:rsidRPr="00F43B7D" w:rsidRDefault="00F43B7D" w:rsidP="00F43B7D">
      <w:pPr>
        <w:spacing w:line="360" w:lineRule="auto"/>
        <w:rPr>
          <w:rFonts w:ascii="Times New Roman" w:hAnsi="Times New Roman" w:cs="Times New Roman"/>
          <w:sz w:val="24"/>
          <w:szCs w:val="24"/>
        </w:rPr>
      </w:pPr>
      <w:r w:rsidRPr="00F43B7D">
        <w:rPr>
          <w:rFonts w:ascii="Times New Roman" w:hAnsi="Times New Roman" w:cs="Times New Roman"/>
          <w:sz w:val="24"/>
          <w:szCs w:val="24"/>
        </w:rPr>
        <w:t xml:space="preserve">Despite, the improvements I have made from last year I understand that I still have many to be made, in addition to maintaining the skills I have already obtained. Going forward I would like to further improve my restating abilities as I am aware that there were possibly missed opportunities within the session as I relied on my paraphrasing skills instead. Additionally, </w:t>
      </w:r>
      <w:r w:rsidRPr="00F43B7D">
        <w:rPr>
          <w:rFonts w:ascii="Times New Roman" w:hAnsi="Times New Roman" w:cs="Times New Roman"/>
          <w:sz w:val="24"/>
          <w:szCs w:val="24"/>
        </w:rPr>
        <w:lastRenderedPageBreak/>
        <w:t>my use of metaphors could be improved despite the effective use of them there could have been utilised more effectively. Furthermore, I would like to work on my eye contact as this year it was difficult to practice this as participating online does not provide this opportunity.  Overall, I feel that my counselling skills have improved this year, and completing the sessions online it has provided a different opportunity. However, for progression purposes and for the benefit of any future clients I understand the importance of continuing my development with counselling. Also, I recognise that improvements can always be made and despite understanding the core skills being able to adapt to each client is vital.</w:t>
      </w:r>
    </w:p>
    <w:p w:rsidR="00FA78BA" w:rsidRPr="00F43B7D" w:rsidRDefault="00FA78BA" w:rsidP="00F43B7D">
      <w:pPr>
        <w:spacing w:line="360" w:lineRule="auto"/>
        <w:rPr>
          <w:rFonts w:ascii="Times New Roman" w:hAnsi="Times New Roman" w:cs="Times New Roman"/>
          <w:sz w:val="24"/>
          <w:szCs w:val="24"/>
        </w:rPr>
      </w:pPr>
    </w:p>
    <w:p w:rsidR="00727A55" w:rsidRPr="00F43B7D" w:rsidRDefault="00727A55" w:rsidP="00F43B7D">
      <w:pPr>
        <w:spacing w:line="360" w:lineRule="auto"/>
        <w:rPr>
          <w:rFonts w:ascii="Times New Roman" w:hAnsi="Times New Roman" w:cs="Times New Roman"/>
          <w:sz w:val="24"/>
          <w:szCs w:val="24"/>
          <w:u w:val="single"/>
        </w:rPr>
      </w:pPr>
    </w:p>
    <w:p w:rsidR="00727A55" w:rsidRPr="00F43B7D" w:rsidRDefault="00727A55" w:rsidP="00F43B7D">
      <w:pPr>
        <w:spacing w:line="360" w:lineRule="auto"/>
        <w:rPr>
          <w:rFonts w:ascii="Times New Roman" w:hAnsi="Times New Roman" w:cs="Times New Roman"/>
          <w:sz w:val="24"/>
          <w:szCs w:val="24"/>
          <w:u w:val="single"/>
        </w:rPr>
      </w:pPr>
    </w:p>
    <w:p w:rsidR="00727A55" w:rsidRPr="00F43B7D" w:rsidRDefault="00727A55" w:rsidP="00F43B7D">
      <w:pPr>
        <w:spacing w:line="360" w:lineRule="auto"/>
        <w:rPr>
          <w:rFonts w:ascii="Times New Roman" w:hAnsi="Times New Roman" w:cs="Times New Roman"/>
          <w:sz w:val="24"/>
          <w:szCs w:val="24"/>
          <w:u w:val="single"/>
        </w:rPr>
      </w:pPr>
    </w:p>
    <w:p w:rsidR="00727A55" w:rsidRPr="00F43B7D" w:rsidRDefault="00727A55" w:rsidP="00F43B7D">
      <w:pPr>
        <w:spacing w:line="360" w:lineRule="auto"/>
        <w:rPr>
          <w:rFonts w:ascii="Times New Roman" w:hAnsi="Times New Roman" w:cs="Times New Roman"/>
          <w:sz w:val="24"/>
          <w:szCs w:val="24"/>
          <w:u w:val="single"/>
        </w:rPr>
      </w:pPr>
    </w:p>
    <w:p w:rsidR="00727A55" w:rsidRPr="00F43B7D" w:rsidRDefault="00727A55" w:rsidP="00F43B7D">
      <w:pPr>
        <w:spacing w:line="360" w:lineRule="auto"/>
        <w:rPr>
          <w:rFonts w:ascii="Times New Roman" w:hAnsi="Times New Roman" w:cs="Times New Roman"/>
          <w:sz w:val="24"/>
          <w:szCs w:val="24"/>
          <w:u w:val="single"/>
        </w:rPr>
      </w:pPr>
    </w:p>
    <w:p w:rsidR="00727A55" w:rsidRPr="00F43B7D" w:rsidRDefault="00727A55" w:rsidP="00F43B7D">
      <w:pPr>
        <w:spacing w:line="360" w:lineRule="auto"/>
        <w:rPr>
          <w:rFonts w:ascii="Times New Roman" w:hAnsi="Times New Roman" w:cs="Times New Roman"/>
          <w:sz w:val="24"/>
          <w:szCs w:val="24"/>
          <w:u w:val="single"/>
        </w:rPr>
      </w:pPr>
    </w:p>
    <w:p w:rsidR="00727A55" w:rsidRPr="00F43B7D" w:rsidRDefault="00727A55" w:rsidP="00F43B7D">
      <w:pPr>
        <w:spacing w:line="360" w:lineRule="auto"/>
        <w:rPr>
          <w:rFonts w:ascii="Times New Roman" w:hAnsi="Times New Roman" w:cs="Times New Roman"/>
          <w:sz w:val="24"/>
          <w:szCs w:val="24"/>
          <w:u w:val="single"/>
        </w:rPr>
      </w:pPr>
    </w:p>
    <w:p w:rsidR="00727A55" w:rsidRPr="00F43B7D" w:rsidRDefault="00727A55" w:rsidP="00F43B7D">
      <w:pPr>
        <w:spacing w:line="360" w:lineRule="auto"/>
        <w:rPr>
          <w:rFonts w:ascii="Times New Roman" w:hAnsi="Times New Roman" w:cs="Times New Roman"/>
          <w:sz w:val="24"/>
          <w:szCs w:val="24"/>
          <w:u w:val="single"/>
        </w:rPr>
      </w:pPr>
    </w:p>
    <w:p w:rsidR="00727A55" w:rsidRDefault="00727A55">
      <w:pPr>
        <w:rPr>
          <w:rFonts w:ascii="Times New Roman" w:hAnsi="Times New Roman" w:cs="Times New Roman"/>
          <w:sz w:val="24"/>
          <w:szCs w:val="24"/>
          <w:u w:val="single"/>
        </w:rPr>
      </w:pPr>
    </w:p>
    <w:p w:rsidR="00727A55" w:rsidRDefault="00727A55">
      <w:pPr>
        <w:rPr>
          <w:rFonts w:ascii="Times New Roman" w:hAnsi="Times New Roman" w:cs="Times New Roman"/>
          <w:sz w:val="24"/>
          <w:szCs w:val="24"/>
          <w:u w:val="single"/>
        </w:rPr>
      </w:pPr>
    </w:p>
    <w:p w:rsidR="00727A55" w:rsidRDefault="00727A55">
      <w:pPr>
        <w:rPr>
          <w:rFonts w:ascii="Times New Roman" w:hAnsi="Times New Roman" w:cs="Times New Roman"/>
          <w:sz w:val="24"/>
          <w:szCs w:val="24"/>
          <w:u w:val="single"/>
        </w:rPr>
      </w:pPr>
    </w:p>
    <w:p w:rsidR="00727A55" w:rsidRDefault="00727A55">
      <w:pPr>
        <w:rPr>
          <w:rFonts w:ascii="Times New Roman" w:hAnsi="Times New Roman" w:cs="Times New Roman"/>
          <w:sz w:val="24"/>
          <w:szCs w:val="24"/>
          <w:u w:val="single"/>
        </w:rPr>
      </w:pPr>
    </w:p>
    <w:p w:rsidR="00727A55" w:rsidRDefault="00727A55">
      <w:pPr>
        <w:rPr>
          <w:rFonts w:ascii="Times New Roman" w:hAnsi="Times New Roman" w:cs="Times New Roman"/>
          <w:sz w:val="24"/>
          <w:szCs w:val="24"/>
          <w:u w:val="single"/>
        </w:rPr>
      </w:pPr>
    </w:p>
    <w:p w:rsidR="00727A55" w:rsidRDefault="00727A55">
      <w:pPr>
        <w:rPr>
          <w:rFonts w:ascii="Times New Roman" w:hAnsi="Times New Roman" w:cs="Times New Roman"/>
          <w:sz w:val="24"/>
          <w:szCs w:val="24"/>
          <w:u w:val="single"/>
        </w:rPr>
      </w:pPr>
    </w:p>
    <w:p w:rsidR="00727A55" w:rsidRDefault="00727A55">
      <w:pPr>
        <w:rPr>
          <w:rFonts w:ascii="Times New Roman" w:hAnsi="Times New Roman" w:cs="Times New Roman"/>
          <w:sz w:val="24"/>
          <w:szCs w:val="24"/>
          <w:u w:val="single"/>
        </w:rPr>
      </w:pPr>
    </w:p>
    <w:p w:rsidR="00727A55" w:rsidRDefault="00727A55">
      <w:pPr>
        <w:rPr>
          <w:rFonts w:ascii="Times New Roman" w:hAnsi="Times New Roman" w:cs="Times New Roman"/>
          <w:sz w:val="24"/>
          <w:szCs w:val="24"/>
          <w:u w:val="single"/>
        </w:rPr>
      </w:pPr>
    </w:p>
    <w:p w:rsidR="00727A55" w:rsidRDefault="00727A55">
      <w:pPr>
        <w:rPr>
          <w:rFonts w:ascii="Times New Roman" w:hAnsi="Times New Roman" w:cs="Times New Roman"/>
          <w:sz w:val="24"/>
          <w:szCs w:val="24"/>
          <w:u w:val="single"/>
        </w:rPr>
      </w:pPr>
    </w:p>
    <w:p w:rsidR="00727A55" w:rsidRDefault="00727A55">
      <w:pPr>
        <w:rPr>
          <w:rFonts w:ascii="Times New Roman" w:hAnsi="Times New Roman" w:cs="Times New Roman"/>
          <w:sz w:val="24"/>
          <w:szCs w:val="24"/>
          <w:u w:val="single"/>
        </w:rPr>
      </w:pPr>
    </w:p>
    <w:p w:rsidR="00727A55" w:rsidRDefault="00727A55">
      <w:pPr>
        <w:rPr>
          <w:rFonts w:ascii="Times New Roman" w:hAnsi="Times New Roman" w:cs="Times New Roman"/>
          <w:sz w:val="24"/>
          <w:szCs w:val="24"/>
          <w:u w:val="single"/>
        </w:rPr>
      </w:pPr>
    </w:p>
    <w:p w:rsidR="0035091F" w:rsidRDefault="0035091F" w:rsidP="0035091F">
      <w:pPr>
        <w:spacing w:line="360" w:lineRule="auto"/>
        <w:rPr>
          <w:rFonts w:ascii="Times New Roman" w:hAnsi="Times New Roman" w:cs="Times New Roman"/>
          <w:sz w:val="24"/>
          <w:szCs w:val="24"/>
          <w:u w:val="single"/>
        </w:rPr>
      </w:pPr>
    </w:p>
    <w:p w:rsidR="007226FC" w:rsidRPr="00FA78BA" w:rsidRDefault="00470EC3" w:rsidP="0035091F">
      <w:pPr>
        <w:spacing w:line="360" w:lineRule="auto"/>
        <w:rPr>
          <w:rFonts w:ascii="Times New Roman" w:hAnsi="Times New Roman" w:cs="Times New Roman"/>
          <w:sz w:val="24"/>
          <w:szCs w:val="24"/>
          <w:u w:val="single"/>
        </w:rPr>
      </w:pPr>
      <w:bookmarkStart w:id="0" w:name="_GoBack"/>
      <w:bookmarkEnd w:id="0"/>
      <w:r w:rsidRPr="00FA78BA">
        <w:rPr>
          <w:rFonts w:ascii="Times New Roman" w:hAnsi="Times New Roman" w:cs="Times New Roman"/>
          <w:sz w:val="24"/>
          <w:szCs w:val="24"/>
          <w:u w:val="single"/>
        </w:rPr>
        <w:lastRenderedPageBreak/>
        <w:t>Reference List</w:t>
      </w:r>
    </w:p>
    <w:p w:rsidR="00FA78BA" w:rsidRPr="00FA78BA" w:rsidRDefault="00FA78BA" w:rsidP="0035091F">
      <w:pPr>
        <w:spacing w:line="360" w:lineRule="auto"/>
        <w:ind w:hanging="720"/>
        <w:rPr>
          <w:rFonts w:ascii="Times New Roman" w:hAnsi="Times New Roman" w:cs="Times New Roman"/>
          <w:sz w:val="24"/>
          <w:szCs w:val="24"/>
          <w:u w:val="single"/>
        </w:rPr>
      </w:pPr>
    </w:p>
    <w:p w:rsidR="00071039" w:rsidRDefault="00071039" w:rsidP="0035091F">
      <w:pPr>
        <w:spacing w:line="360" w:lineRule="auto"/>
        <w:ind w:left="720" w:hanging="720"/>
        <w:rPr>
          <w:rFonts w:ascii="Times New Roman" w:hAnsi="Times New Roman" w:cs="Times New Roman"/>
          <w:color w:val="222222"/>
          <w:sz w:val="24"/>
          <w:szCs w:val="24"/>
          <w:shd w:val="clear" w:color="auto" w:fill="FFFFFF"/>
        </w:rPr>
      </w:pPr>
      <w:r w:rsidRPr="00FA78BA">
        <w:rPr>
          <w:rFonts w:ascii="Times New Roman" w:hAnsi="Times New Roman" w:cs="Times New Roman"/>
          <w:color w:val="222222"/>
          <w:sz w:val="24"/>
          <w:szCs w:val="24"/>
          <w:shd w:val="clear" w:color="auto" w:fill="FFFFFF"/>
        </w:rPr>
        <w:t>Bennett-Levy, J. (2019). Why therapists should walk the talk: The theoretical and empirical case for personal practice in therapist training and professional development. </w:t>
      </w:r>
      <w:r w:rsidRPr="00FA78BA">
        <w:rPr>
          <w:rFonts w:ascii="Times New Roman" w:hAnsi="Times New Roman" w:cs="Times New Roman"/>
          <w:i/>
          <w:iCs/>
          <w:color w:val="222222"/>
          <w:sz w:val="24"/>
          <w:szCs w:val="24"/>
          <w:shd w:val="clear" w:color="auto" w:fill="FFFFFF"/>
        </w:rPr>
        <w:t>Journal of behaviour therapy and experimental psychiatry</w:t>
      </w:r>
      <w:r w:rsidRPr="00FA78BA">
        <w:rPr>
          <w:rFonts w:ascii="Times New Roman" w:hAnsi="Times New Roman" w:cs="Times New Roman"/>
          <w:color w:val="222222"/>
          <w:sz w:val="24"/>
          <w:szCs w:val="24"/>
          <w:shd w:val="clear" w:color="auto" w:fill="FFFFFF"/>
        </w:rPr>
        <w:t>, </w:t>
      </w:r>
      <w:r w:rsidRPr="00FA78BA">
        <w:rPr>
          <w:rFonts w:ascii="Times New Roman" w:hAnsi="Times New Roman" w:cs="Times New Roman"/>
          <w:i/>
          <w:iCs/>
          <w:color w:val="222222"/>
          <w:sz w:val="24"/>
          <w:szCs w:val="24"/>
          <w:shd w:val="clear" w:color="auto" w:fill="FFFFFF"/>
        </w:rPr>
        <w:t>62</w:t>
      </w:r>
      <w:r w:rsidRPr="00FA78BA">
        <w:rPr>
          <w:rFonts w:ascii="Times New Roman" w:hAnsi="Times New Roman" w:cs="Times New Roman"/>
          <w:color w:val="222222"/>
          <w:sz w:val="24"/>
          <w:szCs w:val="24"/>
          <w:shd w:val="clear" w:color="auto" w:fill="FFFFFF"/>
        </w:rPr>
        <w:t>, 133-145.</w:t>
      </w:r>
    </w:p>
    <w:p w:rsidR="000C045C" w:rsidRPr="000C045C" w:rsidRDefault="000C045C" w:rsidP="0035091F">
      <w:pPr>
        <w:spacing w:line="360" w:lineRule="auto"/>
        <w:ind w:left="720" w:hanging="720"/>
        <w:rPr>
          <w:rFonts w:ascii="Times New Roman" w:hAnsi="Times New Roman" w:cs="Times New Roman"/>
          <w:color w:val="222222"/>
          <w:sz w:val="24"/>
          <w:szCs w:val="24"/>
          <w:shd w:val="clear" w:color="auto" w:fill="FFFFFF"/>
        </w:rPr>
      </w:pPr>
      <w:r w:rsidRPr="000C045C">
        <w:rPr>
          <w:rFonts w:ascii="Times New Roman" w:hAnsi="Times New Roman" w:cs="Times New Roman"/>
          <w:color w:val="222222"/>
          <w:sz w:val="24"/>
          <w:szCs w:val="24"/>
          <w:shd w:val="clear" w:color="auto" w:fill="FFFFFF"/>
        </w:rPr>
        <w:t>Bill, O. (2012). </w:t>
      </w:r>
      <w:r w:rsidRPr="000C045C">
        <w:rPr>
          <w:rFonts w:ascii="Times New Roman" w:hAnsi="Times New Roman" w:cs="Times New Roman"/>
          <w:i/>
          <w:iCs/>
          <w:color w:val="222222"/>
          <w:sz w:val="24"/>
          <w:szCs w:val="24"/>
          <w:shd w:val="clear" w:color="auto" w:fill="FFFFFF"/>
        </w:rPr>
        <w:t>Solution-focused therapy</w:t>
      </w:r>
      <w:r w:rsidRPr="000C045C">
        <w:rPr>
          <w:rFonts w:ascii="Times New Roman" w:hAnsi="Times New Roman" w:cs="Times New Roman"/>
          <w:color w:val="222222"/>
          <w:sz w:val="24"/>
          <w:szCs w:val="24"/>
          <w:shd w:val="clear" w:color="auto" w:fill="FFFFFF"/>
        </w:rPr>
        <w:t>. Sage.</w:t>
      </w:r>
    </w:p>
    <w:p w:rsidR="00071039" w:rsidRPr="00FA78BA" w:rsidRDefault="00071039" w:rsidP="0035091F">
      <w:pPr>
        <w:spacing w:line="360" w:lineRule="auto"/>
        <w:ind w:left="720" w:hanging="720"/>
        <w:rPr>
          <w:rFonts w:ascii="Times New Roman" w:hAnsi="Times New Roman" w:cs="Times New Roman"/>
          <w:color w:val="222222"/>
          <w:sz w:val="24"/>
          <w:szCs w:val="24"/>
          <w:shd w:val="clear" w:color="auto" w:fill="FFFFFF"/>
        </w:rPr>
      </w:pPr>
      <w:r w:rsidRPr="00FA78BA">
        <w:rPr>
          <w:rFonts w:ascii="Times New Roman" w:hAnsi="Times New Roman" w:cs="Times New Roman"/>
          <w:color w:val="222222"/>
          <w:sz w:val="24"/>
          <w:szCs w:val="24"/>
          <w:shd w:val="clear" w:color="auto" w:fill="FFFFFF"/>
        </w:rPr>
        <w:t>British Association for Counselling and Psychotherapy. (2018). Ethical framework for the counselling professions.</w:t>
      </w:r>
    </w:p>
    <w:p w:rsidR="00071039" w:rsidRPr="00FA78BA" w:rsidRDefault="00071039" w:rsidP="0035091F">
      <w:pPr>
        <w:spacing w:line="360" w:lineRule="auto"/>
        <w:ind w:left="720" w:hanging="720"/>
        <w:rPr>
          <w:rFonts w:ascii="Times New Roman" w:hAnsi="Times New Roman" w:cs="Times New Roman"/>
          <w:color w:val="222222"/>
          <w:sz w:val="24"/>
          <w:szCs w:val="24"/>
          <w:shd w:val="clear" w:color="auto" w:fill="FFFFFF"/>
        </w:rPr>
      </w:pPr>
      <w:r w:rsidRPr="00FA78BA">
        <w:rPr>
          <w:rFonts w:ascii="Times New Roman" w:hAnsi="Times New Roman" w:cs="Times New Roman"/>
          <w:color w:val="222222"/>
          <w:sz w:val="24"/>
          <w:szCs w:val="24"/>
          <w:shd w:val="clear" w:color="auto" w:fill="FFFFFF"/>
        </w:rPr>
        <w:t>British Psychological Society. (2018). Code of Ethics and Conduct.</w:t>
      </w:r>
    </w:p>
    <w:p w:rsidR="00071039" w:rsidRPr="00FA78BA" w:rsidRDefault="00071039" w:rsidP="0035091F">
      <w:pPr>
        <w:spacing w:line="360" w:lineRule="auto"/>
        <w:ind w:left="720" w:hanging="720"/>
        <w:rPr>
          <w:rFonts w:ascii="Times New Roman" w:hAnsi="Times New Roman" w:cs="Times New Roman"/>
          <w:color w:val="222222"/>
          <w:sz w:val="24"/>
          <w:szCs w:val="24"/>
          <w:shd w:val="clear" w:color="auto" w:fill="FFFFFF"/>
        </w:rPr>
      </w:pPr>
      <w:r w:rsidRPr="00FA78BA">
        <w:rPr>
          <w:rFonts w:ascii="Times New Roman" w:hAnsi="Times New Roman" w:cs="Times New Roman"/>
          <w:color w:val="222222"/>
          <w:sz w:val="24"/>
          <w:szCs w:val="24"/>
          <w:shd w:val="clear" w:color="auto" w:fill="FFFFFF"/>
        </w:rPr>
        <w:t>Gibbs, G. (2005). </w:t>
      </w:r>
      <w:r w:rsidRPr="00FA78BA">
        <w:rPr>
          <w:rFonts w:ascii="Times New Roman" w:hAnsi="Times New Roman" w:cs="Times New Roman"/>
          <w:i/>
          <w:iCs/>
          <w:color w:val="222222"/>
          <w:sz w:val="24"/>
          <w:szCs w:val="24"/>
          <w:shd w:val="clear" w:color="auto" w:fill="FFFFFF"/>
        </w:rPr>
        <w:t>Improving the quality of student learning</w:t>
      </w:r>
      <w:r w:rsidRPr="00FA78BA">
        <w:rPr>
          <w:rFonts w:ascii="Times New Roman" w:hAnsi="Times New Roman" w:cs="Times New Roman"/>
          <w:color w:val="222222"/>
          <w:sz w:val="24"/>
          <w:szCs w:val="24"/>
          <w:shd w:val="clear" w:color="auto" w:fill="FFFFFF"/>
        </w:rPr>
        <w:t>. University of South Wales (United Kingdom).</w:t>
      </w:r>
    </w:p>
    <w:p w:rsidR="00071039" w:rsidRPr="00FA78BA" w:rsidRDefault="00071039" w:rsidP="0035091F">
      <w:pPr>
        <w:spacing w:line="360" w:lineRule="auto"/>
        <w:ind w:left="720" w:hanging="720"/>
        <w:rPr>
          <w:rFonts w:ascii="Times New Roman" w:hAnsi="Times New Roman" w:cs="Times New Roman"/>
          <w:color w:val="222222"/>
          <w:sz w:val="24"/>
          <w:szCs w:val="24"/>
          <w:shd w:val="clear" w:color="auto" w:fill="FFFFFF"/>
        </w:rPr>
      </w:pPr>
      <w:r w:rsidRPr="00FA78BA">
        <w:rPr>
          <w:rFonts w:ascii="Times New Roman" w:hAnsi="Times New Roman" w:cs="Times New Roman"/>
          <w:color w:val="222222"/>
          <w:sz w:val="24"/>
          <w:szCs w:val="24"/>
          <w:shd w:val="clear" w:color="auto" w:fill="FFFFFF"/>
        </w:rPr>
        <w:t>Hough, M. (2006). </w:t>
      </w:r>
      <w:r w:rsidRPr="00FA78BA">
        <w:rPr>
          <w:rFonts w:ascii="Times New Roman" w:hAnsi="Times New Roman" w:cs="Times New Roman"/>
          <w:i/>
          <w:iCs/>
          <w:color w:val="222222"/>
          <w:sz w:val="24"/>
          <w:szCs w:val="24"/>
          <w:shd w:val="clear" w:color="auto" w:fill="FFFFFF"/>
        </w:rPr>
        <w:t>Counselling skills and theory</w:t>
      </w:r>
      <w:r w:rsidRPr="00FA78BA">
        <w:rPr>
          <w:rFonts w:ascii="Times New Roman" w:hAnsi="Times New Roman" w:cs="Times New Roman"/>
          <w:color w:val="222222"/>
          <w:sz w:val="24"/>
          <w:szCs w:val="24"/>
          <w:shd w:val="clear" w:color="auto" w:fill="FFFFFF"/>
        </w:rPr>
        <w:t>. Hodder Arnold.</w:t>
      </w:r>
    </w:p>
    <w:p w:rsidR="00071039" w:rsidRPr="00FA78BA" w:rsidRDefault="00071039" w:rsidP="0035091F">
      <w:pPr>
        <w:spacing w:line="360" w:lineRule="auto"/>
        <w:ind w:left="720" w:hanging="720"/>
        <w:rPr>
          <w:rFonts w:ascii="Times New Roman" w:hAnsi="Times New Roman" w:cs="Times New Roman"/>
          <w:color w:val="222222"/>
          <w:sz w:val="24"/>
          <w:szCs w:val="24"/>
          <w:shd w:val="clear" w:color="auto" w:fill="FFFFFF"/>
        </w:rPr>
      </w:pPr>
      <w:r w:rsidRPr="00FA78BA">
        <w:rPr>
          <w:rFonts w:ascii="Times New Roman" w:hAnsi="Times New Roman" w:cs="Times New Roman"/>
          <w:color w:val="222222"/>
          <w:sz w:val="24"/>
          <w:szCs w:val="24"/>
          <w:shd w:val="clear" w:color="auto" w:fill="FFFFFF"/>
        </w:rPr>
        <w:t>Midwinter, R., &amp; Dickson, J. (2015). </w:t>
      </w:r>
      <w:r w:rsidRPr="00FA78BA">
        <w:rPr>
          <w:rFonts w:ascii="Times New Roman" w:hAnsi="Times New Roman" w:cs="Times New Roman"/>
          <w:i/>
          <w:iCs/>
          <w:color w:val="222222"/>
          <w:sz w:val="24"/>
          <w:szCs w:val="24"/>
          <w:shd w:val="clear" w:color="auto" w:fill="FFFFFF"/>
        </w:rPr>
        <w:t>Embedding counselling and communication skills: a relational skills model</w:t>
      </w:r>
      <w:r w:rsidRPr="00FA78BA">
        <w:rPr>
          <w:rFonts w:ascii="Times New Roman" w:hAnsi="Times New Roman" w:cs="Times New Roman"/>
          <w:color w:val="222222"/>
          <w:sz w:val="24"/>
          <w:szCs w:val="24"/>
          <w:shd w:val="clear" w:color="auto" w:fill="FFFFFF"/>
        </w:rPr>
        <w:t>. Routledge.</w:t>
      </w:r>
    </w:p>
    <w:p w:rsidR="00071039" w:rsidRPr="00FA78BA" w:rsidRDefault="00071039" w:rsidP="0035091F">
      <w:pPr>
        <w:spacing w:line="360" w:lineRule="auto"/>
        <w:ind w:left="720" w:hanging="720"/>
        <w:rPr>
          <w:rFonts w:ascii="Times New Roman" w:hAnsi="Times New Roman" w:cs="Times New Roman"/>
          <w:sz w:val="24"/>
          <w:szCs w:val="24"/>
          <w:u w:val="single"/>
        </w:rPr>
      </w:pPr>
      <w:r w:rsidRPr="00FA78BA">
        <w:rPr>
          <w:rFonts w:ascii="Times New Roman" w:hAnsi="Times New Roman" w:cs="Times New Roman"/>
          <w:color w:val="222222"/>
          <w:sz w:val="24"/>
          <w:szCs w:val="24"/>
          <w:shd w:val="clear" w:color="auto" w:fill="FFFFFF"/>
        </w:rPr>
        <w:t>Phipps, D. (2019). The miracle of the miracle question: How a novice counsellor uses the solution-focused miracle question with secondary school students.</w:t>
      </w:r>
    </w:p>
    <w:p w:rsidR="00071039" w:rsidRPr="00370306" w:rsidRDefault="00071039" w:rsidP="0035091F">
      <w:pPr>
        <w:spacing w:line="360" w:lineRule="auto"/>
        <w:ind w:left="720" w:hanging="720"/>
        <w:rPr>
          <w:rFonts w:ascii="Times New Roman" w:hAnsi="Times New Roman" w:cs="Times New Roman"/>
          <w:color w:val="222222"/>
          <w:sz w:val="24"/>
          <w:szCs w:val="24"/>
          <w:shd w:val="clear" w:color="auto" w:fill="FFFFFF"/>
        </w:rPr>
      </w:pPr>
      <w:r w:rsidRPr="00FA78BA">
        <w:rPr>
          <w:rFonts w:ascii="Times New Roman" w:hAnsi="Times New Roman" w:cs="Times New Roman"/>
          <w:color w:val="222222"/>
          <w:sz w:val="24"/>
          <w:szCs w:val="24"/>
          <w:shd w:val="clear" w:color="auto" w:fill="FFFFFF"/>
        </w:rPr>
        <w:t>Rautalinko, E. (2013). Reflective listening and open-ended questions in counselling: Preferences moderated by social skills and cognitive ability. </w:t>
      </w:r>
      <w:r w:rsidRPr="00FA78BA">
        <w:rPr>
          <w:rFonts w:ascii="Times New Roman" w:hAnsi="Times New Roman" w:cs="Times New Roman"/>
          <w:i/>
          <w:iCs/>
          <w:color w:val="222222"/>
          <w:sz w:val="24"/>
          <w:szCs w:val="24"/>
          <w:shd w:val="clear" w:color="auto" w:fill="FFFFFF"/>
        </w:rPr>
        <w:t xml:space="preserve">Counselling and </w:t>
      </w:r>
      <w:r w:rsidRPr="00370306">
        <w:rPr>
          <w:rFonts w:ascii="Times New Roman" w:hAnsi="Times New Roman" w:cs="Times New Roman"/>
          <w:i/>
          <w:iCs/>
          <w:color w:val="222222"/>
          <w:sz w:val="24"/>
          <w:szCs w:val="24"/>
          <w:shd w:val="clear" w:color="auto" w:fill="FFFFFF"/>
        </w:rPr>
        <w:t>Psychotherapy Research</w:t>
      </w:r>
      <w:r w:rsidRPr="00370306">
        <w:rPr>
          <w:rFonts w:ascii="Times New Roman" w:hAnsi="Times New Roman" w:cs="Times New Roman"/>
          <w:color w:val="222222"/>
          <w:sz w:val="24"/>
          <w:szCs w:val="24"/>
          <w:shd w:val="clear" w:color="auto" w:fill="FFFFFF"/>
        </w:rPr>
        <w:t>, </w:t>
      </w:r>
      <w:r w:rsidRPr="00370306">
        <w:rPr>
          <w:rFonts w:ascii="Times New Roman" w:hAnsi="Times New Roman" w:cs="Times New Roman"/>
          <w:i/>
          <w:iCs/>
          <w:color w:val="222222"/>
          <w:sz w:val="24"/>
          <w:szCs w:val="24"/>
          <w:shd w:val="clear" w:color="auto" w:fill="FFFFFF"/>
        </w:rPr>
        <w:t>13</w:t>
      </w:r>
      <w:r w:rsidRPr="00370306">
        <w:rPr>
          <w:rFonts w:ascii="Times New Roman" w:hAnsi="Times New Roman" w:cs="Times New Roman"/>
          <w:color w:val="222222"/>
          <w:sz w:val="24"/>
          <w:szCs w:val="24"/>
          <w:shd w:val="clear" w:color="auto" w:fill="FFFFFF"/>
        </w:rPr>
        <w:t>(1), 24-31.</w:t>
      </w:r>
    </w:p>
    <w:p w:rsidR="00370306" w:rsidRPr="00E746EA" w:rsidRDefault="00370306" w:rsidP="0035091F">
      <w:pPr>
        <w:spacing w:line="360" w:lineRule="auto"/>
        <w:ind w:left="720" w:hanging="720"/>
        <w:rPr>
          <w:rFonts w:ascii="Times New Roman" w:hAnsi="Times New Roman" w:cs="Times New Roman"/>
          <w:color w:val="222222"/>
          <w:sz w:val="24"/>
          <w:szCs w:val="24"/>
          <w:shd w:val="clear" w:color="auto" w:fill="FFFFFF"/>
        </w:rPr>
      </w:pPr>
      <w:r w:rsidRPr="00370306">
        <w:rPr>
          <w:rFonts w:ascii="Times New Roman" w:hAnsi="Times New Roman" w:cs="Times New Roman"/>
          <w:color w:val="222222"/>
          <w:sz w:val="24"/>
          <w:szCs w:val="24"/>
          <w:shd w:val="clear" w:color="auto" w:fill="FFFFFF"/>
        </w:rPr>
        <w:t>Skovholt, T. M., &amp; Trotter-Mathison, M. (2014). </w:t>
      </w:r>
      <w:r w:rsidRPr="00370306">
        <w:rPr>
          <w:rFonts w:ascii="Times New Roman" w:hAnsi="Times New Roman" w:cs="Times New Roman"/>
          <w:i/>
          <w:iCs/>
          <w:color w:val="222222"/>
          <w:sz w:val="24"/>
          <w:szCs w:val="24"/>
          <w:shd w:val="clear" w:color="auto" w:fill="FFFFFF"/>
        </w:rPr>
        <w:t xml:space="preserve">The resilient practitioner: Burnout prevention and self-care strategies for </w:t>
      </w:r>
      <w:r w:rsidR="00E746EA" w:rsidRPr="00370306">
        <w:rPr>
          <w:rFonts w:ascii="Times New Roman" w:hAnsi="Times New Roman" w:cs="Times New Roman"/>
          <w:i/>
          <w:iCs/>
          <w:color w:val="222222"/>
          <w:sz w:val="24"/>
          <w:szCs w:val="24"/>
          <w:shd w:val="clear" w:color="auto" w:fill="FFFFFF"/>
        </w:rPr>
        <w:t>counsellors</w:t>
      </w:r>
      <w:r w:rsidRPr="00370306">
        <w:rPr>
          <w:rFonts w:ascii="Times New Roman" w:hAnsi="Times New Roman" w:cs="Times New Roman"/>
          <w:i/>
          <w:iCs/>
          <w:color w:val="222222"/>
          <w:sz w:val="24"/>
          <w:szCs w:val="24"/>
          <w:shd w:val="clear" w:color="auto" w:fill="FFFFFF"/>
        </w:rPr>
        <w:t xml:space="preserve">, therapists, teachers, and health </w:t>
      </w:r>
      <w:r w:rsidRPr="00E746EA">
        <w:rPr>
          <w:rFonts w:ascii="Times New Roman" w:hAnsi="Times New Roman" w:cs="Times New Roman"/>
          <w:i/>
          <w:iCs/>
          <w:color w:val="222222"/>
          <w:sz w:val="24"/>
          <w:szCs w:val="24"/>
          <w:shd w:val="clear" w:color="auto" w:fill="FFFFFF"/>
        </w:rPr>
        <w:t>professionals</w:t>
      </w:r>
      <w:r w:rsidRPr="00E746EA">
        <w:rPr>
          <w:rFonts w:ascii="Times New Roman" w:hAnsi="Times New Roman" w:cs="Times New Roman"/>
          <w:color w:val="222222"/>
          <w:sz w:val="24"/>
          <w:szCs w:val="24"/>
          <w:shd w:val="clear" w:color="auto" w:fill="FFFFFF"/>
        </w:rPr>
        <w:t>. Routledge.</w:t>
      </w:r>
    </w:p>
    <w:p w:rsidR="00E746EA" w:rsidRPr="00E746EA" w:rsidRDefault="00E746EA" w:rsidP="0035091F">
      <w:pPr>
        <w:spacing w:line="360" w:lineRule="auto"/>
        <w:ind w:left="720" w:hanging="720"/>
        <w:rPr>
          <w:rFonts w:ascii="Times New Roman" w:hAnsi="Times New Roman" w:cs="Times New Roman"/>
          <w:color w:val="222222"/>
          <w:sz w:val="24"/>
          <w:szCs w:val="24"/>
          <w:shd w:val="clear" w:color="auto" w:fill="FFFFFF"/>
        </w:rPr>
      </w:pPr>
      <w:r w:rsidRPr="00E746EA">
        <w:rPr>
          <w:rFonts w:ascii="Times New Roman" w:hAnsi="Times New Roman" w:cs="Times New Roman"/>
          <w:color w:val="222222"/>
          <w:sz w:val="24"/>
          <w:szCs w:val="24"/>
          <w:shd w:val="clear" w:color="auto" w:fill="FFFFFF"/>
        </w:rPr>
        <w:t>Stickley, T. (2011). From SOLER to SURETY for effective non-verbal communication. </w:t>
      </w:r>
      <w:r w:rsidRPr="00E746EA">
        <w:rPr>
          <w:rFonts w:ascii="Times New Roman" w:hAnsi="Times New Roman" w:cs="Times New Roman"/>
          <w:i/>
          <w:iCs/>
          <w:color w:val="222222"/>
          <w:sz w:val="24"/>
          <w:szCs w:val="24"/>
          <w:shd w:val="clear" w:color="auto" w:fill="FFFFFF"/>
        </w:rPr>
        <w:t>Nurse education in practice</w:t>
      </w:r>
      <w:r w:rsidRPr="00E746EA">
        <w:rPr>
          <w:rFonts w:ascii="Times New Roman" w:hAnsi="Times New Roman" w:cs="Times New Roman"/>
          <w:color w:val="222222"/>
          <w:sz w:val="24"/>
          <w:szCs w:val="24"/>
          <w:shd w:val="clear" w:color="auto" w:fill="FFFFFF"/>
        </w:rPr>
        <w:t>, </w:t>
      </w:r>
      <w:r w:rsidRPr="00E746EA">
        <w:rPr>
          <w:rFonts w:ascii="Times New Roman" w:hAnsi="Times New Roman" w:cs="Times New Roman"/>
          <w:i/>
          <w:iCs/>
          <w:color w:val="222222"/>
          <w:sz w:val="24"/>
          <w:szCs w:val="24"/>
          <w:shd w:val="clear" w:color="auto" w:fill="FFFFFF"/>
        </w:rPr>
        <w:t>11</w:t>
      </w:r>
      <w:r w:rsidRPr="00E746EA">
        <w:rPr>
          <w:rFonts w:ascii="Times New Roman" w:hAnsi="Times New Roman" w:cs="Times New Roman"/>
          <w:color w:val="222222"/>
          <w:sz w:val="24"/>
          <w:szCs w:val="24"/>
          <w:shd w:val="clear" w:color="auto" w:fill="FFFFFF"/>
        </w:rPr>
        <w:t>(6), 395-398.</w:t>
      </w:r>
    </w:p>
    <w:p w:rsidR="00071039" w:rsidRPr="00FA78BA" w:rsidRDefault="00071039" w:rsidP="0035091F">
      <w:pPr>
        <w:spacing w:line="360" w:lineRule="auto"/>
        <w:ind w:left="720" w:hanging="720"/>
        <w:rPr>
          <w:rFonts w:ascii="Times New Roman" w:hAnsi="Times New Roman" w:cs="Times New Roman"/>
          <w:color w:val="222222"/>
          <w:sz w:val="24"/>
          <w:szCs w:val="24"/>
          <w:shd w:val="clear" w:color="auto" w:fill="FFFFFF"/>
        </w:rPr>
      </w:pPr>
      <w:r w:rsidRPr="00FA78BA">
        <w:rPr>
          <w:rFonts w:ascii="Times New Roman" w:hAnsi="Times New Roman" w:cs="Times New Roman"/>
          <w:color w:val="222222"/>
          <w:sz w:val="24"/>
          <w:szCs w:val="24"/>
          <w:shd w:val="clear" w:color="auto" w:fill="FFFFFF"/>
        </w:rPr>
        <w:t>Tay, D. (2014). Metaphor theory for counselling professionals. </w:t>
      </w:r>
      <w:r w:rsidRPr="00FA78BA">
        <w:rPr>
          <w:rFonts w:ascii="Times New Roman" w:hAnsi="Times New Roman" w:cs="Times New Roman"/>
          <w:i/>
          <w:iCs/>
          <w:color w:val="222222"/>
          <w:sz w:val="24"/>
          <w:szCs w:val="24"/>
          <w:shd w:val="clear" w:color="auto" w:fill="FFFFFF"/>
        </w:rPr>
        <w:t>Bloomsbury companion to cognitive linguistics</w:t>
      </w:r>
      <w:r w:rsidRPr="00FA78BA">
        <w:rPr>
          <w:rFonts w:ascii="Times New Roman" w:hAnsi="Times New Roman" w:cs="Times New Roman"/>
          <w:color w:val="222222"/>
          <w:sz w:val="24"/>
          <w:szCs w:val="24"/>
          <w:shd w:val="clear" w:color="auto" w:fill="FFFFFF"/>
        </w:rPr>
        <w:t>, 352-367.</w:t>
      </w:r>
    </w:p>
    <w:p w:rsidR="00071039" w:rsidRPr="00FA78BA" w:rsidRDefault="00071039" w:rsidP="0035091F">
      <w:pPr>
        <w:spacing w:line="360" w:lineRule="auto"/>
        <w:ind w:left="720" w:hanging="720"/>
        <w:rPr>
          <w:rFonts w:ascii="Times New Roman" w:hAnsi="Times New Roman" w:cs="Times New Roman"/>
          <w:color w:val="222222"/>
          <w:sz w:val="24"/>
          <w:szCs w:val="24"/>
          <w:shd w:val="clear" w:color="auto" w:fill="FFFFFF"/>
        </w:rPr>
      </w:pPr>
      <w:r w:rsidRPr="00FA78BA">
        <w:rPr>
          <w:rFonts w:ascii="Times New Roman" w:hAnsi="Times New Roman" w:cs="Times New Roman"/>
          <w:color w:val="222222"/>
          <w:sz w:val="24"/>
          <w:szCs w:val="24"/>
          <w:shd w:val="clear" w:color="auto" w:fill="FFFFFF"/>
        </w:rPr>
        <w:t>West, W. (2002). Some ethical dilemmas in counselling and counselling research. </w:t>
      </w:r>
      <w:r w:rsidRPr="00FA78BA">
        <w:rPr>
          <w:rFonts w:ascii="Times New Roman" w:hAnsi="Times New Roman" w:cs="Times New Roman"/>
          <w:i/>
          <w:iCs/>
          <w:color w:val="222222"/>
          <w:sz w:val="24"/>
          <w:szCs w:val="24"/>
          <w:shd w:val="clear" w:color="auto" w:fill="FFFFFF"/>
        </w:rPr>
        <w:t>British Journal of Guidance and Counselling</w:t>
      </w:r>
      <w:r w:rsidRPr="00FA78BA">
        <w:rPr>
          <w:rFonts w:ascii="Times New Roman" w:hAnsi="Times New Roman" w:cs="Times New Roman"/>
          <w:color w:val="222222"/>
          <w:sz w:val="24"/>
          <w:szCs w:val="24"/>
          <w:shd w:val="clear" w:color="auto" w:fill="FFFFFF"/>
        </w:rPr>
        <w:t>, </w:t>
      </w:r>
      <w:r w:rsidRPr="00FA78BA">
        <w:rPr>
          <w:rFonts w:ascii="Times New Roman" w:hAnsi="Times New Roman" w:cs="Times New Roman"/>
          <w:i/>
          <w:iCs/>
          <w:color w:val="222222"/>
          <w:sz w:val="24"/>
          <w:szCs w:val="24"/>
          <w:shd w:val="clear" w:color="auto" w:fill="FFFFFF"/>
        </w:rPr>
        <w:t>30</w:t>
      </w:r>
      <w:r w:rsidRPr="00FA78BA">
        <w:rPr>
          <w:rFonts w:ascii="Times New Roman" w:hAnsi="Times New Roman" w:cs="Times New Roman"/>
          <w:color w:val="222222"/>
          <w:sz w:val="24"/>
          <w:szCs w:val="24"/>
          <w:shd w:val="clear" w:color="auto" w:fill="FFFFFF"/>
        </w:rPr>
        <w:t>(3), 261-268.</w:t>
      </w:r>
    </w:p>
    <w:p w:rsidR="00071039" w:rsidRPr="00FA78BA" w:rsidRDefault="00071039" w:rsidP="0035091F">
      <w:pPr>
        <w:spacing w:line="360" w:lineRule="auto"/>
        <w:ind w:left="720" w:hanging="720"/>
        <w:rPr>
          <w:rFonts w:ascii="Times New Roman" w:hAnsi="Times New Roman" w:cs="Times New Roman"/>
          <w:color w:val="222222"/>
          <w:sz w:val="24"/>
          <w:szCs w:val="24"/>
          <w:shd w:val="clear" w:color="auto" w:fill="FFFFFF"/>
        </w:rPr>
      </w:pPr>
      <w:r w:rsidRPr="00FA78BA">
        <w:rPr>
          <w:rFonts w:ascii="Times New Roman" w:hAnsi="Times New Roman" w:cs="Times New Roman"/>
          <w:color w:val="222222"/>
          <w:sz w:val="24"/>
          <w:szCs w:val="24"/>
          <w:shd w:val="clear" w:color="auto" w:fill="FFFFFF"/>
        </w:rPr>
        <w:lastRenderedPageBreak/>
        <w:t>Wiggins, S., Elliott, R., &amp; Cooper, M. (2012). The prevalence and characteristics of relational depth events in psychotherapy. </w:t>
      </w:r>
      <w:r w:rsidRPr="00FA78BA">
        <w:rPr>
          <w:rFonts w:ascii="Times New Roman" w:hAnsi="Times New Roman" w:cs="Times New Roman"/>
          <w:i/>
          <w:iCs/>
          <w:color w:val="222222"/>
          <w:sz w:val="24"/>
          <w:szCs w:val="24"/>
          <w:shd w:val="clear" w:color="auto" w:fill="FFFFFF"/>
        </w:rPr>
        <w:t>Psychotherapy Research</w:t>
      </w:r>
      <w:r w:rsidRPr="00FA78BA">
        <w:rPr>
          <w:rFonts w:ascii="Times New Roman" w:hAnsi="Times New Roman" w:cs="Times New Roman"/>
          <w:color w:val="222222"/>
          <w:sz w:val="24"/>
          <w:szCs w:val="24"/>
          <w:shd w:val="clear" w:color="auto" w:fill="FFFFFF"/>
        </w:rPr>
        <w:t>, </w:t>
      </w:r>
      <w:r w:rsidRPr="00FA78BA">
        <w:rPr>
          <w:rFonts w:ascii="Times New Roman" w:hAnsi="Times New Roman" w:cs="Times New Roman"/>
          <w:i/>
          <w:iCs/>
          <w:color w:val="222222"/>
          <w:sz w:val="24"/>
          <w:szCs w:val="24"/>
          <w:shd w:val="clear" w:color="auto" w:fill="FFFFFF"/>
        </w:rPr>
        <w:t>22</w:t>
      </w:r>
      <w:r w:rsidRPr="00FA78BA">
        <w:rPr>
          <w:rFonts w:ascii="Times New Roman" w:hAnsi="Times New Roman" w:cs="Times New Roman"/>
          <w:color w:val="222222"/>
          <w:sz w:val="24"/>
          <w:szCs w:val="24"/>
          <w:shd w:val="clear" w:color="auto" w:fill="FFFFFF"/>
        </w:rPr>
        <w:t>(2), 139-158.</w:t>
      </w:r>
    </w:p>
    <w:sectPr w:rsidR="00071039" w:rsidRPr="00FA78BA" w:rsidSect="0092663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EE98763-3C4D-48A4-8D48-0C4DCF0957B7}"/>
    <w:docVar w:name="dgnword-eventsink" w:val="346800392"/>
  </w:docVars>
  <w:rsids>
    <w:rsidRoot w:val="006F2B56"/>
    <w:rsid w:val="00054AFF"/>
    <w:rsid w:val="00071039"/>
    <w:rsid w:val="00083BA6"/>
    <w:rsid w:val="00091F2C"/>
    <w:rsid w:val="000C045C"/>
    <w:rsid w:val="00230294"/>
    <w:rsid w:val="00250BE5"/>
    <w:rsid w:val="0027135B"/>
    <w:rsid w:val="002B3F3D"/>
    <w:rsid w:val="00305638"/>
    <w:rsid w:val="00313448"/>
    <w:rsid w:val="0035091F"/>
    <w:rsid w:val="00370306"/>
    <w:rsid w:val="003862AE"/>
    <w:rsid w:val="00406B23"/>
    <w:rsid w:val="00470EC3"/>
    <w:rsid w:val="0047434D"/>
    <w:rsid w:val="00482C07"/>
    <w:rsid w:val="004D0155"/>
    <w:rsid w:val="004E778A"/>
    <w:rsid w:val="004F66E3"/>
    <w:rsid w:val="005261F9"/>
    <w:rsid w:val="00582A79"/>
    <w:rsid w:val="00590A1C"/>
    <w:rsid w:val="005B18BD"/>
    <w:rsid w:val="005C0B1C"/>
    <w:rsid w:val="00631549"/>
    <w:rsid w:val="00631653"/>
    <w:rsid w:val="00640ECD"/>
    <w:rsid w:val="00662C06"/>
    <w:rsid w:val="006B57A2"/>
    <w:rsid w:val="006C6D1B"/>
    <w:rsid w:val="006F2B56"/>
    <w:rsid w:val="00713096"/>
    <w:rsid w:val="007226FC"/>
    <w:rsid w:val="00723294"/>
    <w:rsid w:val="00727A55"/>
    <w:rsid w:val="00734036"/>
    <w:rsid w:val="007578FC"/>
    <w:rsid w:val="007E46BE"/>
    <w:rsid w:val="008167C9"/>
    <w:rsid w:val="00866946"/>
    <w:rsid w:val="0087448B"/>
    <w:rsid w:val="008820C2"/>
    <w:rsid w:val="008C7082"/>
    <w:rsid w:val="00926636"/>
    <w:rsid w:val="00935F2B"/>
    <w:rsid w:val="00943830"/>
    <w:rsid w:val="00981371"/>
    <w:rsid w:val="00981BEE"/>
    <w:rsid w:val="009A4776"/>
    <w:rsid w:val="009D531B"/>
    <w:rsid w:val="00A33CD7"/>
    <w:rsid w:val="00A57337"/>
    <w:rsid w:val="00A748DE"/>
    <w:rsid w:val="00AC1B28"/>
    <w:rsid w:val="00AC6C54"/>
    <w:rsid w:val="00AD2164"/>
    <w:rsid w:val="00B00102"/>
    <w:rsid w:val="00BC3352"/>
    <w:rsid w:val="00BE1A9D"/>
    <w:rsid w:val="00C812E9"/>
    <w:rsid w:val="00CE4279"/>
    <w:rsid w:val="00E26C14"/>
    <w:rsid w:val="00E746EA"/>
    <w:rsid w:val="00E93A2C"/>
    <w:rsid w:val="00ED22C0"/>
    <w:rsid w:val="00ED6A37"/>
    <w:rsid w:val="00F43B7D"/>
    <w:rsid w:val="00F559A5"/>
    <w:rsid w:val="00F82A1B"/>
    <w:rsid w:val="00F94784"/>
    <w:rsid w:val="00FA78BA"/>
    <w:rsid w:val="00FD3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F85123-AEA6-4B25-BCCD-6A3D606EF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66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663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2109</Words>
  <Characters>12027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Roch</dc:creator>
  <cp:keywords/>
  <dc:description/>
  <cp:lastModifiedBy>Cerys Roch</cp:lastModifiedBy>
  <cp:revision>2</cp:revision>
  <dcterms:created xsi:type="dcterms:W3CDTF">2021-02-11T15:58:00Z</dcterms:created>
  <dcterms:modified xsi:type="dcterms:W3CDTF">2021-02-11T15:58:00Z</dcterms:modified>
</cp:coreProperties>
</file>