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5F3993F7">
      <w:pPr>
        <w:pStyle w:val="style0"/>
        <w:jc w:val="center"/>
        <w:rPr>
          <w:rFonts w:ascii="Arial" w:cs="Arial" w:hAnsi="Arial"/>
          <w:b/>
          <w:bCs/>
          <w:sz w:val="36"/>
          <w:szCs w:val="36"/>
        </w:rPr>
      </w:pPr>
      <w:r>
        <w:rPr>
          <w:rFonts w:ascii="Arial" w:cs="Arial" w:hAnsi="Arial"/>
          <w:b/>
          <w:bCs/>
          <w:noProof/>
          <w:sz w:val="36"/>
          <w:szCs w:val="36"/>
          <w:lang w:val="en-IN" w:eastAsia="en-IN"/>
        </w:rPr>
        <w:drawing>
          <wp:inline distL="0" distT="0" distB="0" distR="0">
            <wp:extent cx="3825908" cy="1466850"/>
            <wp:effectExtent l="0" t="0" r="317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825908" cy="1466850"/>
                    </a:xfrm>
                    <a:prstGeom prst="rect"/>
                  </pic:spPr>
                </pic:pic>
              </a:graphicData>
            </a:graphic>
          </wp:inline>
        </w:drawing>
      </w:r>
    </w:p>
    <w:p w14:paraId="6F0A3A12">
      <w:pPr>
        <w:pStyle w:val="style0"/>
        <w:jc w:val="center"/>
        <w:rPr>
          <w:rFonts w:ascii="Arial" w:cs="Arial" w:hAnsi="Arial"/>
          <w:b/>
          <w:bCs/>
          <w:sz w:val="36"/>
          <w:szCs w:val="36"/>
        </w:rPr>
      </w:pPr>
      <w:r>
        <w:rPr>
          <w:rFonts w:ascii="Arial" w:cs="Arial" w:hAnsi="Arial"/>
          <w:b/>
          <w:bCs/>
          <w:sz w:val="36"/>
          <w:szCs w:val="36"/>
        </w:rPr>
        <w:t>LCMB7035</w:t>
      </w:r>
    </w:p>
    <w:p w14:paraId="503C8075">
      <w:pPr>
        <w:pStyle w:val="style0"/>
        <w:jc w:val="center"/>
        <w:rPr>
          <w:rFonts w:ascii="Arial" w:cs="Arial" w:hAnsi="Arial"/>
          <w:b/>
          <w:bCs/>
          <w:sz w:val="36"/>
          <w:szCs w:val="36"/>
        </w:rPr>
      </w:pPr>
      <w:r>
        <w:rPr>
          <w:rFonts w:ascii="Arial" w:cs="Arial" w:hAnsi="Arial"/>
          <w:b/>
          <w:bCs/>
          <w:sz w:val="36"/>
          <w:szCs w:val="36"/>
        </w:rPr>
        <w:t>Master of Business Administration</w:t>
      </w:r>
    </w:p>
    <w:p w14:paraId="7C2BAC55">
      <w:pPr>
        <w:pStyle w:val="style0"/>
        <w:jc w:val="center"/>
        <w:rPr>
          <w:rFonts w:ascii="Arial" w:cs="Arial" w:hAnsi="Arial"/>
          <w:b/>
          <w:bCs/>
          <w:sz w:val="36"/>
          <w:szCs w:val="36"/>
        </w:rPr>
      </w:pPr>
      <w:r>
        <w:rPr>
          <w:rFonts w:ascii="Arial" w:cs="Arial" w:hAnsi="Arial"/>
          <w:b/>
          <w:bCs/>
          <w:sz w:val="36"/>
          <w:szCs w:val="36"/>
        </w:rPr>
        <w:t>Proposal</w:t>
      </w:r>
    </w:p>
    <w:p w14:paraId="2AA4173A">
      <w:pPr>
        <w:pStyle w:val="style0"/>
        <w:jc w:val="center"/>
        <w:rPr>
          <w:rFonts w:ascii="Arial" w:cs="Arial" w:hAnsi="Arial"/>
          <w:b/>
          <w:bCs/>
          <w:sz w:val="36"/>
          <w:szCs w:val="36"/>
        </w:rPr>
      </w:pPr>
    </w:p>
    <w:p w14:paraId="2DEB0DC1">
      <w:pPr>
        <w:pStyle w:val="style0"/>
        <w:jc w:val="center"/>
        <w:rPr>
          <w:rFonts w:ascii="Arial" w:cs="Arial" w:hAnsi="Arial"/>
          <w:sz w:val="36"/>
          <w:szCs w:val="36"/>
        </w:rPr>
      </w:pPr>
      <w:r>
        <w:rPr>
          <w:rFonts w:ascii="Arial" w:cs="Arial" w:hAnsi="Arial"/>
          <w:b/>
          <w:bCs/>
          <w:sz w:val="36"/>
          <w:szCs w:val="36"/>
        </w:rPr>
        <w:t>Title:</w:t>
      </w:r>
      <w:r>
        <w:rPr>
          <w:rFonts w:ascii="Arial" w:cs="Arial" w:hAnsi="Arial"/>
          <w:sz w:val="36"/>
          <w:szCs w:val="36"/>
        </w:rPr>
        <w:t xml:space="preserve"> </w:t>
      </w:r>
      <w:r>
        <w:rPr>
          <w:rFonts w:ascii="Arial" w:cs="Arial" w:hAnsi="Arial"/>
          <w:i/>
          <w:iCs/>
          <w:sz w:val="36"/>
          <w:szCs w:val="36"/>
        </w:rPr>
        <w:t>The Influence of Online Customer Reviews on Consumer Buying Behaviour: A Case Study of Marks &amp; Spencer in the UK Fashion Retail Industry</w:t>
      </w:r>
    </w:p>
    <w:p w14:paraId="68A9E2DB">
      <w:pPr>
        <w:pStyle w:val="style0"/>
        <w:jc w:val="center"/>
        <w:rPr>
          <w:rFonts w:ascii="Arial" w:cs="Arial" w:hAnsi="Arial"/>
          <w:b/>
          <w:bCs/>
          <w:sz w:val="36"/>
          <w:szCs w:val="36"/>
        </w:rPr>
      </w:pPr>
    </w:p>
    <w:p w14:paraId="3004B685">
      <w:pPr>
        <w:pStyle w:val="style0"/>
        <w:rPr>
          <w:rFonts w:ascii="Arial" w:cs="Arial" w:hAnsi="Arial"/>
          <w:b/>
          <w:bCs/>
          <w:sz w:val="36"/>
          <w:szCs w:val="36"/>
        </w:rPr>
      </w:pPr>
    </w:p>
    <w:p w14:paraId="2E2CAF2F">
      <w:pPr>
        <w:pStyle w:val="style0"/>
        <w:jc w:val="center"/>
        <w:rPr>
          <w:rFonts w:ascii="Arial" w:cs="Arial" w:hAnsi="Arial"/>
          <w:b/>
          <w:bCs/>
          <w:sz w:val="36"/>
          <w:szCs w:val="36"/>
        </w:rPr>
      </w:pPr>
    </w:p>
    <w:p w14:paraId="34B53BBE">
      <w:pPr>
        <w:pStyle w:val="style0"/>
        <w:jc w:val="left"/>
        <w:rPr>
          <w:rFonts w:ascii="Arial" w:cs="Arial" w:hAnsi="Arial"/>
          <w:b/>
          <w:bCs/>
          <w:sz w:val="36"/>
          <w:szCs w:val="36"/>
        </w:rPr>
      </w:pPr>
      <w:r>
        <w:rPr>
          <w:rFonts w:ascii="Arial" w:cs="Arial" w:hAnsi="Arial"/>
          <w:b/>
          <w:bCs/>
          <w:sz w:val="36"/>
          <w:szCs w:val="36"/>
        </w:rPr>
        <w:t>Student Name:</w:t>
      </w:r>
      <w:r>
        <w:rPr>
          <w:rFonts w:ascii="Arial" w:cs="Arial" w:hAnsi="Arial"/>
          <w:b/>
          <w:bCs/>
          <w:sz w:val="36"/>
          <w:szCs w:val="36"/>
        </w:rPr>
        <w:t xml:space="preserve"> </w:t>
      </w:r>
      <w:bookmarkStart w:id="0" w:name="_GoBack"/>
      <w:r>
        <w:rPr>
          <w:rFonts w:ascii="Arial" w:cs="Arial" w:hAnsi="Arial"/>
          <w:b/>
          <w:bCs/>
          <w:sz w:val="36"/>
          <w:szCs w:val="36"/>
          <w:lang w:val="en-US"/>
        </w:rPr>
        <w:t>I</w:t>
      </w:r>
      <w:r>
        <w:rPr>
          <w:rFonts w:ascii="Arial" w:cs="Arial" w:hAnsi="Arial"/>
          <w:b/>
          <w:bCs/>
          <w:sz w:val="36"/>
          <w:szCs w:val="36"/>
        </w:rPr>
        <w:t>yappan Balakrishnan</w:t>
      </w:r>
      <w:bookmarkEnd w:id="0"/>
    </w:p>
    <w:p w14:paraId="40D67E58">
      <w:pPr>
        <w:pStyle w:val="style0"/>
        <w:jc w:val="both"/>
        <w:rPr>
          <w:rFonts w:ascii="Arial" w:cs="Arial" w:hAnsi="Arial"/>
          <w:b/>
          <w:bCs/>
          <w:sz w:val="36"/>
          <w:szCs w:val="36"/>
        </w:rPr>
      </w:pPr>
      <w:r>
        <w:rPr>
          <w:rFonts w:ascii="Arial" w:cs="Arial" w:hAnsi="Arial"/>
          <w:b/>
          <w:bCs/>
          <w:sz w:val="36"/>
          <w:szCs w:val="36"/>
        </w:rPr>
        <w:t>Student ID:</w:t>
      </w:r>
      <w:r>
        <w:rPr>
          <w:rFonts w:ascii="Arial" w:cs="Arial" w:hAnsi="Arial"/>
          <w:b/>
          <w:bCs/>
          <w:sz w:val="36"/>
          <w:szCs w:val="36"/>
        </w:rPr>
        <w:t xml:space="preserve"> 2434791</w:t>
      </w:r>
    </w:p>
    <w:p w14:paraId="8B1FB2A8">
      <w:pPr>
        <w:pStyle w:val="style0"/>
        <w:jc w:val="left"/>
        <w:rPr>
          <w:rFonts w:ascii="Arial" w:cs="Arial" w:hAnsi="Arial"/>
          <w:b/>
          <w:bCs/>
          <w:sz w:val="36"/>
          <w:szCs w:val="36"/>
        </w:rPr>
      </w:pPr>
      <w:r>
        <w:rPr>
          <w:rFonts w:ascii="Arial" w:cs="Arial" w:hAnsi="Arial"/>
          <w:b/>
          <w:bCs/>
          <w:sz w:val="36"/>
          <w:szCs w:val="36"/>
          <w:lang w:val="en-US"/>
        </w:rPr>
        <w:t>Supervisor: Dr Eno Maycock</w:t>
      </w:r>
    </w:p>
    <w:p w14:paraId="76BB0C7F">
      <w:pPr>
        <w:pStyle w:val="style266"/>
        <w:spacing w:lineRule="auto" w:line="360"/>
        <w:jc w:val="center"/>
        <w:rPr>
          <w:rFonts w:ascii="Arial" w:cs="Arial" w:hAnsi="Arial"/>
          <w:b/>
          <w:bCs/>
          <w:color w:val="auto"/>
          <w:sz w:val="24"/>
          <w:szCs w:val="24"/>
        </w:rPr>
      </w:pPr>
      <w:r>
        <w:rPr>
          <w:rFonts w:ascii="Arial" w:cs="Arial" w:hAnsi="Arial"/>
          <w:b/>
          <w:bCs/>
          <w:color w:val="auto"/>
          <w:sz w:val="24"/>
          <w:szCs w:val="24"/>
        </w:rPr>
        <w:t>Table of Contents</w:t>
      </w:r>
    </w:p>
    <w:p w14:paraId="12A262B5">
      <w:pPr>
        <w:pStyle w:val="style19"/>
        <w:tabs>
          <w:tab w:val="right" w:leader="dot" w:pos="9016"/>
        </w:tabs>
        <w:rPr>
          <w:rFonts w:ascii="Arial" w:cs="Arial" w:eastAsia="宋体" w:hAnsi="Arial"/>
          <w:noProof/>
          <w:color w:val="auto"/>
          <w:szCs w:val="24"/>
          <w:lang w:val="en-IN" w:eastAsia="en-IN"/>
        </w:rPr>
      </w:pPr>
      <w:r>
        <w:rPr>
          <w:rFonts w:ascii="Arial" w:cs="Arial" w:hAnsi="Arial"/>
          <w:szCs w:val="24"/>
        </w:rPr>
        <w:fldChar w:fldCharType="begin"/>
      </w:r>
      <w:r>
        <w:rPr>
          <w:rFonts w:ascii="Arial" w:cs="Arial" w:hAnsi="Arial"/>
          <w:szCs w:val="24"/>
        </w:rPr>
        <w:instrText xml:space="preserve"> TOC \o "1-3" \h \z \u </w:instrText>
      </w:r>
      <w:r>
        <w:rPr>
          <w:rFonts w:ascii="Arial" w:cs="Arial" w:hAnsi="Arial"/>
          <w:szCs w:val="24"/>
        </w:rPr>
        <w:fldChar w:fldCharType="separate"/>
      </w:r>
      <w:r>
        <w:rPr/>
        <w:fldChar w:fldCharType="begin"/>
      </w:r>
      <w:r>
        <w:instrText xml:space="preserve"> HYPERLINK \l "_Toc231907928" </w:instrText>
      </w:r>
      <w:r>
        <w:rPr/>
        <w:fldChar w:fldCharType="separate"/>
      </w:r>
      <w:r>
        <w:rPr>
          <w:rStyle w:val="style85"/>
          <w:rFonts w:ascii="Arial" w:cs="Arial" w:hAnsi="Arial"/>
          <w:noProof/>
        </w:rPr>
        <w:t>1.0 Introduction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_Toc231907928 \h </w:instrText>
      </w:r>
      <w:r>
        <w:rPr>
          <w:rFonts w:ascii="Arial" w:cs="Arial" w:hAnsi="Arial"/>
          <w:noProof/>
          <w:webHidden/>
        </w:rPr>
        <w:fldChar w:fldCharType="separate"/>
      </w:r>
      <w:r>
        <w:rPr>
          <w:rFonts w:ascii="Arial" w:cs="Arial" w:hAnsi="Arial"/>
          <w:noProof/>
          <w:webHidden/>
        </w:rPr>
        <w:t>2</w:t>
      </w:r>
      <w:r>
        <w:rPr>
          <w:rFonts w:ascii="Arial" w:cs="Arial" w:hAnsi="Arial"/>
          <w:noProof/>
          <w:webHidden/>
        </w:rPr>
        <w:fldChar w:fldCharType="end"/>
      </w:r>
      <w:r>
        <w:rPr/>
        <w:fldChar w:fldCharType="end"/>
      </w:r>
    </w:p>
    <w:p w14:paraId="7AB18068">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"_Toc231907929" </w:instrText>
      </w:r>
      <w:r>
        <w:rPr/>
        <w:fldChar w:fldCharType="separate"/>
      </w:r>
      <w:r>
        <w:rPr>
          <w:rStyle w:val="style85"/>
          <w:rFonts w:ascii="Arial" w:cs="Arial" w:hAnsi="Arial"/>
          <w:noProof/>
        </w:rPr>
        <w:t>1.1 Introduction/Background/Research problem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_Toc231907929 \h </w:instrText>
      </w:r>
      <w:r>
        <w:rPr>
          <w:rFonts w:ascii="Arial" w:cs="Arial" w:hAnsi="Arial"/>
          <w:noProof/>
          <w:webHidden/>
        </w:rPr>
        <w:fldChar w:fldCharType="separate"/>
      </w:r>
      <w:r>
        <w:rPr>
          <w:rFonts w:ascii="Arial" w:cs="Arial" w:hAnsi="Arial"/>
          <w:noProof/>
          <w:webHidden/>
        </w:rPr>
        <w:t>2</w:t>
      </w:r>
      <w:r>
        <w:rPr>
          <w:rFonts w:ascii="Arial" w:cs="Arial" w:hAnsi="Arial"/>
          <w:noProof/>
          <w:webHidden/>
        </w:rPr>
        <w:fldChar w:fldCharType="end"/>
      </w:r>
      <w:r>
        <w:rPr/>
        <w:fldChar w:fldCharType="end"/>
      </w:r>
    </w:p>
    <w:p w14:paraId="06982100">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"_Toc231907930" </w:instrText>
      </w:r>
      <w:r>
        <w:rPr/>
        <w:fldChar w:fldCharType="separate"/>
      </w:r>
      <w:r>
        <w:rPr>
          <w:rStyle w:val="style85"/>
          <w:rFonts w:ascii="Arial" w:cs="Arial" w:hAnsi="Arial"/>
          <w:noProof/>
        </w:rPr>
        <w:t>1.2 Research Aim</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_Toc231907930 \h </w:instrText>
      </w:r>
      <w:r>
        <w:rPr>
          <w:rFonts w:ascii="Arial" w:cs="Arial" w:hAnsi="Arial"/>
          <w:noProof/>
          <w:webHidden/>
        </w:rPr>
        <w:fldChar w:fldCharType="separate"/>
      </w:r>
      <w:r>
        <w:rPr>
          <w:rFonts w:ascii="Arial" w:cs="Arial" w:hAnsi="Arial"/>
          <w:noProof/>
          <w:webHidden/>
        </w:rPr>
        <w:t>4</w:t>
      </w:r>
      <w:r>
        <w:rPr>
          <w:rFonts w:ascii="Arial" w:cs="Arial" w:hAnsi="Arial"/>
          <w:noProof/>
          <w:webHidden/>
        </w:rPr>
        <w:fldChar w:fldCharType="end"/>
      </w:r>
      <w:r>
        <w:rPr/>
        <w:fldChar w:fldCharType="end"/>
      </w:r>
    </w:p>
    <w:p w14:paraId="1536C35C">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"_Toc231907931" </w:instrText>
      </w:r>
      <w:r>
        <w:rPr/>
        <w:fldChar w:fldCharType="separate"/>
      </w:r>
      <w:r>
        <w:rPr>
          <w:rStyle w:val="style85"/>
          <w:rFonts w:ascii="Arial" w:cs="Arial" w:hAnsi="Arial"/>
          <w:noProof/>
        </w:rPr>
        <w:t>1.3 Research Objectives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_Toc231907931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70F16966">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"_Toc231907932" </w:instrText>
      </w:r>
      <w:r>
        <w:rPr/>
        <w:fldChar w:fldCharType="separate"/>
      </w:r>
      <w:r>
        <w:rPr>
          <w:rStyle w:val="style85"/>
          <w:rFonts w:ascii="Arial" w:cs="Arial" w:hAnsi="Arial"/>
          <w:noProof/>
        </w:rPr>
        <w:t>1.4 Research Question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_Toc231907932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78656B1B">
      <w:pPr>
        <w:pStyle w:val="style19"/>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"_Toc231907933" </w:instrText>
      </w:r>
      <w:r>
        <w:rPr/>
        <w:fldChar w:fldCharType="separate"/>
      </w:r>
      <w:r>
        <w:rPr>
          <w:rStyle w:val="style85"/>
          <w:rFonts w:ascii="Arial" w:cs="Arial" w:hAnsi="Arial"/>
          <w:noProof/>
        </w:rPr>
        <w:t>2.0 Preliminary literature search</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_Toc231907933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65CAF127">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"_Toc231907934" </w:instrText>
      </w:r>
      <w:r>
        <w:rPr/>
        <w:fldChar w:fldCharType="separate"/>
      </w:r>
      <w:r>
        <w:rPr>
          <w:rStyle w:val="style85"/>
          <w:rFonts w:ascii="Arial" w:cs="Arial" w:hAnsi="Arial"/>
          <w:noProof/>
        </w:rPr>
        <w:t>2.1 Online customer reviews and consumer perceptions of fashion products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_Toc231907934 \h </w:instrText>
      </w:r>
      <w:r>
        <w:rPr>
          <w:rFonts w:ascii="Arial" w:cs="Arial" w:hAnsi="Arial"/>
          <w:noProof/>
          <w:webHidden/>
        </w:rPr>
        <w:fldChar w:fldCharType="separate"/>
      </w:r>
      <w:r>
        <w:rPr>
          <w:rFonts w:ascii="Arial" w:cs="Arial" w:hAnsi="Arial"/>
          <w:noProof/>
          <w:webHidden/>
        </w:rPr>
        <w:t>5</w:t>
      </w:r>
      <w:r>
        <w:rPr>
          <w:rFonts w:ascii="Arial" w:cs="Arial" w:hAnsi="Arial"/>
          <w:noProof/>
          <w:webHidden/>
        </w:rPr>
        <w:fldChar w:fldCharType="end"/>
      </w:r>
      <w:r>
        <w:rPr/>
        <w:fldChar w:fldCharType="end"/>
      </w:r>
    </w:p>
    <w:p w14:paraId="3592593C">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"_Toc231907935" </w:instrText>
      </w:r>
      <w:r>
        <w:rPr/>
        <w:fldChar w:fldCharType="separate"/>
      </w:r>
      <w:r>
        <w:rPr>
          <w:rStyle w:val="style85"/>
          <w:rFonts w:ascii="Arial" w:cs="Arial" w:hAnsi="Arial"/>
          <w:noProof/>
        </w:rPr>
        <w:t>2.2 Positive and negative reviews, consumer trust and purchase decisions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_Toc231907935 \h </w:instrText>
      </w:r>
      <w:r>
        <w:rPr>
          <w:rFonts w:ascii="Arial" w:cs="Arial" w:hAnsi="Arial"/>
          <w:noProof/>
          <w:webHidden/>
        </w:rPr>
        <w:fldChar w:fldCharType="separate"/>
      </w:r>
      <w:r>
        <w:rPr>
          <w:rFonts w:ascii="Arial" w:cs="Arial" w:hAnsi="Arial"/>
          <w:noProof/>
          <w:webHidden/>
        </w:rPr>
        <w:t>6</w:t>
      </w:r>
      <w:r>
        <w:rPr>
          <w:rFonts w:ascii="Arial" w:cs="Arial" w:hAnsi="Arial"/>
          <w:noProof/>
          <w:webHidden/>
        </w:rPr>
        <w:fldChar w:fldCharType="end"/>
      </w:r>
      <w:r>
        <w:rPr/>
        <w:fldChar w:fldCharType="end"/>
      </w:r>
    </w:p>
    <w:p w14:paraId="4A761422">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"_Toc231907936" </w:instrText>
      </w:r>
      <w:r>
        <w:rPr/>
        <w:fldChar w:fldCharType="separate"/>
      </w:r>
      <w:r>
        <w:rPr>
          <w:rStyle w:val="style85"/>
          <w:rFonts w:ascii="Arial" w:cs="Arial" w:hAnsi="Arial"/>
          <w:noProof/>
        </w:rPr>
        <w:t>2.3 Review credibility, star ratings, review volume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_Toc231907936 \h </w:instrText>
      </w:r>
      <w:r>
        <w:rPr>
          <w:rFonts w:ascii="Arial" w:cs="Arial" w:hAnsi="Arial"/>
          <w:noProof/>
          <w:webHidden/>
        </w:rPr>
        <w:fldChar w:fldCharType="separate"/>
      </w:r>
      <w:r>
        <w:rPr>
          <w:rFonts w:ascii="Arial" w:cs="Arial" w:hAnsi="Arial"/>
          <w:noProof/>
          <w:webHidden/>
        </w:rPr>
        <w:t>7</w:t>
      </w:r>
      <w:r>
        <w:rPr>
          <w:rFonts w:ascii="Arial" w:cs="Arial" w:hAnsi="Arial"/>
          <w:noProof/>
          <w:webHidden/>
        </w:rPr>
        <w:fldChar w:fldCharType="end"/>
      </w:r>
      <w:r>
        <w:rPr/>
        <w:fldChar w:fldCharType="end"/>
      </w:r>
    </w:p>
    <w:p w14:paraId="2EEF452D">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"_Toc231907937" </w:instrText>
      </w:r>
      <w:r>
        <w:rPr/>
        <w:fldChar w:fldCharType="separate"/>
      </w:r>
      <w:r>
        <w:rPr>
          <w:rStyle w:val="style85"/>
          <w:rFonts w:ascii="Arial" w:cs="Arial" w:hAnsi="Arial"/>
          <w:noProof/>
        </w:rPr>
        <w:t>2.4 Research Gap</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_Toc231907937 \h </w:instrText>
      </w:r>
      <w:r>
        <w:rPr>
          <w:rFonts w:ascii="Arial" w:cs="Arial" w:hAnsi="Arial"/>
          <w:noProof/>
          <w:webHidden/>
        </w:rPr>
        <w:fldChar w:fldCharType="separate"/>
      </w:r>
      <w:r>
        <w:rPr>
          <w:rFonts w:ascii="Arial" w:cs="Arial" w:hAnsi="Arial"/>
          <w:noProof/>
          <w:webHidden/>
        </w:rPr>
        <w:t>8</w:t>
      </w:r>
      <w:r>
        <w:rPr>
          <w:rFonts w:ascii="Arial" w:cs="Arial" w:hAnsi="Arial"/>
          <w:noProof/>
          <w:webHidden/>
        </w:rPr>
        <w:fldChar w:fldCharType="end"/>
      </w:r>
      <w:r>
        <w:rPr/>
        <w:fldChar w:fldCharType="end"/>
      </w:r>
    </w:p>
    <w:p w14:paraId="2C3DAD9C">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"_Toc231907938" </w:instrText>
      </w:r>
      <w:r>
        <w:rPr/>
        <w:fldChar w:fldCharType="separate"/>
      </w:r>
      <w:r>
        <w:rPr>
          <w:rStyle w:val="style85"/>
          <w:rFonts w:ascii="Arial" w:cs="Arial" w:hAnsi="Arial"/>
          <w:noProof/>
        </w:rPr>
        <w:t>2.4 Theoretical Foundation: Theory of Planned Behaviour</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_Toc231907938 \h </w:instrText>
      </w:r>
      <w:r>
        <w:rPr>
          <w:rFonts w:ascii="Arial" w:cs="Arial" w:hAnsi="Arial"/>
          <w:noProof/>
          <w:webHidden/>
        </w:rPr>
        <w:fldChar w:fldCharType="separate"/>
      </w:r>
      <w:r>
        <w:rPr>
          <w:rFonts w:ascii="Arial" w:cs="Arial" w:hAnsi="Arial"/>
          <w:noProof/>
          <w:webHidden/>
        </w:rPr>
        <w:t>9</w:t>
      </w:r>
      <w:r>
        <w:rPr>
          <w:rFonts w:ascii="Arial" w:cs="Arial" w:hAnsi="Arial"/>
          <w:noProof/>
          <w:webHidden/>
        </w:rPr>
        <w:fldChar w:fldCharType="end"/>
      </w:r>
      <w:r>
        <w:rPr/>
        <w:fldChar w:fldCharType="end"/>
      </w:r>
    </w:p>
    <w:p w14:paraId="553A007A">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"_Toc231907939" </w:instrText>
      </w:r>
      <w:r>
        <w:rPr/>
        <w:fldChar w:fldCharType="separate"/>
      </w:r>
      <w:r>
        <w:rPr>
          <w:rStyle w:val="style85"/>
          <w:rFonts w:ascii="Arial" w:cs="Arial" w:hAnsi="Arial"/>
          <w:noProof/>
        </w:rPr>
        <w:t>2.5 Conceptual Framework</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_Toc231907939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14:paraId="2D313B1D">
      <w:pPr>
        <w:pStyle w:val="style19"/>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"_Toc231907940" </w:instrText>
      </w:r>
      <w:r>
        <w:rPr/>
        <w:fldChar w:fldCharType="separate"/>
      </w:r>
      <w:r>
        <w:rPr>
          <w:rStyle w:val="style85"/>
          <w:rFonts w:ascii="Arial" w:cs="Arial" w:hAnsi="Arial"/>
          <w:noProof/>
        </w:rPr>
        <w:t>3.0 Research methodology</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_Toc231907940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14:paraId="54B58580">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"_Toc231907941" </w:instrText>
      </w:r>
      <w:r>
        <w:rPr/>
        <w:fldChar w:fldCharType="separate"/>
      </w:r>
      <w:r>
        <w:rPr>
          <w:rStyle w:val="style85"/>
          <w:rFonts w:ascii="Arial" w:cs="Arial" w:hAnsi="Arial"/>
          <w:noProof/>
        </w:rPr>
        <w:t>3.1 Research Philosophies and Assumptions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_Toc231907941 \h </w:instrText>
      </w:r>
      <w:r>
        <w:rPr>
          <w:rFonts w:ascii="Arial" w:cs="Arial" w:hAnsi="Arial"/>
          <w:noProof/>
          <w:webHidden/>
        </w:rPr>
        <w:fldChar w:fldCharType="separate"/>
      </w:r>
      <w:r>
        <w:rPr>
          <w:rFonts w:ascii="Arial" w:cs="Arial" w:hAnsi="Arial"/>
          <w:noProof/>
          <w:webHidden/>
        </w:rPr>
        <w:t>10</w:t>
      </w:r>
      <w:r>
        <w:rPr>
          <w:rFonts w:ascii="Arial" w:cs="Arial" w:hAnsi="Arial"/>
          <w:noProof/>
          <w:webHidden/>
        </w:rPr>
        <w:fldChar w:fldCharType="end"/>
      </w:r>
      <w:r>
        <w:rPr/>
        <w:fldChar w:fldCharType="end"/>
      </w:r>
    </w:p>
    <w:p w14:paraId="52CF61A8">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"_Toc231907942" </w:instrText>
      </w:r>
      <w:r>
        <w:rPr/>
        <w:fldChar w:fldCharType="separate"/>
      </w:r>
      <w:r>
        <w:rPr>
          <w:rStyle w:val="style85"/>
          <w:rFonts w:ascii="Arial" w:cs="Arial" w:hAnsi="Arial"/>
          <w:noProof/>
        </w:rPr>
        <w:t>3.2 Research Design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_Toc231907942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78E241EB">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"_Toc231907943" </w:instrText>
      </w:r>
      <w:r>
        <w:rPr/>
        <w:fldChar w:fldCharType="separate"/>
      </w:r>
      <w:r>
        <w:rPr>
          <w:rStyle w:val="style85"/>
          <w:rFonts w:ascii="Arial" w:cs="Arial" w:hAnsi="Arial"/>
          <w:noProof/>
        </w:rPr>
        <w:t>3.3 Research Approach</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_Toc231907943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1B07D70C">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"_Toc231907944" </w:instrText>
      </w:r>
      <w:r>
        <w:rPr/>
        <w:fldChar w:fldCharType="separate"/>
      </w:r>
      <w:r>
        <w:rPr>
          <w:rStyle w:val="style85"/>
          <w:rFonts w:ascii="Arial" w:cs="Arial" w:hAnsi="Arial"/>
          <w:noProof/>
        </w:rPr>
        <w:t>3.4 Data Collection Methods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_Toc231907944 \h </w:instrText>
      </w:r>
      <w:r>
        <w:rPr>
          <w:rFonts w:ascii="Arial" w:cs="Arial" w:hAnsi="Arial"/>
          <w:noProof/>
          <w:webHidden/>
        </w:rPr>
        <w:fldChar w:fldCharType="separate"/>
      </w:r>
      <w:r>
        <w:rPr>
          <w:rFonts w:ascii="Arial" w:cs="Arial" w:hAnsi="Arial"/>
          <w:noProof/>
          <w:webHidden/>
        </w:rPr>
        <w:t>11</w:t>
      </w:r>
      <w:r>
        <w:rPr>
          <w:rFonts w:ascii="Arial" w:cs="Arial" w:hAnsi="Arial"/>
          <w:noProof/>
          <w:webHidden/>
        </w:rPr>
        <w:fldChar w:fldCharType="end"/>
      </w:r>
      <w:r>
        <w:rPr/>
        <w:fldChar w:fldCharType="end"/>
      </w:r>
    </w:p>
    <w:p w14:paraId="16D1B8CF">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"_Toc231907945" </w:instrText>
      </w:r>
      <w:r>
        <w:rPr/>
        <w:fldChar w:fldCharType="separate"/>
      </w:r>
      <w:r>
        <w:rPr>
          <w:rStyle w:val="style85"/>
          <w:rFonts w:ascii="Arial" w:cs="Arial" w:hAnsi="Arial"/>
          <w:noProof/>
        </w:rPr>
        <w:t>3.5 Inclusion and Exclusion Criteria</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_Toc231907945 \h </w:instrText>
      </w:r>
      <w:r>
        <w:rPr>
          <w:rFonts w:ascii="Arial" w:cs="Arial" w:hAnsi="Arial"/>
          <w:noProof/>
          <w:webHidden/>
        </w:rPr>
        <w:fldChar w:fldCharType="separate"/>
      </w:r>
      <w:r>
        <w:rPr>
          <w:rFonts w:ascii="Arial" w:cs="Arial" w:hAnsi="Arial"/>
          <w:noProof/>
          <w:webHidden/>
        </w:rPr>
        <w:t>12</w:t>
      </w:r>
      <w:r>
        <w:rPr>
          <w:rFonts w:ascii="Arial" w:cs="Arial" w:hAnsi="Arial"/>
          <w:noProof/>
          <w:webHidden/>
        </w:rPr>
        <w:fldChar w:fldCharType="end"/>
      </w:r>
      <w:r>
        <w:rPr/>
        <w:fldChar w:fldCharType="end"/>
      </w:r>
    </w:p>
    <w:p w14:paraId="06ABA1B0">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"_Toc231907946" </w:instrText>
      </w:r>
      <w:r>
        <w:rPr/>
        <w:fldChar w:fldCharType="separate"/>
      </w:r>
      <w:r>
        <w:rPr>
          <w:rStyle w:val="style85"/>
          <w:rFonts w:ascii="Arial" w:cs="Arial" w:hAnsi="Arial"/>
          <w:noProof/>
        </w:rPr>
        <w:t>3.6 Data Analysis Section</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_Toc231907946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14:paraId="0166912B">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"_Toc231907947" </w:instrText>
      </w:r>
      <w:r>
        <w:rPr/>
        <w:fldChar w:fldCharType="separate"/>
      </w:r>
      <w:r>
        <w:rPr>
          <w:rStyle w:val="style85"/>
          <w:rFonts w:ascii="Arial" w:cs="Arial" w:hAnsi="Arial"/>
          <w:noProof/>
        </w:rPr>
        <w:t>3.7 Ethical Considerations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_Toc231907947 \h </w:instrText>
      </w:r>
      <w:r>
        <w:rPr>
          <w:rFonts w:ascii="Arial" w:cs="Arial" w:hAnsi="Arial"/>
          <w:noProof/>
          <w:webHidden/>
        </w:rPr>
        <w:fldChar w:fldCharType="separate"/>
      </w:r>
      <w:r>
        <w:rPr>
          <w:rFonts w:ascii="Arial" w:cs="Arial" w:hAnsi="Arial"/>
          <w:noProof/>
          <w:webHidden/>
        </w:rPr>
        <w:t>13</w:t>
      </w:r>
      <w:r>
        <w:rPr>
          <w:rFonts w:ascii="Arial" w:cs="Arial" w:hAnsi="Arial"/>
          <w:noProof/>
          <w:webHidden/>
        </w:rPr>
        <w:fldChar w:fldCharType="end"/>
      </w:r>
      <w:r>
        <w:rPr/>
        <w:fldChar w:fldCharType="end"/>
      </w:r>
    </w:p>
    <w:p w14:paraId="56DBC2E3">
      <w:pPr>
        <w:pStyle w:val="style20"/>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"_Toc231907948" </w:instrText>
      </w:r>
      <w:r>
        <w:rPr/>
        <w:fldChar w:fldCharType="separate"/>
      </w:r>
      <w:r>
        <w:rPr>
          <w:rStyle w:val="style85"/>
          <w:rFonts w:ascii="Arial" w:cs="Arial" w:hAnsi="Arial"/>
          <w:noProof/>
        </w:rPr>
        <w:t>3.8 Risks</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_Toc231907948 \h </w:instrText>
      </w:r>
      <w:r>
        <w:rPr>
          <w:rFonts w:ascii="Arial" w:cs="Arial" w:hAnsi="Arial"/>
          <w:noProof/>
          <w:webHidden/>
        </w:rPr>
        <w:fldChar w:fldCharType="separate"/>
      </w:r>
      <w:r>
        <w:rPr>
          <w:rFonts w:ascii="Arial" w:cs="Arial" w:hAnsi="Arial"/>
          <w:noProof/>
          <w:webHidden/>
        </w:rPr>
        <w:t>14</w:t>
      </w:r>
      <w:r>
        <w:rPr>
          <w:rFonts w:ascii="Arial" w:cs="Arial" w:hAnsi="Arial"/>
          <w:noProof/>
          <w:webHidden/>
        </w:rPr>
        <w:fldChar w:fldCharType="end"/>
      </w:r>
      <w:r>
        <w:rPr/>
        <w:fldChar w:fldCharType="end"/>
      </w:r>
    </w:p>
    <w:p w14:paraId="47D05502">
      <w:pPr>
        <w:pStyle w:val="style19"/>
        <w:tabs>
          <w:tab w:val="right" w:leader="dot" w:pos="9016"/>
        </w:tabs>
        <w:rPr>
          <w:rFonts w:ascii="Arial" w:cs="Arial" w:eastAsia="宋体" w:hAnsi="Arial"/>
          <w:noProof/>
          <w:color w:val="auto"/>
          <w:szCs w:val="24"/>
          <w:lang w:val="en-IN" w:eastAsia="en-IN"/>
        </w:rPr>
      </w:pPr>
      <w:r>
        <w:rPr/>
        <w:fldChar w:fldCharType="begin"/>
      </w:r>
      <w:r>
        <w:instrText xml:space="preserve"> HYPERLINK \l "_Toc231907949" </w:instrText>
      </w:r>
      <w:r>
        <w:rPr/>
        <w:fldChar w:fldCharType="separate"/>
      </w:r>
      <w:r>
        <w:rPr>
          <w:rStyle w:val="style85"/>
          <w:rFonts w:ascii="Arial" w:cs="Arial" w:hAnsi="Arial"/>
          <w:noProof/>
        </w:rPr>
        <w:t>4.0 Timeline (Gantt chart)</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_Toc231907949 \h </w:instrText>
      </w:r>
      <w:r>
        <w:rPr>
          <w:rFonts w:ascii="Arial" w:cs="Arial" w:hAnsi="Arial"/>
          <w:noProof/>
          <w:webHidden/>
        </w:rPr>
        <w:fldChar w:fldCharType="separate"/>
      </w:r>
      <w:r>
        <w:rPr>
          <w:rFonts w:ascii="Arial" w:cs="Arial" w:hAnsi="Arial"/>
          <w:noProof/>
          <w:webHidden/>
        </w:rPr>
        <w:t>14</w:t>
      </w:r>
      <w:r>
        <w:rPr>
          <w:rFonts w:ascii="Arial" w:cs="Arial" w:hAnsi="Arial"/>
          <w:noProof/>
          <w:webHidden/>
        </w:rPr>
        <w:fldChar w:fldCharType="end"/>
      </w:r>
      <w:r>
        <w:rPr/>
        <w:fldChar w:fldCharType="end"/>
      </w:r>
    </w:p>
    <w:p w14:paraId="1E5A0B2A">
      <w:pPr>
        <w:pStyle w:val="style19"/>
        <w:tabs>
          <w:tab w:val="right" w:leader="dot" w:pos="9016"/>
        </w:tabs>
        <w:rPr>
          <w:rFonts w:ascii="Arial" w:cs="Arial" w:eastAsia="宋体" w:hAnsi="Arial"/>
          <w:noProof/>
          <w:color w:val="auto"/>
          <w:szCs w:val="24"/>
          <w:lang w:val="en-IN" w:eastAsia="en-IN"/>
        </w:rPr>
      </w:pPr>
      <w:r>
        <w:rPr/>
        <w:fldChar w:fldCharType="begin"/>
      </w:r>
      <w:r>
        <w:instrText xml:space="preserve"> HYPERLINK \l "_Toc231907950" </w:instrText>
      </w:r>
      <w:r>
        <w:rPr/>
        <w:fldChar w:fldCharType="separate"/>
      </w:r>
      <w:r>
        <w:rPr>
          <w:rStyle w:val="style85"/>
          <w:rFonts w:ascii="Arial" w:cs="Arial" w:hAnsi="Arial"/>
          <w:noProof/>
        </w:rPr>
        <w:t>Reference</w:t>
      </w:r>
      <w:r>
        <w:rPr>
          <w:rFonts w:ascii="Arial" w:cs="Arial" w:hAnsi="Arial"/>
          <w:noProof/>
          <w:webHidden/>
        </w:rPr>
        <w:tab/>
      </w:r>
      <w:r>
        <w:rPr>
          <w:rFonts w:ascii="Arial" w:cs="Arial" w:hAnsi="Arial"/>
          <w:noProof/>
          <w:webHidden/>
        </w:rPr>
        <w:fldChar w:fldCharType="begin"/>
      </w:r>
      <w:r>
        <w:rPr>
          <w:rFonts w:ascii="Arial" w:cs="Arial" w:hAnsi="Arial"/>
          <w:noProof/>
          <w:webHidden/>
        </w:rPr>
        <w:instrText xml:space="preserve"> PAGEREF _Toc231907950 \h </w:instrText>
      </w:r>
      <w:r>
        <w:rPr>
          <w:rFonts w:ascii="Arial" w:cs="Arial" w:hAnsi="Arial"/>
          <w:noProof/>
          <w:webHidden/>
        </w:rPr>
        <w:fldChar w:fldCharType="separate"/>
      </w:r>
      <w:r>
        <w:rPr>
          <w:rFonts w:ascii="Arial" w:cs="Arial" w:hAnsi="Arial"/>
          <w:noProof/>
          <w:webHidden/>
        </w:rPr>
        <w:t>16</w:t>
      </w:r>
      <w:r>
        <w:rPr>
          <w:rFonts w:ascii="Arial" w:cs="Arial" w:hAnsi="Arial"/>
          <w:noProof/>
          <w:webHidden/>
        </w:rPr>
        <w:fldChar w:fldCharType="end"/>
      </w:r>
      <w:r>
        <w:rPr/>
        <w:fldChar w:fldCharType="end"/>
      </w:r>
    </w:p>
    <w:p w14:paraId="00DB4F83">
      <w:pPr>
        <w:pStyle w:val="style0"/>
        <w:rPr/>
      </w:pPr>
      <w:r>
        <w:rPr>
          <w:rFonts w:ascii="Arial" w:cs="Arial" w:hAnsi="Arial"/>
          <w:b/>
          <w:bCs/>
          <w:noProof/>
          <w:szCs w:val="24"/>
        </w:rPr>
        <w:fldChar w:fldCharType="end"/>
      </w:r>
    </w:p>
    <w:p w14:paraId="44077B9C">
      <w:pPr>
        <w:pStyle w:val="style0"/>
        <w:spacing w:lineRule="auto" w:line="259"/>
        <w:jc w:val="left"/>
        <w:rPr>
          <w:rFonts w:ascii="Arial" w:cs="Arial" w:eastAsia="Arial" w:hAnsi="Arial"/>
          <w:b/>
          <w:kern w:val="0"/>
          <w:szCs w:val="40"/>
          <w14:ligatures xmlns:w14="http://schemas.microsoft.com/office/word/2010/wordml" w14:val="none"/>
        </w:rPr>
      </w:pPr>
      <w:r>
        <w:br w:type="page"/>
      </w:r>
    </w:p>
    <w:bookmarkStart w:id="1" w:name="_Toc231907928"/>
    <w:p w14:paraId="0BA85E56">
      <w:pPr>
        <w:pStyle w:val="style1"/>
        <w:rPr/>
      </w:pPr>
      <w:r>
        <w:t>1.0 Introduction</w:t>
      </w:r>
      <w:bookmarkEnd w:id="1"/>
    </w:p>
    <w:bookmarkStart w:id="2" w:name="_Toc231907929"/>
    <w:p w14:paraId="6BD49391">
      <w:pPr>
        <w:pStyle w:val="style2"/>
        <w:rPr/>
      </w:pPr>
      <w:r>
        <w:t xml:space="preserve">1.1 </w:t>
      </w:r>
      <w:r>
        <w:t>Introduction/Background/Research problem</w:t>
      </w:r>
      <w:bookmarkEnd w:id="2"/>
    </w:p>
    <w:p w14:paraId="1546B0A4">
      <w:pPr>
        <w:pStyle w:val="style0"/>
        <w:rPr>
          <w:rFonts w:ascii="Arial" w:cs="Arial" w:hAnsi="Arial"/>
          <w:lang w:val="en-IN"/>
        </w:rPr>
      </w:pPr>
      <w:r>
        <w:rPr>
          <w:rFonts w:ascii="Arial" w:cs="Arial" w:hAnsi="Arial"/>
        </w:rPr>
        <w:t>As opine</w:t>
      </w:r>
      <w:r>
        <w:rPr>
          <w:rFonts w:ascii="Arial" w:cs="Arial" w:hAnsi="Arial"/>
        </w:rPr>
        <w:t xml:space="preserve">d </w:t>
      </w:r>
      <w:r>
        <w:rPr>
          <w:rFonts w:ascii="Arial" w:cs="Arial" w:hAnsi="Arial"/>
        </w:rPr>
        <w:t xml:space="preserve">by </w:t>
      </w:r>
      <w:r>
        <w:rPr>
          <w:rFonts w:ascii="Arial" w:cs="Arial" w:hAnsi="Arial"/>
          <w:lang w:val="en-IN"/>
        </w:rPr>
        <w:t>Rachmiani</w:t>
      </w:r>
      <w:r>
        <w:rPr>
          <w:rFonts w:ascii="Arial" w:cs="Arial" w:hAnsi="Arial"/>
          <w:lang w:val="en-IN"/>
        </w:rPr>
        <w:t xml:space="preserve"> et al. </w:t>
      </w:r>
      <w:r>
        <w:rPr>
          <w:rFonts w:ascii="Arial" w:cs="Arial" w:hAnsi="Arial"/>
          <w:lang w:val="en-IN"/>
        </w:rPr>
        <w:t>(2024)</w:t>
      </w:r>
      <w:r>
        <w:rPr>
          <w:rFonts w:ascii="Arial" w:cs="Arial" w:hAnsi="Arial"/>
          <w:lang w:val="en-IN"/>
        </w:rPr>
        <w:t xml:space="preserve">, </w:t>
      </w:r>
      <w:r>
        <w:rPr>
          <w:rFonts w:ascii="Arial" w:cs="Arial" w:hAnsi="Arial"/>
        </w:rPr>
        <w:t>o</w:t>
      </w:r>
      <w:r>
        <w:rPr>
          <w:rFonts w:ascii="Arial" w:cs="Arial" w:hAnsi="Arial"/>
        </w:rPr>
        <w:t>nline customer reviews are a critical factor in customer purchasing decisions since they help in minimizing the risk associated with the purchase and enable consumers to compare actual customer reviews. This is especially relevant within the UK Fashion Retail industry as clothing purchases are subjective and include the elements of size, fit, material quality, colour accuracy, delivery and return convenience. Fashion products are hard to compare and evaluate online since buyers are not able to physically touch, try and evaluate the product before purchasing as they would do with a grocery or standardised product</w:t>
      </w:r>
      <w:r>
        <w:rPr>
          <w:rFonts w:ascii="Arial" w:cs="Arial" w:hAnsi="Arial"/>
        </w:rPr>
        <w:t xml:space="preserve"> </w:t>
      </w:r>
      <w:r>
        <w:rPr>
          <w:rFonts w:ascii="Arial" w:cs="Arial" w:hAnsi="Arial"/>
          <w:lang w:val="en-IN"/>
        </w:rPr>
        <w:t>(Surjono, 2024)</w:t>
      </w:r>
      <w:r>
        <w:rPr>
          <w:rFonts w:ascii="Arial" w:cs="Arial" w:hAnsi="Arial"/>
        </w:rPr>
        <w:t xml:space="preserve">. </w:t>
      </w:r>
    </w:p>
    <w:p w14:paraId="33B3AFD9">
      <w:pPr>
        <w:pStyle w:val="style0"/>
        <w:rPr>
          <w:rFonts w:ascii="Arial" w:cs="Arial" w:hAnsi="Arial"/>
        </w:rPr>
      </w:pPr>
      <w:r>
        <w:rPr>
          <w:rFonts w:ascii="Arial" w:cs="Arial" w:hAnsi="Arial"/>
        </w:rPr>
        <w:t>The UK is a digitally driven consumer market, with the impact of online reviews growing. In early 2025, the UK had 67.8 million internet use</w:t>
      </w:r>
      <w:r>
        <w:rPr>
          <w:rFonts w:ascii="Arial" w:cs="Arial" w:hAnsi="Arial"/>
        </w:rPr>
        <w:t>rs 97.8% internet penetration</w:t>
      </w:r>
      <w:r>
        <w:rPr>
          <w:rFonts w:ascii="Arial" w:cs="Arial" w:hAnsi="Arial"/>
        </w:rPr>
        <w:t xml:space="preserve"> and 54.8</w:t>
      </w:r>
      <w:r>
        <w:rPr>
          <w:rFonts w:ascii="Arial" w:cs="Arial" w:hAnsi="Arial"/>
        </w:rPr>
        <w:t xml:space="preserve"> million social media user IDs 79% of the population</w:t>
      </w:r>
      <w:r>
        <w:rPr>
          <w:rFonts w:ascii="Arial" w:cs="Arial" w:hAnsi="Arial"/>
        </w:rPr>
        <w:t xml:space="preserve"> </w:t>
      </w:r>
      <w:r>
        <w:rPr>
          <w:rFonts w:ascii="Arial" w:cs="Arial" w:hAnsi="Arial"/>
          <w:lang w:val="en-IN"/>
        </w:rPr>
        <w:t>(Grand View Research, 2023)</w:t>
      </w:r>
      <w:r>
        <w:rPr>
          <w:rFonts w:ascii="Arial" w:cs="Arial" w:hAnsi="Arial"/>
        </w:rPr>
        <w:t xml:space="preserve">. This demonstrates that the majority of consumers in the UK are getting information on the internet, digital recommendation and opinions of other consumers prior to making purchases. </w:t>
      </w:r>
    </w:p>
    <w:p w14:paraId="3575F815">
      <w:pPr>
        <w:pStyle w:val="style0"/>
        <w:jc w:val="center"/>
        <w:rPr>
          <w:rFonts w:ascii="Arial" w:cs="Arial" w:hAnsi="Arial"/>
        </w:rPr>
      </w:pPr>
      <w:r>
        <w:rPr>
          <w:rFonts w:ascii="Arial" w:cs="Arial" w:hAnsi="Arial"/>
          <w:noProof/>
          <w:lang w:val="en-IN" w:eastAsia="en-IN"/>
        </w:rPr>
        <w:drawing>
          <wp:inline distL="0" distT="0" distB="0" distR="0">
            <wp:extent cx="4171950" cy="2179377"/>
            <wp:effectExtent l="76200" t="76200" r="133350" b="125730"/>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4171950" cy="217937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3C0003BE">
      <w:pPr>
        <w:pStyle w:val="style0"/>
        <w:jc w:val="center"/>
        <w:rPr>
          <w:rFonts w:ascii="Arial" w:cs="Arial" w:hAnsi="Arial"/>
          <w:b/>
          <w:bCs/>
        </w:rPr>
      </w:pPr>
      <w:r>
        <w:rPr>
          <w:rFonts w:ascii="Arial" w:cs="Arial" w:hAnsi="Arial"/>
          <w:b/>
          <w:bCs/>
        </w:rPr>
        <w:t>Figure 01: U.K. Digital Transformation Market</w:t>
      </w:r>
    </w:p>
    <w:p w14:paraId="0BAD006F">
      <w:pPr>
        <w:pStyle w:val="style0"/>
        <w:jc w:val="center"/>
        <w:rPr>
          <w:rFonts w:ascii="Arial" w:cs="Arial" w:hAnsi="Arial"/>
        </w:rPr>
      </w:pPr>
      <w:r>
        <w:rPr>
          <w:rFonts w:ascii="Arial" w:cs="Arial" w:hAnsi="Arial"/>
          <w:b/>
          <w:bCs/>
        </w:rPr>
        <w:t>Source</w:t>
      </w:r>
      <w:r>
        <w:rPr>
          <w:rFonts w:ascii="Arial" w:cs="Arial" w:hAnsi="Arial"/>
        </w:rPr>
        <w:t xml:space="preserve">: </w:t>
      </w:r>
      <w:r>
        <w:rPr>
          <w:rFonts w:ascii="Arial" w:cs="Arial" w:hAnsi="Arial"/>
          <w:lang w:val="en-IN"/>
        </w:rPr>
        <w:t>(Grand View Research, 2023)</w:t>
      </w:r>
    </w:p>
    <w:p w14:paraId="1C4FD244">
      <w:pPr>
        <w:pStyle w:val="style0"/>
        <w:rPr>
          <w:rFonts w:ascii="Arial" w:cs="Arial" w:hAnsi="Arial"/>
        </w:rPr>
      </w:pPr>
      <w:r>
        <w:rPr>
          <w:rFonts w:ascii="Arial" w:cs="Arial" w:hAnsi="Arial"/>
        </w:rPr>
        <w:t>This research is also relevant to the UK online retail market. Retail Economics said that in April 2025, online sales values rose by 5.9% compared with the previous year, with 25.9% of retail sales made online. In this environment, clothing a</w:t>
      </w:r>
      <w:r>
        <w:rPr>
          <w:rFonts w:ascii="Arial" w:cs="Arial" w:hAnsi="Arial"/>
        </w:rPr>
        <w:t>nd footwear continued to grow 6.1%</w:t>
      </w:r>
      <w:r>
        <w:rPr>
          <w:rFonts w:ascii="Arial" w:cs="Arial" w:hAnsi="Arial"/>
        </w:rPr>
        <w:t xml:space="preserve"> </w:t>
      </w:r>
      <w:r>
        <w:rPr>
          <w:rFonts w:ascii="Arial" w:cs="Arial" w:hAnsi="Arial"/>
          <w:lang w:val="en-IN"/>
        </w:rPr>
        <w:t>(Retaileconomics.co.uk, 2025)</w:t>
      </w:r>
      <w:r>
        <w:rPr>
          <w:rFonts w:ascii="Arial" w:cs="Arial" w:hAnsi="Arial"/>
        </w:rPr>
        <w:t xml:space="preserve">. These are significant figures and highlight that e-commerce fashion is still a significant component of UK retail activity, and so review-based decision making is very relevant. </w:t>
      </w:r>
    </w:p>
    <w:p w14:paraId="6DB2396D">
      <w:pPr>
        <w:pStyle w:val="style0"/>
        <w:rPr>
          <w:rFonts w:ascii="Arial" w:cs="Arial" w:hAnsi="Arial"/>
          <w:lang w:val="en-IN"/>
        </w:rPr>
      </w:pPr>
      <w:r>
        <w:rPr>
          <w:rFonts w:ascii="Arial" w:cs="Arial" w:hAnsi="Arial"/>
        </w:rPr>
        <w:t>Marks &amp; Spencer is a good example of a company as it is one of the most recognizable fashion and lifestyle retailers in the UK, known for its reputation of good quality, trust and val</w:t>
      </w:r>
      <w:r>
        <w:rPr>
          <w:rFonts w:ascii="Arial" w:cs="Arial" w:hAnsi="Arial"/>
        </w:rPr>
        <w:t xml:space="preserve">ue </w:t>
      </w:r>
      <w:r>
        <w:rPr>
          <w:rFonts w:ascii="Arial" w:cs="Arial" w:hAnsi="Arial"/>
          <w:lang w:val="en-IN"/>
        </w:rPr>
        <w:t>(M&amp;S, 2025)</w:t>
      </w:r>
      <w:r>
        <w:rPr>
          <w:rFonts w:ascii="Arial" w:cs="Arial" w:hAnsi="Arial"/>
        </w:rPr>
        <w:t>. The areas of food, clothing and home and beauty are relevant to M&amp;S, but the focus of this research is particularly the Fashion, Home &amp; Beauty, department as the sale of clothing is largely driven by customer confidence. M&amp;S continues to be a big player in the UK retail sector, reporting £14.2 billion group sales (less Ocado Retail) and £671.4 million adjusted profit before tax in 2025/26.</w:t>
      </w:r>
    </w:p>
    <w:p w14:paraId="0B80ABB5">
      <w:pPr>
        <w:pStyle w:val="style0"/>
        <w:rPr>
          <w:rFonts w:ascii="Arial" w:cs="Arial" w:hAnsi="Arial"/>
        </w:rPr>
      </w:pPr>
      <w:r>
        <w:rPr>
          <w:rFonts w:ascii="Arial" w:cs="Arial" w:hAnsi="Arial"/>
        </w:rPr>
        <w:t>But M&amp;S also had problems in their Fashion, Home &amp; Beauty segment. M&amp;S reported reduced sales of Fashion, Home &amp; Beauty products for the full year to 26th December 2025, which fell by 7.7% compared with the previous year. This was partly because of a temporary suspension of online trading and disruption to stock flow and availability due to a cyber incident</w:t>
      </w:r>
      <w:r>
        <w:rPr>
          <w:rFonts w:ascii="Arial" w:cs="Arial" w:hAnsi="Arial"/>
        </w:rPr>
        <w:t xml:space="preserve"> </w:t>
      </w:r>
      <w:r>
        <w:rPr>
          <w:rFonts w:ascii="Arial" w:cs="Arial" w:hAnsi="Arial"/>
          <w:lang w:val="en-IN"/>
        </w:rPr>
        <w:t>(Davey, 2026)</w:t>
      </w:r>
      <w:r>
        <w:rPr>
          <w:rFonts w:ascii="Arial" w:cs="Arial" w:hAnsi="Arial"/>
        </w:rPr>
        <w:t xml:space="preserve">. </w:t>
      </w:r>
    </w:p>
    <w:p w14:paraId="42444DB0">
      <w:pPr>
        <w:pStyle w:val="style0"/>
        <w:jc w:val="center"/>
        <w:rPr>
          <w:rFonts w:ascii="Arial" w:cs="Arial" w:hAnsi="Arial"/>
          <w:b/>
          <w:bCs/>
        </w:rPr>
      </w:pPr>
      <w:r>
        <w:rPr>
          <w:rFonts w:ascii="Arial" w:cs="Arial" w:hAnsi="Arial"/>
          <w:b/>
          <w:bCs/>
          <w:noProof/>
          <w:lang w:val="en-IN" w:eastAsia="en-IN"/>
        </w:rPr>
        <w:drawing>
          <wp:inline distL="0" distT="0" distB="0" distR="0">
            <wp:extent cx="4009684" cy="3648075"/>
            <wp:effectExtent l="76200" t="76200" r="124460" b="123825"/>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4009684" cy="364807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75A244D0">
      <w:pPr>
        <w:pStyle w:val="style0"/>
        <w:jc w:val="center"/>
        <w:rPr>
          <w:rFonts w:ascii="Arial" w:cs="Arial" w:hAnsi="Arial"/>
          <w:b/>
          <w:bCs/>
        </w:rPr>
      </w:pPr>
      <w:r>
        <w:rPr>
          <w:rFonts w:ascii="Arial" w:cs="Arial" w:hAnsi="Arial"/>
          <w:b/>
          <w:bCs/>
        </w:rPr>
        <w:t>Figure 02:</w:t>
      </w:r>
      <w:r>
        <w:rPr>
          <w:rFonts w:ascii="Arial" w:cs="Arial" w:hAnsi="Arial"/>
          <w:b/>
          <w:bCs/>
        </w:rPr>
        <w:t xml:space="preserve"> </w:t>
      </w:r>
      <w:r>
        <w:rPr>
          <w:rFonts w:ascii="Arial" w:cs="Arial" w:hAnsi="Arial"/>
          <w:b/>
          <w:bCs/>
        </w:rPr>
        <w:t>M&amp;S expects profit recovery after cyber hack-driven slump</w:t>
      </w:r>
    </w:p>
    <w:p w14:paraId="1D10635D">
      <w:pPr>
        <w:pStyle w:val="style0"/>
        <w:jc w:val="center"/>
        <w:rPr>
          <w:rFonts w:ascii="Arial" w:cs="Arial" w:hAnsi="Arial"/>
        </w:rPr>
      </w:pPr>
      <w:r>
        <w:rPr>
          <w:rFonts w:ascii="Arial" w:cs="Arial" w:hAnsi="Arial"/>
          <w:b/>
          <w:bCs/>
        </w:rPr>
        <w:t>Source</w:t>
      </w:r>
      <w:r>
        <w:rPr>
          <w:rFonts w:ascii="Arial" w:cs="Arial" w:hAnsi="Arial"/>
        </w:rPr>
        <w:t xml:space="preserve">: </w:t>
      </w:r>
      <w:r>
        <w:rPr>
          <w:rFonts w:ascii="Arial" w:cs="Arial" w:hAnsi="Arial"/>
          <w:lang w:val="en-IN"/>
        </w:rPr>
        <w:t>(Davey, 2026)</w:t>
      </w:r>
    </w:p>
    <w:p w14:paraId="25557C4A">
      <w:pPr>
        <w:pStyle w:val="style0"/>
        <w:rPr>
          <w:rFonts w:ascii="Arial" w:cs="Arial" w:hAnsi="Arial"/>
        </w:rPr>
      </w:pPr>
      <w:r>
        <w:rPr>
          <w:rFonts w:ascii="Arial" w:cs="Arial" w:hAnsi="Arial"/>
        </w:rPr>
        <w:t xml:space="preserve">Hence this study is important as it investigates the impact of online Customer reviews on buying behaviours in the UK fashion retail sector, in the context of Marks and Spencer case organisation. The study will contribute knowledge as to how quality of the reviews, credibility of such reviews, star ratings, negative reviews, and service-related reviews and feedback influence trust, perceived risk and purchase intention. </w:t>
      </w:r>
    </w:p>
    <w:bookmarkStart w:id="3" w:name="_Toc231907930"/>
    <w:p w14:paraId="09E836DF">
      <w:pPr>
        <w:pStyle w:val="style2"/>
        <w:rPr/>
      </w:pPr>
      <w:r>
        <w:t xml:space="preserve">1.2 </w:t>
      </w:r>
      <w:r>
        <w:t>Research Aim</w:t>
      </w:r>
      <w:bookmarkEnd w:id="3"/>
    </w:p>
    <w:p w14:paraId="2640A636">
      <w:pPr>
        <w:pStyle w:val="style0"/>
        <w:rPr>
          <w:rFonts w:ascii="Arial" w:cs="Arial" w:hAnsi="Arial"/>
        </w:rPr>
      </w:pPr>
      <w:r>
        <w:rPr>
          <w:rFonts w:ascii="Arial" w:cs="Arial" w:hAnsi="Arial"/>
        </w:rPr>
        <w:t>To analyse how online customer reviews influence consumer buying behaviour towards Marks &amp; Spencer in the UK fashion retail industry.</w:t>
      </w:r>
    </w:p>
    <w:bookmarkStart w:id="4" w:name="_Toc231907931"/>
    <w:p w14:paraId="15AD03F8">
      <w:pPr>
        <w:pStyle w:val="style2"/>
        <w:rPr/>
      </w:pPr>
      <w:r>
        <w:t xml:space="preserve">1.3 </w:t>
      </w:r>
      <w:r>
        <w:t>Research Objectives</w:t>
      </w:r>
      <w:bookmarkEnd w:id="4"/>
    </w:p>
    <w:p w14:paraId="794982CA">
      <w:pPr>
        <w:pStyle w:val="style179"/>
        <w:numPr>
          <w:ilvl w:val="0"/>
          <w:numId w:val="1"/>
        </w:numPr>
        <w:rPr>
          <w:rFonts w:ascii="Arial" w:cs="Arial" w:hAnsi="Arial"/>
        </w:rPr>
      </w:pPr>
      <w:r>
        <w:rPr>
          <w:rFonts w:ascii="Arial" w:cs="Arial" w:hAnsi="Arial"/>
        </w:rPr>
        <w:t>To identify the role of online customer reviews in shaping consumer perceptions of M&amp;S fashion products.</w:t>
      </w:r>
    </w:p>
    <w:p w14:paraId="1BBB6B41">
      <w:pPr>
        <w:pStyle w:val="style179"/>
        <w:numPr>
          <w:ilvl w:val="0"/>
          <w:numId w:val="1"/>
        </w:numPr>
        <w:rPr>
          <w:rFonts w:ascii="Arial" w:cs="Arial" w:hAnsi="Arial"/>
        </w:rPr>
      </w:pPr>
      <w:r>
        <w:rPr>
          <w:rFonts w:ascii="Arial" w:cs="Arial" w:hAnsi="Arial"/>
        </w:rPr>
        <w:t>To examine how positive and negative reviews influence consumer trust and purchase decisions.</w:t>
      </w:r>
    </w:p>
    <w:p w14:paraId="6AE29BA9">
      <w:pPr>
        <w:pStyle w:val="style179"/>
        <w:numPr>
          <w:ilvl w:val="0"/>
          <w:numId w:val="1"/>
        </w:numPr>
        <w:rPr>
          <w:rFonts w:ascii="Arial" w:cs="Arial" w:hAnsi="Arial"/>
        </w:rPr>
      </w:pPr>
      <w:r>
        <w:rPr>
          <w:rFonts w:ascii="Arial" w:cs="Arial" w:hAnsi="Arial"/>
        </w:rPr>
        <w:t>To analyse how review credibility, star ratings, review quality and review volume affect buying behaviour.</w:t>
      </w:r>
    </w:p>
    <w:p w14:paraId="2A1015E4">
      <w:pPr>
        <w:pStyle w:val="style179"/>
        <w:numPr>
          <w:ilvl w:val="0"/>
          <w:numId w:val="1"/>
        </w:numPr>
        <w:rPr>
          <w:rFonts w:ascii="Arial" w:cs="Arial" w:hAnsi="Arial"/>
        </w:rPr>
      </w:pPr>
      <w:r>
        <w:rPr>
          <w:rFonts w:ascii="Arial" w:cs="Arial" w:hAnsi="Arial"/>
        </w:rPr>
        <w:t>To evaluate how M&amp;S can use customer reviews to improve customer satisfaction, brand trust and repeat purchase behaviour.</w:t>
      </w:r>
    </w:p>
    <w:bookmarkStart w:id="5" w:name="_Toc231907932"/>
    <w:p w14:paraId="57EE7B2C">
      <w:pPr>
        <w:pStyle w:val="style2"/>
        <w:rPr/>
      </w:pPr>
      <w:r>
        <w:t xml:space="preserve">1.4 </w:t>
      </w:r>
      <w:r>
        <w:t>Research Question</w:t>
      </w:r>
      <w:bookmarkEnd w:id="5"/>
    </w:p>
    <w:p w14:paraId="5029B1CA">
      <w:pPr>
        <w:pStyle w:val="style179"/>
        <w:numPr>
          <w:ilvl w:val="0"/>
          <w:numId w:val="2"/>
        </w:numPr>
        <w:rPr>
          <w:rFonts w:ascii="Arial" w:cs="Arial" w:hAnsi="Arial"/>
        </w:rPr>
      </w:pPr>
      <w:r>
        <w:rPr>
          <w:rFonts w:ascii="Arial" w:cs="Arial" w:hAnsi="Arial"/>
        </w:rPr>
        <w:t xml:space="preserve">How </w:t>
      </w:r>
      <w:r>
        <w:rPr>
          <w:rFonts w:ascii="Arial" w:cs="Arial" w:hAnsi="Arial"/>
        </w:rPr>
        <w:t>do the online customer reviews impact customers buy behaviour towards M&amp;S within the UK fashion retail sector?</w:t>
      </w:r>
    </w:p>
    <w:p w14:paraId="14467A8A">
      <w:pPr>
        <w:pStyle w:val="style179"/>
        <w:numPr>
          <w:ilvl w:val="0"/>
          <w:numId w:val="2"/>
        </w:numPr>
        <w:rPr>
          <w:rFonts w:ascii="Arial" w:cs="Arial" w:hAnsi="Arial"/>
        </w:rPr>
      </w:pPr>
      <w:r>
        <w:rPr>
          <w:rFonts w:ascii="Arial" w:cs="Arial" w:hAnsi="Arial"/>
        </w:rPr>
        <w:t>How do positive a</w:t>
      </w:r>
      <w:r>
        <w:rPr>
          <w:rFonts w:ascii="Arial" w:cs="Arial" w:hAnsi="Arial"/>
        </w:rPr>
        <w:t>s well as</w:t>
      </w:r>
      <w:r>
        <w:rPr>
          <w:rFonts w:ascii="Arial" w:cs="Arial" w:hAnsi="Arial"/>
        </w:rPr>
        <w:t xml:space="preserve"> negative online customer reviews </w:t>
      </w:r>
      <w:r>
        <w:rPr>
          <w:rFonts w:ascii="Arial" w:cs="Arial" w:hAnsi="Arial"/>
        </w:rPr>
        <w:t>impact the</w:t>
      </w:r>
      <w:r>
        <w:rPr>
          <w:rFonts w:ascii="Arial" w:cs="Arial" w:hAnsi="Arial"/>
        </w:rPr>
        <w:t xml:space="preserve"> consumer trust </w:t>
      </w:r>
      <w:r>
        <w:rPr>
          <w:rFonts w:ascii="Arial" w:cs="Arial" w:hAnsi="Arial"/>
        </w:rPr>
        <w:t>with</w:t>
      </w:r>
      <w:r>
        <w:rPr>
          <w:rFonts w:ascii="Arial" w:cs="Arial" w:hAnsi="Arial"/>
        </w:rPr>
        <w:t xml:space="preserve"> purchase </w:t>
      </w:r>
      <w:r>
        <w:rPr>
          <w:rFonts w:ascii="Arial" w:cs="Arial" w:hAnsi="Arial"/>
        </w:rPr>
        <w:t>ideas</w:t>
      </w:r>
      <w:r>
        <w:rPr>
          <w:rFonts w:ascii="Arial" w:cs="Arial" w:hAnsi="Arial"/>
        </w:rPr>
        <w:t xml:space="preserve"> towards Marks &amp; Spencer fashion products?</w:t>
      </w:r>
    </w:p>
    <w:p w14:paraId="79B862B4">
      <w:pPr>
        <w:pStyle w:val="style179"/>
        <w:numPr>
          <w:ilvl w:val="0"/>
          <w:numId w:val="2"/>
        </w:numPr>
        <w:rPr>
          <w:rFonts w:ascii="Arial" w:cs="Arial" w:hAnsi="Arial"/>
        </w:rPr>
      </w:pPr>
      <w:r>
        <w:rPr>
          <w:rFonts w:ascii="Arial" w:cs="Arial" w:hAnsi="Arial"/>
        </w:rPr>
        <w:t>How do review credibility, star ratings, review quality and review volume influence consumer buying behaviour in the UK fashion retail industry?</w:t>
      </w:r>
    </w:p>
    <w:bookmarkStart w:id="6" w:name="_Toc231907933"/>
    <w:p w14:paraId="29E5AEEF">
      <w:pPr>
        <w:pStyle w:val="style1"/>
        <w:rPr/>
      </w:pPr>
      <w:r>
        <w:t xml:space="preserve">2.0 </w:t>
      </w:r>
      <w:r>
        <w:t>Preliminary literature search</w:t>
      </w:r>
      <w:bookmarkEnd w:id="6"/>
    </w:p>
    <w:bookmarkStart w:id="7" w:name="_Toc231907934"/>
    <w:p w14:paraId="7ED8DD48">
      <w:pPr>
        <w:pStyle w:val="style2"/>
        <w:rPr/>
      </w:pPr>
      <w:r>
        <w:t xml:space="preserve">2.1 </w:t>
      </w:r>
      <w:r>
        <w:t>Online customer reviews and consumer perceptions of fashion products</w:t>
      </w:r>
      <w:bookmarkEnd w:id="7"/>
    </w:p>
    <w:p w14:paraId="1E16D8CC">
      <w:pPr>
        <w:pStyle w:val="style0"/>
        <w:rPr>
          <w:rFonts w:ascii="Arial" w:cs="Arial" w:hAnsi="Arial"/>
          <w:lang w:val="en-IN"/>
        </w:rPr>
      </w:pPr>
      <w:r>
        <w:rPr>
          <w:rFonts w:ascii="Arial" w:cs="Arial" w:hAnsi="Arial"/>
          <w:lang w:val="en-IN"/>
        </w:rPr>
        <w:t xml:space="preserve">As opined by </w:t>
      </w:r>
      <w:r>
        <w:rPr>
          <w:rFonts w:ascii="Arial" w:cs="Arial" w:hAnsi="Arial"/>
          <w:lang w:val="en-IN"/>
        </w:rPr>
        <w:t>Cuc et al. (2025)</w:t>
      </w:r>
      <w:r>
        <w:rPr>
          <w:rFonts w:ascii="Arial" w:cs="Arial" w:hAnsi="Arial"/>
          <w:lang w:val="en-IN"/>
        </w:rPr>
        <w:t>, t</w:t>
      </w:r>
      <w:r>
        <w:rPr>
          <w:rFonts w:ascii="Arial" w:cs="Arial" w:hAnsi="Arial"/>
          <w:lang w:val="en-IN"/>
        </w:rPr>
        <w:t xml:space="preserve">he importance of online customer reviews is highlighted in the recent digital consumer behaviour literature as they serve as a form of eWOM and facilitate customer decision-making prior to purchase. It is very applicable to the UK fashion retail industry as fashion products are hard to assess online. </w:t>
      </w:r>
      <w:r>
        <w:rPr>
          <w:rFonts w:ascii="Arial" w:cs="Arial" w:hAnsi="Arial"/>
          <w:lang w:val="en-IN"/>
        </w:rPr>
        <w:t xml:space="preserve">However, </w:t>
      </w:r>
      <w:r>
        <w:rPr>
          <w:rFonts w:ascii="Arial" w:cs="Arial" w:hAnsi="Arial"/>
          <w:lang w:val="en-IN"/>
        </w:rPr>
        <w:t>Creusen</w:t>
      </w:r>
      <w:r>
        <w:rPr>
          <w:rFonts w:ascii="Arial" w:cs="Arial" w:hAnsi="Arial"/>
          <w:lang w:val="en-IN"/>
        </w:rPr>
        <w:t xml:space="preserve"> et al. (</w:t>
      </w:r>
      <w:r>
        <w:rPr>
          <w:rFonts w:ascii="Arial" w:cs="Arial" w:hAnsi="Arial"/>
          <w:lang w:val="en-IN"/>
        </w:rPr>
        <w:t>2025</w:t>
      </w:r>
      <w:r>
        <w:rPr>
          <w:rFonts w:ascii="Arial" w:cs="Arial" w:hAnsi="Arial"/>
          <w:lang w:val="en-IN"/>
        </w:rPr>
        <w:t>)</w:t>
      </w:r>
      <w:r>
        <w:rPr>
          <w:rFonts w:ascii="Arial" w:cs="Arial" w:hAnsi="Arial"/>
          <w:lang w:val="en-IN"/>
        </w:rPr>
        <w:t xml:space="preserve"> argued that</w:t>
      </w:r>
      <w:r>
        <w:rPr>
          <w:rFonts w:ascii="Arial" w:cs="Arial" w:hAnsi="Arial"/>
          <w:lang w:val="en-IN"/>
        </w:rPr>
        <w:t xml:space="preserve"> n</w:t>
      </w:r>
      <w:r>
        <w:rPr>
          <w:rFonts w:ascii="Arial" w:cs="Arial" w:hAnsi="Arial"/>
          <w:lang w:val="en-IN"/>
        </w:rPr>
        <w:t>o customer can touch a piece of fabric, check the colour accuracy, fit or test the comfort before purchasing</w:t>
      </w:r>
      <w:r>
        <w:rPr>
          <w:rFonts w:ascii="Arial" w:cs="Arial" w:hAnsi="Arial"/>
          <w:lang w:val="en-IN"/>
        </w:rPr>
        <w:t xml:space="preserve">. </w:t>
      </w:r>
      <w:r>
        <w:rPr>
          <w:rFonts w:ascii="Arial" w:cs="Arial" w:hAnsi="Arial"/>
          <w:lang w:val="en-IN"/>
        </w:rPr>
        <w:t>Hence, the reviews become a stand-in for actual product experience. With Marks &amp; Spencer fashion products, reviews can impact on the understanding of quality, fit, lifespan, fashion and value for money.</w:t>
      </w:r>
    </w:p>
    <w:p w14:paraId="6D87D3C3">
      <w:pPr>
        <w:pStyle w:val="style0"/>
        <w:rPr>
          <w:rFonts w:ascii="Arial" w:cs="Arial" w:hAnsi="Arial"/>
          <w:lang w:val="en-IN"/>
        </w:rPr>
      </w:pPr>
      <w:r>
        <w:rPr>
          <w:rFonts w:ascii="Arial" w:cs="Arial" w:hAnsi="Arial"/>
          <w:lang w:val="en-IN"/>
        </w:rPr>
        <w:t xml:space="preserve">According to the report published by </w:t>
      </w:r>
      <w:r>
        <w:rPr>
          <w:rFonts w:ascii="Arial" w:cs="Arial" w:hAnsi="Arial"/>
          <w:lang w:val="en-IN"/>
        </w:rPr>
        <w:t>Statista</w:t>
      </w:r>
      <w:r>
        <w:rPr>
          <w:rFonts w:ascii="Arial" w:cs="Arial" w:hAnsi="Arial"/>
          <w:lang w:val="en-IN"/>
        </w:rPr>
        <w:t xml:space="preserve"> (</w:t>
      </w:r>
      <w:r>
        <w:rPr>
          <w:rFonts w:ascii="Arial" w:cs="Arial" w:hAnsi="Arial"/>
          <w:lang w:val="en-IN"/>
        </w:rPr>
        <w:t>2025</w:t>
      </w:r>
      <w:r>
        <w:rPr>
          <w:rFonts w:ascii="Arial" w:cs="Arial" w:hAnsi="Arial"/>
          <w:lang w:val="en-IN"/>
        </w:rPr>
        <w:t>), d</w:t>
      </w:r>
      <w:r>
        <w:rPr>
          <w:rFonts w:ascii="Arial" w:cs="Arial" w:hAnsi="Arial"/>
          <w:lang w:val="en-IN"/>
        </w:rPr>
        <w:t xml:space="preserve">igital access is very high in the UK, which provides a strong backdrop to this. The UK is home </w:t>
      </w:r>
      <w:r>
        <w:rPr>
          <w:rFonts w:ascii="Arial" w:cs="Arial" w:hAnsi="Arial"/>
          <w:lang w:val="en-IN"/>
        </w:rPr>
        <w:t>to 67.8 million internet users Internet penetration of 97.8%</w:t>
      </w:r>
      <w:r>
        <w:rPr>
          <w:rFonts w:ascii="Arial" w:cs="Arial" w:hAnsi="Arial"/>
          <w:lang w:val="en-IN"/>
        </w:rPr>
        <w:t xml:space="preserve"> and 54.8 million interne</w:t>
      </w:r>
      <w:r>
        <w:rPr>
          <w:rFonts w:ascii="Arial" w:cs="Arial" w:hAnsi="Arial"/>
          <w:lang w:val="en-IN"/>
        </w:rPr>
        <w:t xml:space="preserve">t social media user identities </w:t>
      </w:r>
      <w:r>
        <w:rPr>
          <w:rFonts w:ascii="Arial" w:cs="Arial" w:hAnsi="Arial"/>
          <w:lang w:val="en-IN"/>
        </w:rPr>
        <w:t>social</w:t>
      </w:r>
      <w:r>
        <w:rPr>
          <w:rFonts w:ascii="Arial" w:cs="Arial" w:hAnsi="Arial"/>
          <w:lang w:val="en-IN"/>
        </w:rPr>
        <w:t xml:space="preserve"> media penetration of 79%</w:t>
      </w:r>
      <w:r>
        <w:rPr>
          <w:rFonts w:ascii="Arial" w:cs="Arial" w:hAnsi="Arial"/>
          <w:lang w:val="en-IN"/>
        </w:rPr>
        <w:t xml:space="preserve"> in early 2025</w:t>
      </w:r>
      <w:r>
        <w:rPr>
          <w:rFonts w:ascii="Arial" w:cs="Arial" w:hAnsi="Arial"/>
          <w:lang w:val="en-IN"/>
        </w:rPr>
        <w:t xml:space="preserve">. </w:t>
      </w:r>
      <w:r>
        <w:rPr>
          <w:rFonts w:ascii="Arial" w:cs="Arial" w:hAnsi="Arial"/>
          <w:lang w:val="en-IN"/>
        </w:rPr>
        <w:t xml:space="preserve">It grew to 68.1 million internet users and 55.5 million social media user identities at the end of 2026 according to the 2026 UK digital report. </w:t>
      </w:r>
    </w:p>
    <w:p w14:paraId="570E7686">
      <w:pPr>
        <w:pStyle w:val="style0"/>
        <w:jc w:val="center"/>
        <w:rPr>
          <w:rFonts w:ascii="Arial" w:cs="Arial" w:hAnsi="Arial"/>
          <w:lang w:val="en-IN"/>
        </w:rPr>
      </w:pPr>
      <w:r>
        <w:rPr>
          <w:rFonts w:ascii="Arial" w:cs="Arial" w:hAnsi="Arial"/>
          <w:noProof/>
          <w:lang w:val="en-IN" w:eastAsia="en-IN"/>
        </w:rPr>
        <w:drawing>
          <wp:inline distL="0" distT="0" distB="0" distR="0">
            <wp:extent cx="3778394" cy="3171825"/>
            <wp:effectExtent l="76200" t="76200" r="127000" b="123825"/>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3778394" cy="317182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25CC5DA8">
      <w:pPr>
        <w:pStyle w:val="style0"/>
        <w:jc w:val="center"/>
        <w:rPr>
          <w:rFonts w:ascii="Arial" w:cs="Arial" w:hAnsi="Arial"/>
          <w:b/>
          <w:bCs/>
          <w:lang w:val="en-IN"/>
        </w:rPr>
      </w:pPr>
      <w:r>
        <w:rPr>
          <w:rFonts w:ascii="Arial" w:cs="Arial" w:hAnsi="Arial"/>
          <w:b/>
          <w:bCs/>
          <w:lang w:val="en-IN"/>
        </w:rPr>
        <w:t>Figure 03: Share of individuals using the internet in the United Kingdom (UK)</w:t>
      </w:r>
    </w:p>
    <w:p w14:paraId="48D48ABF">
      <w:pPr>
        <w:pStyle w:val="style0"/>
        <w:jc w:val="center"/>
        <w:rPr>
          <w:rFonts w:ascii="Arial" w:cs="Arial" w:hAnsi="Arial"/>
          <w:lang w:val="en-IN"/>
        </w:rPr>
      </w:pPr>
      <w:r>
        <w:rPr>
          <w:rFonts w:ascii="Arial" w:cs="Arial" w:hAnsi="Arial"/>
          <w:b/>
          <w:bCs/>
          <w:lang w:val="en-IN"/>
        </w:rPr>
        <w:t>Source</w:t>
      </w:r>
      <w:r>
        <w:rPr>
          <w:rFonts w:ascii="Arial" w:cs="Arial" w:hAnsi="Arial"/>
          <w:lang w:val="en-IN"/>
        </w:rPr>
        <w:t xml:space="preserve">: </w:t>
      </w:r>
    </w:p>
    <w:p w14:paraId="2C83BA87">
      <w:pPr>
        <w:pStyle w:val="style0"/>
        <w:rPr>
          <w:rFonts w:ascii="Arial" w:cs="Arial" w:hAnsi="Arial"/>
          <w:lang w:val="en-IN"/>
        </w:rPr>
      </w:pPr>
      <w:r>
        <w:rPr>
          <w:rFonts w:ascii="Arial" w:cs="Arial" w:hAnsi="Arial"/>
          <w:lang w:val="en-IN"/>
        </w:rPr>
        <w:t xml:space="preserve">But </w:t>
      </w:r>
      <w:r>
        <w:rPr>
          <w:rFonts w:ascii="Arial" w:cs="Arial" w:hAnsi="Arial"/>
          <w:lang w:val="en-IN"/>
        </w:rPr>
        <w:t>Paget</w:t>
      </w:r>
      <w:r>
        <w:rPr>
          <w:rFonts w:ascii="Arial" w:cs="Arial" w:hAnsi="Arial"/>
          <w:lang w:val="en-IN"/>
        </w:rPr>
        <w:t xml:space="preserve"> (</w:t>
      </w:r>
      <w:r>
        <w:rPr>
          <w:rFonts w:ascii="Arial" w:cs="Arial" w:hAnsi="Arial"/>
          <w:lang w:val="en-IN"/>
        </w:rPr>
        <w:t>2025</w:t>
      </w:r>
      <w:r>
        <w:rPr>
          <w:rFonts w:ascii="Arial" w:cs="Arial" w:hAnsi="Arial"/>
          <w:lang w:val="en-IN"/>
        </w:rPr>
        <w:t xml:space="preserve">) argued that </w:t>
      </w:r>
      <w:r>
        <w:rPr>
          <w:rFonts w:ascii="Arial" w:cs="Arial" w:hAnsi="Arial"/>
          <w:lang w:val="en-IN"/>
        </w:rPr>
        <w:t>there are some studies that also indicate that consumers are not just satisfied with star ratings. BrightLocal's review research for 2025 revealed that consumers are increasingly considering photos/videos paired with reviews and long, detailed reviews as more valued attributes, with positive response rates increasing by 3% and 7% respectively</w:t>
      </w:r>
      <w:r>
        <w:rPr>
          <w:rFonts w:ascii="Arial" w:cs="Arial" w:hAnsi="Arial"/>
          <w:lang w:val="en-IN"/>
        </w:rPr>
        <w:t>.</w:t>
      </w:r>
      <w:r>
        <w:rPr>
          <w:rFonts w:ascii="Arial" w:cs="Arial" w:hAnsi="Arial"/>
          <w:lang w:val="en-IN"/>
        </w:rPr>
        <w:t xml:space="preserve"> </w:t>
      </w:r>
    </w:p>
    <w:bookmarkStart w:id="8" w:name="_Toc231907935"/>
    <w:p w14:paraId="787FEC11">
      <w:pPr>
        <w:pStyle w:val="style2"/>
        <w:rPr/>
      </w:pPr>
      <w:r>
        <w:t xml:space="preserve">2.2 </w:t>
      </w:r>
      <w:r>
        <w:t>Positive and negative reviews, consumer trust and purchase decisions</w:t>
      </w:r>
      <w:bookmarkEnd w:id="8"/>
    </w:p>
    <w:p w14:paraId="229DF757">
      <w:pPr>
        <w:pStyle w:val="style0"/>
        <w:rPr>
          <w:rFonts w:ascii="Arial" w:cs="Arial" w:hAnsi="Arial"/>
          <w:lang w:val="en-IN"/>
        </w:rPr>
      </w:pPr>
      <w:r>
        <w:rPr>
          <w:rFonts w:ascii="Arial" w:cs="Arial" w:hAnsi="Arial"/>
          <w:lang w:val="en-IN"/>
        </w:rPr>
        <w:t xml:space="preserve">According to </w:t>
      </w:r>
      <w:r>
        <w:rPr>
          <w:rFonts w:ascii="Arial" w:cs="Arial" w:hAnsi="Arial"/>
          <w:lang w:val="en-IN"/>
        </w:rPr>
        <w:t>M.S. Kamalaveni et al. (2025)</w:t>
      </w:r>
      <w:r>
        <w:rPr>
          <w:rFonts w:ascii="Arial" w:cs="Arial" w:hAnsi="Arial"/>
          <w:lang w:val="en-IN"/>
        </w:rPr>
        <w:t>, r</w:t>
      </w:r>
      <w:r>
        <w:rPr>
          <w:rFonts w:ascii="Arial" w:cs="Arial" w:hAnsi="Arial"/>
          <w:lang w:val="en-IN"/>
        </w:rPr>
        <w:t xml:space="preserve">eviews both positive and negative are important in that they have different impacts on consumer trust. Positive reviews can build confidence, raise the value of the product in the eyes of the buyer and help to promote purchase intention. </w:t>
      </w:r>
      <w:r>
        <w:rPr>
          <w:rFonts w:ascii="Arial" w:cs="Arial" w:hAnsi="Arial"/>
          <w:lang w:val="en-IN"/>
        </w:rPr>
        <w:t xml:space="preserve">However, </w:t>
      </w:r>
      <w:r>
        <w:rPr>
          <w:rFonts w:ascii="Arial" w:cs="Arial" w:hAnsi="Arial"/>
          <w:lang w:val="en-IN"/>
        </w:rPr>
        <w:t>Xiangmei</w:t>
      </w:r>
      <w:r>
        <w:rPr>
          <w:rFonts w:ascii="Arial" w:cs="Arial" w:hAnsi="Arial"/>
          <w:lang w:val="en-IN"/>
        </w:rPr>
        <w:t xml:space="preserve"> (</w:t>
      </w:r>
      <w:r>
        <w:rPr>
          <w:rFonts w:ascii="Arial" w:cs="Arial" w:hAnsi="Arial"/>
          <w:lang w:val="en-IN"/>
        </w:rPr>
        <w:t>2023</w:t>
      </w:r>
      <w:r>
        <w:rPr>
          <w:rFonts w:ascii="Arial" w:cs="Arial" w:hAnsi="Arial"/>
          <w:lang w:val="en-IN"/>
        </w:rPr>
        <w:t>) argued that b</w:t>
      </w:r>
      <w:r>
        <w:rPr>
          <w:rFonts w:ascii="Arial" w:cs="Arial" w:hAnsi="Arial"/>
          <w:lang w:val="en-IN"/>
        </w:rPr>
        <w:t xml:space="preserve">ad ratings may lead to uncertainty and boost the perceived risk and deter consumers from making purchases. </w:t>
      </w:r>
    </w:p>
    <w:p w14:paraId="21268F63">
      <w:pPr>
        <w:pStyle w:val="style0"/>
        <w:rPr>
          <w:rFonts w:ascii="Arial" w:cs="Arial" w:hAnsi="Arial"/>
          <w:lang w:val="en-IN"/>
        </w:rPr>
      </w:pPr>
      <w:r>
        <w:rPr>
          <w:rFonts w:ascii="Arial" w:cs="Arial" w:hAnsi="Arial"/>
          <w:lang w:val="en-IN"/>
        </w:rPr>
        <w:t>New research indicates reviews continue to play a significant role in consumers' decision-making process. According to the review survey that was conducted by BrightLocal in 2026, 97% of consumers read online reviews, which was an increase from 2025 when 41% of consumers always read reviews when searching for businesses, up from 29% the year before</w:t>
      </w:r>
      <w:r>
        <w:rPr>
          <w:rFonts w:ascii="Arial" w:cs="Arial" w:hAnsi="Arial"/>
          <w:lang w:val="en-IN"/>
        </w:rPr>
        <w:t xml:space="preserve"> </w:t>
      </w:r>
      <w:r>
        <w:rPr>
          <w:rFonts w:ascii="Arial" w:cs="Arial" w:hAnsi="Arial"/>
          <w:lang w:val="en-IN"/>
        </w:rPr>
        <w:t>(Paget, 2025)</w:t>
      </w:r>
      <w:r>
        <w:rPr>
          <w:rFonts w:ascii="Arial" w:cs="Arial" w:hAnsi="Arial"/>
          <w:lang w:val="en-IN"/>
        </w:rPr>
        <w:t xml:space="preserve">. </w:t>
      </w:r>
    </w:p>
    <w:p w14:paraId="5F578714">
      <w:pPr>
        <w:pStyle w:val="style0"/>
        <w:rPr>
          <w:rFonts w:ascii="Arial" w:cs="Arial" w:hAnsi="Arial"/>
          <w:lang w:val="en-IN"/>
        </w:rPr>
      </w:pPr>
      <w:r>
        <w:rPr>
          <w:rFonts w:ascii="Arial" w:cs="Arial" w:hAnsi="Arial"/>
          <w:lang w:val="en-IN"/>
        </w:rPr>
        <w:t xml:space="preserve">According to </w:t>
      </w:r>
      <w:r>
        <w:rPr>
          <w:rFonts w:ascii="Arial" w:cs="Arial" w:hAnsi="Arial"/>
          <w:lang w:val="en-IN"/>
        </w:rPr>
        <w:t>Mallik et al.</w:t>
      </w:r>
      <w:r>
        <w:rPr>
          <w:rFonts w:ascii="Arial" w:cs="Arial" w:hAnsi="Arial"/>
          <w:lang w:val="en-IN"/>
        </w:rPr>
        <w:t xml:space="preserve"> (</w:t>
      </w:r>
      <w:r>
        <w:rPr>
          <w:rFonts w:ascii="Arial" w:cs="Arial" w:hAnsi="Arial"/>
          <w:lang w:val="en-IN"/>
        </w:rPr>
        <w:t>2025</w:t>
      </w:r>
      <w:r>
        <w:rPr>
          <w:rFonts w:ascii="Arial" w:cs="Arial" w:hAnsi="Arial"/>
          <w:lang w:val="en-IN"/>
        </w:rPr>
        <w:t>),</w:t>
      </w:r>
      <w:r>
        <w:rPr>
          <w:rFonts w:ascii="Arial" w:cs="Arial" w:hAnsi="Arial"/>
          <w:lang w:val="en-IN"/>
        </w:rPr>
        <w:t xml:space="preserve"> consumers are averaging six distinct review sites to help select businesses, indicating that consumers aren't sticking to a single site. For M&amp;S, this could include M&amp;S reviews, Google, Trustpilot and social media reviews and third-party fashion reviews that impact the consumer's trust. A customer can view a product on M&amp;S website without taking any action but then before purchasing, they can access external reviews. </w:t>
      </w:r>
    </w:p>
    <w:bookmarkStart w:id="9" w:name="_Toc231907936"/>
    <w:p w14:paraId="5CF91784">
      <w:pPr>
        <w:pStyle w:val="style2"/>
        <w:rPr/>
      </w:pPr>
      <w:r>
        <w:t xml:space="preserve">2.3 </w:t>
      </w:r>
      <w:r>
        <w:t>Review credibility, star ratings, review volume</w:t>
      </w:r>
      <w:bookmarkEnd w:id="9"/>
    </w:p>
    <w:p w14:paraId="14F78C2D">
      <w:pPr>
        <w:pStyle w:val="style0"/>
        <w:rPr>
          <w:rFonts w:ascii="Arial" w:cs="Arial" w:hAnsi="Arial"/>
          <w:lang w:val="en-IN"/>
        </w:rPr>
      </w:pPr>
      <w:r>
        <w:rPr>
          <w:rFonts w:ascii="Arial" w:cs="Arial" w:hAnsi="Arial"/>
          <w:lang w:val="en-IN"/>
        </w:rPr>
        <w:t xml:space="preserve">According to </w:t>
      </w:r>
      <w:r>
        <w:rPr>
          <w:rFonts w:ascii="Arial" w:cs="Arial" w:hAnsi="Arial"/>
          <w:lang w:val="en-IN"/>
        </w:rPr>
        <w:t>Pooja and Upadhyaya (2022)</w:t>
      </w:r>
      <w:r>
        <w:rPr>
          <w:rFonts w:ascii="Arial" w:cs="Arial" w:hAnsi="Arial"/>
          <w:lang w:val="en-IN"/>
        </w:rPr>
        <w:t>, s</w:t>
      </w:r>
      <w:r>
        <w:rPr>
          <w:rFonts w:ascii="Arial" w:cs="Arial" w:hAnsi="Arial"/>
          <w:lang w:val="en-IN"/>
        </w:rPr>
        <w:t xml:space="preserve">ome of the key factors in online buying behaviour are review credibility, star ratings, review quality and review volume. Review credibility is the consumers' perception of the review's honesty, genuineness and usefulness. </w:t>
      </w:r>
      <w:r>
        <w:rPr>
          <w:rFonts w:ascii="Arial" w:cs="Arial" w:hAnsi="Arial"/>
          <w:lang w:val="en-IN"/>
        </w:rPr>
        <w:t xml:space="preserve">However, </w:t>
      </w:r>
      <w:r>
        <w:rPr>
          <w:rFonts w:ascii="Arial" w:cs="Arial" w:hAnsi="Arial"/>
          <w:lang w:val="en-IN"/>
        </w:rPr>
        <w:t>Qiu and Zhang</w:t>
      </w:r>
      <w:r>
        <w:rPr>
          <w:rFonts w:ascii="Arial" w:cs="Arial" w:hAnsi="Arial"/>
          <w:lang w:val="en-IN"/>
        </w:rPr>
        <w:t xml:space="preserve"> (</w:t>
      </w:r>
      <w:r>
        <w:rPr>
          <w:rFonts w:ascii="Arial" w:cs="Arial" w:hAnsi="Arial"/>
          <w:lang w:val="en-IN"/>
        </w:rPr>
        <w:t>2023</w:t>
      </w:r>
      <w:r>
        <w:rPr>
          <w:rFonts w:ascii="Arial" w:cs="Arial" w:hAnsi="Arial"/>
          <w:lang w:val="en-IN"/>
        </w:rPr>
        <w:t>) argued that t</w:t>
      </w:r>
      <w:r>
        <w:rPr>
          <w:rFonts w:ascii="Arial" w:cs="Arial" w:hAnsi="Arial"/>
          <w:lang w:val="en-IN"/>
        </w:rPr>
        <w:t>he star rating gives instant feedback of the quality of the product or service and the number of reviews gives social proof. Review quality is also essential as detailed reviews give reasons behind the quality of a product. These are particularly relevant in fashion retail, as shoppers may be looking for information like “fits small”, “thin material”, “good for workwear” or “good value for money”.</w:t>
      </w:r>
    </w:p>
    <w:p w14:paraId="77C9596F">
      <w:pPr>
        <w:pStyle w:val="style0"/>
        <w:rPr>
          <w:rFonts w:ascii="Arial" w:cs="Arial" w:hAnsi="Arial"/>
          <w:lang w:val="en-IN"/>
        </w:rPr>
      </w:pPr>
      <w:r>
        <w:rPr>
          <w:rFonts w:ascii="Arial" w:cs="Arial" w:hAnsi="Arial"/>
          <w:lang w:val="en-IN"/>
        </w:rPr>
        <w:t>According to BrightLocal's 2026 data, consumers are tougher on review signals. The survey revealed that 47% of consumers do not trust a business that is rated with less than 20 reviews and 74% are only interested in those reviews that have been posted in the past three months</w:t>
      </w:r>
      <w:r>
        <w:rPr>
          <w:rFonts w:ascii="Arial" w:cs="Arial" w:hAnsi="Arial"/>
          <w:lang w:val="en-IN"/>
        </w:rPr>
        <w:t xml:space="preserve"> </w:t>
      </w:r>
      <w:r>
        <w:rPr>
          <w:rFonts w:ascii="Arial" w:cs="Arial" w:hAnsi="Arial"/>
          <w:lang w:val="en-IN"/>
        </w:rPr>
        <w:t>(Goddard, 2026)</w:t>
      </w:r>
      <w:r>
        <w:rPr>
          <w:rFonts w:ascii="Arial" w:cs="Arial" w:hAnsi="Arial"/>
          <w:lang w:val="en-IN"/>
        </w:rPr>
        <w:t xml:space="preserve">. </w:t>
      </w:r>
    </w:p>
    <w:p w14:paraId="596EA207">
      <w:pPr>
        <w:pStyle w:val="style0"/>
        <w:jc w:val="center"/>
        <w:rPr>
          <w:rFonts w:ascii="Arial" w:cs="Arial" w:hAnsi="Arial"/>
          <w:lang w:val="en-IN"/>
        </w:rPr>
      </w:pPr>
      <w:r>
        <w:rPr>
          <w:rFonts w:ascii="Arial" w:cs="Arial" w:hAnsi="Arial"/>
          <w:noProof/>
          <w:lang w:val="en-IN" w:eastAsia="en-IN"/>
        </w:rPr>
        <w:drawing>
          <wp:inline distL="0" distT="0" distB="0" distR="0">
            <wp:extent cx="3905250" cy="2004978"/>
            <wp:effectExtent l="76200" t="76200" r="133350" b="128905"/>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3905250" cy="2004978"/>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26E07901">
      <w:pPr>
        <w:pStyle w:val="style0"/>
        <w:jc w:val="center"/>
        <w:rPr>
          <w:rFonts w:ascii="Arial" w:cs="Arial" w:hAnsi="Arial"/>
          <w:b/>
          <w:bCs/>
          <w:lang w:val="en-IN"/>
        </w:rPr>
      </w:pPr>
      <w:r>
        <w:rPr>
          <w:rFonts w:ascii="Arial" w:cs="Arial" w:hAnsi="Arial"/>
          <w:b/>
          <w:bCs/>
          <w:lang w:val="en-IN"/>
        </w:rPr>
        <w:t>Figure 04: Consumers Expect Higher Star Ratings and Recent Reviews</w:t>
      </w:r>
    </w:p>
    <w:p w14:paraId="5112E41C">
      <w:pPr>
        <w:pStyle w:val="style0"/>
        <w:jc w:val="center"/>
        <w:rPr>
          <w:rFonts w:ascii="Arial" w:cs="Arial" w:hAnsi="Arial"/>
          <w:lang w:val="en-IN"/>
        </w:rPr>
      </w:pPr>
      <w:r>
        <w:rPr>
          <w:rFonts w:ascii="Arial" w:cs="Arial" w:hAnsi="Arial"/>
          <w:b/>
          <w:bCs/>
          <w:lang w:val="en-IN"/>
        </w:rPr>
        <w:t>Source</w:t>
      </w:r>
      <w:r>
        <w:rPr>
          <w:rFonts w:ascii="Arial" w:cs="Arial" w:hAnsi="Arial"/>
          <w:lang w:val="en-IN"/>
        </w:rPr>
        <w:t xml:space="preserve">: </w:t>
      </w:r>
      <w:r>
        <w:rPr>
          <w:rFonts w:ascii="Arial" w:cs="Arial" w:hAnsi="Arial"/>
          <w:lang w:val="en-IN"/>
        </w:rPr>
        <w:t>(Paget, 2025)</w:t>
      </w:r>
    </w:p>
    <w:p w14:paraId="0278F548">
      <w:pPr>
        <w:pStyle w:val="style0"/>
        <w:rPr>
          <w:rFonts w:ascii="Arial" w:cs="Arial" w:hAnsi="Arial"/>
          <w:lang w:val="en-IN"/>
        </w:rPr>
      </w:pPr>
      <w:r>
        <w:rPr>
          <w:rFonts w:ascii="Arial" w:cs="Arial" w:hAnsi="Arial"/>
          <w:lang w:val="en-IN"/>
        </w:rPr>
        <w:t xml:space="preserve">The same evidence shows that the most important credibility factor is consistency. 56% of consumers appreciate reviews backed by other reviews that agree on the sentiment, 46% appreciate written reviews that give positive reviews, 44% appreciate reviews posted within the past month and 42% appreciate high ratings. This indicates that consumers are not just asking if the reviews are positive, but they are also asking if multiple customers have similar reviews. </w:t>
      </w:r>
    </w:p>
    <w:bookmarkStart w:id="10" w:name="_Toc231907937"/>
    <w:p w14:paraId="03076D2D">
      <w:pPr>
        <w:pStyle w:val="style2"/>
        <w:rPr/>
      </w:pPr>
      <w:r>
        <w:t xml:space="preserve">2.4 </w:t>
      </w:r>
      <w:r>
        <w:t>Research Gap</w:t>
      </w:r>
      <w:bookmarkEnd w:id="10"/>
    </w:p>
    <w:p w14:paraId="7EBAFD21">
      <w:pPr>
        <w:pStyle w:val="style0"/>
        <w:rPr>
          <w:rFonts w:ascii="Arial" w:cs="Arial" w:hAnsi="Arial"/>
          <w:color w:val="ee0000"/>
          <w:lang w:val="en-IN"/>
        </w:rPr>
      </w:pPr>
      <w:r>
        <w:rPr>
          <w:rFonts w:ascii="Arial" w:cs="Arial" w:hAnsi="Arial"/>
          <w:color w:val="ee0000"/>
          <w:lang w:val="en-IN"/>
        </w:rPr>
        <w:t>Existing studies have indicated that online reviews are significant in influencing consumer purchase intention especially in online retailer environment. According to the earlier research, positive reviews can enhance consumer confidence whereas negative reviews may promote a perceived risk and lack of confidence in a product</w:t>
      </w:r>
      <w:r>
        <w:rPr>
          <w:rFonts w:ascii="Arial" w:cs="Arial" w:hAnsi="Arial"/>
          <w:color w:val="ee0000"/>
          <w:lang w:val="en-IN"/>
        </w:rPr>
        <w:t xml:space="preserve"> (Rachmiani et al., 2024)</w:t>
      </w:r>
      <w:r>
        <w:rPr>
          <w:rFonts w:ascii="Arial" w:cs="Arial" w:hAnsi="Arial"/>
          <w:color w:val="ee0000"/>
          <w:lang w:val="en-IN"/>
        </w:rPr>
        <w:t>. It is also evident in the literature that review credibility impacts buying behaviour since consumers tend to trust more the review that seems authentic, elaborated, and applicable to their interests. Thus, it has already been acknowledged that online reviews play a significant role in affecting the trust, purchase intention and consumer choice.</w:t>
      </w:r>
    </w:p>
    <w:p w14:paraId="668DE741">
      <w:pPr>
        <w:pStyle w:val="style0"/>
        <w:rPr>
          <w:rFonts w:ascii="Arial" w:cs="Arial" w:hAnsi="Arial"/>
          <w:color w:val="ee0000"/>
          <w:lang w:val="en-IN"/>
        </w:rPr>
      </w:pPr>
      <w:r>
        <w:rPr>
          <w:rFonts w:ascii="Arial" w:cs="Arial" w:hAnsi="Arial"/>
          <w:color w:val="ee0000"/>
          <w:lang w:val="en-IN"/>
        </w:rPr>
        <w:t>Nevertheless, very little is known about the way consumers of UK fashion attribute credibility to reviews when shopping at the reputable retailers. Another issue is that it is not clear that review credibility can more effectively affect buying behaviour than review volume or star ratings</w:t>
      </w:r>
      <w:r>
        <w:rPr>
          <w:rFonts w:ascii="Arial" w:cs="Arial" w:hAnsi="Arial"/>
          <w:color w:val="ee0000"/>
          <w:lang w:val="en-IN"/>
        </w:rPr>
        <w:t xml:space="preserve"> (Nakalinda, 2023)</w:t>
      </w:r>
      <w:r>
        <w:rPr>
          <w:rFonts w:ascii="Arial" w:cs="Arial" w:hAnsi="Arial"/>
          <w:color w:val="ee0000"/>
          <w:lang w:val="en-IN"/>
        </w:rPr>
        <w:t>. Moreover, further studies are required to know the difference in consumer reactions to positive and negative reviews in the UK fashion environment. Another area that is of significant interest to the gap is whether established retailers like Marks and Spencer are influenced by online reviews as much as newer online fashion retailers like the ASOS where online reviews are possibly more prominent in the purchasing process.</w:t>
      </w:r>
    </w:p>
    <w:p w14:paraId="1DDDAB67">
      <w:pPr>
        <w:pStyle w:val="style0"/>
        <w:rPr>
          <w:rFonts w:ascii="Arial" w:cs="Arial" w:hAnsi="Arial"/>
          <w:color w:val="ee0000"/>
          <w:lang w:val="en-IN"/>
        </w:rPr>
      </w:pPr>
      <w:r>
        <w:rPr>
          <w:rFonts w:ascii="Arial" w:cs="Arial" w:hAnsi="Arial"/>
          <w:color w:val="ee0000"/>
          <w:lang w:val="en-IN"/>
        </w:rPr>
        <w:t>Thus, this paper will address this gap by analysing how credibility of the reviews, trust and purchase intention relate to buying behaviour in the context of M&amp;S fashion consumers in the UK. The research will add to the current knowledge by demonstrating the impact of online reviews on consumer confidence, satisfaction and repeat purchase behaviour of an established fashion retailer.</w:t>
      </w:r>
    </w:p>
    <w:bookmarkStart w:id="11" w:name="_Toc231907938"/>
    <w:p w14:paraId="2F0FD7DB">
      <w:pPr>
        <w:pStyle w:val="style2"/>
        <w:rPr/>
      </w:pPr>
      <w:r>
        <w:t>2.4 Theoretical Foundation: Theory of Planned Behaviour</w:t>
      </w:r>
      <w:bookmarkEnd w:id="11"/>
    </w:p>
    <w:p w14:paraId="2C1E1DA0">
      <w:pPr>
        <w:pStyle w:val="style0"/>
        <w:rPr>
          <w:rFonts w:ascii="Arial" w:cs="Arial" w:hAnsi="Arial"/>
          <w:color w:val="ee0000"/>
          <w:lang w:val="en-IN"/>
        </w:rPr>
      </w:pPr>
      <w:r>
        <w:rPr>
          <w:rFonts w:ascii="Arial" w:cs="Arial" w:hAnsi="Arial"/>
          <w:color w:val="ee0000"/>
          <w:lang w:val="en-IN"/>
        </w:rPr>
        <w:t>The Theory of Planned Behaviour applies to this study as it is one of the theories that explain the formation of consumer attitudes, intentions and behaviour</w:t>
      </w:r>
      <w:r>
        <w:rPr>
          <w:rFonts w:ascii="Arial" w:cs="Arial" w:hAnsi="Arial"/>
          <w:color w:val="ee0000"/>
          <w:lang w:val="en-IN"/>
        </w:rPr>
        <w:t xml:space="preserve"> </w:t>
      </w:r>
      <w:r>
        <w:rPr>
          <w:rFonts w:ascii="Arial" w:cs="Arial" w:hAnsi="Arial"/>
          <w:color w:val="ee0000"/>
          <w:lang w:val="en-IN"/>
        </w:rPr>
        <w:t>(Naskar and Maria, 2025). Attitude, in the context of online reviews, means the way in which consumers access reviews prior to purchasing M&amp;S fashion products. In case of favourable reviews, rich and authentic, consumers can be favourably inclined towards the product. Subjective norms are pertinent to the impact of other customers, when the shoppers may be motivated to purchase a product when a significant number of the reviewers suggest it or provide a high number of stars. Perceived behavioural control is the level of confidence that consumers have in the use of reviews to make purchase decisions when they have a clear understanding of the quality, size, fit and value information in the reviews.</w:t>
      </w:r>
    </w:p>
    <w:bookmarkStart w:id="12" w:name="_Toc231907939"/>
    <w:p w14:paraId="0C1C368C">
      <w:pPr>
        <w:pStyle w:val="style2"/>
        <w:rPr/>
      </w:pPr>
      <w:r>
        <w:t>2.5 Conceptual Framework</w:t>
      </w:r>
      <w:bookmarkEnd w:id="12"/>
    </w:p>
    <w:p w14:paraId="7FBC3922">
      <w:pPr>
        <w:pStyle w:val="style0"/>
        <w:jc w:val="center"/>
        <w:rPr>
          <w:rFonts w:ascii="Arial" w:cs="Arial" w:hAnsi="Arial"/>
          <w:b/>
          <w:bCs/>
          <w:color w:val="ee0000"/>
          <w:lang w:val="en-IN"/>
        </w:rPr>
      </w:pPr>
      <w:r>
        <w:rPr>
          <w:rFonts w:ascii="Arial" w:cs="Arial" w:hAnsi="Arial"/>
          <w:b/>
          <w:bCs/>
          <w:noProof/>
          <w:color w:val="ee0000"/>
          <w:lang w:val="en-IN" w:eastAsia="en-IN"/>
        </w:rPr>
        <w:drawing>
          <wp:inline distL="0" distT="0" distB="0" distR="0">
            <wp:extent cx="2501626" cy="3125917"/>
            <wp:effectExtent l="76200" t="76200" r="127635" b="132080"/>
            <wp:docPr id="1031"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2"/>
                    <pic:cNvPicPr/>
                  </pic:nvPicPr>
                  <pic:blipFill>
                    <a:blip r:embed="rId7" cstate="print"/>
                    <a:srcRect l="0" t="0" r="0" b="0"/>
                    <a:stretch/>
                  </pic:blipFill>
                  <pic:spPr>
                    <a:xfrm rot="0">
                      <a:off x="0" y="0"/>
                      <a:ext cx="2501626" cy="312591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004F1536">
      <w:pPr>
        <w:pStyle w:val="style0"/>
        <w:jc w:val="center"/>
        <w:rPr>
          <w:rFonts w:ascii="Arial" w:cs="Arial" w:hAnsi="Arial"/>
          <w:color w:val="ee0000"/>
          <w:lang w:val="en-IN"/>
        </w:rPr>
      </w:pPr>
      <w:r>
        <w:rPr>
          <w:rFonts w:ascii="Arial" w:cs="Arial" w:hAnsi="Arial"/>
          <w:b/>
          <w:bCs/>
          <w:color w:val="ee0000"/>
          <w:lang w:val="en-IN"/>
        </w:rPr>
        <w:t>Source:</w:t>
      </w:r>
      <w:r>
        <w:rPr>
          <w:rFonts w:ascii="Arial" w:cs="Arial" w:hAnsi="Arial"/>
          <w:color w:val="ee0000"/>
          <w:lang w:val="en-IN"/>
        </w:rPr>
        <w:t xml:space="preserve"> Self-made</w:t>
      </w:r>
    </w:p>
    <w:bookmarkStart w:id="13" w:name="_Toc231907940"/>
    <w:p w14:paraId="3CA1CB2E">
      <w:pPr>
        <w:pStyle w:val="style1"/>
        <w:rPr/>
      </w:pPr>
      <w:r>
        <w:t xml:space="preserve">3.0 </w:t>
      </w:r>
      <w:r>
        <w:t>Research methodology</w:t>
      </w:r>
      <w:bookmarkEnd w:id="13"/>
    </w:p>
    <w:bookmarkStart w:id="14" w:name="_Toc231907941"/>
    <w:p w14:paraId="104952BD">
      <w:pPr>
        <w:pStyle w:val="style2"/>
        <w:rPr/>
      </w:pPr>
      <w:r>
        <w:t xml:space="preserve">3.1 </w:t>
      </w:r>
      <w:r>
        <w:t>Research Philosophies and Assumptions</w:t>
      </w:r>
      <w:bookmarkEnd w:id="14"/>
    </w:p>
    <w:p w14:paraId="67F7D2D5">
      <w:pPr>
        <w:pStyle w:val="style0"/>
        <w:rPr>
          <w:rFonts w:ascii="Arial" w:cs="Arial" w:hAnsi="Arial"/>
          <w:lang w:val="en-IN"/>
        </w:rPr>
      </w:pPr>
      <w:r>
        <w:rPr>
          <w:rFonts w:ascii="Arial" w:cs="Arial" w:hAnsi="Arial"/>
        </w:rPr>
        <w:t>This study is going to be interpretive in nature as it focuses on consumer buying behaviour, trust and perceptions towards Marks &amp; Spencer fashion products and how these are influenced by the use of online customer reviews</w:t>
      </w:r>
      <w:r>
        <w:rPr>
          <w:rFonts w:ascii="Arial" w:cs="Arial" w:hAnsi="Arial"/>
        </w:rPr>
        <w:t xml:space="preserve"> </w:t>
      </w:r>
      <w:r>
        <w:rPr>
          <w:rFonts w:ascii="Arial" w:cs="Arial" w:hAnsi="Arial"/>
          <w:lang w:val="en-IN"/>
        </w:rPr>
        <w:t>(Junjie and Yingxin, 2022)</w:t>
      </w:r>
      <w:r>
        <w:rPr>
          <w:rFonts w:ascii="Arial" w:cs="Arial" w:hAnsi="Arial"/>
        </w:rPr>
        <w:t>. Interpretivism will be justified as consumer behaviour is subjective and formed by opinions, experiences, emotions, and meanings as well as only by the numerical measurement. The research will take a premise that the consumers have different interpretation of the online reviews based on its credibility, star ratings, review quality, and their personal shopping expectation.</w:t>
      </w:r>
    </w:p>
    <w:bookmarkStart w:id="15" w:name="_Toc231907942"/>
    <w:p w14:paraId="29601BBC">
      <w:pPr>
        <w:pStyle w:val="style2"/>
        <w:rPr/>
      </w:pPr>
      <w:r>
        <w:t xml:space="preserve">3.2 </w:t>
      </w:r>
      <w:r>
        <w:t>Research Design</w:t>
      </w:r>
      <w:bookmarkEnd w:id="15"/>
    </w:p>
    <w:p w14:paraId="6714B36B">
      <w:pPr>
        <w:pStyle w:val="style0"/>
        <w:rPr>
          <w:rFonts w:ascii="Arial" w:cs="Arial" w:hAnsi="Arial"/>
          <w:color w:val="ee0000"/>
          <w:lang w:val="en-IN"/>
        </w:rPr>
      </w:pPr>
      <w:r>
        <w:rPr>
          <w:rFonts w:ascii="Arial" w:cs="Arial" w:hAnsi="Arial"/>
          <w:color w:val="ee0000"/>
          <w:lang w:val="en-IN"/>
        </w:rPr>
        <w:t>This research is based on the approach of a Systematic Literature Review with the help of the PRISMA process to explore the impact of online customer reviews on consumer buying behaviour of M&amp;S fashion products in the UK</w:t>
      </w:r>
      <w:r>
        <w:rPr>
          <w:rFonts w:ascii="Arial" w:cs="Arial" w:hAnsi="Arial"/>
          <w:color w:val="ee0000"/>
          <w:lang w:val="en-IN"/>
        </w:rPr>
        <w:t xml:space="preserve"> (Tedja et al., 2024)</w:t>
      </w:r>
      <w:r>
        <w:rPr>
          <w:rFonts w:ascii="Arial" w:cs="Arial" w:hAnsi="Arial"/>
          <w:color w:val="ee0000"/>
          <w:lang w:val="en-IN"/>
        </w:rPr>
        <w:t>. SLR is appropriate as the study will not involve gathering primary data on consumers, but instead using existing academic and industry sources. The PRISMA procedure will assist the study be organized, open and scholarly trustworthy. The search of relevant literature in the identification stage will be done in databases like Scopus, ScienceDirect, Emerald and Google Scholar with key words that are associated with online reviews, trust, purchase intention, buying behaviour and fashion retail. In the screening stage, duplicate and unrelated studies will be removed</w:t>
      </w:r>
      <w:r>
        <w:rPr>
          <w:rFonts w:ascii="Arial" w:cs="Arial" w:hAnsi="Arial"/>
          <w:color w:val="ee0000"/>
          <w:lang w:val="en-IN"/>
        </w:rPr>
        <w:t xml:space="preserve"> (J Med Libr Assoc, 2022)</w:t>
      </w:r>
      <w:r>
        <w:rPr>
          <w:rFonts w:ascii="Arial" w:cs="Arial" w:hAnsi="Arial"/>
          <w:color w:val="ee0000"/>
          <w:lang w:val="en-IN"/>
        </w:rPr>
        <w:t>. At the eligibility stage, the rest of the sources will be evaluated based on their relevancy, quality and relevance to the research objectives. Lastly, during the inclusion phase, the most appropriate studies will be chosen to be analysed and discussed in detail.</w:t>
      </w:r>
    </w:p>
    <w:bookmarkStart w:id="16" w:name="_Toc231907943"/>
    <w:p w14:paraId="2033EB96">
      <w:pPr>
        <w:pStyle w:val="style2"/>
        <w:rPr/>
      </w:pPr>
      <w:r>
        <w:t xml:space="preserve">3.3 </w:t>
      </w:r>
      <w:r>
        <w:t>Research Approach</w:t>
      </w:r>
      <w:bookmarkEnd w:id="16"/>
    </w:p>
    <w:p w14:paraId="02E1998F">
      <w:pPr>
        <w:pStyle w:val="style0"/>
        <w:rPr>
          <w:rFonts w:ascii="Arial" w:cs="Arial" w:hAnsi="Arial"/>
          <w:lang w:val="en-IN"/>
        </w:rPr>
      </w:pPr>
      <w:r>
        <w:rPr>
          <w:rFonts w:ascii="Arial" w:cs="Arial" w:hAnsi="Arial"/>
        </w:rPr>
        <w:t xml:space="preserve">The study will use an inductive research approach. This method will be suitable as there will be no predetermined hypothesis being tested. It will instead review literature and secondary sources for themes that relate to the influence that positive reviews, negative reviews, review credibility, review volume and star ratings </w:t>
      </w:r>
      <w:r>
        <w:rPr>
          <w:rFonts w:ascii="Arial" w:cs="Arial" w:hAnsi="Arial"/>
        </w:rPr>
        <w:t>have</w:t>
      </w:r>
      <w:r>
        <w:rPr>
          <w:rFonts w:ascii="Arial" w:cs="Arial" w:hAnsi="Arial"/>
        </w:rPr>
        <w:t xml:space="preserve"> on the buying behaviour. </w:t>
      </w:r>
    </w:p>
    <w:bookmarkStart w:id="17" w:name="_Toc231907944"/>
    <w:p w14:paraId="23CCC20A">
      <w:pPr>
        <w:pStyle w:val="style2"/>
        <w:rPr/>
      </w:pPr>
      <w:r>
        <w:t xml:space="preserve">3.4 </w:t>
      </w:r>
      <w:r>
        <w:t>Data Collection Methods</w:t>
      </w:r>
      <w:bookmarkEnd w:id="17"/>
    </w:p>
    <w:p w14:paraId="013CD13B">
      <w:pPr>
        <w:pStyle w:val="style0"/>
        <w:rPr>
          <w:rFonts w:ascii="Arial" w:cs="Arial" w:hAnsi="Arial"/>
          <w:color w:val="ee0000"/>
          <w:lang w:val="en-IN"/>
        </w:rPr>
      </w:pPr>
      <w:r>
        <w:rPr>
          <w:rFonts w:ascii="Arial" w:cs="Arial" w:hAnsi="Arial"/>
          <w:color w:val="ee0000"/>
          <w:lang w:val="en-IN"/>
        </w:rPr>
        <w:t>The research will use secondary sources of data to guide the Systematic Literature Review. Research sources in academic databases like Google Scholar, Scopus, Emerald and ScienceDirect will be used. Peer-reviewed journal articles on online reviews, consumer trust, purchase intention, buying behaviour and UK fashion retail will be identified using these databases. Marks and Spencer annual reports, retail industry reports, ONS publications and reputable market research sites will also be used to gather industry data and company-based data. To further customize the review platforms, online customer review information will be taken into consideration in Trustpilot, Google Reviews and Marks and Spencer site reviews. These platforms are appropriate since they feature consumer reviews, star ratings, product reviews and experience on M&amp;S fashion products. By relying on these sources, the study will be able to compare academic findings with actual consumer review behaviour in UK fashion retail setting.</w:t>
      </w:r>
    </w:p>
    <w:bookmarkStart w:id="18" w:name="_Toc231907945"/>
    <w:p w14:paraId="3D77EAFF">
      <w:pPr>
        <w:pStyle w:val="style2"/>
        <w:rPr/>
      </w:pPr>
      <w:r>
        <w:t xml:space="preserve">3.5 </w:t>
      </w:r>
      <w:r>
        <w:t>Inclusion and Exclusion Criteria</w:t>
      </w:r>
      <w:bookmarkEnd w:id="18"/>
    </w:p>
    <w:tbl>
      <w:tblPr>
        <w:tblStyle w:val="style154"/>
        <w:tblW w:w="0" w:type="auto"/>
        <w:tblLook w:val="04A0" w:firstRow="1" w:lastRow="0" w:firstColumn="1" w:lastColumn="0" w:noHBand="0" w:noVBand="1"/>
      </w:tblPr>
      <w:tblGrid>
        <w:gridCol w:w="1573"/>
        <w:gridCol w:w="3528"/>
        <w:gridCol w:w="3923"/>
      </w:tblGrid>
      <w:tr w14:paraId="4EEEE9A4">
        <w:trPr/>
        <w:tc>
          <w:tcPr>
            <w:tcW w:w="0" w:type="auto"/>
            <w:tcBorders/>
            <w:hideMark/>
          </w:tcPr>
          <w:p w14:paraId="3C7F073D">
            <w:pPr>
              <w:pStyle w:val="style0"/>
              <w:spacing w:after="160"/>
              <w:rPr>
                <w:rFonts w:ascii="Arial" w:cs="Arial" w:hAnsi="Arial"/>
                <w:b/>
                <w:bCs/>
                <w:color w:val="ee0000"/>
                <w:lang w:val="en-IN"/>
              </w:rPr>
            </w:pPr>
            <w:r>
              <w:rPr>
                <w:rFonts w:ascii="Arial" w:cs="Arial" w:hAnsi="Arial"/>
                <w:b/>
                <w:bCs/>
                <w:color w:val="ee0000"/>
                <w:lang w:val="en-IN"/>
              </w:rPr>
              <w:t>Criteria Area</w:t>
            </w:r>
          </w:p>
        </w:tc>
        <w:tc>
          <w:tcPr>
            <w:tcW w:w="0" w:type="auto"/>
            <w:tcBorders/>
            <w:hideMark/>
          </w:tcPr>
          <w:p w14:paraId="70457763">
            <w:pPr>
              <w:pStyle w:val="style0"/>
              <w:spacing w:after="160"/>
              <w:rPr>
                <w:rFonts w:ascii="Arial" w:cs="Arial" w:hAnsi="Arial"/>
                <w:b/>
                <w:bCs/>
                <w:color w:val="ee0000"/>
                <w:lang w:val="en-IN"/>
              </w:rPr>
            </w:pPr>
            <w:r>
              <w:rPr>
                <w:rFonts w:ascii="Arial" w:cs="Arial" w:hAnsi="Arial"/>
                <w:b/>
                <w:bCs/>
                <w:color w:val="ee0000"/>
                <w:lang w:val="en-IN"/>
              </w:rPr>
              <w:t>Inclusion Criteria</w:t>
            </w:r>
          </w:p>
        </w:tc>
        <w:tc>
          <w:tcPr>
            <w:tcW w:w="0" w:type="auto"/>
            <w:tcBorders/>
            <w:hideMark/>
          </w:tcPr>
          <w:p w14:paraId="34021511">
            <w:pPr>
              <w:pStyle w:val="style0"/>
              <w:spacing w:after="160"/>
              <w:rPr>
                <w:rFonts w:ascii="Arial" w:cs="Arial" w:hAnsi="Arial"/>
                <w:b/>
                <w:bCs/>
                <w:color w:val="ee0000"/>
                <w:lang w:val="en-IN"/>
              </w:rPr>
            </w:pPr>
            <w:r>
              <w:rPr>
                <w:rFonts w:ascii="Arial" w:cs="Arial" w:hAnsi="Arial"/>
                <w:b/>
                <w:bCs/>
                <w:color w:val="ee0000"/>
                <w:lang w:val="en-IN"/>
              </w:rPr>
              <w:t>Exclusion Criteria</w:t>
            </w:r>
          </w:p>
        </w:tc>
      </w:tr>
      <w:tr w14:paraId="5981DC51">
        <w:tblPrEx/>
        <w:trPr/>
        <w:tc>
          <w:tcPr>
            <w:tcW w:w="0" w:type="auto"/>
            <w:tcBorders/>
            <w:hideMark/>
          </w:tcPr>
          <w:p w14:paraId="3E8628D2">
            <w:pPr>
              <w:pStyle w:val="style0"/>
              <w:spacing w:after="160"/>
              <w:rPr>
                <w:rFonts w:ascii="Arial" w:cs="Arial" w:hAnsi="Arial"/>
                <w:color w:val="ee0000"/>
                <w:lang w:val="en-IN"/>
              </w:rPr>
            </w:pPr>
            <w:r>
              <w:rPr>
                <w:rFonts w:ascii="Arial" w:cs="Arial" w:hAnsi="Arial"/>
                <w:color w:val="ee0000"/>
                <w:lang w:val="en-IN"/>
              </w:rPr>
              <w:t>Type of source</w:t>
            </w:r>
          </w:p>
        </w:tc>
        <w:tc>
          <w:tcPr>
            <w:tcW w:w="0" w:type="auto"/>
            <w:tcBorders/>
          </w:tcPr>
          <w:p w14:paraId="3BD8DDE0">
            <w:pPr>
              <w:pStyle w:val="style0"/>
              <w:spacing w:after="160"/>
              <w:rPr>
                <w:rFonts w:ascii="Arial" w:cs="Arial" w:hAnsi="Arial"/>
                <w:color w:val="ee0000"/>
                <w:lang w:val="en-IN"/>
              </w:rPr>
            </w:pPr>
            <w:r>
              <w:rPr>
                <w:rFonts w:ascii="Arial" w:cs="Arial" w:hAnsi="Arial"/>
                <w:color w:val="ee0000"/>
              </w:rPr>
              <w:t>To guarantee the academic quality and reliability, peer-reviewed journal articles will be included.</w:t>
            </w:r>
          </w:p>
        </w:tc>
        <w:tc>
          <w:tcPr>
            <w:tcW w:w="0" w:type="auto"/>
            <w:tcBorders/>
          </w:tcPr>
          <w:p w14:paraId="09C4AF33">
            <w:pPr>
              <w:pStyle w:val="style0"/>
              <w:spacing w:after="160"/>
              <w:rPr>
                <w:rFonts w:ascii="Arial" w:cs="Arial" w:hAnsi="Arial"/>
                <w:color w:val="ee0000"/>
                <w:lang w:val="en-IN"/>
              </w:rPr>
            </w:pPr>
            <w:r>
              <w:rPr>
                <w:rFonts w:ascii="Arial" w:cs="Arial" w:hAnsi="Arial"/>
                <w:color w:val="ee0000"/>
              </w:rPr>
              <w:t>Conference papers, blogs, opinion pieces and non-academic sources will be excluded.</w:t>
            </w:r>
          </w:p>
        </w:tc>
      </w:tr>
      <w:tr w14:paraId="5E6DAD31">
        <w:tblPrEx/>
        <w:trPr/>
        <w:tc>
          <w:tcPr>
            <w:tcW w:w="0" w:type="auto"/>
            <w:tcBorders/>
            <w:hideMark/>
          </w:tcPr>
          <w:p w14:paraId="65EDF062">
            <w:pPr>
              <w:pStyle w:val="style0"/>
              <w:spacing w:after="160"/>
              <w:rPr>
                <w:rFonts w:ascii="Arial" w:cs="Arial" w:hAnsi="Arial"/>
                <w:color w:val="ee0000"/>
                <w:lang w:val="en-IN"/>
              </w:rPr>
            </w:pPr>
            <w:r>
              <w:rPr>
                <w:rFonts w:ascii="Arial" w:cs="Arial" w:hAnsi="Arial"/>
                <w:color w:val="ee0000"/>
                <w:lang w:val="en-IN"/>
              </w:rPr>
              <w:t>Language</w:t>
            </w:r>
          </w:p>
        </w:tc>
        <w:tc>
          <w:tcPr>
            <w:tcW w:w="0" w:type="auto"/>
            <w:tcBorders/>
          </w:tcPr>
          <w:p w14:paraId="742BBB16">
            <w:pPr>
              <w:pStyle w:val="style0"/>
              <w:spacing w:after="160"/>
              <w:rPr>
                <w:rFonts w:ascii="Arial" w:cs="Arial" w:hAnsi="Arial"/>
                <w:color w:val="ee0000"/>
                <w:lang w:val="en-IN"/>
              </w:rPr>
            </w:pPr>
            <w:r>
              <w:rPr>
                <w:rFonts w:ascii="Arial" w:cs="Arial" w:hAnsi="Arial"/>
                <w:color w:val="ee0000"/>
              </w:rPr>
              <w:t>The studies will be selected based on the clear interpretation and analysis of only the English language.</w:t>
            </w:r>
          </w:p>
        </w:tc>
        <w:tc>
          <w:tcPr>
            <w:tcW w:w="0" w:type="auto"/>
            <w:tcBorders/>
          </w:tcPr>
          <w:p w14:paraId="4CB532E1">
            <w:pPr>
              <w:pStyle w:val="style0"/>
              <w:spacing w:after="160"/>
              <w:rPr>
                <w:rFonts w:ascii="Arial" w:cs="Arial" w:hAnsi="Arial"/>
                <w:color w:val="ee0000"/>
                <w:lang w:val="en-IN"/>
              </w:rPr>
            </w:pPr>
            <w:r>
              <w:rPr>
                <w:rFonts w:ascii="Arial" w:cs="Arial" w:hAnsi="Arial"/>
                <w:color w:val="ee0000"/>
              </w:rPr>
              <w:t>To prevent translation problems and misinterpretation, non-English studies will not be included.</w:t>
            </w:r>
          </w:p>
        </w:tc>
      </w:tr>
      <w:tr w14:paraId="024177AF">
        <w:tblPrEx/>
        <w:trPr/>
        <w:tc>
          <w:tcPr>
            <w:tcW w:w="0" w:type="auto"/>
            <w:tcBorders/>
            <w:hideMark/>
          </w:tcPr>
          <w:p w14:paraId="309A0745">
            <w:pPr>
              <w:pStyle w:val="style0"/>
              <w:spacing w:after="160"/>
              <w:rPr>
                <w:rFonts w:ascii="Arial" w:cs="Arial" w:hAnsi="Arial"/>
                <w:color w:val="ee0000"/>
                <w:lang w:val="en-IN"/>
              </w:rPr>
            </w:pPr>
            <w:r>
              <w:rPr>
                <w:rFonts w:ascii="Arial" w:cs="Arial" w:hAnsi="Arial"/>
                <w:color w:val="ee0000"/>
                <w:lang w:val="en-IN"/>
              </w:rPr>
              <w:t>Publication date</w:t>
            </w:r>
          </w:p>
        </w:tc>
        <w:tc>
          <w:tcPr>
            <w:tcW w:w="0" w:type="auto"/>
            <w:tcBorders/>
          </w:tcPr>
          <w:p w14:paraId="2015AD12">
            <w:pPr>
              <w:pStyle w:val="style0"/>
              <w:spacing w:after="160"/>
              <w:rPr>
                <w:rFonts w:ascii="Arial" w:cs="Arial" w:hAnsi="Arial"/>
                <w:color w:val="ee0000"/>
                <w:lang w:val="en-IN"/>
              </w:rPr>
            </w:pPr>
            <w:r>
              <w:rPr>
                <w:rFonts w:ascii="Arial" w:cs="Arial" w:hAnsi="Arial"/>
                <w:color w:val="ee0000"/>
              </w:rPr>
              <w:t>Articles published in 2015-2025 will be incorporated in order to have recent and relevant literature.</w:t>
            </w:r>
          </w:p>
        </w:tc>
        <w:tc>
          <w:tcPr>
            <w:tcW w:w="0" w:type="auto"/>
            <w:tcBorders/>
          </w:tcPr>
          <w:p w14:paraId="7A9D5E8E">
            <w:pPr>
              <w:pStyle w:val="style0"/>
              <w:spacing w:after="160"/>
              <w:rPr>
                <w:rFonts w:ascii="Arial" w:cs="Arial" w:hAnsi="Arial"/>
                <w:color w:val="ee0000"/>
                <w:lang w:val="en-IN"/>
              </w:rPr>
            </w:pPr>
            <w:r>
              <w:rPr>
                <w:rFonts w:ascii="Arial" w:cs="Arial" w:hAnsi="Arial"/>
                <w:color w:val="ee0000"/>
              </w:rPr>
              <w:t>Papers that were published earlier than 2015 will not be included</w:t>
            </w:r>
            <w:r>
              <w:rPr>
                <w:rFonts w:ascii="Arial" w:cs="Arial" w:hAnsi="Arial"/>
                <w:color w:val="ee0000"/>
              </w:rPr>
              <w:t xml:space="preserve">. </w:t>
            </w:r>
          </w:p>
        </w:tc>
      </w:tr>
      <w:tr w14:paraId="4AD90BD2">
        <w:tblPrEx/>
        <w:trPr/>
        <w:tc>
          <w:tcPr>
            <w:tcW w:w="0" w:type="auto"/>
            <w:tcBorders/>
            <w:hideMark/>
          </w:tcPr>
          <w:p w14:paraId="24991F10">
            <w:pPr>
              <w:pStyle w:val="style0"/>
              <w:spacing w:after="160"/>
              <w:rPr>
                <w:rFonts w:ascii="Arial" w:cs="Arial" w:hAnsi="Arial"/>
                <w:color w:val="ee0000"/>
                <w:lang w:val="en-IN"/>
              </w:rPr>
            </w:pPr>
            <w:r>
              <w:rPr>
                <w:rFonts w:ascii="Arial" w:cs="Arial" w:hAnsi="Arial"/>
                <w:color w:val="ee0000"/>
                <w:lang w:val="en-IN"/>
              </w:rPr>
              <w:t>Sector focus</w:t>
            </w:r>
          </w:p>
        </w:tc>
        <w:tc>
          <w:tcPr>
            <w:tcW w:w="0" w:type="auto"/>
            <w:tcBorders/>
          </w:tcPr>
          <w:p w14:paraId="21495BEB">
            <w:pPr>
              <w:pStyle w:val="style0"/>
              <w:spacing w:after="160"/>
              <w:rPr>
                <w:rFonts w:ascii="Arial" w:cs="Arial" w:hAnsi="Arial"/>
                <w:color w:val="ee0000"/>
                <w:lang w:val="en-IN"/>
              </w:rPr>
            </w:pPr>
            <w:r>
              <w:rPr>
                <w:rFonts w:ascii="Arial" w:cs="Arial" w:hAnsi="Arial"/>
                <w:color w:val="ee0000"/>
              </w:rPr>
              <w:t>The research on the retail and fashion industry will be incorporated.</w:t>
            </w:r>
          </w:p>
        </w:tc>
        <w:tc>
          <w:tcPr>
            <w:tcW w:w="0" w:type="auto"/>
            <w:tcBorders/>
          </w:tcPr>
          <w:p w14:paraId="16580C35">
            <w:pPr>
              <w:pStyle w:val="style0"/>
              <w:spacing w:after="160"/>
              <w:rPr>
                <w:rFonts w:ascii="Arial" w:cs="Arial" w:hAnsi="Arial"/>
                <w:color w:val="ee0000"/>
                <w:lang w:val="en-IN"/>
              </w:rPr>
            </w:pPr>
            <w:r>
              <w:rPr>
                <w:rFonts w:ascii="Arial" w:cs="Arial" w:hAnsi="Arial"/>
                <w:color w:val="ee0000"/>
              </w:rPr>
              <w:t>Non-retail-based studies like those of healthcare, banking or manufacturing will not be included.</w:t>
            </w:r>
          </w:p>
        </w:tc>
      </w:tr>
      <w:tr w14:paraId="5CA5A6FA">
        <w:tblPrEx/>
        <w:trPr/>
        <w:tc>
          <w:tcPr>
            <w:tcW w:w="0" w:type="auto"/>
            <w:tcBorders/>
            <w:hideMark/>
          </w:tcPr>
          <w:p w14:paraId="03A74478">
            <w:pPr>
              <w:pStyle w:val="style0"/>
              <w:spacing w:after="160"/>
              <w:rPr>
                <w:rFonts w:ascii="Arial" w:cs="Arial" w:hAnsi="Arial"/>
                <w:color w:val="ee0000"/>
                <w:lang w:val="en-IN"/>
              </w:rPr>
            </w:pPr>
            <w:r>
              <w:rPr>
                <w:rFonts w:ascii="Arial" w:cs="Arial" w:hAnsi="Arial"/>
                <w:color w:val="ee0000"/>
                <w:lang w:val="en-IN"/>
              </w:rPr>
              <w:t>Research topic</w:t>
            </w:r>
          </w:p>
        </w:tc>
        <w:tc>
          <w:tcPr>
            <w:tcW w:w="0" w:type="auto"/>
            <w:tcBorders/>
          </w:tcPr>
          <w:p w14:paraId="42FA6684">
            <w:pPr>
              <w:pStyle w:val="style0"/>
              <w:spacing w:after="160"/>
              <w:rPr>
                <w:rFonts w:ascii="Arial" w:cs="Arial" w:hAnsi="Arial"/>
                <w:color w:val="ee0000"/>
                <w:lang w:val="en-IN"/>
              </w:rPr>
            </w:pPr>
            <w:r>
              <w:rPr>
                <w:rFonts w:ascii="Arial" w:cs="Arial" w:hAnsi="Arial"/>
                <w:color w:val="ee0000"/>
              </w:rPr>
              <w:t>The studies that will be included are those that analyse online reviews</w:t>
            </w:r>
            <w:r>
              <w:rPr>
                <w:rFonts w:ascii="Arial" w:cs="Arial" w:hAnsi="Arial"/>
                <w:color w:val="ee0000"/>
              </w:rPr>
              <w:t xml:space="preserve"> and</w:t>
            </w:r>
            <w:r>
              <w:rPr>
                <w:rFonts w:ascii="Arial" w:cs="Arial" w:hAnsi="Arial"/>
                <w:color w:val="ee0000"/>
              </w:rPr>
              <w:t xml:space="preserve"> review credibility, star rating</w:t>
            </w:r>
          </w:p>
        </w:tc>
        <w:tc>
          <w:tcPr>
            <w:tcW w:w="0" w:type="auto"/>
            <w:tcBorders/>
          </w:tcPr>
          <w:p w14:paraId="1B3BB544">
            <w:pPr>
              <w:pStyle w:val="style0"/>
              <w:spacing w:after="160"/>
              <w:rPr>
                <w:rFonts w:ascii="Arial" w:cs="Arial" w:hAnsi="Arial"/>
                <w:color w:val="ee0000"/>
                <w:lang w:val="en-IN"/>
              </w:rPr>
            </w:pPr>
            <w:r>
              <w:rPr>
                <w:rFonts w:ascii="Arial" w:cs="Arial" w:hAnsi="Arial"/>
                <w:color w:val="ee0000"/>
              </w:rPr>
              <w:t>The studies that are not related to online reviews or the consumer buying behaviour will be excluded.</w:t>
            </w:r>
          </w:p>
        </w:tc>
      </w:tr>
      <w:tr w14:paraId="14D9DC1D">
        <w:tblPrEx/>
        <w:trPr/>
        <w:tc>
          <w:tcPr>
            <w:tcW w:w="0" w:type="auto"/>
            <w:tcBorders/>
            <w:hideMark/>
          </w:tcPr>
          <w:p w14:paraId="5A03A447">
            <w:pPr>
              <w:pStyle w:val="style0"/>
              <w:spacing w:after="160"/>
              <w:rPr>
                <w:rFonts w:ascii="Arial" w:cs="Arial" w:hAnsi="Arial"/>
                <w:color w:val="ee0000"/>
                <w:lang w:val="en-IN"/>
              </w:rPr>
            </w:pPr>
            <w:r>
              <w:rPr>
                <w:rFonts w:ascii="Arial" w:cs="Arial" w:hAnsi="Arial"/>
                <w:color w:val="ee0000"/>
                <w:lang w:val="en-IN"/>
              </w:rPr>
              <w:t>Relevance to study</w:t>
            </w:r>
          </w:p>
        </w:tc>
        <w:tc>
          <w:tcPr>
            <w:tcW w:w="0" w:type="auto"/>
            <w:tcBorders/>
          </w:tcPr>
          <w:p w14:paraId="58C2215E">
            <w:pPr>
              <w:pStyle w:val="style0"/>
              <w:spacing w:after="160"/>
              <w:rPr>
                <w:rFonts w:ascii="Arial" w:cs="Arial" w:hAnsi="Arial"/>
                <w:color w:val="ee0000"/>
                <w:lang w:val="en-IN"/>
              </w:rPr>
            </w:pPr>
            <w:r>
              <w:rPr>
                <w:rFonts w:ascii="Arial" w:cs="Arial" w:hAnsi="Arial"/>
                <w:color w:val="ee0000"/>
              </w:rPr>
              <w:t>The sources related to UK fashion retailing, M&amp;S, or similar online fashion retailing will be included.</w:t>
            </w:r>
          </w:p>
        </w:tc>
        <w:tc>
          <w:tcPr>
            <w:tcW w:w="0" w:type="auto"/>
            <w:tcBorders/>
          </w:tcPr>
          <w:p w14:paraId="2A86EA5E">
            <w:pPr>
              <w:pStyle w:val="style0"/>
              <w:spacing w:after="160"/>
              <w:rPr>
                <w:rFonts w:ascii="Arial" w:cs="Arial" w:hAnsi="Arial"/>
                <w:color w:val="ee0000"/>
                <w:lang w:val="en-IN"/>
              </w:rPr>
            </w:pPr>
            <w:r>
              <w:rPr>
                <w:rFonts w:ascii="Arial" w:cs="Arial" w:hAnsi="Arial"/>
                <w:color w:val="ee0000"/>
              </w:rPr>
              <w:t>Sources that are not directly related to fashion retail or online consumer decision-making will be sifted out.</w:t>
            </w:r>
          </w:p>
        </w:tc>
      </w:tr>
      <w:bookmarkStart w:id="19" w:name="_Toc231907946"/>
    </w:tbl>
    <w:p w14:paraId="5D3A5C12">
      <w:pPr>
        <w:pStyle w:val="style2"/>
        <w:rPr/>
      </w:pPr>
      <w:r>
        <w:t xml:space="preserve">3.6 </w:t>
      </w:r>
      <w:r>
        <w:t>Data Analysis Section</w:t>
      </w:r>
      <w:bookmarkEnd w:id="19"/>
      <w:r>
        <w:t xml:space="preserve"> </w:t>
      </w:r>
    </w:p>
    <w:p w14:paraId="66971295">
      <w:pPr>
        <w:pStyle w:val="style0"/>
        <w:rPr>
          <w:rFonts w:ascii="Arial" w:cs="Arial" w:hAnsi="Arial"/>
          <w:b/>
          <w:bCs/>
          <w:color w:val="ee0000"/>
        </w:rPr>
      </w:pPr>
      <w:r>
        <w:rPr>
          <w:rFonts w:ascii="Arial" w:cs="Arial" w:hAnsi="Arial"/>
          <w:b/>
          <w:bCs/>
          <w:color w:val="ee0000"/>
        </w:rPr>
        <w:t>Approach</w:t>
      </w:r>
    </w:p>
    <w:p w14:paraId="383CF554">
      <w:pPr>
        <w:pStyle w:val="style0"/>
        <w:rPr>
          <w:rFonts w:ascii="Arial" w:cs="Arial" w:hAnsi="Arial"/>
          <w:color w:val="ee0000"/>
          <w:lang w:val="en-IN"/>
        </w:rPr>
      </w:pPr>
      <w:r>
        <w:rPr>
          <w:rFonts w:ascii="Arial" w:cs="Arial" w:hAnsi="Arial"/>
          <w:color w:val="ee0000"/>
        </w:rPr>
        <w:t>Thematic analysis will be applied in the study to analyse the qualitative data collected as secondary data using the Systematic Literature Review</w:t>
      </w:r>
      <w:r>
        <w:rPr>
          <w:rFonts w:ascii="Arial" w:cs="Arial" w:hAnsi="Arial"/>
          <w:color w:val="ee0000"/>
        </w:rPr>
        <w:t xml:space="preserve"> </w:t>
      </w:r>
      <w:r>
        <w:rPr>
          <w:rFonts w:ascii="Arial" w:cs="Arial" w:hAnsi="Arial"/>
          <w:color w:val="ee0000"/>
          <w:lang w:val="en-IN"/>
        </w:rPr>
        <w:t>(Ahmed et al., 2025)</w:t>
      </w:r>
      <w:r>
        <w:rPr>
          <w:rFonts w:ascii="Arial" w:cs="Arial" w:hAnsi="Arial"/>
          <w:color w:val="ee0000"/>
        </w:rPr>
        <w:t>. The six stages of thematic analysis model by Braun and Clarke will be used since it assists in finding common meaning, patterns and themes in academic articles, industry reports and online review materials.</w:t>
      </w:r>
    </w:p>
    <w:p w14:paraId="2B88F8E1">
      <w:pPr>
        <w:pStyle w:val="style0"/>
        <w:rPr>
          <w:rFonts w:ascii="Arial" w:cs="Arial" w:hAnsi="Arial"/>
          <w:b/>
          <w:bCs/>
          <w:color w:val="ee0000"/>
        </w:rPr>
      </w:pPr>
      <w:r>
        <w:rPr>
          <w:rFonts w:ascii="Arial" w:cs="Arial" w:hAnsi="Arial"/>
          <w:b/>
          <w:bCs/>
          <w:color w:val="ee0000"/>
        </w:rPr>
        <w:t>Six Stages</w:t>
      </w:r>
    </w:p>
    <w:p w14:paraId="2AD8BF49">
      <w:pPr>
        <w:pStyle w:val="style0"/>
        <w:rPr>
          <w:rFonts w:ascii="Arial" w:cs="Arial" w:hAnsi="Arial"/>
          <w:color w:val="ee0000"/>
        </w:rPr>
      </w:pPr>
      <w:r>
        <w:rPr>
          <w:rFonts w:ascii="Arial" w:cs="Arial" w:hAnsi="Arial"/>
          <w:color w:val="ee0000"/>
        </w:rPr>
        <w:t>The first step will include familiarisation by reading and re-reading the chosen studies to gain insights on important findings in the field of online reviews and consumer behaviour</w:t>
      </w:r>
      <w:r>
        <w:rPr>
          <w:rFonts w:ascii="Arial" w:cs="Arial" w:hAnsi="Arial"/>
          <w:color w:val="ee0000"/>
        </w:rPr>
        <w:t xml:space="preserve"> </w:t>
      </w:r>
      <w:r>
        <w:rPr>
          <w:rFonts w:ascii="Arial" w:cs="Arial" w:hAnsi="Arial"/>
          <w:color w:val="ee0000"/>
          <w:lang w:val="en-IN"/>
        </w:rPr>
        <w:t>(Ahmed et al., 2025)</w:t>
      </w:r>
      <w:r>
        <w:rPr>
          <w:rFonts w:ascii="Arial" w:cs="Arial" w:hAnsi="Arial"/>
          <w:color w:val="ee0000"/>
        </w:rPr>
        <w:t>. Second, the important ideas, including review credibility, trust, star ratings and purchase intention, will be labeled with the help of coding. Third, similar codes will be combined into larger themes through theme generation. Fourth, theme review will ensure that the themes are clearly related to the research aim and objectives. Fifth, theme definition will describe the meaning of each theme. Lastly, report writing will provide the findings in an easy-to-understand manner and relate findings to the M&amp;S fashion consumers within the UK.</w:t>
      </w:r>
    </w:p>
    <w:bookmarkStart w:id="20" w:name="_Toc231907947"/>
    <w:p w14:paraId="15337584">
      <w:pPr>
        <w:pStyle w:val="style2"/>
        <w:rPr/>
      </w:pPr>
      <w:r>
        <w:t xml:space="preserve">3.7 </w:t>
      </w:r>
      <w:r>
        <w:t>Ethical Considerations</w:t>
      </w:r>
      <w:bookmarkEnd w:id="20"/>
    </w:p>
    <w:p w14:paraId="7D941335">
      <w:pPr>
        <w:pStyle w:val="style0"/>
        <w:rPr>
          <w:rFonts w:ascii="Arial" w:cs="Arial" w:hAnsi="Arial"/>
          <w:b/>
          <w:bCs/>
          <w:lang w:val="en-IN"/>
        </w:rPr>
      </w:pPr>
      <w:r>
        <w:rPr>
          <w:rFonts w:ascii="Arial" w:cs="Arial" w:hAnsi="Arial"/>
          <w:lang w:val="en-IN"/>
        </w:rPr>
        <w:t>For this study the data to be used will be secondary data and there will be no direct human participants</w:t>
      </w:r>
      <w:r>
        <w:rPr>
          <w:rFonts w:ascii="Arial" w:cs="Arial" w:hAnsi="Arial"/>
          <w:lang w:val="en-IN"/>
        </w:rPr>
        <w:t xml:space="preserve"> </w:t>
      </w:r>
      <w:r>
        <w:rPr>
          <w:rFonts w:ascii="Arial" w:cs="Arial" w:hAnsi="Arial"/>
          <w:lang w:val="en-IN"/>
        </w:rPr>
        <w:t>(Tripathy, 2022)</w:t>
      </w:r>
      <w:r>
        <w:rPr>
          <w:rFonts w:ascii="Arial" w:cs="Arial" w:hAnsi="Arial"/>
          <w:lang w:val="en-IN"/>
        </w:rPr>
        <w:t>. The researcher will, however, practice in an ethical way by referring to credible sources, avoiding plagiarism, referencing information appropriately and not manipulating data. Examples of customer's reviews (where applicable) will be anonymised to ensure privacy</w:t>
      </w:r>
    </w:p>
    <w:bookmarkStart w:id="21" w:name="_Toc231907948"/>
    <w:p w14:paraId="2F27353E">
      <w:pPr>
        <w:pStyle w:val="style2"/>
        <w:rPr/>
      </w:pPr>
      <w:r>
        <w:t xml:space="preserve">3.8 </w:t>
      </w:r>
      <w:r>
        <w:t>Risks</w:t>
      </w:r>
      <w:bookmarkEnd w:id="21"/>
    </w:p>
    <w:p w14:paraId="2AEF90DD">
      <w:pPr>
        <w:pStyle w:val="style0"/>
        <w:rPr>
          <w:rFonts w:ascii="Arial" w:cs="Arial" w:hAnsi="Arial"/>
          <w:b/>
          <w:bCs/>
        </w:rPr>
      </w:pPr>
      <w:r>
        <w:rPr>
          <w:rFonts w:ascii="Arial" w:cs="Arial" w:hAnsi="Arial"/>
          <w:b/>
          <w:bCs/>
        </w:rPr>
        <w:t>Limited Availability of Relevant Data</w:t>
      </w:r>
    </w:p>
    <w:p w14:paraId="75E49B32">
      <w:pPr>
        <w:pStyle w:val="style0"/>
        <w:rPr>
          <w:rFonts w:ascii="Arial" w:cs="Arial" w:hAnsi="Arial"/>
        </w:rPr>
      </w:pPr>
      <w:r>
        <w:rPr>
          <w:rFonts w:ascii="Arial" w:cs="Arial" w:hAnsi="Arial"/>
        </w:rPr>
        <w:t>One of the major risks will be the lack of recent secondary data to specifically relate customer reviews on the internet to the Marks &amp; Spencer fashion buying behaviour</w:t>
      </w:r>
      <w:r>
        <w:rPr>
          <w:rFonts w:ascii="Arial" w:cs="Arial" w:hAnsi="Arial"/>
        </w:rPr>
        <w:t xml:space="preserve"> </w:t>
      </w:r>
      <w:r>
        <w:rPr>
          <w:rFonts w:ascii="Arial" w:cs="Arial" w:hAnsi="Arial"/>
          <w:lang w:val="en-IN"/>
        </w:rPr>
        <w:t>(Diatta and Berchtold, 2022)</w:t>
      </w:r>
      <w:r>
        <w:rPr>
          <w:rFonts w:ascii="Arial" w:cs="Arial" w:hAnsi="Arial"/>
        </w:rPr>
        <w:t>. This could reduce the company-specific nature of the analysis.</w:t>
      </w:r>
    </w:p>
    <w:p w14:paraId="7CDBC17F">
      <w:pPr>
        <w:pStyle w:val="style0"/>
        <w:rPr>
          <w:rFonts w:ascii="Arial" w:cs="Arial" w:hAnsi="Arial"/>
          <w:b/>
          <w:bCs/>
        </w:rPr>
      </w:pPr>
      <w:r>
        <w:rPr>
          <w:rFonts w:ascii="Arial" w:cs="Arial" w:hAnsi="Arial"/>
          <w:b/>
          <w:bCs/>
        </w:rPr>
        <w:t>Reliability of Secondary Sources</w:t>
      </w:r>
    </w:p>
    <w:p w14:paraId="74450DE6">
      <w:pPr>
        <w:pStyle w:val="style0"/>
        <w:rPr>
          <w:rFonts w:ascii="Arial" w:cs="Arial" w:hAnsi="Arial"/>
          <w:b/>
          <w:bCs/>
          <w:lang w:val="en-IN"/>
        </w:rPr>
      </w:pPr>
      <w:r>
        <w:rPr>
          <w:rFonts w:ascii="Arial" w:cs="Arial" w:hAnsi="Arial"/>
          <w:lang w:val="en-IN"/>
        </w:rPr>
        <w:t>The other risk will be the usage of untrustworthy or out-dated sites. This will be minimised by only using credible academic journals, industry reports, M&amp;S reports and recognised statistical websites</w:t>
      </w:r>
      <w:r>
        <w:rPr>
          <w:rFonts w:ascii="Arial" w:cs="Arial" w:hAnsi="Arial"/>
          <w:lang w:val="en-IN"/>
        </w:rPr>
        <w:t xml:space="preserve"> (Kratochvíl et al., 2023)</w:t>
      </w:r>
      <w:r>
        <w:rPr>
          <w:rFonts w:ascii="Arial" w:cs="Arial" w:hAnsi="Arial"/>
          <w:lang w:val="en-IN"/>
        </w:rPr>
        <w:t xml:space="preserve">. </w:t>
      </w:r>
    </w:p>
    <w:bookmarkStart w:id="22" w:name="_Toc231907949"/>
    <w:p w14:paraId="26E0CC7E">
      <w:pPr>
        <w:pStyle w:val="style1"/>
        <w:rPr/>
      </w:pPr>
      <w:r>
        <w:t xml:space="preserve">4.0 </w:t>
      </w:r>
      <w:r>
        <w:t>Timeline (Gantt chart)</w:t>
      </w:r>
      <w:bookmarkEnd w:id="22"/>
    </w:p>
    <w:tbl>
      <w:tblPr>
        <w:tblStyle w:val="style154"/>
        <w:tblW w:w="0" w:type="auto"/>
        <w:tblLook w:val="04A0" w:firstRow="1" w:lastRow="0" w:firstColumn="1" w:lastColumn="0" w:noHBand="0" w:noVBand="1"/>
      </w:tblPr>
      <w:tblGrid>
        <w:gridCol w:w="2309"/>
        <w:gridCol w:w="928"/>
        <w:gridCol w:w="960"/>
        <w:gridCol w:w="967"/>
        <w:gridCol w:w="967"/>
        <w:gridCol w:w="962"/>
        <w:gridCol w:w="964"/>
        <w:gridCol w:w="959"/>
      </w:tblGrid>
      <w:tr w14:paraId="4D391E6C">
        <w:trPr/>
        <w:tc>
          <w:tcPr>
            <w:tcW w:w="0" w:type="auto"/>
            <w:tcBorders/>
            <w:hideMark/>
          </w:tcPr>
          <w:p w14:paraId="1911CEA0">
            <w:pPr>
              <w:pStyle w:val="style0"/>
              <w:spacing w:after="160"/>
              <w:rPr>
                <w:rFonts w:ascii="Arial" w:cs="Arial" w:hAnsi="Arial"/>
                <w:b/>
                <w:bCs/>
                <w:color w:val="ee0000"/>
                <w:lang w:val="en-IN"/>
              </w:rPr>
            </w:pPr>
            <w:r>
              <w:rPr>
                <w:rFonts w:ascii="Arial" w:cs="Arial" w:hAnsi="Arial"/>
                <w:b/>
                <w:bCs/>
                <w:color w:val="ee0000"/>
                <w:lang w:val="en-IN"/>
              </w:rPr>
              <w:t>Research Activities</w:t>
            </w:r>
          </w:p>
        </w:tc>
        <w:tc>
          <w:tcPr>
            <w:tcW w:w="0" w:type="auto"/>
            <w:tcBorders/>
            <w:hideMark/>
          </w:tcPr>
          <w:p w14:paraId="5B30833A">
            <w:pPr>
              <w:pStyle w:val="style0"/>
              <w:spacing w:after="160"/>
              <w:rPr>
                <w:rFonts w:ascii="Arial" w:cs="Arial" w:hAnsi="Arial"/>
                <w:b/>
                <w:bCs/>
                <w:color w:val="ee0000"/>
                <w:lang w:val="en-IN"/>
              </w:rPr>
            </w:pPr>
            <w:r>
              <w:rPr>
                <w:rFonts w:ascii="Arial" w:cs="Arial" w:hAnsi="Arial"/>
                <w:b/>
                <w:bCs/>
                <w:color w:val="ee0000"/>
                <w:lang w:val="en-IN"/>
              </w:rPr>
              <w:t>Week 1</w:t>
            </w:r>
          </w:p>
        </w:tc>
        <w:tc>
          <w:tcPr>
            <w:tcW w:w="0" w:type="auto"/>
            <w:tcBorders/>
            <w:hideMark/>
          </w:tcPr>
          <w:p w14:paraId="6F271D43">
            <w:pPr>
              <w:pStyle w:val="style0"/>
              <w:spacing w:after="160"/>
              <w:rPr>
                <w:rFonts w:ascii="Arial" w:cs="Arial" w:hAnsi="Arial"/>
                <w:b/>
                <w:bCs/>
                <w:color w:val="ee0000"/>
                <w:lang w:val="en-IN"/>
              </w:rPr>
            </w:pPr>
            <w:r>
              <w:rPr>
                <w:rFonts w:ascii="Arial" w:cs="Arial" w:hAnsi="Arial"/>
                <w:b/>
                <w:bCs/>
                <w:color w:val="ee0000"/>
                <w:lang w:val="en-IN"/>
              </w:rPr>
              <w:t>Week 2</w:t>
            </w:r>
          </w:p>
        </w:tc>
        <w:tc>
          <w:tcPr>
            <w:tcW w:w="0" w:type="auto"/>
            <w:tcBorders/>
            <w:hideMark/>
          </w:tcPr>
          <w:p w14:paraId="4A9A8156">
            <w:pPr>
              <w:pStyle w:val="style0"/>
              <w:spacing w:after="160"/>
              <w:rPr>
                <w:rFonts w:ascii="Arial" w:cs="Arial" w:hAnsi="Arial"/>
                <w:b/>
                <w:bCs/>
                <w:color w:val="ee0000"/>
                <w:lang w:val="en-IN"/>
              </w:rPr>
            </w:pPr>
            <w:r>
              <w:rPr>
                <w:rFonts w:ascii="Arial" w:cs="Arial" w:hAnsi="Arial"/>
                <w:b/>
                <w:bCs/>
                <w:color w:val="ee0000"/>
                <w:lang w:val="en-IN"/>
              </w:rPr>
              <w:t>Week 3</w:t>
            </w:r>
          </w:p>
        </w:tc>
        <w:tc>
          <w:tcPr>
            <w:tcW w:w="0" w:type="auto"/>
            <w:tcBorders/>
            <w:hideMark/>
          </w:tcPr>
          <w:p w14:paraId="24608C99">
            <w:pPr>
              <w:pStyle w:val="style0"/>
              <w:spacing w:after="160"/>
              <w:rPr>
                <w:rFonts w:ascii="Arial" w:cs="Arial" w:hAnsi="Arial"/>
                <w:b/>
                <w:bCs/>
                <w:color w:val="ee0000"/>
                <w:lang w:val="en-IN"/>
              </w:rPr>
            </w:pPr>
            <w:r>
              <w:rPr>
                <w:rFonts w:ascii="Arial" w:cs="Arial" w:hAnsi="Arial"/>
                <w:b/>
                <w:bCs/>
                <w:color w:val="ee0000"/>
                <w:lang w:val="en-IN"/>
              </w:rPr>
              <w:t>Week 4</w:t>
            </w:r>
          </w:p>
        </w:tc>
        <w:tc>
          <w:tcPr>
            <w:tcW w:w="0" w:type="auto"/>
            <w:tcBorders/>
            <w:hideMark/>
          </w:tcPr>
          <w:p w14:paraId="26FE8095">
            <w:pPr>
              <w:pStyle w:val="style0"/>
              <w:spacing w:after="160"/>
              <w:rPr>
                <w:rFonts w:ascii="Arial" w:cs="Arial" w:hAnsi="Arial"/>
                <w:b/>
                <w:bCs/>
                <w:color w:val="ee0000"/>
                <w:lang w:val="en-IN"/>
              </w:rPr>
            </w:pPr>
            <w:r>
              <w:rPr>
                <w:rFonts w:ascii="Arial" w:cs="Arial" w:hAnsi="Arial"/>
                <w:b/>
                <w:bCs/>
                <w:color w:val="ee0000"/>
                <w:lang w:val="en-IN"/>
              </w:rPr>
              <w:t>Week 5</w:t>
            </w:r>
          </w:p>
        </w:tc>
        <w:tc>
          <w:tcPr>
            <w:tcW w:w="0" w:type="auto"/>
            <w:tcBorders/>
            <w:hideMark/>
          </w:tcPr>
          <w:p w14:paraId="0C97940C">
            <w:pPr>
              <w:pStyle w:val="style0"/>
              <w:spacing w:after="160"/>
              <w:rPr>
                <w:rFonts w:ascii="Arial" w:cs="Arial" w:hAnsi="Arial"/>
                <w:b/>
                <w:bCs/>
                <w:color w:val="ee0000"/>
                <w:lang w:val="en-IN"/>
              </w:rPr>
            </w:pPr>
            <w:r>
              <w:rPr>
                <w:rFonts w:ascii="Arial" w:cs="Arial" w:hAnsi="Arial"/>
                <w:b/>
                <w:bCs/>
                <w:color w:val="ee0000"/>
                <w:lang w:val="en-IN"/>
              </w:rPr>
              <w:t>Week 6</w:t>
            </w:r>
          </w:p>
        </w:tc>
        <w:tc>
          <w:tcPr>
            <w:tcW w:w="0" w:type="auto"/>
            <w:tcBorders/>
            <w:hideMark/>
          </w:tcPr>
          <w:p w14:paraId="2E174184">
            <w:pPr>
              <w:pStyle w:val="style0"/>
              <w:spacing w:after="160"/>
              <w:rPr>
                <w:rFonts w:ascii="Arial" w:cs="Arial" w:hAnsi="Arial"/>
                <w:b/>
                <w:bCs/>
                <w:color w:val="ee0000"/>
                <w:lang w:val="en-IN"/>
              </w:rPr>
            </w:pPr>
            <w:r>
              <w:rPr>
                <w:rFonts w:ascii="Arial" w:cs="Arial" w:hAnsi="Arial"/>
                <w:b/>
                <w:bCs/>
                <w:color w:val="ee0000"/>
                <w:lang w:val="en-IN"/>
              </w:rPr>
              <w:t>Week 7</w:t>
            </w:r>
          </w:p>
        </w:tc>
      </w:tr>
      <w:tr w14:paraId="49B0E24F">
        <w:tblPrEx/>
        <w:trPr/>
        <w:tc>
          <w:tcPr>
            <w:tcW w:w="0" w:type="auto"/>
            <w:tcBorders/>
            <w:hideMark/>
          </w:tcPr>
          <w:p w14:paraId="2350FB4A">
            <w:pPr>
              <w:pStyle w:val="style0"/>
              <w:spacing w:after="160"/>
              <w:rPr>
                <w:rFonts w:ascii="Arial" w:cs="Arial" w:hAnsi="Arial"/>
                <w:color w:val="ee0000"/>
                <w:lang w:val="en-IN"/>
              </w:rPr>
            </w:pPr>
            <w:r>
              <w:rPr>
                <w:rFonts w:ascii="Arial" w:cs="Arial" w:hAnsi="Arial"/>
                <w:color w:val="ee0000"/>
                <w:lang w:val="en-IN"/>
              </w:rPr>
              <w:t>Topic finalisation</w:t>
            </w:r>
          </w:p>
        </w:tc>
        <w:tc>
          <w:tcPr>
            <w:tcW w:w="0" w:type="auto"/>
            <w:tcBorders/>
            <w:shd w:val="clear" w:color="auto" w:fill="ffff00"/>
          </w:tcPr>
          <w:p w14:paraId="74C5087E">
            <w:pPr>
              <w:pStyle w:val="style0"/>
              <w:spacing w:after="160"/>
              <w:rPr>
                <w:rFonts w:ascii="Arial" w:cs="Arial" w:hAnsi="Arial"/>
                <w:color w:val="ee0000"/>
                <w:lang w:val="en-IN"/>
              </w:rPr>
            </w:pPr>
          </w:p>
        </w:tc>
        <w:tc>
          <w:tcPr>
            <w:tcW w:w="0" w:type="auto"/>
            <w:tcBorders/>
          </w:tcPr>
          <w:p w14:paraId="45E3B5F8">
            <w:pPr>
              <w:pStyle w:val="style0"/>
              <w:spacing w:after="160"/>
              <w:rPr>
                <w:rFonts w:ascii="Arial" w:cs="Arial" w:hAnsi="Arial"/>
                <w:color w:val="ee0000"/>
                <w:lang w:val="en-IN"/>
              </w:rPr>
            </w:pPr>
          </w:p>
        </w:tc>
        <w:tc>
          <w:tcPr>
            <w:tcW w:w="0" w:type="auto"/>
            <w:tcBorders/>
          </w:tcPr>
          <w:p w14:paraId="4BC8D006">
            <w:pPr>
              <w:pStyle w:val="style0"/>
              <w:spacing w:after="160"/>
              <w:rPr>
                <w:rFonts w:ascii="Arial" w:cs="Arial" w:hAnsi="Arial"/>
                <w:color w:val="ee0000"/>
                <w:lang w:val="en-IN"/>
              </w:rPr>
            </w:pPr>
          </w:p>
        </w:tc>
        <w:tc>
          <w:tcPr>
            <w:tcW w:w="0" w:type="auto"/>
            <w:tcBorders/>
          </w:tcPr>
          <w:p w14:paraId="71E1435A">
            <w:pPr>
              <w:pStyle w:val="style0"/>
              <w:spacing w:after="160"/>
              <w:rPr>
                <w:rFonts w:ascii="Arial" w:cs="Arial" w:hAnsi="Arial"/>
                <w:color w:val="ee0000"/>
                <w:lang w:val="en-IN"/>
              </w:rPr>
            </w:pPr>
          </w:p>
        </w:tc>
        <w:tc>
          <w:tcPr>
            <w:tcW w:w="0" w:type="auto"/>
            <w:tcBorders/>
          </w:tcPr>
          <w:p w14:paraId="69E1D758">
            <w:pPr>
              <w:pStyle w:val="style0"/>
              <w:spacing w:after="160"/>
              <w:rPr>
                <w:rFonts w:ascii="Arial" w:cs="Arial" w:hAnsi="Arial"/>
                <w:color w:val="ee0000"/>
                <w:lang w:val="en-IN"/>
              </w:rPr>
            </w:pPr>
          </w:p>
        </w:tc>
        <w:tc>
          <w:tcPr>
            <w:tcW w:w="0" w:type="auto"/>
            <w:tcBorders/>
          </w:tcPr>
          <w:p w14:paraId="180F2A5B">
            <w:pPr>
              <w:pStyle w:val="style0"/>
              <w:spacing w:after="160"/>
              <w:rPr>
                <w:rFonts w:ascii="Arial" w:cs="Arial" w:hAnsi="Arial"/>
                <w:color w:val="ee0000"/>
                <w:lang w:val="en-IN"/>
              </w:rPr>
            </w:pPr>
          </w:p>
        </w:tc>
        <w:tc>
          <w:tcPr>
            <w:tcW w:w="0" w:type="auto"/>
            <w:tcBorders/>
          </w:tcPr>
          <w:p w14:paraId="18D8A14E">
            <w:pPr>
              <w:pStyle w:val="style0"/>
              <w:spacing w:after="160"/>
              <w:rPr>
                <w:rFonts w:ascii="Arial" w:cs="Arial" w:hAnsi="Arial"/>
                <w:color w:val="ee0000"/>
                <w:lang w:val="en-IN"/>
              </w:rPr>
            </w:pPr>
          </w:p>
        </w:tc>
      </w:tr>
      <w:tr w14:paraId="17AC3428">
        <w:tblPrEx/>
        <w:trPr/>
        <w:tc>
          <w:tcPr>
            <w:tcW w:w="0" w:type="auto"/>
            <w:tcBorders/>
            <w:hideMark/>
          </w:tcPr>
          <w:p w14:paraId="21E6DAA6">
            <w:pPr>
              <w:pStyle w:val="style0"/>
              <w:spacing w:after="160"/>
              <w:rPr>
                <w:rFonts w:ascii="Arial" w:cs="Arial" w:hAnsi="Arial"/>
                <w:color w:val="ee0000"/>
                <w:lang w:val="en-IN"/>
              </w:rPr>
            </w:pPr>
            <w:r>
              <w:rPr>
                <w:rFonts w:ascii="Arial" w:cs="Arial" w:hAnsi="Arial"/>
                <w:color w:val="ee0000"/>
                <w:lang w:val="en-IN"/>
              </w:rPr>
              <w:t>Background writing</w:t>
            </w:r>
          </w:p>
        </w:tc>
        <w:tc>
          <w:tcPr>
            <w:tcW w:w="0" w:type="auto"/>
            <w:tcBorders/>
            <w:shd w:val="clear" w:color="auto" w:fill="975ccb"/>
          </w:tcPr>
          <w:p w14:paraId="305EE600">
            <w:pPr>
              <w:pStyle w:val="style0"/>
              <w:spacing w:after="160"/>
              <w:rPr>
                <w:rFonts w:ascii="Arial" w:cs="Arial" w:hAnsi="Arial"/>
                <w:color w:val="ee0000"/>
                <w:lang w:val="en-IN"/>
              </w:rPr>
            </w:pPr>
          </w:p>
        </w:tc>
        <w:tc>
          <w:tcPr>
            <w:tcW w:w="0" w:type="auto"/>
            <w:tcBorders/>
            <w:shd w:val="clear" w:color="auto" w:fill="975ccb"/>
          </w:tcPr>
          <w:p w14:paraId="43AA63B8">
            <w:pPr>
              <w:pStyle w:val="style0"/>
              <w:spacing w:after="160"/>
              <w:rPr>
                <w:rFonts w:ascii="Arial" w:cs="Arial" w:hAnsi="Arial"/>
                <w:color w:val="ee0000"/>
                <w:lang w:val="en-IN"/>
              </w:rPr>
            </w:pPr>
          </w:p>
        </w:tc>
        <w:tc>
          <w:tcPr>
            <w:tcW w:w="0" w:type="auto"/>
            <w:tcBorders/>
          </w:tcPr>
          <w:p w14:paraId="7AC05BE3">
            <w:pPr>
              <w:pStyle w:val="style0"/>
              <w:spacing w:after="160"/>
              <w:rPr>
                <w:rFonts w:ascii="Arial" w:cs="Arial" w:hAnsi="Arial"/>
                <w:color w:val="ee0000"/>
                <w:lang w:val="en-IN"/>
              </w:rPr>
            </w:pPr>
          </w:p>
        </w:tc>
        <w:tc>
          <w:tcPr>
            <w:tcW w:w="0" w:type="auto"/>
            <w:tcBorders/>
          </w:tcPr>
          <w:p w14:paraId="40920FB2">
            <w:pPr>
              <w:pStyle w:val="style0"/>
              <w:spacing w:after="160"/>
              <w:rPr>
                <w:rFonts w:ascii="Arial" w:cs="Arial" w:hAnsi="Arial"/>
                <w:color w:val="ee0000"/>
                <w:lang w:val="en-IN"/>
              </w:rPr>
            </w:pPr>
          </w:p>
        </w:tc>
        <w:tc>
          <w:tcPr>
            <w:tcW w:w="0" w:type="auto"/>
            <w:tcBorders/>
          </w:tcPr>
          <w:p w14:paraId="3E70FFCC">
            <w:pPr>
              <w:pStyle w:val="style0"/>
              <w:spacing w:after="160"/>
              <w:rPr>
                <w:rFonts w:ascii="Arial" w:cs="Arial" w:hAnsi="Arial"/>
                <w:color w:val="ee0000"/>
                <w:lang w:val="en-IN"/>
              </w:rPr>
            </w:pPr>
          </w:p>
        </w:tc>
        <w:tc>
          <w:tcPr>
            <w:tcW w:w="0" w:type="auto"/>
            <w:tcBorders/>
          </w:tcPr>
          <w:p w14:paraId="101210AD">
            <w:pPr>
              <w:pStyle w:val="style0"/>
              <w:spacing w:after="160"/>
              <w:rPr>
                <w:rFonts w:ascii="Arial" w:cs="Arial" w:hAnsi="Arial"/>
                <w:color w:val="ee0000"/>
                <w:lang w:val="en-IN"/>
              </w:rPr>
            </w:pPr>
          </w:p>
        </w:tc>
        <w:tc>
          <w:tcPr>
            <w:tcW w:w="0" w:type="auto"/>
            <w:tcBorders/>
          </w:tcPr>
          <w:p w14:paraId="20166EFA">
            <w:pPr>
              <w:pStyle w:val="style0"/>
              <w:spacing w:after="160"/>
              <w:rPr>
                <w:rFonts w:ascii="Arial" w:cs="Arial" w:hAnsi="Arial"/>
                <w:color w:val="ee0000"/>
                <w:lang w:val="en-IN"/>
              </w:rPr>
            </w:pPr>
          </w:p>
        </w:tc>
      </w:tr>
      <w:tr w14:paraId="1721E3C6">
        <w:tblPrEx/>
        <w:trPr/>
        <w:tc>
          <w:tcPr>
            <w:tcW w:w="0" w:type="auto"/>
            <w:tcBorders/>
            <w:hideMark/>
          </w:tcPr>
          <w:p w14:paraId="44599303">
            <w:pPr>
              <w:pStyle w:val="style0"/>
              <w:spacing w:after="160"/>
              <w:rPr>
                <w:rFonts w:ascii="Arial" w:cs="Arial" w:hAnsi="Arial"/>
                <w:color w:val="ee0000"/>
                <w:lang w:val="en-IN"/>
              </w:rPr>
            </w:pPr>
            <w:r>
              <w:rPr>
                <w:rFonts w:ascii="Arial" w:cs="Arial" w:hAnsi="Arial"/>
                <w:color w:val="ee0000"/>
                <w:lang w:val="en-IN"/>
              </w:rPr>
              <w:t>Literature search</w:t>
            </w:r>
          </w:p>
        </w:tc>
        <w:tc>
          <w:tcPr>
            <w:tcW w:w="0" w:type="auto"/>
            <w:tcBorders/>
          </w:tcPr>
          <w:p w14:paraId="3B69A192">
            <w:pPr>
              <w:pStyle w:val="style0"/>
              <w:spacing w:after="160"/>
              <w:rPr>
                <w:rFonts w:ascii="Arial" w:cs="Arial" w:hAnsi="Arial"/>
                <w:color w:val="ee0000"/>
                <w:lang w:val="en-IN"/>
              </w:rPr>
            </w:pPr>
          </w:p>
        </w:tc>
        <w:tc>
          <w:tcPr>
            <w:tcW w:w="0" w:type="auto"/>
            <w:tcBorders/>
            <w:shd w:val="clear" w:color="auto" w:fill="63a4f7"/>
          </w:tcPr>
          <w:p w14:paraId="5E6842D1">
            <w:pPr>
              <w:pStyle w:val="style0"/>
              <w:spacing w:after="160"/>
              <w:rPr>
                <w:rFonts w:ascii="Arial" w:cs="Arial" w:hAnsi="Arial"/>
                <w:color w:val="ee0000"/>
                <w:lang w:val="en-IN"/>
              </w:rPr>
            </w:pPr>
          </w:p>
        </w:tc>
        <w:tc>
          <w:tcPr>
            <w:tcW w:w="0" w:type="auto"/>
            <w:tcBorders/>
            <w:shd w:val="clear" w:color="auto" w:fill="63a4f7"/>
          </w:tcPr>
          <w:p w14:paraId="60D83187">
            <w:pPr>
              <w:pStyle w:val="style0"/>
              <w:spacing w:after="160"/>
              <w:rPr>
                <w:rFonts w:ascii="Arial" w:cs="Arial" w:hAnsi="Arial"/>
                <w:color w:val="ee0000"/>
                <w:lang w:val="en-IN"/>
              </w:rPr>
            </w:pPr>
          </w:p>
        </w:tc>
        <w:tc>
          <w:tcPr>
            <w:tcW w:w="0" w:type="auto"/>
            <w:tcBorders/>
          </w:tcPr>
          <w:p w14:paraId="60F0ED92">
            <w:pPr>
              <w:pStyle w:val="style0"/>
              <w:spacing w:after="160"/>
              <w:rPr>
                <w:rFonts w:ascii="Arial" w:cs="Arial" w:hAnsi="Arial"/>
                <w:color w:val="ee0000"/>
                <w:lang w:val="en-IN"/>
              </w:rPr>
            </w:pPr>
          </w:p>
        </w:tc>
        <w:tc>
          <w:tcPr>
            <w:tcW w:w="0" w:type="auto"/>
            <w:tcBorders/>
          </w:tcPr>
          <w:p w14:paraId="15D6D89A">
            <w:pPr>
              <w:pStyle w:val="style0"/>
              <w:spacing w:after="160"/>
              <w:rPr>
                <w:rFonts w:ascii="Arial" w:cs="Arial" w:hAnsi="Arial"/>
                <w:color w:val="ee0000"/>
                <w:lang w:val="en-IN"/>
              </w:rPr>
            </w:pPr>
          </w:p>
        </w:tc>
        <w:tc>
          <w:tcPr>
            <w:tcW w:w="0" w:type="auto"/>
            <w:tcBorders/>
          </w:tcPr>
          <w:p w14:paraId="6E404843">
            <w:pPr>
              <w:pStyle w:val="style0"/>
              <w:spacing w:after="160"/>
              <w:rPr>
                <w:rFonts w:ascii="Arial" w:cs="Arial" w:hAnsi="Arial"/>
                <w:color w:val="ee0000"/>
                <w:lang w:val="en-IN"/>
              </w:rPr>
            </w:pPr>
          </w:p>
        </w:tc>
        <w:tc>
          <w:tcPr>
            <w:tcW w:w="0" w:type="auto"/>
            <w:tcBorders/>
          </w:tcPr>
          <w:p w14:paraId="332114A6">
            <w:pPr>
              <w:pStyle w:val="style0"/>
              <w:spacing w:after="160"/>
              <w:rPr>
                <w:rFonts w:ascii="Arial" w:cs="Arial" w:hAnsi="Arial"/>
                <w:color w:val="ee0000"/>
                <w:lang w:val="en-IN"/>
              </w:rPr>
            </w:pPr>
          </w:p>
        </w:tc>
      </w:tr>
      <w:tr w14:paraId="1EBB3D66">
        <w:tblPrEx/>
        <w:trPr/>
        <w:tc>
          <w:tcPr>
            <w:tcW w:w="0" w:type="auto"/>
            <w:tcBorders/>
            <w:hideMark/>
          </w:tcPr>
          <w:p w14:paraId="0A2BD0A4">
            <w:pPr>
              <w:pStyle w:val="style0"/>
              <w:spacing w:after="160"/>
              <w:rPr>
                <w:rFonts w:ascii="Arial" w:cs="Arial" w:hAnsi="Arial"/>
                <w:color w:val="ee0000"/>
                <w:lang w:val="en-IN"/>
              </w:rPr>
            </w:pPr>
            <w:r>
              <w:rPr>
                <w:rFonts w:ascii="Arial" w:cs="Arial" w:hAnsi="Arial"/>
                <w:color w:val="ee0000"/>
                <w:lang w:val="en-IN"/>
              </w:rPr>
              <w:t>Supervisor Meeting 1</w:t>
            </w:r>
          </w:p>
        </w:tc>
        <w:tc>
          <w:tcPr>
            <w:tcW w:w="0" w:type="auto"/>
            <w:tcBorders/>
          </w:tcPr>
          <w:p w14:paraId="4DEFCF69">
            <w:pPr>
              <w:pStyle w:val="style0"/>
              <w:spacing w:after="160"/>
              <w:rPr>
                <w:rFonts w:ascii="Arial" w:cs="Arial" w:hAnsi="Arial"/>
                <w:color w:val="ee0000"/>
                <w:lang w:val="en-IN"/>
              </w:rPr>
            </w:pPr>
          </w:p>
        </w:tc>
        <w:tc>
          <w:tcPr>
            <w:tcW w:w="0" w:type="auto"/>
            <w:tcBorders/>
            <w:shd w:val="clear" w:color="auto" w:fill="227acb"/>
          </w:tcPr>
          <w:p w14:paraId="03F4D2F4">
            <w:pPr>
              <w:pStyle w:val="style0"/>
              <w:spacing w:after="160"/>
              <w:rPr>
                <w:rFonts w:ascii="Arial" w:cs="Arial" w:hAnsi="Arial"/>
                <w:color w:val="ee0000"/>
                <w:lang w:val="en-IN"/>
              </w:rPr>
            </w:pPr>
          </w:p>
        </w:tc>
        <w:tc>
          <w:tcPr>
            <w:tcW w:w="0" w:type="auto"/>
            <w:tcBorders/>
          </w:tcPr>
          <w:p w14:paraId="624D8C04">
            <w:pPr>
              <w:pStyle w:val="style0"/>
              <w:spacing w:after="160"/>
              <w:rPr>
                <w:rFonts w:ascii="Arial" w:cs="Arial" w:hAnsi="Arial"/>
                <w:color w:val="ee0000"/>
                <w:lang w:val="en-IN"/>
              </w:rPr>
            </w:pPr>
          </w:p>
        </w:tc>
        <w:tc>
          <w:tcPr>
            <w:tcW w:w="0" w:type="auto"/>
            <w:tcBorders/>
          </w:tcPr>
          <w:p w14:paraId="54016A31">
            <w:pPr>
              <w:pStyle w:val="style0"/>
              <w:spacing w:after="160"/>
              <w:rPr>
                <w:rFonts w:ascii="Arial" w:cs="Arial" w:hAnsi="Arial"/>
                <w:color w:val="ee0000"/>
                <w:lang w:val="en-IN"/>
              </w:rPr>
            </w:pPr>
          </w:p>
        </w:tc>
        <w:tc>
          <w:tcPr>
            <w:tcW w:w="0" w:type="auto"/>
            <w:tcBorders/>
          </w:tcPr>
          <w:p w14:paraId="5553B37D">
            <w:pPr>
              <w:pStyle w:val="style0"/>
              <w:spacing w:after="160"/>
              <w:rPr>
                <w:rFonts w:ascii="Arial" w:cs="Arial" w:hAnsi="Arial"/>
                <w:color w:val="ee0000"/>
                <w:lang w:val="en-IN"/>
              </w:rPr>
            </w:pPr>
          </w:p>
        </w:tc>
        <w:tc>
          <w:tcPr>
            <w:tcW w:w="0" w:type="auto"/>
            <w:tcBorders/>
          </w:tcPr>
          <w:p w14:paraId="0719AC83">
            <w:pPr>
              <w:pStyle w:val="style0"/>
              <w:spacing w:after="160"/>
              <w:rPr>
                <w:rFonts w:ascii="Arial" w:cs="Arial" w:hAnsi="Arial"/>
                <w:color w:val="ee0000"/>
                <w:lang w:val="en-IN"/>
              </w:rPr>
            </w:pPr>
          </w:p>
        </w:tc>
        <w:tc>
          <w:tcPr>
            <w:tcW w:w="0" w:type="auto"/>
            <w:tcBorders/>
          </w:tcPr>
          <w:p w14:paraId="7EFBD8DB">
            <w:pPr>
              <w:pStyle w:val="style0"/>
              <w:spacing w:after="160"/>
              <w:rPr>
                <w:rFonts w:ascii="Arial" w:cs="Arial" w:hAnsi="Arial"/>
                <w:color w:val="ee0000"/>
                <w:lang w:val="en-IN"/>
              </w:rPr>
            </w:pPr>
          </w:p>
        </w:tc>
      </w:tr>
      <w:tr w14:paraId="5CCEB0DE">
        <w:tblPrEx/>
        <w:trPr/>
        <w:tc>
          <w:tcPr>
            <w:tcW w:w="0" w:type="auto"/>
            <w:tcBorders/>
            <w:hideMark/>
          </w:tcPr>
          <w:p w14:paraId="102F4501">
            <w:pPr>
              <w:pStyle w:val="style0"/>
              <w:spacing w:after="160"/>
              <w:rPr>
                <w:rFonts w:ascii="Arial" w:cs="Arial" w:hAnsi="Arial"/>
                <w:color w:val="ee0000"/>
                <w:lang w:val="en-IN"/>
              </w:rPr>
            </w:pPr>
            <w:r>
              <w:rPr>
                <w:rFonts w:ascii="Arial" w:cs="Arial" w:hAnsi="Arial"/>
                <w:color w:val="ee0000"/>
                <w:lang w:val="en-IN"/>
              </w:rPr>
              <w:t>Feedback Revision 1</w:t>
            </w:r>
          </w:p>
        </w:tc>
        <w:tc>
          <w:tcPr>
            <w:tcW w:w="0" w:type="auto"/>
            <w:tcBorders/>
          </w:tcPr>
          <w:p w14:paraId="0076EDC4">
            <w:pPr>
              <w:pStyle w:val="style0"/>
              <w:spacing w:after="160"/>
              <w:rPr>
                <w:rFonts w:ascii="Arial" w:cs="Arial" w:hAnsi="Arial"/>
                <w:color w:val="ee0000"/>
                <w:lang w:val="en-IN"/>
              </w:rPr>
            </w:pPr>
          </w:p>
        </w:tc>
        <w:tc>
          <w:tcPr>
            <w:tcW w:w="0" w:type="auto"/>
            <w:tcBorders/>
          </w:tcPr>
          <w:p w14:paraId="6D8C26BB">
            <w:pPr>
              <w:pStyle w:val="style0"/>
              <w:spacing w:after="160"/>
              <w:rPr>
                <w:rFonts w:ascii="Arial" w:cs="Arial" w:hAnsi="Arial"/>
                <w:color w:val="ee0000"/>
                <w:lang w:val="en-IN"/>
              </w:rPr>
            </w:pPr>
          </w:p>
        </w:tc>
        <w:tc>
          <w:tcPr>
            <w:tcW w:w="0" w:type="auto"/>
            <w:tcBorders/>
            <w:shd w:val="clear" w:color="auto" w:fill="a2a2a2"/>
          </w:tcPr>
          <w:p w14:paraId="34B6CC6C">
            <w:pPr>
              <w:pStyle w:val="style0"/>
              <w:spacing w:after="160"/>
              <w:rPr>
                <w:rFonts w:ascii="Arial" w:cs="Arial" w:hAnsi="Arial"/>
                <w:color w:val="ee0000"/>
                <w:lang w:val="en-IN"/>
              </w:rPr>
            </w:pPr>
          </w:p>
        </w:tc>
        <w:tc>
          <w:tcPr>
            <w:tcW w:w="0" w:type="auto"/>
            <w:tcBorders/>
          </w:tcPr>
          <w:p w14:paraId="63CD0D3F">
            <w:pPr>
              <w:pStyle w:val="style0"/>
              <w:spacing w:after="160"/>
              <w:rPr>
                <w:rFonts w:ascii="Arial" w:cs="Arial" w:hAnsi="Arial"/>
                <w:color w:val="ee0000"/>
                <w:lang w:val="en-IN"/>
              </w:rPr>
            </w:pPr>
          </w:p>
        </w:tc>
        <w:tc>
          <w:tcPr>
            <w:tcW w:w="0" w:type="auto"/>
            <w:tcBorders/>
          </w:tcPr>
          <w:p w14:paraId="4C8204B3">
            <w:pPr>
              <w:pStyle w:val="style0"/>
              <w:spacing w:after="160"/>
              <w:rPr>
                <w:rFonts w:ascii="Arial" w:cs="Arial" w:hAnsi="Arial"/>
                <w:color w:val="ee0000"/>
                <w:lang w:val="en-IN"/>
              </w:rPr>
            </w:pPr>
          </w:p>
        </w:tc>
        <w:tc>
          <w:tcPr>
            <w:tcW w:w="0" w:type="auto"/>
            <w:tcBorders/>
          </w:tcPr>
          <w:p w14:paraId="32FB2690">
            <w:pPr>
              <w:pStyle w:val="style0"/>
              <w:spacing w:after="160"/>
              <w:rPr>
                <w:rFonts w:ascii="Arial" w:cs="Arial" w:hAnsi="Arial"/>
                <w:color w:val="ee0000"/>
                <w:lang w:val="en-IN"/>
              </w:rPr>
            </w:pPr>
          </w:p>
        </w:tc>
        <w:tc>
          <w:tcPr>
            <w:tcW w:w="0" w:type="auto"/>
            <w:tcBorders/>
          </w:tcPr>
          <w:p w14:paraId="68032C7D">
            <w:pPr>
              <w:pStyle w:val="style0"/>
              <w:spacing w:after="160"/>
              <w:rPr>
                <w:rFonts w:ascii="Arial" w:cs="Arial" w:hAnsi="Arial"/>
                <w:color w:val="ee0000"/>
                <w:lang w:val="en-IN"/>
              </w:rPr>
            </w:pPr>
          </w:p>
        </w:tc>
      </w:tr>
      <w:tr w14:paraId="7BFE7F95">
        <w:tblPrEx/>
        <w:trPr/>
        <w:tc>
          <w:tcPr>
            <w:tcW w:w="0" w:type="auto"/>
            <w:tcBorders/>
            <w:hideMark/>
          </w:tcPr>
          <w:p w14:paraId="00641F5A">
            <w:pPr>
              <w:pStyle w:val="style0"/>
              <w:spacing w:after="160"/>
              <w:rPr>
                <w:rFonts w:ascii="Arial" w:cs="Arial" w:hAnsi="Arial"/>
                <w:color w:val="ee0000"/>
                <w:lang w:val="en-IN"/>
              </w:rPr>
            </w:pPr>
            <w:r>
              <w:rPr>
                <w:rFonts w:ascii="Arial" w:cs="Arial" w:hAnsi="Arial"/>
                <w:color w:val="ee0000"/>
                <w:lang w:val="en-IN"/>
              </w:rPr>
              <w:t>Data collection</w:t>
            </w:r>
          </w:p>
        </w:tc>
        <w:tc>
          <w:tcPr>
            <w:tcW w:w="0" w:type="auto"/>
            <w:tcBorders/>
          </w:tcPr>
          <w:p w14:paraId="1C1365FC">
            <w:pPr>
              <w:pStyle w:val="style0"/>
              <w:spacing w:after="160"/>
              <w:rPr>
                <w:rFonts w:ascii="Arial" w:cs="Arial" w:hAnsi="Arial"/>
                <w:color w:val="ee0000"/>
                <w:lang w:val="en-IN"/>
              </w:rPr>
            </w:pPr>
          </w:p>
        </w:tc>
        <w:tc>
          <w:tcPr>
            <w:tcW w:w="0" w:type="auto"/>
            <w:tcBorders/>
          </w:tcPr>
          <w:p w14:paraId="2F3C476C">
            <w:pPr>
              <w:pStyle w:val="style0"/>
              <w:spacing w:after="160"/>
              <w:rPr>
                <w:rFonts w:ascii="Arial" w:cs="Arial" w:hAnsi="Arial"/>
                <w:color w:val="ee0000"/>
                <w:lang w:val="en-IN"/>
              </w:rPr>
            </w:pPr>
          </w:p>
        </w:tc>
        <w:tc>
          <w:tcPr>
            <w:tcW w:w="0" w:type="auto"/>
            <w:tcBorders/>
            <w:shd w:val="clear" w:color="auto" w:fill="c5e0b3"/>
          </w:tcPr>
          <w:p w14:paraId="368CB80D">
            <w:pPr>
              <w:pStyle w:val="style0"/>
              <w:spacing w:after="160"/>
              <w:rPr>
                <w:rFonts w:ascii="Arial" w:cs="Arial" w:hAnsi="Arial"/>
                <w:color w:val="ee0000"/>
                <w:lang w:val="en-IN"/>
              </w:rPr>
            </w:pPr>
          </w:p>
        </w:tc>
        <w:tc>
          <w:tcPr>
            <w:tcW w:w="0" w:type="auto"/>
            <w:tcBorders/>
            <w:shd w:val="clear" w:color="auto" w:fill="c5e0b3"/>
          </w:tcPr>
          <w:p w14:paraId="4F7D9EF1">
            <w:pPr>
              <w:pStyle w:val="style0"/>
              <w:spacing w:after="160"/>
              <w:rPr>
                <w:rFonts w:ascii="Arial" w:cs="Arial" w:hAnsi="Arial"/>
                <w:color w:val="ee0000"/>
                <w:lang w:val="en-IN"/>
              </w:rPr>
            </w:pPr>
          </w:p>
        </w:tc>
        <w:tc>
          <w:tcPr>
            <w:tcW w:w="0" w:type="auto"/>
            <w:tcBorders/>
          </w:tcPr>
          <w:p w14:paraId="214763B0">
            <w:pPr>
              <w:pStyle w:val="style0"/>
              <w:spacing w:after="160"/>
              <w:rPr>
                <w:rFonts w:ascii="Arial" w:cs="Arial" w:hAnsi="Arial"/>
                <w:color w:val="ee0000"/>
                <w:lang w:val="en-IN"/>
              </w:rPr>
            </w:pPr>
          </w:p>
        </w:tc>
        <w:tc>
          <w:tcPr>
            <w:tcW w:w="0" w:type="auto"/>
            <w:tcBorders/>
          </w:tcPr>
          <w:p w14:paraId="4AC80C23">
            <w:pPr>
              <w:pStyle w:val="style0"/>
              <w:spacing w:after="160"/>
              <w:rPr>
                <w:rFonts w:ascii="Arial" w:cs="Arial" w:hAnsi="Arial"/>
                <w:color w:val="ee0000"/>
                <w:lang w:val="en-IN"/>
              </w:rPr>
            </w:pPr>
          </w:p>
        </w:tc>
        <w:tc>
          <w:tcPr>
            <w:tcW w:w="0" w:type="auto"/>
            <w:tcBorders/>
          </w:tcPr>
          <w:p w14:paraId="77867334">
            <w:pPr>
              <w:pStyle w:val="style0"/>
              <w:spacing w:after="160"/>
              <w:rPr>
                <w:rFonts w:ascii="Arial" w:cs="Arial" w:hAnsi="Arial"/>
                <w:color w:val="ee0000"/>
                <w:lang w:val="en-IN"/>
              </w:rPr>
            </w:pPr>
          </w:p>
        </w:tc>
      </w:tr>
      <w:tr w14:paraId="4B889CA7">
        <w:tblPrEx/>
        <w:trPr/>
        <w:tc>
          <w:tcPr>
            <w:tcW w:w="0" w:type="auto"/>
            <w:tcBorders/>
            <w:hideMark/>
          </w:tcPr>
          <w:p w14:paraId="6D717455">
            <w:pPr>
              <w:pStyle w:val="style0"/>
              <w:spacing w:after="160"/>
              <w:rPr>
                <w:rFonts w:ascii="Arial" w:cs="Arial" w:hAnsi="Arial"/>
                <w:color w:val="ee0000"/>
                <w:lang w:val="en-IN"/>
              </w:rPr>
            </w:pPr>
            <w:r>
              <w:rPr>
                <w:rFonts w:ascii="Arial" w:cs="Arial" w:hAnsi="Arial"/>
                <w:color w:val="ee0000"/>
                <w:lang w:val="en-IN"/>
              </w:rPr>
              <w:t>Thematic analysis</w:t>
            </w:r>
          </w:p>
        </w:tc>
        <w:tc>
          <w:tcPr>
            <w:tcW w:w="0" w:type="auto"/>
            <w:tcBorders/>
          </w:tcPr>
          <w:p w14:paraId="3488CECD">
            <w:pPr>
              <w:pStyle w:val="style0"/>
              <w:spacing w:after="160"/>
              <w:rPr>
                <w:rFonts w:ascii="Arial" w:cs="Arial" w:hAnsi="Arial"/>
                <w:color w:val="ee0000"/>
                <w:lang w:val="en-IN"/>
              </w:rPr>
            </w:pPr>
          </w:p>
        </w:tc>
        <w:tc>
          <w:tcPr>
            <w:tcW w:w="0" w:type="auto"/>
            <w:tcBorders/>
          </w:tcPr>
          <w:p w14:paraId="7F7253ED">
            <w:pPr>
              <w:pStyle w:val="style0"/>
              <w:spacing w:after="160"/>
              <w:rPr>
                <w:rFonts w:ascii="Arial" w:cs="Arial" w:hAnsi="Arial"/>
                <w:color w:val="ee0000"/>
                <w:lang w:val="en-IN"/>
              </w:rPr>
            </w:pPr>
          </w:p>
        </w:tc>
        <w:tc>
          <w:tcPr>
            <w:tcW w:w="0" w:type="auto"/>
            <w:tcBorders/>
          </w:tcPr>
          <w:p w14:paraId="600AB9E9">
            <w:pPr>
              <w:pStyle w:val="style0"/>
              <w:spacing w:after="160"/>
              <w:rPr>
                <w:rFonts w:ascii="Arial" w:cs="Arial" w:hAnsi="Arial"/>
                <w:color w:val="ee0000"/>
                <w:lang w:val="en-IN"/>
              </w:rPr>
            </w:pPr>
          </w:p>
        </w:tc>
        <w:tc>
          <w:tcPr>
            <w:tcW w:w="0" w:type="auto"/>
            <w:tcBorders/>
            <w:shd w:val="clear" w:color="auto" w:fill="fff2cc"/>
          </w:tcPr>
          <w:p w14:paraId="168B0194">
            <w:pPr>
              <w:pStyle w:val="style0"/>
              <w:spacing w:after="160"/>
              <w:rPr>
                <w:rFonts w:ascii="Arial" w:cs="Arial" w:hAnsi="Arial"/>
                <w:color w:val="ee0000"/>
                <w:lang w:val="en-IN"/>
              </w:rPr>
            </w:pPr>
          </w:p>
        </w:tc>
        <w:tc>
          <w:tcPr>
            <w:tcW w:w="0" w:type="auto"/>
            <w:tcBorders/>
            <w:shd w:val="clear" w:color="auto" w:fill="fff2cc"/>
          </w:tcPr>
          <w:p w14:paraId="6DC84DC0">
            <w:pPr>
              <w:pStyle w:val="style0"/>
              <w:spacing w:after="160"/>
              <w:rPr>
                <w:rFonts w:ascii="Arial" w:cs="Arial" w:hAnsi="Arial"/>
                <w:color w:val="ee0000"/>
                <w:lang w:val="en-IN"/>
              </w:rPr>
            </w:pPr>
          </w:p>
        </w:tc>
        <w:tc>
          <w:tcPr>
            <w:tcW w:w="0" w:type="auto"/>
            <w:tcBorders/>
          </w:tcPr>
          <w:p w14:paraId="385BA76D">
            <w:pPr>
              <w:pStyle w:val="style0"/>
              <w:spacing w:after="160"/>
              <w:rPr>
                <w:rFonts w:ascii="Arial" w:cs="Arial" w:hAnsi="Arial"/>
                <w:color w:val="ee0000"/>
                <w:lang w:val="en-IN"/>
              </w:rPr>
            </w:pPr>
          </w:p>
        </w:tc>
        <w:tc>
          <w:tcPr>
            <w:tcW w:w="0" w:type="auto"/>
            <w:tcBorders/>
          </w:tcPr>
          <w:p w14:paraId="2F32D0FF">
            <w:pPr>
              <w:pStyle w:val="style0"/>
              <w:spacing w:after="160"/>
              <w:rPr>
                <w:rFonts w:ascii="Arial" w:cs="Arial" w:hAnsi="Arial"/>
                <w:color w:val="ee0000"/>
                <w:lang w:val="en-IN"/>
              </w:rPr>
            </w:pPr>
          </w:p>
        </w:tc>
      </w:tr>
      <w:tr w14:paraId="751163FF">
        <w:tblPrEx/>
        <w:trPr/>
        <w:tc>
          <w:tcPr>
            <w:tcW w:w="0" w:type="auto"/>
            <w:tcBorders/>
            <w:hideMark/>
          </w:tcPr>
          <w:p w14:paraId="52EEA096">
            <w:pPr>
              <w:pStyle w:val="style0"/>
              <w:spacing w:after="160"/>
              <w:rPr>
                <w:rFonts w:ascii="Arial" w:cs="Arial" w:hAnsi="Arial"/>
                <w:color w:val="ee0000"/>
                <w:lang w:val="en-IN"/>
              </w:rPr>
            </w:pPr>
            <w:r>
              <w:rPr>
                <w:rFonts w:ascii="Arial" w:cs="Arial" w:hAnsi="Arial"/>
                <w:color w:val="ee0000"/>
                <w:lang w:val="en-IN"/>
              </w:rPr>
              <w:t>Methodology writing</w:t>
            </w:r>
          </w:p>
        </w:tc>
        <w:tc>
          <w:tcPr>
            <w:tcW w:w="0" w:type="auto"/>
            <w:tcBorders/>
          </w:tcPr>
          <w:p w14:paraId="2793863E">
            <w:pPr>
              <w:pStyle w:val="style0"/>
              <w:spacing w:after="160"/>
              <w:rPr>
                <w:rFonts w:ascii="Arial" w:cs="Arial" w:hAnsi="Arial"/>
                <w:color w:val="ee0000"/>
                <w:lang w:val="en-IN"/>
              </w:rPr>
            </w:pPr>
          </w:p>
        </w:tc>
        <w:tc>
          <w:tcPr>
            <w:tcW w:w="0" w:type="auto"/>
            <w:tcBorders/>
          </w:tcPr>
          <w:p w14:paraId="6191B3A4">
            <w:pPr>
              <w:pStyle w:val="style0"/>
              <w:spacing w:after="160"/>
              <w:rPr>
                <w:rFonts w:ascii="Arial" w:cs="Arial" w:hAnsi="Arial"/>
                <w:color w:val="ee0000"/>
                <w:lang w:val="en-IN"/>
              </w:rPr>
            </w:pPr>
          </w:p>
        </w:tc>
        <w:tc>
          <w:tcPr>
            <w:tcW w:w="0" w:type="auto"/>
            <w:tcBorders/>
          </w:tcPr>
          <w:p w14:paraId="2DA5807B">
            <w:pPr>
              <w:pStyle w:val="style0"/>
              <w:spacing w:after="160"/>
              <w:rPr>
                <w:rFonts w:ascii="Arial" w:cs="Arial" w:hAnsi="Arial"/>
                <w:color w:val="ee0000"/>
                <w:lang w:val="en-IN"/>
              </w:rPr>
            </w:pPr>
          </w:p>
        </w:tc>
        <w:tc>
          <w:tcPr>
            <w:tcW w:w="0" w:type="auto"/>
            <w:tcBorders/>
          </w:tcPr>
          <w:p w14:paraId="413EC9B9">
            <w:pPr>
              <w:pStyle w:val="style0"/>
              <w:spacing w:after="160"/>
              <w:rPr>
                <w:rFonts w:ascii="Arial" w:cs="Arial" w:hAnsi="Arial"/>
                <w:color w:val="ee0000"/>
                <w:lang w:val="en-IN"/>
              </w:rPr>
            </w:pPr>
          </w:p>
        </w:tc>
        <w:tc>
          <w:tcPr>
            <w:tcW w:w="0" w:type="auto"/>
            <w:tcBorders/>
            <w:shd w:val="clear" w:color="auto" w:fill="7f7f7f"/>
          </w:tcPr>
          <w:p w14:paraId="20CD8C49">
            <w:pPr>
              <w:pStyle w:val="style0"/>
              <w:spacing w:after="160"/>
              <w:rPr>
                <w:rFonts w:ascii="Arial" w:cs="Arial" w:hAnsi="Arial"/>
                <w:color w:val="ee0000"/>
                <w:lang w:val="en-IN"/>
              </w:rPr>
            </w:pPr>
          </w:p>
        </w:tc>
        <w:tc>
          <w:tcPr>
            <w:tcW w:w="0" w:type="auto"/>
            <w:tcBorders/>
          </w:tcPr>
          <w:p w14:paraId="088B8A57">
            <w:pPr>
              <w:pStyle w:val="style0"/>
              <w:spacing w:after="160"/>
              <w:rPr>
                <w:rFonts w:ascii="Arial" w:cs="Arial" w:hAnsi="Arial"/>
                <w:color w:val="ee0000"/>
                <w:lang w:val="en-IN"/>
              </w:rPr>
            </w:pPr>
          </w:p>
        </w:tc>
        <w:tc>
          <w:tcPr>
            <w:tcW w:w="0" w:type="auto"/>
            <w:tcBorders/>
          </w:tcPr>
          <w:p w14:paraId="6C46D976">
            <w:pPr>
              <w:pStyle w:val="style0"/>
              <w:spacing w:after="160"/>
              <w:rPr>
                <w:rFonts w:ascii="Arial" w:cs="Arial" w:hAnsi="Arial"/>
                <w:color w:val="ee0000"/>
                <w:lang w:val="en-IN"/>
              </w:rPr>
            </w:pPr>
          </w:p>
        </w:tc>
      </w:tr>
      <w:tr w14:paraId="70F0103A">
        <w:tblPrEx/>
        <w:trPr/>
        <w:tc>
          <w:tcPr>
            <w:tcW w:w="0" w:type="auto"/>
            <w:tcBorders/>
            <w:hideMark/>
          </w:tcPr>
          <w:p w14:paraId="37362FA3">
            <w:pPr>
              <w:pStyle w:val="style0"/>
              <w:spacing w:after="160"/>
              <w:rPr>
                <w:rFonts w:ascii="Arial" w:cs="Arial" w:hAnsi="Arial"/>
                <w:color w:val="ee0000"/>
                <w:lang w:val="en-IN"/>
              </w:rPr>
            </w:pPr>
            <w:r>
              <w:rPr>
                <w:rFonts w:ascii="Arial" w:cs="Arial" w:hAnsi="Arial"/>
                <w:color w:val="ee0000"/>
                <w:lang w:val="en-IN"/>
              </w:rPr>
              <w:t>Supervisor Meeting 2</w:t>
            </w:r>
          </w:p>
        </w:tc>
        <w:tc>
          <w:tcPr>
            <w:tcW w:w="0" w:type="auto"/>
            <w:tcBorders/>
          </w:tcPr>
          <w:p w14:paraId="34CE5FC0">
            <w:pPr>
              <w:pStyle w:val="style0"/>
              <w:spacing w:after="160"/>
              <w:rPr>
                <w:rFonts w:ascii="Arial" w:cs="Arial" w:hAnsi="Arial"/>
                <w:color w:val="ee0000"/>
                <w:lang w:val="en-IN"/>
              </w:rPr>
            </w:pPr>
          </w:p>
        </w:tc>
        <w:tc>
          <w:tcPr>
            <w:tcW w:w="0" w:type="auto"/>
            <w:tcBorders/>
          </w:tcPr>
          <w:p w14:paraId="6C3C12ED">
            <w:pPr>
              <w:pStyle w:val="style0"/>
              <w:spacing w:after="160"/>
              <w:rPr>
                <w:rFonts w:ascii="Arial" w:cs="Arial" w:hAnsi="Arial"/>
                <w:color w:val="ee0000"/>
                <w:lang w:val="en-IN"/>
              </w:rPr>
            </w:pPr>
          </w:p>
        </w:tc>
        <w:tc>
          <w:tcPr>
            <w:tcW w:w="0" w:type="auto"/>
            <w:tcBorders/>
          </w:tcPr>
          <w:p w14:paraId="57AF078E">
            <w:pPr>
              <w:pStyle w:val="style0"/>
              <w:spacing w:after="160"/>
              <w:rPr>
                <w:rFonts w:ascii="Arial" w:cs="Arial" w:hAnsi="Arial"/>
                <w:color w:val="ee0000"/>
                <w:lang w:val="en-IN"/>
              </w:rPr>
            </w:pPr>
          </w:p>
        </w:tc>
        <w:tc>
          <w:tcPr>
            <w:tcW w:w="0" w:type="auto"/>
            <w:tcBorders/>
          </w:tcPr>
          <w:p w14:paraId="70C1BD5B">
            <w:pPr>
              <w:pStyle w:val="style0"/>
              <w:spacing w:after="160"/>
              <w:rPr>
                <w:rFonts w:ascii="Arial" w:cs="Arial" w:hAnsi="Arial"/>
                <w:color w:val="ee0000"/>
                <w:lang w:val="en-IN"/>
              </w:rPr>
            </w:pPr>
          </w:p>
        </w:tc>
        <w:tc>
          <w:tcPr>
            <w:tcW w:w="0" w:type="auto"/>
            <w:tcBorders/>
            <w:shd w:val="clear" w:color="auto" w:fill="ffd966"/>
          </w:tcPr>
          <w:p w14:paraId="538A460A">
            <w:pPr>
              <w:pStyle w:val="style0"/>
              <w:spacing w:after="160"/>
              <w:rPr>
                <w:rFonts w:ascii="Arial" w:cs="Arial" w:hAnsi="Arial"/>
                <w:color w:val="ee0000"/>
                <w:lang w:val="en-IN"/>
              </w:rPr>
            </w:pPr>
          </w:p>
        </w:tc>
        <w:tc>
          <w:tcPr>
            <w:tcW w:w="0" w:type="auto"/>
            <w:tcBorders/>
          </w:tcPr>
          <w:p w14:paraId="7AADE2BE">
            <w:pPr>
              <w:pStyle w:val="style0"/>
              <w:spacing w:after="160"/>
              <w:rPr>
                <w:rFonts w:ascii="Arial" w:cs="Arial" w:hAnsi="Arial"/>
                <w:color w:val="ee0000"/>
                <w:lang w:val="en-IN"/>
              </w:rPr>
            </w:pPr>
          </w:p>
        </w:tc>
        <w:tc>
          <w:tcPr>
            <w:tcW w:w="0" w:type="auto"/>
            <w:tcBorders/>
          </w:tcPr>
          <w:p w14:paraId="7BE08F8D">
            <w:pPr>
              <w:pStyle w:val="style0"/>
              <w:spacing w:after="160"/>
              <w:rPr>
                <w:rFonts w:ascii="Arial" w:cs="Arial" w:hAnsi="Arial"/>
                <w:color w:val="ee0000"/>
                <w:lang w:val="en-IN"/>
              </w:rPr>
            </w:pPr>
          </w:p>
        </w:tc>
      </w:tr>
      <w:tr w14:paraId="4927CEE2">
        <w:tblPrEx/>
        <w:trPr/>
        <w:tc>
          <w:tcPr>
            <w:tcW w:w="0" w:type="auto"/>
            <w:tcBorders/>
            <w:hideMark/>
          </w:tcPr>
          <w:p w14:paraId="44AB7296">
            <w:pPr>
              <w:pStyle w:val="style0"/>
              <w:spacing w:after="160"/>
              <w:rPr>
                <w:rFonts w:ascii="Arial" w:cs="Arial" w:hAnsi="Arial"/>
                <w:color w:val="ee0000"/>
                <w:lang w:val="en-IN"/>
              </w:rPr>
            </w:pPr>
            <w:r>
              <w:rPr>
                <w:rFonts w:ascii="Arial" w:cs="Arial" w:hAnsi="Arial"/>
                <w:color w:val="ee0000"/>
                <w:lang w:val="en-IN"/>
              </w:rPr>
              <w:t>Feedback Revision 2</w:t>
            </w:r>
          </w:p>
        </w:tc>
        <w:tc>
          <w:tcPr>
            <w:tcW w:w="0" w:type="auto"/>
            <w:tcBorders/>
          </w:tcPr>
          <w:p w14:paraId="0057C587">
            <w:pPr>
              <w:pStyle w:val="style0"/>
              <w:spacing w:after="160"/>
              <w:rPr>
                <w:rFonts w:ascii="Arial" w:cs="Arial" w:hAnsi="Arial"/>
                <w:color w:val="ee0000"/>
                <w:lang w:val="en-IN"/>
              </w:rPr>
            </w:pPr>
          </w:p>
        </w:tc>
        <w:tc>
          <w:tcPr>
            <w:tcW w:w="0" w:type="auto"/>
            <w:tcBorders/>
          </w:tcPr>
          <w:p w14:paraId="42418823">
            <w:pPr>
              <w:pStyle w:val="style0"/>
              <w:spacing w:after="160"/>
              <w:rPr>
                <w:rFonts w:ascii="Arial" w:cs="Arial" w:hAnsi="Arial"/>
                <w:color w:val="ee0000"/>
                <w:lang w:val="en-IN"/>
              </w:rPr>
            </w:pPr>
          </w:p>
        </w:tc>
        <w:tc>
          <w:tcPr>
            <w:tcW w:w="0" w:type="auto"/>
            <w:tcBorders/>
          </w:tcPr>
          <w:p w14:paraId="6710741D">
            <w:pPr>
              <w:pStyle w:val="style0"/>
              <w:spacing w:after="160"/>
              <w:rPr>
                <w:rFonts w:ascii="Arial" w:cs="Arial" w:hAnsi="Arial"/>
                <w:color w:val="ee0000"/>
                <w:lang w:val="en-IN"/>
              </w:rPr>
            </w:pPr>
          </w:p>
        </w:tc>
        <w:tc>
          <w:tcPr>
            <w:tcW w:w="0" w:type="auto"/>
            <w:tcBorders/>
          </w:tcPr>
          <w:p w14:paraId="7D437D1C">
            <w:pPr>
              <w:pStyle w:val="style0"/>
              <w:spacing w:after="160"/>
              <w:rPr>
                <w:rFonts w:ascii="Arial" w:cs="Arial" w:hAnsi="Arial"/>
                <w:color w:val="ee0000"/>
                <w:lang w:val="en-IN"/>
              </w:rPr>
            </w:pPr>
          </w:p>
        </w:tc>
        <w:tc>
          <w:tcPr>
            <w:tcW w:w="0" w:type="auto"/>
            <w:tcBorders/>
          </w:tcPr>
          <w:p w14:paraId="21238FB0">
            <w:pPr>
              <w:pStyle w:val="style0"/>
              <w:spacing w:after="160"/>
              <w:rPr>
                <w:rFonts w:ascii="Arial" w:cs="Arial" w:hAnsi="Arial"/>
                <w:color w:val="ee0000"/>
                <w:lang w:val="en-IN"/>
              </w:rPr>
            </w:pPr>
          </w:p>
        </w:tc>
        <w:tc>
          <w:tcPr>
            <w:tcW w:w="0" w:type="auto"/>
            <w:tcBorders/>
            <w:shd w:val="clear" w:color="auto" w:fill="538135"/>
          </w:tcPr>
          <w:p w14:paraId="6C4C17CB">
            <w:pPr>
              <w:pStyle w:val="style0"/>
              <w:spacing w:after="160"/>
              <w:rPr>
                <w:rFonts w:ascii="Arial" w:cs="Arial" w:hAnsi="Arial"/>
                <w:color w:val="ee0000"/>
                <w:lang w:val="en-IN"/>
              </w:rPr>
            </w:pPr>
          </w:p>
        </w:tc>
        <w:tc>
          <w:tcPr>
            <w:tcW w:w="0" w:type="auto"/>
            <w:tcBorders/>
          </w:tcPr>
          <w:p w14:paraId="3E39C42D">
            <w:pPr>
              <w:pStyle w:val="style0"/>
              <w:spacing w:after="160"/>
              <w:rPr>
                <w:rFonts w:ascii="Arial" w:cs="Arial" w:hAnsi="Arial"/>
                <w:color w:val="ee0000"/>
                <w:lang w:val="en-IN"/>
              </w:rPr>
            </w:pPr>
          </w:p>
        </w:tc>
      </w:tr>
      <w:tr w14:paraId="1B08B31F">
        <w:tblPrEx/>
        <w:trPr/>
        <w:tc>
          <w:tcPr>
            <w:tcW w:w="0" w:type="auto"/>
            <w:tcBorders/>
            <w:hideMark/>
          </w:tcPr>
          <w:p w14:paraId="17389A75">
            <w:pPr>
              <w:pStyle w:val="style0"/>
              <w:spacing w:after="160"/>
              <w:rPr>
                <w:rFonts w:ascii="Arial" w:cs="Arial" w:hAnsi="Arial"/>
                <w:color w:val="ee0000"/>
                <w:lang w:val="en-IN"/>
              </w:rPr>
            </w:pPr>
            <w:r>
              <w:rPr>
                <w:rFonts w:ascii="Arial" w:cs="Arial" w:hAnsi="Arial"/>
                <w:color w:val="ee0000"/>
                <w:lang w:val="en-IN"/>
              </w:rPr>
              <w:t>Findings drafting</w:t>
            </w:r>
          </w:p>
        </w:tc>
        <w:tc>
          <w:tcPr>
            <w:tcW w:w="0" w:type="auto"/>
            <w:tcBorders/>
          </w:tcPr>
          <w:p w14:paraId="718A329F">
            <w:pPr>
              <w:pStyle w:val="style0"/>
              <w:spacing w:after="160"/>
              <w:rPr>
                <w:rFonts w:ascii="Arial" w:cs="Arial" w:hAnsi="Arial"/>
                <w:color w:val="ee0000"/>
                <w:lang w:val="en-IN"/>
              </w:rPr>
            </w:pPr>
          </w:p>
        </w:tc>
        <w:tc>
          <w:tcPr>
            <w:tcW w:w="0" w:type="auto"/>
            <w:tcBorders/>
          </w:tcPr>
          <w:p w14:paraId="5DC4FFD6">
            <w:pPr>
              <w:pStyle w:val="style0"/>
              <w:spacing w:after="160"/>
              <w:rPr>
                <w:rFonts w:ascii="Arial" w:cs="Arial" w:hAnsi="Arial"/>
                <w:color w:val="ee0000"/>
                <w:lang w:val="en-IN"/>
              </w:rPr>
            </w:pPr>
          </w:p>
        </w:tc>
        <w:tc>
          <w:tcPr>
            <w:tcW w:w="0" w:type="auto"/>
            <w:tcBorders/>
          </w:tcPr>
          <w:p w14:paraId="69979B2B">
            <w:pPr>
              <w:pStyle w:val="style0"/>
              <w:spacing w:after="160"/>
              <w:rPr>
                <w:rFonts w:ascii="Arial" w:cs="Arial" w:hAnsi="Arial"/>
                <w:color w:val="ee0000"/>
                <w:lang w:val="en-IN"/>
              </w:rPr>
            </w:pPr>
          </w:p>
        </w:tc>
        <w:tc>
          <w:tcPr>
            <w:tcW w:w="0" w:type="auto"/>
            <w:tcBorders/>
          </w:tcPr>
          <w:p w14:paraId="7828A612">
            <w:pPr>
              <w:pStyle w:val="style0"/>
              <w:spacing w:after="160"/>
              <w:rPr>
                <w:rFonts w:ascii="Arial" w:cs="Arial" w:hAnsi="Arial"/>
                <w:color w:val="ee0000"/>
                <w:lang w:val="en-IN"/>
              </w:rPr>
            </w:pPr>
          </w:p>
        </w:tc>
        <w:tc>
          <w:tcPr>
            <w:tcW w:w="0" w:type="auto"/>
            <w:tcBorders/>
          </w:tcPr>
          <w:p w14:paraId="4A77FE7E">
            <w:pPr>
              <w:pStyle w:val="style0"/>
              <w:spacing w:after="160"/>
              <w:rPr>
                <w:rFonts w:ascii="Arial" w:cs="Arial" w:hAnsi="Arial"/>
                <w:color w:val="ee0000"/>
                <w:lang w:val="en-IN"/>
              </w:rPr>
            </w:pPr>
          </w:p>
        </w:tc>
        <w:tc>
          <w:tcPr>
            <w:tcW w:w="0" w:type="auto"/>
            <w:tcBorders/>
            <w:shd w:val="clear" w:color="auto" w:fill="f4b083"/>
          </w:tcPr>
          <w:p w14:paraId="786B0EA6">
            <w:pPr>
              <w:pStyle w:val="style0"/>
              <w:spacing w:after="160"/>
              <w:rPr>
                <w:rFonts w:ascii="Arial" w:cs="Arial" w:hAnsi="Arial"/>
                <w:color w:val="ee0000"/>
                <w:lang w:val="en-IN"/>
              </w:rPr>
            </w:pPr>
          </w:p>
        </w:tc>
        <w:tc>
          <w:tcPr>
            <w:tcW w:w="0" w:type="auto"/>
            <w:tcBorders/>
            <w:shd w:val="clear" w:color="auto" w:fill="f4b083"/>
          </w:tcPr>
          <w:p w14:paraId="3E1DDF34">
            <w:pPr>
              <w:pStyle w:val="style0"/>
              <w:spacing w:after="160"/>
              <w:rPr>
                <w:rFonts w:ascii="Arial" w:cs="Arial" w:hAnsi="Arial"/>
                <w:color w:val="ee0000"/>
                <w:lang w:val="en-IN"/>
              </w:rPr>
            </w:pPr>
          </w:p>
        </w:tc>
      </w:tr>
      <w:tr w14:paraId="7A524BA6">
        <w:tblPrEx/>
        <w:trPr/>
        <w:tc>
          <w:tcPr>
            <w:tcW w:w="0" w:type="auto"/>
            <w:tcBorders/>
            <w:hideMark/>
          </w:tcPr>
          <w:p w14:paraId="37CC6EF3">
            <w:pPr>
              <w:pStyle w:val="style0"/>
              <w:spacing w:after="160"/>
              <w:rPr>
                <w:rFonts w:ascii="Arial" w:cs="Arial" w:hAnsi="Arial"/>
                <w:color w:val="ee0000"/>
                <w:lang w:val="en-IN"/>
              </w:rPr>
            </w:pPr>
            <w:r>
              <w:rPr>
                <w:rFonts w:ascii="Arial" w:cs="Arial" w:hAnsi="Arial"/>
                <w:color w:val="ee0000"/>
                <w:lang w:val="en-IN"/>
              </w:rPr>
              <w:t>Proposal Presentation</w:t>
            </w:r>
          </w:p>
        </w:tc>
        <w:tc>
          <w:tcPr>
            <w:tcW w:w="0" w:type="auto"/>
            <w:tcBorders/>
          </w:tcPr>
          <w:p w14:paraId="38C92D14">
            <w:pPr>
              <w:pStyle w:val="style0"/>
              <w:spacing w:after="160"/>
              <w:rPr>
                <w:rFonts w:ascii="Arial" w:cs="Arial" w:hAnsi="Arial"/>
                <w:color w:val="ee0000"/>
                <w:lang w:val="en-IN"/>
              </w:rPr>
            </w:pPr>
          </w:p>
        </w:tc>
        <w:tc>
          <w:tcPr>
            <w:tcW w:w="0" w:type="auto"/>
            <w:tcBorders/>
          </w:tcPr>
          <w:p w14:paraId="18D33913">
            <w:pPr>
              <w:pStyle w:val="style0"/>
              <w:spacing w:after="160"/>
              <w:rPr>
                <w:rFonts w:ascii="Arial" w:cs="Arial" w:hAnsi="Arial"/>
                <w:color w:val="ee0000"/>
                <w:lang w:val="en-IN"/>
              </w:rPr>
            </w:pPr>
          </w:p>
        </w:tc>
        <w:tc>
          <w:tcPr>
            <w:tcW w:w="0" w:type="auto"/>
            <w:tcBorders/>
          </w:tcPr>
          <w:p w14:paraId="7A415B73">
            <w:pPr>
              <w:pStyle w:val="style0"/>
              <w:spacing w:after="160"/>
              <w:rPr>
                <w:rFonts w:ascii="Arial" w:cs="Arial" w:hAnsi="Arial"/>
                <w:color w:val="ee0000"/>
                <w:lang w:val="en-IN"/>
              </w:rPr>
            </w:pPr>
          </w:p>
        </w:tc>
        <w:tc>
          <w:tcPr>
            <w:tcW w:w="0" w:type="auto"/>
            <w:tcBorders/>
          </w:tcPr>
          <w:p w14:paraId="385E4AE8">
            <w:pPr>
              <w:pStyle w:val="style0"/>
              <w:spacing w:after="160"/>
              <w:rPr>
                <w:rFonts w:ascii="Arial" w:cs="Arial" w:hAnsi="Arial"/>
                <w:color w:val="ee0000"/>
                <w:lang w:val="en-IN"/>
              </w:rPr>
            </w:pPr>
          </w:p>
        </w:tc>
        <w:tc>
          <w:tcPr>
            <w:tcW w:w="0" w:type="auto"/>
            <w:tcBorders/>
          </w:tcPr>
          <w:p w14:paraId="146C7123">
            <w:pPr>
              <w:pStyle w:val="style0"/>
              <w:spacing w:after="160"/>
              <w:rPr>
                <w:rFonts w:ascii="Arial" w:cs="Arial" w:hAnsi="Arial"/>
                <w:color w:val="ee0000"/>
                <w:lang w:val="en-IN"/>
              </w:rPr>
            </w:pPr>
          </w:p>
        </w:tc>
        <w:tc>
          <w:tcPr>
            <w:tcW w:w="0" w:type="auto"/>
            <w:tcBorders/>
          </w:tcPr>
          <w:p w14:paraId="1F3D10CD">
            <w:pPr>
              <w:pStyle w:val="style0"/>
              <w:spacing w:after="160"/>
              <w:rPr>
                <w:rFonts w:ascii="Arial" w:cs="Arial" w:hAnsi="Arial"/>
                <w:color w:val="ee0000"/>
                <w:lang w:val="en-IN"/>
              </w:rPr>
            </w:pPr>
          </w:p>
        </w:tc>
        <w:tc>
          <w:tcPr>
            <w:tcW w:w="0" w:type="auto"/>
            <w:tcBorders/>
            <w:shd w:val="clear" w:color="auto" w:fill="b4c6e7"/>
          </w:tcPr>
          <w:p w14:paraId="04BA4E16">
            <w:pPr>
              <w:pStyle w:val="style0"/>
              <w:spacing w:after="160"/>
              <w:rPr>
                <w:rFonts w:ascii="Arial" w:cs="Arial" w:hAnsi="Arial"/>
                <w:color w:val="ee0000"/>
                <w:lang w:val="en-IN"/>
              </w:rPr>
            </w:pPr>
          </w:p>
        </w:tc>
      </w:tr>
      <w:tr w14:paraId="41703248">
        <w:tblPrEx/>
        <w:trPr/>
        <w:tc>
          <w:tcPr>
            <w:tcW w:w="0" w:type="auto"/>
            <w:tcBorders/>
            <w:hideMark/>
          </w:tcPr>
          <w:p w14:paraId="422D1F35">
            <w:pPr>
              <w:pStyle w:val="style0"/>
              <w:spacing w:after="160"/>
              <w:rPr>
                <w:rFonts w:ascii="Arial" w:cs="Arial" w:hAnsi="Arial"/>
                <w:color w:val="ee0000"/>
                <w:lang w:val="en-IN"/>
              </w:rPr>
            </w:pPr>
            <w:r>
              <w:rPr>
                <w:rFonts w:ascii="Arial" w:cs="Arial" w:hAnsi="Arial"/>
                <w:color w:val="ee0000"/>
                <w:lang w:val="en-IN"/>
              </w:rPr>
              <w:t>Proofreading</w:t>
            </w:r>
          </w:p>
        </w:tc>
        <w:tc>
          <w:tcPr>
            <w:tcW w:w="0" w:type="auto"/>
            <w:tcBorders/>
          </w:tcPr>
          <w:p w14:paraId="5813107D">
            <w:pPr>
              <w:pStyle w:val="style0"/>
              <w:spacing w:after="160"/>
              <w:rPr>
                <w:rFonts w:ascii="Arial" w:cs="Arial" w:hAnsi="Arial"/>
                <w:color w:val="ee0000"/>
                <w:lang w:val="en-IN"/>
              </w:rPr>
            </w:pPr>
          </w:p>
        </w:tc>
        <w:tc>
          <w:tcPr>
            <w:tcW w:w="0" w:type="auto"/>
            <w:tcBorders/>
          </w:tcPr>
          <w:p w14:paraId="6E6C7C40">
            <w:pPr>
              <w:pStyle w:val="style0"/>
              <w:spacing w:after="160"/>
              <w:rPr>
                <w:rFonts w:ascii="Arial" w:cs="Arial" w:hAnsi="Arial"/>
                <w:color w:val="ee0000"/>
                <w:lang w:val="en-IN"/>
              </w:rPr>
            </w:pPr>
          </w:p>
        </w:tc>
        <w:tc>
          <w:tcPr>
            <w:tcW w:w="0" w:type="auto"/>
            <w:tcBorders/>
          </w:tcPr>
          <w:p w14:paraId="52E79238">
            <w:pPr>
              <w:pStyle w:val="style0"/>
              <w:spacing w:after="160"/>
              <w:rPr>
                <w:rFonts w:ascii="Arial" w:cs="Arial" w:hAnsi="Arial"/>
                <w:color w:val="ee0000"/>
                <w:lang w:val="en-IN"/>
              </w:rPr>
            </w:pPr>
          </w:p>
        </w:tc>
        <w:tc>
          <w:tcPr>
            <w:tcW w:w="0" w:type="auto"/>
            <w:tcBorders/>
          </w:tcPr>
          <w:p w14:paraId="18E148A3">
            <w:pPr>
              <w:pStyle w:val="style0"/>
              <w:spacing w:after="160"/>
              <w:rPr>
                <w:rFonts w:ascii="Arial" w:cs="Arial" w:hAnsi="Arial"/>
                <w:color w:val="ee0000"/>
                <w:lang w:val="en-IN"/>
              </w:rPr>
            </w:pPr>
          </w:p>
        </w:tc>
        <w:tc>
          <w:tcPr>
            <w:tcW w:w="0" w:type="auto"/>
            <w:tcBorders/>
          </w:tcPr>
          <w:p w14:paraId="15AC43F9">
            <w:pPr>
              <w:pStyle w:val="style0"/>
              <w:spacing w:after="160"/>
              <w:rPr>
                <w:rFonts w:ascii="Arial" w:cs="Arial" w:hAnsi="Arial"/>
                <w:color w:val="ee0000"/>
                <w:lang w:val="en-IN"/>
              </w:rPr>
            </w:pPr>
          </w:p>
        </w:tc>
        <w:tc>
          <w:tcPr>
            <w:tcW w:w="0" w:type="auto"/>
            <w:tcBorders/>
          </w:tcPr>
          <w:p w14:paraId="0CB86820">
            <w:pPr>
              <w:pStyle w:val="style0"/>
              <w:spacing w:after="160"/>
              <w:rPr>
                <w:rFonts w:ascii="Arial" w:cs="Arial" w:hAnsi="Arial"/>
                <w:color w:val="ee0000"/>
                <w:lang w:val="en-IN"/>
              </w:rPr>
            </w:pPr>
          </w:p>
        </w:tc>
        <w:tc>
          <w:tcPr>
            <w:tcW w:w="0" w:type="auto"/>
            <w:tcBorders/>
            <w:shd w:val="clear" w:color="auto" w:fill="c45911"/>
          </w:tcPr>
          <w:p w14:paraId="197F3DBD">
            <w:pPr>
              <w:pStyle w:val="style0"/>
              <w:spacing w:after="160"/>
              <w:rPr>
                <w:rFonts w:ascii="Arial" w:cs="Arial" w:hAnsi="Arial"/>
                <w:color w:val="ee0000"/>
                <w:lang w:val="en-IN"/>
              </w:rPr>
            </w:pPr>
          </w:p>
        </w:tc>
      </w:tr>
      <w:tr w14:paraId="5C7F328B">
        <w:tblPrEx/>
        <w:trPr/>
        <w:tc>
          <w:tcPr>
            <w:tcW w:w="0" w:type="auto"/>
            <w:tcBorders/>
            <w:hideMark/>
          </w:tcPr>
          <w:p w14:paraId="0845DDF5">
            <w:pPr>
              <w:pStyle w:val="style0"/>
              <w:spacing w:after="160"/>
              <w:rPr>
                <w:rFonts w:ascii="Arial" w:cs="Arial" w:hAnsi="Arial"/>
                <w:color w:val="ee0000"/>
                <w:lang w:val="en-IN"/>
              </w:rPr>
            </w:pPr>
            <w:r>
              <w:rPr>
                <w:rFonts w:ascii="Arial" w:cs="Arial" w:hAnsi="Arial"/>
                <w:color w:val="ee0000"/>
                <w:lang w:val="en-IN"/>
              </w:rPr>
              <w:t>Final Revision</w:t>
            </w:r>
          </w:p>
        </w:tc>
        <w:tc>
          <w:tcPr>
            <w:tcW w:w="0" w:type="auto"/>
            <w:tcBorders/>
          </w:tcPr>
          <w:p w14:paraId="7B60C5C2">
            <w:pPr>
              <w:pStyle w:val="style0"/>
              <w:spacing w:after="160"/>
              <w:rPr>
                <w:rFonts w:ascii="Arial" w:cs="Arial" w:hAnsi="Arial"/>
                <w:color w:val="ee0000"/>
                <w:lang w:val="en-IN"/>
              </w:rPr>
            </w:pPr>
          </w:p>
        </w:tc>
        <w:tc>
          <w:tcPr>
            <w:tcW w:w="0" w:type="auto"/>
            <w:tcBorders/>
          </w:tcPr>
          <w:p w14:paraId="4A8FA7CD">
            <w:pPr>
              <w:pStyle w:val="style0"/>
              <w:spacing w:after="160"/>
              <w:rPr>
                <w:rFonts w:ascii="Arial" w:cs="Arial" w:hAnsi="Arial"/>
                <w:color w:val="ee0000"/>
                <w:lang w:val="en-IN"/>
              </w:rPr>
            </w:pPr>
          </w:p>
        </w:tc>
        <w:tc>
          <w:tcPr>
            <w:tcW w:w="0" w:type="auto"/>
            <w:tcBorders/>
          </w:tcPr>
          <w:p w14:paraId="042534EC">
            <w:pPr>
              <w:pStyle w:val="style0"/>
              <w:spacing w:after="160"/>
              <w:rPr>
                <w:rFonts w:ascii="Arial" w:cs="Arial" w:hAnsi="Arial"/>
                <w:color w:val="ee0000"/>
                <w:lang w:val="en-IN"/>
              </w:rPr>
            </w:pPr>
          </w:p>
        </w:tc>
        <w:tc>
          <w:tcPr>
            <w:tcW w:w="0" w:type="auto"/>
            <w:tcBorders/>
          </w:tcPr>
          <w:p w14:paraId="226C0639">
            <w:pPr>
              <w:pStyle w:val="style0"/>
              <w:spacing w:after="160"/>
              <w:rPr>
                <w:rFonts w:ascii="Arial" w:cs="Arial" w:hAnsi="Arial"/>
                <w:color w:val="ee0000"/>
                <w:lang w:val="en-IN"/>
              </w:rPr>
            </w:pPr>
          </w:p>
        </w:tc>
        <w:tc>
          <w:tcPr>
            <w:tcW w:w="0" w:type="auto"/>
            <w:tcBorders/>
          </w:tcPr>
          <w:p w14:paraId="25376CEF">
            <w:pPr>
              <w:pStyle w:val="style0"/>
              <w:spacing w:after="160"/>
              <w:rPr>
                <w:rFonts w:ascii="Arial" w:cs="Arial" w:hAnsi="Arial"/>
                <w:color w:val="ee0000"/>
                <w:lang w:val="en-IN"/>
              </w:rPr>
            </w:pPr>
          </w:p>
        </w:tc>
        <w:tc>
          <w:tcPr>
            <w:tcW w:w="0" w:type="auto"/>
            <w:tcBorders/>
          </w:tcPr>
          <w:p w14:paraId="5A5AD774">
            <w:pPr>
              <w:pStyle w:val="style0"/>
              <w:spacing w:after="160"/>
              <w:rPr>
                <w:rFonts w:ascii="Arial" w:cs="Arial" w:hAnsi="Arial"/>
                <w:color w:val="ee0000"/>
                <w:lang w:val="en-IN"/>
              </w:rPr>
            </w:pPr>
          </w:p>
        </w:tc>
        <w:tc>
          <w:tcPr>
            <w:tcW w:w="0" w:type="auto"/>
            <w:tcBorders/>
            <w:shd w:val="clear" w:color="auto" w:fill="c45911"/>
          </w:tcPr>
          <w:p w14:paraId="6A0853AE">
            <w:pPr>
              <w:pStyle w:val="style0"/>
              <w:spacing w:after="160"/>
              <w:rPr>
                <w:rFonts w:ascii="Arial" w:cs="Arial" w:hAnsi="Arial"/>
                <w:color w:val="ee0000"/>
                <w:lang w:val="en-IN"/>
              </w:rPr>
            </w:pPr>
          </w:p>
        </w:tc>
      </w:tr>
    </w:tbl>
    <w:p w14:paraId="38941F17">
      <w:pPr>
        <w:pStyle w:val="style0"/>
        <w:rPr>
          <w:rFonts w:ascii="Arial" w:cs="Arial" w:hAnsi="Arial"/>
        </w:rPr>
      </w:pPr>
    </w:p>
    <w:p w14:paraId="60E0BB52">
      <w:pPr>
        <w:pStyle w:val="style1"/>
        <w:rPr>
          <w:lang w:val="en-GB"/>
        </w:rPr>
      </w:pPr>
      <w:r>
        <w:br w:type="page"/>
      </w:r>
      <w:bookmarkStart w:id="23" w:name="_Toc231907950"/>
      <w:r>
        <w:t>Reference</w:t>
      </w:r>
      <w:bookmarkEnd w:id="23"/>
    </w:p>
    <w:p w14:paraId="44AC8A5B">
      <w:pPr>
        <w:pStyle w:val="style0"/>
        <w:rPr>
          <w:rFonts w:ascii="Arial" w:cs="Arial" w:hAnsi="Arial"/>
          <w:lang w:val="en-IN"/>
        </w:rPr>
      </w:pPr>
      <w:r>
        <w:rPr>
          <w:rFonts w:ascii="Arial" w:cs="Arial" w:hAnsi="Arial"/>
          <w:lang w:val="en-IN"/>
        </w:rPr>
        <w:t xml:space="preserve">Ahmed, S.K., Mohammed, R.A., Nashwan, A.J., Ibrahim, R.H., Abdalla, A.Q., Ameen, B.M.M. and Khidhir, R.M. (2025). Using Thematic Analysis in Qualitative Research. </w:t>
      </w:r>
      <w:r>
        <w:rPr>
          <w:rFonts w:ascii="Arial" w:cs="Arial" w:hAnsi="Arial"/>
          <w:i/>
          <w:iCs/>
          <w:lang w:val="en-IN"/>
        </w:rPr>
        <w:t>Journal of Medicine, Surgery, and Public Health</w:t>
      </w:r>
      <w:r>
        <w:rPr>
          <w:rFonts w:ascii="Arial" w:cs="Arial" w:hAnsi="Arial"/>
          <w:lang w:val="en-IN"/>
        </w:rPr>
        <w:t>, [online] 6(6), p.100198. doi:https://doi.org/10.1016/j.glmedi.2025.100198.</w:t>
      </w:r>
    </w:p>
    <w:p w14:paraId="18DDE3BD">
      <w:pPr>
        <w:pStyle w:val="style0"/>
        <w:rPr>
          <w:rFonts w:ascii="Arial" w:cs="Arial" w:hAnsi="Arial"/>
          <w:lang w:val="en-IN"/>
        </w:rPr>
      </w:pPr>
      <w:r>
        <w:rPr>
          <w:rFonts w:ascii="Arial" w:cs="Arial" w:hAnsi="Arial"/>
          <w:lang w:val="en-IN"/>
        </w:rPr>
        <w:t xml:space="preserve">Cheong, H., Lyons, A., Houghton, R. and Majumdar, A. (2023). Secondary Qualitative Research Methodology Using Online Data within the Context of Social Sciences. </w:t>
      </w:r>
      <w:r>
        <w:rPr>
          <w:rFonts w:ascii="Arial" w:cs="Arial" w:hAnsi="Arial"/>
          <w:i/>
          <w:iCs/>
          <w:lang w:val="en-IN"/>
        </w:rPr>
        <w:t>International Journal of Qualitative Methods</w:t>
      </w:r>
      <w:r>
        <w:rPr>
          <w:rFonts w:ascii="Arial" w:cs="Arial" w:hAnsi="Arial"/>
          <w:lang w:val="en-IN"/>
        </w:rPr>
        <w:t>, 22(1), pp.1–19.</w:t>
      </w:r>
    </w:p>
    <w:p w14:paraId="1376883A">
      <w:pPr>
        <w:pStyle w:val="style0"/>
        <w:rPr>
          <w:rFonts w:ascii="Arial" w:cs="Arial" w:hAnsi="Arial"/>
          <w:lang w:val="en-IN"/>
        </w:rPr>
      </w:pPr>
      <w:r>
        <w:rPr>
          <w:rFonts w:ascii="Arial" w:cs="Arial" w:hAnsi="Arial"/>
          <w:lang w:val="en-IN"/>
        </w:rPr>
        <w:t xml:space="preserve">Creusen, M., Shen, J. and Wijntjes, M. (2025). Increasing fabric perception accuracy of consumers in online fashion retailing. </w:t>
      </w:r>
      <w:r>
        <w:rPr>
          <w:rFonts w:ascii="Arial" w:cs="Arial" w:hAnsi="Arial"/>
          <w:i/>
          <w:iCs/>
          <w:lang w:val="en-IN"/>
        </w:rPr>
        <w:t>International Journal of Retail &amp; Distribution Management</w:t>
      </w:r>
      <w:r>
        <w:rPr>
          <w:rFonts w:ascii="Arial" w:cs="Arial" w:hAnsi="Arial"/>
          <w:lang w:val="en-IN"/>
        </w:rPr>
        <w:t>, [online] 53(13), pp.153–166. doi:https://doi.org/10.1108/IJRDM-03-2024-0117.</w:t>
      </w:r>
    </w:p>
    <w:p w14:paraId="4554E63F">
      <w:pPr>
        <w:pStyle w:val="style0"/>
        <w:rPr>
          <w:rFonts w:ascii="Arial" w:cs="Arial" w:hAnsi="Arial"/>
          <w:lang w:val="en-IN"/>
        </w:rPr>
      </w:pPr>
      <w:r>
        <w:rPr>
          <w:rFonts w:ascii="Arial" w:cs="Arial" w:hAnsi="Arial"/>
          <w:lang w:val="en-IN"/>
        </w:rPr>
        <w:t xml:space="preserve">Cuc, L.T., Thuy, L.T., Truong, D.X. and Phuong, N.V. (2025). The Impact of Online Product Reviews on Gen Z’s Consumers’ Purchase Intentions for Fashion Products in E-Commerce in Hanoi, Vietnam. </w:t>
      </w:r>
      <w:r>
        <w:rPr>
          <w:rFonts w:ascii="Arial" w:cs="Arial" w:hAnsi="Arial"/>
          <w:i/>
          <w:iCs/>
          <w:lang w:val="en-IN"/>
        </w:rPr>
        <w:t>Architecture Image Studies</w:t>
      </w:r>
      <w:r>
        <w:rPr>
          <w:rFonts w:ascii="Arial" w:cs="Arial" w:hAnsi="Arial"/>
          <w:lang w:val="en-IN"/>
        </w:rPr>
        <w:t>, [online] 6(3), pp.1558–1575. doi:https://doi.org/10.62754/ais.v6i3.488.</w:t>
      </w:r>
    </w:p>
    <w:p w14:paraId="6511DC2C">
      <w:pPr>
        <w:pStyle w:val="style0"/>
        <w:rPr>
          <w:rFonts w:ascii="Arial" w:cs="Arial" w:hAnsi="Arial"/>
          <w:lang w:val="en-IN"/>
        </w:rPr>
      </w:pPr>
      <w:r>
        <w:rPr>
          <w:rFonts w:ascii="Arial" w:cs="Arial" w:hAnsi="Arial"/>
          <w:lang w:val="en-IN"/>
        </w:rPr>
        <w:t xml:space="preserve">Davey, J. (2026). M&amp;S expects profit recovery after cyber hack-driven slump. </w:t>
      </w:r>
      <w:r>
        <w:rPr>
          <w:rFonts w:ascii="Arial" w:cs="Arial" w:hAnsi="Arial"/>
          <w:i/>
          <w:iCs/>
          <w:lang w:val="en-IN"/>
        </w:rPr>
        <w:t>Reuters</w:t>
      </w:r>
      <w:r>
        <w:rPr>
          <w:rFonts w:ascii="Arial" w:cs="Arial" w:hAnsi="Arial"/>
          <w:lang w:val="en-IN"/>
        </w:rPr>
        <w:t>. [online] 20 May. Available at: https://www.reuters.com/business/retail-consumer/ms-annual-profit-slides-24-after-cyber-hack-disruption-2026-05-20/.</w:t>
      </w:r>
    </w:p>
    <w:p w14:paraId="7938634A">
      <w:pPr>
        <w:pStyle w:val="style0"/>
        <w:rPr>
          <w:rFonts w:ascii="Arial" w:cs="Arial" w:hAnsi="Arial"/>
          <w:lang w:val="en-IN"/>
        </w:rPr>
      </w:pPr>
      <w:r>
        <w:rPr>
          <w:rFonts w:ascii="Arial" w:cs="Arial" w:hAnsi="Arial"/>
          <w:lang w:val="en-IN"/>
        </w:rPr>
        <w:t xml:space="preserve">Diatta, I.D. and Berchtold, A. (2022). Impact of missing information on day-to-day research based on secondary data. </w:t>
      </w:r>
      <w:r>
        <w:rPr>
          <w:rFonts w:ascii="Arial" w:cs="Arial" w:hAnsi="Arial"/>
          <w:i/>
          <w:iCs/>
          <w:lang w:val="en-IN"/>
        </w:rPr>
        <w:t>International Journal of Social Research Methodology</w:t>
      </w:r>
      <w:r>
        <w:rPr>
          <w:rFonts w:ascii="Arial" w:cs="Arial" w:hAnsi="Arial"/>
          <w:lang w:val="en-IN"/>
        </w:rPr>
        <w:t>, [online] 26(6), pp.1–14. doi:https://doi.org/10.1080/13645579.2022.2103983.</w:t>
      </w:r>
    </w:p>
    <w:p w14:paraId="03460FE3">
      <w:pPr>
        <w:pStyle w:val="style0"/>
        <w:rPr>
          <w:rFonts w:ascii="Arial" w:cs="Arial" w:hAnsi="Arial"/>
          <w:lang w:val="en-IN"/>
        </w:rPr>
      </w:pPr>
      <w:r>
        <w:rPr>
          <w:rFonts w:ascii="Arial" w:cs="Arial" w:hAnsi="Arial"/>
          <w:lang w:val="en-IN"/>
        </w:rPr>
        <w:t xml:space="preserve">Goddard, T. (2026). </w:t>
      </w:r>
      <w:r>
        <w:rPr>
          <w:rFonts w:ascii="Arial" w:cs="Arial" w:hAnsi="Arial"/>
          <w:i/>
          <w:iCs/>
          <w:lang w:val="en-IN"/>
        </w:rPr>
        <w:t>Local Consumer Review Survey 2026 Insights | CCC</w:t>
      </w:r>
      <w:r>
        <w:rPr>
          <w:rFonts w:ascii="Arial" w:cs="Arial" w:hAnsi="Arial"/>
          <w:lang w:val="en-IN"/>
        </w:rPr>
        <w:t>. [online] Cc94.com. Available at: https://www.cc94.com/local-consumer-review-survey-2026.</w:t>
      </w:r>
    </w:p>
    <w:p w14:paraId="31DC30A3">
      <w:pPr>
        <w:pStyle w:val="style0"/>
        <w:rPr>
          <w:rFonts w:ascii="Arial" w:cs="Arial" w:hAnsi="Arial"/>
          <w:lang w:val="en-IN"/>
        </w:rPr>
      </w:pPr>
      <w:r>
        <w:rPr>
          <w:rFonts w:ascii="Arial" w:cs="Arial" w:hAnsi="Arial"/>
          <w:lang w:val="en-IN"/>
        </w:rPr>
        <w:t xml:space="preserve">Grand View Research (2023). </w:t>
      </w:r>
      <w:r>
        <w:rPr>
          <w:rFonts w:ascii="Arial" w:cs="Arial" w:hAnsi="Arial"/>
          <w:i/>
          <w:iCs/>
          <w:lang w:val="en-IN"/>
        </w:rPr>
        <w:t>U.K. Digital Transformation Market Size Report, 2030</w:t>
      </w:r>
      <w:r>
        <w:rPr>
          <w:rFonts w:ascii="Arial" w:cs="Arial" w:hAnsi="Arial"/>
          <w:lang w:val="en-IN"/>
        </w:rPr>
        <w:t>. [online] www.grandviewresearch.com. Available at: https://www.grandviewresearch.com/industry-analysis/uk-digital-transformation-market-report.</w:t>
      </w:r>
    </w:p>
    <w:p w14:paraId="6742A765">
      <w:pPr>
        <w:pStyle w:val="style0"/>
        <w:rPr>
          <w:rFonts w:ascii="Arial" w:cs="Arial" w:hAnsi="Arial"/>
          <w:lang w:val="en-IN"/>
        </w:rPr>
      </w:pPr>
      <w:r>
        <w:rPr>
          <w:rFonts w:ascii="Arial" w:cs="Arial" w:hAnsi="Arial"/>
          <w:lang w:val="en-IN"/>
        </w:rPr>
        <w:t xml:space="preserve">J Med Libr Assoc (2022). Google Scholar and Scopus. </w:t>
      </w:r>
      <w:r>
        <w:rPr>
          <w:rFonts w:ascii="Arial" w:cs="Arial" w:hAnsi="Arial"/>
          <w:i/>
          <w:iCs/>
          <w:lang w:val="en-IN"/>
        </w:rPr>
        <w:t>Journal of the Medical Library Association : JMLA</w:t>
      </w:r>
      <w:r>
        <w:rPr>
          <w:rFonts w:ascii="Arial" w:cs="Arial" w:hAnsi="Arial"/>
          <w:lang w:val="en-IN"/>
        </w:rPr>
        <w:t>, 104(3), pp.252–254. doi:https://doi.org/10.3163/1536-5050.104.3.021.</w:t>
      </w:r>
    </w:p>
    <w:p w14:paraId="031CB7CB">
      <w:pPr>
        <w:pStyle w:val="style0"/>
        <w:rPr>
          <w:rFonts w:ascii="Arial" w:cs="Arial" w:hAnsi="Arial"/>
          <w:lang w:val="en-IN"/>
        </w:rPr>
      </w:pPr>
      <w:r>
        <w:rPr>
          <w:rFonts w:ascii="Arial" w:cs="Arial" w:hAnsi="Arial"/>
          <w:lang w:val="en-IN"/>
        </w:rPr>
        <w:t xml:space="preserve">Junjie, M. and Yingxin, M. (2022). </w:t>
      </w:r>
      <w:r>
        <w:rPr>
          <w:rFonts w:ascii="Arial" w:cs="Arial" w:hAnsi="Arial"/>
          <w:i/>
          <w:iCs/>
          <w:lang w:val="en-IN"/>
        </w:rPr>
        <w:t>The Discussions of Positivism and Interpretivism</w:t>
      </w:r>
      <w:r>
        <w:rPr>
          <w:rFonts w:ascii="Arial" w:cs="Arial" w:hAnsi="Arial"/>
          <w:lang w:val="en-IN"/>
        </w:rPr>
        <w:t xml:space="preserve">. [online] </w:t>
      </w:r>
      <w:r>
        <w:rPr>
          <w:rFonts w:ascii="Arial" w:cs="Arial" w:hAnsi="Arial"/>
          <w:i/>
          <w:iCs/>
          <w:lang w:val="en-IN"/>
        </w:rPr>
        <w:t>ERIC</w:t>
      </w:r>
      <w:r>
        <w:rPr>
          <w:rFonts w:ascii="Arial" w:cs="Arial" w:hAnsi="Arial"/>
          <w:lang w:val="en-IN"/>
        </w:rPr>
        <w:t>, Eric. Available at: https://eric.ed.gov/?id=ED619359.</w:t>
      </w:r>
    </w:p>
    <w:p w14:paraId="7FC3A203">
      <w:pPr>
        <w:pStyle w:val="style0"/>
        <w:rPr>
          <w:rFonts w:ascii="Arial" w:cs="Arial" w:hAnsi="Arial"/>
          <w:lang w:val="en-IN"/>
        </w:rPr>
      </w:pPr>
      <w:r>
        <w:rPr>
          <w:rFonts w:ascii="Arial" w:cs="Arial" w:hAnsi="Arial"/>
          <w:lang w:val="en-IN"/>
        </w:rPr>
        <w:t xml:space="preserve">Kratochvíl, J., Plch, L., Sebera, M. and Koriťáková, E. (2023). Evaluation of untrustworthy journals: Transition from formal criteria to a complex view. </w:t>
      </w:r>
      <w:r>
        <w:rPr>
          <w:rFonts w:ascii="Arial" w:cs="Arial" w:hAnsi="Arial"/>
          <w:i/>
          <w:iCs/>
          <w:lang w:val="en-IN"/>
        </w:rPr>
        <w:t>Learned Publishing</w:t>
      </w:r>
      <w:r>
        <w:rPr>
          <w:rFonts w:ascii="Arial" w:cs="Arial" w:hAnsi="Arial"/>
          <w:lang w:val="en-IN"/>
        </w:rPr>
        <w:t>. doi:https://doi.org/10.1002/leap.1299.</w:t>
      </w:r>
    </w:p>
    <w:p w14:paraId="0F2B40EF">
      <w:pPr>
        <w:pStyle w:val="style0"/>
        <w:rPr>
          <w:rFonts w:ascii="Arial" w:cs="Arial" w:hAnsi="Arial"/>
          <w:lang w:val="en-IN"/>
        </w:rPr>
      </w:pPr>
      <w:r>
        <w:rPr>
          <w:rFonts w:ascii="Arial" w:cs="Arial" w:hAnsi="Arial"/>
          <w:lang w:val="en-IN"/>
        </w:rPr>
        <w:t xml:space="preserve">M&amp;S (2025). </w:t>
      </w:r>
      <w:r>
        <w:rPr>
          <w:rFonts w:ascii="Arial" w:cs="Arial" w:hAnsi="Arial"/>
          <w:i/>
          <w:iCs/>
          <w:lang w:val="en-IN"/>
        </w:rPr>
        <w:t>Welcome to Marks &amp; Spencer</w:t>
      </w:r>
      <w:r>
        <w:rPr>
          <w:rFonts w:ascii="Arial" w:cs="Arial" w:hAnsi="Arial"/>
          <w:lang w:val="en-IN"/>
        </w:rPr>
        <w:t>. [online] Marks and Spencer. Available at: https://www.marksandspencer.com/.</w:t>
      </w:r>
    </w:p>
    <w:p w14:paraId="0966D457">
      <w:pPr>
        <w:pStyle w:val="style0"/>
        <w:rPr>
          <w:rFonts w:ascii="Arial" w:cs="Arial" w:hAnsi="Arial"/>
          <w:lang w:val="en-IN"/>
        </w:rPr>
      </w:pPr>
      <w:r>
        <w:rPr>
          <w:rFonts w:ascii="Arial" w:cs="Arial" w:hAnsi="Arial"/>
          <w:lang w:val="en-IN"/>
        </w:rPr>
        <w:t>M.S. Kamalaveni, C. Dinesh, B. Arunmuthukumar, R. Prasath, M. Sudharsan and D. Vinothkumar (2025). The Influence of Online Customer Reviews and Ratings on Consumer Purchase Decisions: Trust and Credibility Perspectives. doi:https://doi.org/10.4108/eai.28-4-2025.2358091.</w:t>
      </w:r>
    </w:p>
    <w:p w14:paraId="48ECB3F8">
      <w:pPr>
        <w:pStyle w:val="style0"/>
        <w:rPr>
          <w:rFonts w:ascii="Arial" w:cs="Arial" w:hAnsi="Arial"/>
          <w:lang w:val="en-IN"/>
        </w:rPr>
      </w:pPr>
      <w:r>
        <w:rPr>
          <w:rFonts w:ascii="Arial" w:cs="Arial" w:hAnsi="Arial"/>
          <w:lang w:val="en-IN"/>
        </w:rPr>
        <w:t xml:space="preserve">Mallik, S.K., Uddin, I., Akter, F., Rahman, A.S.M.Shafin. and Rahman, M.A. (2025). Evaluating the influence of customer reviews and consumer trust on online purchase behavior. </w:t>
      </w:r>
      <w:r>
        <w:rPr>
          <w:rFonts w:ascii="Arial" w:cs="Arial" w:hAnsi="Arial"/>
          <w:i/>
          <w:iCs/>
          <w:lang w:val="en-IN"/>
        </w:rPr>
        <w:t>World Journal of Advanced Research and Reviews</w:t>
      </w:r>
      <w:r>
        <w:rPr>
          <w:rFonts w:ascii="Arial" w:cs="Arial" w:hAnsi="Arial"/>
          <w:lang w:val="en-IN"/>
        </w:rPr>
        <w:t>, 25(1), pp.423–432. doi:https://doi.org/10.30574/wjarr.2025.25.1.0015.</w:t>
      </w:r>
    </w:p>
    <w:p w14:paraId="3BC10AEF">
      <w:pPr>
        <w:pStyle w:val="style0"/>
        <w:rPr>
          <w:rFonts w:ascii="Arial" w:cs="Arial" w:hAnsi="Arial"/>
          <w:lang w:val="en-IN"/>
        </w:rPr>
      </w:pPr>
      <w:r>
        <w:rPr>
          <w:rFonts w:ascii="Arial" w:cs="Arial" w:hAnsi="Arial"/>
          <w:lang w:val="en-IN"/>
        </w:rPr>
        <w:t xml:space="preserve">Nakalinda, A. (2023). </w:t>
      </w:r>
      <w:r>
        <w:rPr>
          <w:rFonts w:ascii="Arial" w:cs="Arial" w:hAnsi="Arial"/>
          <w:i/>
          <w:iCs/>
          <w:lang w:val="en-IN"/>
        </w:rPr>
        <w:t>(PDF) Factors influencing consumer buying behaviour of fast fashion in the United Kingdom</w:t>
      </w:r>
      <w:r>
        <w:rPr>
          <w:rFonts w:ascii="Arial" w:cs="Arial" w:hAnsi="Arial"/>
          <w:lang w:val="en-IN"/>
        </w:rPr>
        <w:t>. [online] ResearchGate. Available at: https://www.researchgate.net/publication/349502221_Factors_influencing_consumer_buying_behaviour_of_fast_fashion_in_the_United_Kingdom.</w:t>
      </w:r>
    </w:p>
    <w:p w14:paraId="77CD447E">
      <w:pPr>
        <w:pStyle w:val="style0"/>
        <w:rPr>
          <w:rFonts w:ascii="Arial" w:cs="Arial" w:hAnsi="Arial"/>
          <w:lang w:val="en-IN"/>
        </w:rPr>
      </w:pPr>
      <w:r>
        <w:rPr>
          <w:rFonts w:ascii="Arial" w:cs="Arial" w:hAnsi="Arial"/>
          <w:lang w:val="en-IN"/>
        </w:rPr>
        <w:t xml:space="preserve">Naskar, S.T. and Maria, J. (2025). Forty years of the theory of planned behavior: a bibliometric analysis (1985–2024). </w:t>
      </w:r>
      <w:r>
        <w:rPr>
          <w:rFonts w:ascii="Arial" w:cs="Arial" w:hAnsi="Arial"/>
          <w:i/>
          <w:iCs/>
          <w:lang w:val="en-IN"/>
        </w:rPr>
        <w:t>Management Review Quarterly</w:t>
      </w:r>
      <w:r>
        <w:rPr>
          <w:rFonts w:ascii="Arial" w:cs="Arial" w:hAnsi="Arial"/>
          <w:lang w:val="en-IN"/>
        </w:rPr>
        <w:t>. doi:https://doi.org/10.1007/s11301-025-00487-8.</w:t>
      </w:r>
    </w:p>
    <w:p w14:paraId="18C99587">
      <w:pPr>
        <w:pStyle w:val="style0"/>
        <w:rPr>
          <w:rFonts w:ascii="Arial" w:cs="Arial" w:hAnsi="Arial"/>
          <w:lang w:val="en-IN"/>
        </w:rPr>
      </w:pPr>
      <w:r>
        <w:rPr>
          <w:rFonts w:ascii="Arial" w:cs="Arial" w:hAnsi="Arial"/>
          <w:lang w:val="en-IN"/>
        </w:rPr>
        <w:t xml:space="preserve">Paget, S. (2025). </w:t>
      </w:r>
      <w:r>
        <w:rPr>
          <w:rFonts w:ascii="Arial" w:cs="Arial" w:hAnsi="Arial"/>
          <w:i/>
          <w:iCs/>
          <w:lang w:val="en-IN"/>
        </w:rPr>
        <w:t>Local Consumer Review Survey - BrightLocal</w:t>
      </w:r>
      <w:r>
        <w:rPr>
          <w:rFonts w:ascii="Arial" w:cs="Arial" w:hAnsi="Arial"/>
          <w:lang w:val="en-IN"/>
        </w:rPr>
        <w:t>. [online] BrightLocal. Available at: https://www.brightlocal.com/research/local-consumer-review-survey-2025/.</w:t>
      </w:r>
    </w:p>
    <w:p w14:paraId="087A2A59">
      <w:pPr>
        <w:pStyle w:val="style0"/>
        <w:rPr>
          <w:rFonts w:ascii="Arial" w:cs="Arial" w:hAnsi="Arial"/>
          <w:lang w:val="en-IN"/>
        </w:rPr>
      </w:pPr>
      <w:r>
        <w:rPr>
          <w:rFonts w:ascii="Arial" w:cs="Arial" w:hAnsi="Arial"/>
          <w:lang w:val="en-IN"/>
        </w:rPr>
        <w:t xml:space="preserve">Pooja, K. and Upadhyaya, P. (2022). What makes an online review credible? A systematic review of the literature and future research directions. </w:t>
      </w:r>
      <w:r>
        <w:rPr>
          <w:rFonts w:ascii="Arial" w:cs="Arial" w:hAnsi="Arial"/>
          <w:i/>
          <w:iCs/>
          <w:lang w:val="en-IN"/>
        </w:rPr>
        <w:t>Management Review Quarterly</w:t>
      </w:r>
      <w:r>
        <w:rPr>
          <w:rFonts w:ascii="Arial" w:cs="Arial" w:hAnsi="Arial"/>
          <w:lang w:val="en-IN"/>
        </w:rPr>
        <w:t>, 74(2). doi:https://doi.org/10.1007/s11301-022-00312-6.</w:t>
      </w:r>
    </w:p>
    <w:p w14:paraId="51B744B0">
      <w:pPr>
        <w:pStyle w:val="style0"/>
        <w:rPr>
          <w:rFonts w:ascii="Arial" w:cs="Arial" w:hAnsi="Arial"/>
          <w:lang w:val="en-IN"/>
        </w:rPr>
      </w:pPr>
      <w:r>
        <w:rPr>
          <w:rFonts w:ascii="Arial" w:cs="Arial" w:hAnsi="Arial"/>
          <w:lang w:val="en-IN"/>
        </w:rPr>
        <w:t xml:space="preserve">Qiu, K. and Zhang, L. (2023). How Online Reviews Affect Purchase intention: a meta-analysis across Contextual and Cultural Factors. </w:t>
      </w:r>
      <w:r>
        <w:rPr>
          <w:rFonts w:ascii="Arial" w:cs="Arial" w:hAnsi="Arial"/>
          <w:i/>
          <w:iCs/>
          <w:lang w:val="en-IN"/>
        </w:rPr>
        <w:t>Data and Information Management</w:t>
      </w:r>
      <w:r>
        <w:rPr>
          <w:rFonts w:ascii="Arial" w:cs="Arial" w:hAnsi="Arial"/>
          <w:lang w:val="en-IN"/>
        </w:rPr>
        <w:t>, [online] 8(2), pp.100058–100058. doi:https://doi.org/10.1016/j.dim.2023.100058.</w:t>
      </w:r>
    </w:p>
    <w:p w14:paraId="7ED30227">
      <w:pPr>
        <w:pStyle w:val="style0"/>
        <w:rPr>
          <w:rFonts w:ascii="Arial" w:cs="Arial" w:hAnsi="Arial"/>
          <w:lang w:val="en-IN"/>
        </w:rPr>
      </w:pPr>
      <w:r>
        <w:rPr>
          <w:rFonts w:ascii="Arial" w:cs="Arial" w:hAnsi="Arial"/>
          <w:lang w:val="en-IN"/>
        </w:rPr>
        <w:t xml:space="preserve">Rachmiani, R., Oktadinna, N.K. and Fauzan, T.R. (2024). The Impact of Online Reviews and Ratings on Consumer Purchasing Decisions on E-commerce Platforms. </w:t>
      </w:r>
      <w:r>
        <w:rPr>
          <w:rFonts w:ascii="Arial" w:cs="Arial" w:hAnsi="Arial"/>
          <w:i/>
          <w:iCs/>
          <w:lang w:val="en-IN"/>
        </w:rPr>
        <w:t>International Journal of Management Science and Information Technology</w:t>
      </w:r>
      <w:r>
        <w:rPr>
          <w:rFonts w:ascii="Arial" w:cs="Arial" w:hAnsi="Arial"/>
          <w:lang w:val="en-IN"/>
        </w:rPr>
        <w:t>, [online] 4(2), pp.504–515. Available at: https://lembagakita.org/journal/index.php/IJMSIT/article/view/3373.</w:t>
      </w:r>
    </w:p>
    <w:p w14:paraId="1846AB88">
      <w:pPr>
        <w:pStyle w:val="style0"/>
        <w:rPr>
          <w:rFonts w:ascii="Arial" w:cs="Arial" w:hAnsi="Arial"/>
          <w:lang w:val="en-IN"/>
        </w:rPr>
      </w:pPr>
      <w:r>
        <w:rPr>
          <w:rFonts w:ascii="Arial" w:cs="Arial" w:hAnsi="Arial"/>
          <w:lang w:val="en-IN"/>
        </w:rPr>
        <w:t xml:space="preserve">Retaileconomics.co.uk (2025). </w:t>
      </w:r>
      <w:r>
        <w:rPr>
          <w:rFonts w:ascii="Arial" w:cs="Arial" w:hAnsi="Arial"/>
          <w:i/>
          <w:iCs/>
          <w:lang w:val="en-IN"/>
        </w:rPr>
        <w:t>ONS Retail Sales April 2025 | Retail Economics</w:t>
      </w:r>
      <w:r>
        <w:rPr>
          <w:rFonts w:ascii="Arial" w:cs="Arial" w:hAnsi="Arial"/>
          <w:lang w:val="en-IN"/>
        </w:rPr>
        <w:t>. [online] Retaileconomics.co.uk. Available at: https://www.retaileconomics.co.uk/retail-insights-trends/ons-retail-sales-april-2025?slug=retail-economic-news&amp;utm [Accessed 1 Jun. 2026].</w:t>
      </w:r>
    </w:p>
    <w:p w14:paraId="6A2F4F61">
      <w:pPr>
        <w:pStyle w:val="style0"/>
        <w:rPr>
          <w:rFonts w:ascii="Arial" w:cs="Arial" w:hAnsi="Arial"/>
          <w:lang w:val="en-IN"/>
        </w:rPr>
      </w:pPr>
      <w:r>
        <w:rPr>
          <w:rFonts w:ascii="Arial" w:cs="Arial" w:hAnsi="Arial"/>
          <w:lang w:val="en-IN"/>
        </w:rPr>
        <w:t xml:space="preserve">Statista (2025). </w:t>
      </w:r>
      <w:r>
        <w:rPr>
          <w:rFonts w:ascii="Arial" w:cs="Arial" w:hAnsi="Arial"/>
          <w:i/>
          <w:iCs/>
          <w:lang w:val="en-IN"/>
        </w:rPr>
        <w:t>Share of individuals using the internet in the United Kingdom (UK) from 2002 to 2025</w:t>
      </w:r>
      <w:r>
        <w:rPr>
          <w:rFonts w:ascii="Arial" w:cs="Arial" w:hAnsi="Arial"/>
          <w:lang w:val="en-IN"/>
        </w:rPr>
        <w:t>. [online] statista.com. Available at: https://www.statista.com/statistics/1124328/internet-penetration-uk/?srsltid=AfmBOorfuAOutR5LXJ3PbUaZDhu-R_7vFVmw5b4bZhhM8mgwvasweshF [Accessed 1 Jun. 2026].</w:t>
      </w:r>
    </w:p>
    <w:p w14:paraId="340534F8">
      <w:pPr>
        <w:pStyle w:val="style0"/>
        <w:rPr>
          <w:rFonts w:ascii="Arial" w:cs="Arial" w:hAnsi="Arial"/>
          <w:lang w:val="en-IN"/>
        </w:rPr>
      </w:pPr>
      <w:r>
        <w:rPr>
          <w:rFonts w:ascii="Arial" w:cs="Arial" w:hAnsi="Arial"/>
          <w:lang w:val="en-IN"/>
        </w:rPr>
        <w:t xml:space="preserve">Surjono, W. (2024). Factors Influencing Online Shopping Decisions in the Fashion Industry. </w:t>
      </w:r>
      <w:r>
        <w:rPr>
          <w:rFonts w:ascii="Arial" w:cs="Arial" w:hAnsi="Arial"/>
          <w:i/>
          <w:iCs/>
          <w:lang w:val="en-IN"/>
        </w:rPr>
        <w:t>International Journal of Management Science and Information Technology</w:t>
      </w:r>
      <w:r>
        <w:rPr>
          <w:rFonts w:ascii="Arial" w:cs="Arial" w:hAnsi="Arial"/>
          <w:lang w:val="en-IN"/>
        </w:rPr>
        <w:t>, [online] 4(2), pp.297–311. doi:https://doi.org/10.35870/ijmsit.v4i2.3004.</w:t>
      </w:r>
    </w:p>
    <w:p w14:paraId="46CDD19B">
      <w:pPr>
        <w:pStyle w:val="style0"/>
        <w:rPr>
          <w:rFonts w:ascii="Arial" w:cs="Arial" w:hAnsi="Arial"/>
          <w:lang w:val="en-IN"/>
        </w:rPr>
      </w:pPr>
      <w:r>
        <w:rPr>
          <w:rFonts w:ascii="Arial" w:cs="Arial" w:hAnsi="Arial"/>
          <w:lang w:val="en-IN"/>
        </w:rPr>
        <w:t xml:space="preserve">Tedja, B., Al Musadieq, M., Kusumawati, A. and Yulianto, E. (2024). Systematic Literature Review Using PRISMA: Exploring the Influence of Service Quality and Perceived Value on Satisfaction and Intention to Continue Relationship. </w:t>
      </w:r>
      <w:r>
        <w:rPr>
          <w:rFonts w:ascii="Arial" w:cs="Arial" w:hAnsi="Arial"/>
          <w:i/>
          <w:iCs/>
          <w:lang w:val="en-IN"/>
        </w:rPr>
        <w:t>Future business journal</w:t>
      </w:r>
      <w:r>
        <w:rPr>
          <w:rFonts w:ascii="Arial" w:cs="Arial" w:hAnsi="Arial"/>
          <w:lang w:val="en-IN"/>
        </w:rPr>
        <w:t>, 10(1). doi:https://doi.org/10.1186/s43093-024-00326-4.</w:t>
      </w:r>
    </w:p>
    <w:p w14:paraId="60EEF409">
      <w:pPr>
        <w:pStyle w:val="style0"/>
        <w:rPr>
          <w:rFonts w:ascii="Arial" w:cs="Arial" w:hAnsi="Arial"/>
          <w:lang w:val="en-IN"/>
        </w:rPr>
      </w:pPr>
      <w:r>
        <w:rPr>
          <w:rFonts w:ascii="Arial" w:cs="Arial" w:hAnsi="Arial"/>
          <w:lang w:val="en-IN"/>
        </w:rPr>
        <w:t xml:space="preserve">Tomaszewski, L.E., Zarestky, J. and Gonzalez, E. (2024). Planning Qualitative research: Design and Decision Making for New Researchers. </w:t>
      </w:r>
      <w:r>
        <w:rPr>
          <w:rFonts w:ascii="Arial" w:cs="Arial" w:hAnsi="Arial"/>
          <w:i/>
          <w:iCs/>
          <w:lang w:val="en-IN"/>
        </w:rPr>
        <w:t>International Journal of Qualitative Methods</w:t>
      </w:r>
      <w:r>
        <w:rPr>
          <w:rFonts w:ascii="Arial" w:cs="Arial" w:hAnsi="Arial"/>
          <w:lang w:val="en-IN"/>
        </w:rPr>
        <w:t>, 19(1), pp.1–7. doi:https://doi.org/10.1177/1609406920967174.</w:t>
      </w:r>
    </w:p>
    <w:p w14:paraId="4A14D71C">
      <w:pPr>
        <w:pStyle w:val="style0"/>
        <w:rPr>
          <w:rFonts w:ascii="Arial" w:cs="Arial" w:hAnsi="Arial"/>
          <w:lang w:val="en-IN"/>
        </w:rPr>
      </w:pPr>
      <w:r>
        <w:rPr>
          <w:rFonts w:ascii="Arial" w:cs="Arial" w:hAnsi="Arial"/>
          <w:lang w:val="en-IN"/>
        </w:rPr>
        <w:t xml:space="preserve">Tripathy, J.P. (2022). Secondary Data Analysis: Ethical Issues and Challenges. </w:t>
      </w:r>
      <w:r>
        <w:rPr>
          <w:rFonts w:ascii="Arial" w:cs="Arial" w:hAnsi="Arial"/>
          <w:i/>
          <w:iCs/>
          <w:lang w:val="en-IN"/>
        </w:rPr>
        <w:t>Iranian Journal of Public Health</w:t>
      </w:r>
      <w:r>
        <w:rPr>
          <w:rFonts w:ascii="Arial" w:cs="Arial" w:hAnsi="Arial"/>
          <w:lang w:val="en-IN"/>
        </w:rPr>
        <w:t>, [online] 42(12), p.1478. Available at: https://pmc.ncbi.nlm.nih.gov/articles/PMC4441947/.</w:t>
      </w:r>
    </w:p>
    <w:p w14:paraId="1C8D1ED9">
      <w:pPr>
        <w:pStyle w:val="style0"/>
        <w:rPr>
          <w:rFonts w:ascii="Arial" w:cs="Arial" w:hAnsi="Arial"/>
          <w:lang w:val="en-IN"/>
        </w:rPr>
      </w:pPr>
      <w:r>
        <w:rPr>
          <w:rFonts w:ascii="Arial" w:cs="Arial" w:hAnsi="Arial"/>
          <w:lang w:val="en-IN"/>
        </w:rPr>
        <w:t xml:space="preserve">Xiangmei, Y. (2023). The Impact of Online Negative Reviews on Consumer Purchasing Intention in the Apparel Industry: The Mediating Role of Perceived Risk. </w:t>
      </w:r>
      <w:r>
        <w:rPr>
          <w:rFonts w:ascii="Arial" w:cs="Arial" w:hAnsi="Arial"/>
          <w:i/>
          <w:iCs/>
          <w:lang w:val="en-IN"/>
        </w:rPr>
        <w:t>Business and Management Studies</w:t>
      </w:r>
      <w:r>
        <w:rPr>
          <w:rFonts w:ascii="Arial" w:cs="Arial" w:hAnsi="Arial"/>
          <w:lang w:val="en-IN"/>
        </w:rPr>
        <w:t>, [online] 9(2), pp.1–51. Available at: https://ideas.repec.org/a/rfa/bmsjnl/v9y2023i2p51.html [Accessed 1 Jun. 2026].</w:t>
      </w:r>
    </w:p>
    <w:sectPr>
      <w:footerReference w:type="default" r:id="rId8"/>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2EADC4C">
    <w:pPr>
      <w:pStyle w:val="style32"/>
      <w:jc w:val="center"/>
      <w:rPr>
        <w:rFonts w:ascii="Arial" w:cs="Arial" w:hAnsi="Arial"/>
      </w:rPr>
    </w:pPr>
    <w:r>
      <w:rPr>
        <w:rFonts w:ascii="Arial" w:cs="Arial" w:hAnsi="Arial"/>
      </w:rPr>
      <w:fldChar w:fldCharType="begin"/>
    </w:r>
    <w:r>
      <w:rPr>
        <w:rFonts w:ascii="Arial" w:cs="Arial" w:hAnsi="Arial"/>
      </w:rPr>
      <w:instrText xml:space="preserve"> PAGE   \* MERGEFORMAT </w:instrText>
    </w:r>
    <w:r>
      <w:rPr>
        <w:rFonts w:ascii="Arial" w:cs="Arial" w:hAnsi="Arial"/>
      </w:rPr>
      <w:fldChar w:fldCharType="separate"/>
    </w:r>
    <w:r>
      <w:rPr>
        <w:rFonts w:ascii="Arial" w:cs="Arial" w:hAnsi="Arial"/>
        <w:noProof/>
      </w:rPr>
      <w:t>1</w:t>
    </w:r>
    <w:r>
      <w:rPr>
        <w:rFonts w:ascii="Arial" w:cs="Arial" w:hAnsi="Arial"/>
        <w:noProof/>
      </w:rPr>
      <w:fldChar w:fldCharType="end"/>
    </w:r>
  </w:p>
  <w:p w14:paraId="2747860B">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6924FB3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E9E8F5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w="http://schemas.openxmlformats.org/wordprocessingml/2006/main" xmlns:r="http://schemas.openxmlformats.org/officeDocument/2006/relationships" xmlns:m="http://schemas.openxmlformats.org/officeDocument/2006/math">
  <w:zoom w:percent="7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color w:val="000000"/>
      <w:sz w:val="24"/>
      <w:lang w:val="en-GB"/>
    </w:rPr>
  </w:style>
  <w:style w:type="paragraph" w:styleId="style1">
    <w:name w:val="heading 1"/>
    <w:basedOn w:val="style0"/>
    <w:next w:val="style0"/>
    <w:link w:val="style4097"/>
    <w:qFormat/>
    <w:pPr>
      <w:keepNext/>
      <w:keepLines/>
      <w:spacing w:before="400" w:after="120"/>
      <w:outlineLvl w:val="0"/>
    </w:pPr>
    <w:rPr>
      <w:rFonts w:ascii="Arial" w:cs="Arial" w:eastAsia="Arial" w:hAnsi="Arial"/>
      <w:b/>
      <w:kern w:val="0"/>
      <w:szCs w:val="40"/>
      <w14:ligatures xmlns:w14="http://schemas.microsoft.com/office/word/2010/wordml" w14:val="none"/>
    </w:rPr>
  </w:style>
  <w:style w:type="paragraph" w:styleId="style2">
    <w:name w:val="heading 2"/>
    <w:basedOn w:val="style0"/>
    <w:next w:val="style0"/>
    <w:link w:val="style4098"/>
    <w:qFormat/>
    <w:pPr>
      <w:keepNext/>
      <w:keepLines/>
      <w:spacing w:before="360" w:after="120"/>
      <w:outlineLvl w:val="1"/>
    </w:pPr>
    <w:rPr>
      <w:rFonts w:ascii="Arial" w:cs="Arial" w:eastAsia="Arial" w:hAnsi="Arial"/>
      <w:b/>
      <w:kern w:val="0"/>
      <w:szCs w:val="32"/>
      <w14:ligatures xmlns:w14="http://schemas.microsoft.com/office/word/2010/wordml" w14:val="none"/>
    </w:rPr>
  </w:style>
  <w:style w:type="paragraph" w:styleId="style3">
    <w:name w:val="heading 3"/>
    <w:basedOn w:val="style0"/>
    <w:next w:val="style0"/>
    <w:link w:val="style4099"/>
    <w:qFormat/>
    <w:pPr>
      <w:keepNext/>
      <w:keepLines/>
      <w:spacing w:before="320" w:after="80"/>
      <w:outlineLvl w:val="2"/>
    </w:pPr>
    <w:rPr>
      <w:rFonts w:cs="Arial" w:eastAsia="Arial"/>
      <w:b/>
      <w:kern w:val="0"/>
      <w:szCs w:val="28"/>
      <w14:ligatures xmlns:w14="http://schemas.microsoft.com/office/word/2010/wordml" w14:val="none"/>
    </w:rPr>
  </w:style>
  <w:style w:type="paragraph" w:styleId="style4">
    <w:name w:val="heading 4"/>
    <w:basedOn w:val="style0"/>
    <w:next w:val="style0"/>
    <w:link w:val="style4101"/>
    <w:qFormat/>
    <w:uiPriority w:val="9"/>
    <w:pPr>
      <w:keepNext/>
      <w:keepLines/>
      <w:spacing w:before="80" w:after="40"/>
      <w:outlineLvl w:val="3"/>
    </w:pPr>
    <w:rPr>
      <w:rFonts w:ascii="Calibri" w:cs="宋体" w:eastAsia="宋体" w:hAnsi="Calibri"/>
      <w:i/>
      <w:iCs/>
      <w:color w:val="2f5496"/>
    </w:rPr>
  </w:style>
  <w:style w:type="paragraph" w:styleId="style5">
    <w:name w:val="heading 5"/>
    <w:basedOn w:val="style0"/>
    <w:next w:val="style0"/>
    <w:link w:val="style4102"/>
    <w:qFormat/>
    <w:uiPriority w:val="9"/>
    <w:pPr>
      <w:keepNext/>
      <w:keepLines/>
      <w:spacing w:before="80" w:after="40"/>
      <w:outlineLvl w:val="4"/>
    </w:pPr>
    <w:rPr>
      <w:rFonts w:ascii="Calibri" w:cs="宋体" w:eastAsia="宋体" w:hAnsi="Calibri"/>
      <w:color w:val="2f5496"/>
    </w:rPr>
  </w:style>
  <w:style w:type="paragraph" w:styleId="style6">
    <w:name w:val="heading 6"/>
    <w:basedOn w:val="style0"/>
    <w:next w:val="style0"/>
    <w:link w:val="style4103"/>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4"/>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5"/>
    <w:qFormat/>
    <w:uiPriority w:val="9"/>
    <w:pPr>
      <w:keepNext/>
      <w:keepLines/>
      <w:spacing w:after="0"/>
      <w:outlineLvl w:val="7"/>
    </w:pPr>
    <w:rPr>
      <w:rFonts w:ascii="Calibri" w:cs="宋体" w:eastAsia="宋体" w:hAnsi="Calibri"/>
      <w:i/>
      <w:iCs/>
      <w:color w:val="272727"/>
    </w:rPr>
  </w:style>
  <w:style w:type="paragraph" w:styleId="style9">
    <w:name w:val="heading 9"/>
    <w:basedOn w:val="style0"/>
    <w:next w:val="style0"/>
    <w:link w:val="style4106"/>
    <w:qFormat/>
    <w:uiPriority w:val="9"/>
    <w:pPr>
      <w:keepNext/>
      <w:keepLines/>
      <w:spacing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6f846e5-e27f-445b-936c-e3d33645514a"/>
    <w:basedOn w:val="style65"/>
    <w:next w:val="style4097"/>
    <w:link w:val="style1"/>
    <w:rPr>
      <w:rFonts w:ascii="Arial" w:cs="Arial" w:eastAsia="Arial" w:hAnsi="Arial"/>
      <w:b/>
      <w:color w:val="000000"/>
      <w:kern w:val="0"/>
      <w:sz w:val="24"/>
      <w:szCs w:val="40"/>
      <w14:ligatures xmlns:w14="http://schemas.microsoft.com/office/word/2010/wordml" w14:val="none"/>
    </w:rPr>
  </w:style>
  <w:style w:type="character" w:customStyle="1" w:styleId="style4098">
    <w:name w:val="Heading 2 Char_9117d886-1fe0-46c2-b602-09878e3d4247"/>
    <w:basedOn w:val="style65"/>
    <w:next w:val="style4098"/>
    <w:link w:val="style2"/>
    <w:rPr>
      <w:rFonts w:ascii="Arial" w:cs="Arial" w:eastAsia="Arial" w:hAnsi="Arial"/>
      <w:b/>
      <w:color w:val="000000"/>
      <w:kern w:val="0"/>
      <w:sz w:val="24"/>
      <w:szCs w:val="32"/>
      <w14:ligatures xmlns:w14="http://schemas.microsoft.com/office/word/2010/wordml" w14:val="none"/>
    </w:rPr>
  </w:style>
  <w:style w:type="character" w:customStyle="1" w:styleId="style4099">
    <w:name w:val="Heading 3 Char_118ea8fa-0158-4087-8524-3870151edc65"/>
    <w:basedOn w:val="style65"/>
    <w:next w:val="style4099"/>
    <w:link w:val="style3"/>
    <w:rPr>
      <w:rFonts w:ascii="Times New Roman" w:cs="Arial" w:eastAsia="Arial" w:hAnsi="Times New Roman"/>
      <w:b/>
      <w:color w:val="000000"/>
      <w:kern w:val="0"/>
      <w:sz w:val="24"/>
      <w:szCs w:val="28"/>
      <w14:ligatures xmlns:w14="http://schemas.microsoft.com/office/word/2010/wordml" w14:val="none"/>
    </w:rPr>
  </w:style>
  <w:style w:type="paragraph" w:styleId="style74">
    <w:name w:val="Subtitle"/>
    <w:basedOn w:val="style0"/>
    <w:next w:val="style0"/>
    <w:link w:val="style4100"/>
    <w:qFormat/>
    <w:uiPriority w:val="11"/>
    <w:pPr>
      <w:numPr>
        <w:ilvl w:val="1"/>
        <w:numId w:val="0"/>
      </w:numPr>
      <w:jc w:val="center"/>
    </w:pPr>
    <w:rPr>
      <w:rFonts w:cs="宋体" w:eastAsia="宋体"/>
      <w:b/>
      <w:spacing w:val="15"/>
      <w:szCs w:val="28"/>
    </w:rPr>
  </w:style>
  <w:style w:type="character" w:customStyle="1" w:styleId="style4100">
    <w:name w:val="Subtitle Char"/>
    <w:basedOn w:val="style65"/>
    <w:next w:val="style4100"/>
    <w:link w:val="style74"/>
    <w:uiPriority w:val="11"/>
    <w:rPr>
      <w:rFonts w:ascii="Times New Roman" w:cs="宋体" w:eastAsia="宋体" w:hAnsi="Times New Roman"/>
      <w:b/>
      <w:color w:val="000000"/>
      <w:spacing w:val="15"/>
      <w:sz w:val="24"/>
      <w:szCs w:val="28"/>
    </w:rPr>
  </w:style>
  <w:style w:type="character" w:customStyle="1" w:styleId="style4101">
    <w:name w:val="Heading 4 Char_4c219e46-8bb4-4905-aba2-d120b0baf5cd"/>
    <w:basedOn w:val="style65"/>
    <w:next w:val="style4101"/>
    <w:link w:val="style4"/>
    <w:uiPriority w:val="9"/>
    <w:rPr>
      <w:rFonts w:cs="宋体" w:eastAsia="宋体"/>
      <w:i/>
      <w:iCs/>
      <w:color w:val="2f5496"/>
      <w:sz w:val="24"/>
    </w:rPr>
  </w:style>
  <w:style w:type="character" w:customStyle="1" w:styleId="style4102">
    <w:name w:val="Heading 5 Char_7bf90ad1-5117-49d7-8816-dd5ea691ae14"/>
    <w:basedOn w:val="style65"/>
    <w:next w:val="style4102"/>
    <w:link w:val="style5"/>
    <w:uiPriority w:val="9"/>
    <w:rPr>
      <w:rFonts w:cs="宋体" w:eastAsia="宋体"/>
      <w:color w:val="2f5496"/>
      <w:sz w:val="24"/>
    </w:rPr>
  </w:style>
  <w:style w:type="character" w:customStyle="1" w:styleId="style4103">
    <w:name w:val="Heading 6 Char_8bac0063-419c-4cb0-9bdf-8162ea6a4621"/>
    <w:basedOn w:val="style65"/>
    <w:next w:val="style4103"/>
    <w:link w:val="style6"/>
    <w:uiPriority w:val="9"/>
    <w:rPr>
      <w:rFonts w:cs="宋体" w:eastAsia="宋体"/>
      <w:i/>
      <w:iCs/>
      <w:color w:val="595959"/>
      <w:sz w:val="24"/>
    </w:rPr>
  </w:style>
  <w:style w:type="character" w:customStyle="1" w:styleId="style4104">
    <w:name w:val="Heading 7 Char_1fbc24aa-84be-45ad-bdff-cafc75379357"/>
    <w:basedOn w:val="style65"/>
    <w:next w:val="style4104"/>
    <w:link w:val="style7"/>
    <w:uiPriority w:val="9"/>
    <w:rPr>
      <w:rFonts w:cs="宋体" w:eastAsia="宋体"/>
      <w:color w:val="595959"/>
      <w:sz w:val="24"/>
    </w:rPr>
  </w:style>
  <w:style w:type="character" w:customStyle="1" w:styleId="style4105">
    <w:name w:val="Heading 8 Char_b267e09b-3299-45df-afc4-463b5b850816"/>
    <w:basedOn w:val="style65"/>
    <w:next w:val="style4105"/>
    <w:link w:val="style8"/>
    <w:uiPriority w:val="9"/>
    <w:rPr>
      <w:rFonts w:cs="宋体" w:eastAsia="宋体"/>
      <w:i/>
      <w:iCs/>
      <w:color w:val="272727"/>
      <w:sz w:val="24"/>
    </w:rPr>
  </w:style>
  <w:style w:type="character" w:customStyle="1" w:styleId="style4106">
    <w:name w:val="Heading 9 Char_4d4bde26-4d05-49bc-98fb-b4babe2ee9b5"/>
    <w:basedOn w:val="style65"/>
    <w:next w:val="style4106"/>
    <w:link w:val="style9"/>
    <w:uiPriority w:val="9"/>
    <w:rPr>
      <w:rFonts w:cs="宋体" w:eastAsia="宋体"/>
      <w:color w:val="272727"/>
      <w:sz w:val="24"/>
    </w:rPr>
  </w:style>
  <w:style w:type="paragraph" w:styleId="style62">
    <w:name w:val="Title"/>
    <w:basedOn w:val="style0"/>
    <w:next w:val="style0"/>
    <w:link w:val="style4107"/>
    <w:qFormat/>
    <w:uiPriority w:val="10"/>
    <w:pPr>
      <w:spacing w:after="80" w:lineRule="auto" w:line="240"/>
      <w:contextualSpacing/>
    </w:pPr>
    <w:rPr>
      <w:rFonts w:ascii="Calibri Light" w:cs="宋体" w:eastAsia="宋体" w:hAnsi="Calibri Light"/>
      <w:color w:val="auto"/>
      <w:spacing w:val="-10"/>
      <w:kern w:val="28"/>
      <w:sz w:val="56"/>
      <w:szCs w:val="56"/>
    </w:rPr>
  </w:style>
  <w:style w:type="character" w:customStyle="1" w:styleId="style4107">
    <w:name w:val="Title Char_53ebe509-1315-4a77-87ec-a0036f3b7b44"/>
    <w:basedOn w:val="style65"/>
    <w:next w:val="style4107"/>
    <w:link w:val="style62"/>
    <w:uiPriority w:val="10"/>
    <w:rPr>
      <w:rFonts w:ascii="Calibri Light" w:cs="宋体" w:eastAsia="宋体" w:hAnsi="Calibri Light"/>
      <w:spacing w:val="-10"/>
      <w:kern w:val="28"/>
      <w:sz w:val="56"/>
      <w:szCs w:val="56"/>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c7ae3b31-b8dc-43e0-b4e5-6bca366e88ff"/>
    <w:basedOn w:val="style65"/>
    <w:next w:val="style4108"/>
    <w:link w:val="style180"/>
    <w:uiPriority w:val="29"/>
    <w:rPr>
      <w:rFonts w:ascii="Times New Roman" w:hAnsi="Times New Roman"/>
      <w:i/>
      <w:iCs/>
      <w:color w:val="404040"/>
      <w:sz w:val="24"/>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85912ab3-e522-458c-a6cb-b4ca5f5804f0"/>
    <w:basedOn w:val="style65"/>
    <w:next w:val="style4109"/>
    <w:link w:val="style181"/>
    <w:uiPriority w:val="30"/>
    <w:rPr>
      <w:rFonts w:ascii="Times New Roman" w:hAnsi="Times New Roman"/>
      <w:i/>
      <w:iCs/>
      <w:color w:val="2f5496"/>
      <w:sz w:val="24"/>
    </w:rPr>
  </w:style>
  <w:style w:type="character" w:styleId="style263">
    <w:name w:val="Intense Reference"/>
    <w:basedOn w:val="style65"/>
    <w:next w:val="style263"/>
    <w:qFormat/>
    <w:uiPriority w:val="32"/>
    <w:rPr>
      <w:b/>
      <w:bCs/>
      <w:smallCaps/>
      <w:color w:val="2f5496"/>
      <w:spacing w:val="5"/>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b0d4d9c0-4700-4c9e-a9d5-36abf46df414"/>
    <w:basedOn w:val="style65"/>
    <w:next w:val="style4110"/>
    <w:link w:val="style31"/>
    <w:uiPriority w:val="99"/>
    <w:rPr>
      <w:rFonts w:ascii="Times New Roman" w:hAnsi="Times New Roman"/>
      <w:color w:val="000000"/>
      <w:sz w:val="24"/>
      <w:lang w:val="en-GB"/>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594f5553-3eb6-4f44-906b-9875a9e249cf"/>
    <w:basedOn w:val="style65"/>
    <w:next w:val="style4111"/>
    <w:link w:val="style32"/>
    <w:uiPriority w:val="99"/>
    <w:rPr>
      <w:rFonts w:ascii="Times New Roman" w:hAnsi="Times New Roman"/>
      <w:color w:val="000000"/>
      <w:sz w:val="24"/>
      <w:lang w:val="en-GB"/>
    </w:rPr>
  </w:style>
  <w:style w:type="paragraph" w:styleId="style266">
    <w:name w:val="TOC Heading"/>
    <w:basedOn w:val="style1"/>
    <w:next w:val="style0"/>
    <w:qFormat/>
    <w:uiPriority w:val="39"/>
    <w:pPr>
      <w:spacing w:before="240" w:after="0" w:lineRule="auto" w:line="259"/>
      <w:jc w:val="left"/>
      <w:outlineLvl w:val="9"/>
    </w:pPr>
    <w:rPr>
      <w:rFonts w:ascii="Calibri Light" w:cs="宋体" w:eastAsia="宋体" w:hAnsi="Calibri Light"/>
      <w:b w:val="false"/>
      <w:color w:val="2f5496"/>
      <w:sz w:val="32"/>
      <w:szCs w:val="32"/>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563c1"/>
      <w:u w:val="single"/>
    </w:rPr>
  </w:style>
  <w:style w:type="table" w:styleId="style154">
    <w:name w:val="Table Grid"/>
    <w:basedOn w:val="style105"/>
    <w:next w:val="style154"/>
    <w:uiPriority w:val="39"/>
    <w:pPr>
      <w:spacing w:after="0" w:lineRule="auto" w:line="240"/>
    </w:pPr>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tcPr>
      <w:tcBorders/>
    </w:tcPr>
  </w:style>
</w:styles>
</file>

<file path=word/_rels/document.xml.rels><?xml version="1.0" encoding="UTF-8"?>
<Relationships xmlns="http://schemas.openxmlformats.org/package/2006/relationships"><Relationship Id="rId11" Type="http://schemas.openxmlformats.org/officeDocument/2006/relationships/settings" Target="settings.xml"/><Relationship Id="rId10"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styles" Target="styles.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6A9FFF-7291-4E1C-B8EE-7BBA0A6C8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3725</Words>
  <Pages>19</Pages>
  <Characters>22623</Characters>
  <Application>WPS Office</Application>
  <DocSecurity>0</DocSecurity>
  <Paragraphs>309</Paragraphs>
  <ScaleCrop>false</ScaleCrop>
  <LinksUpToDate>false</LinksUpToDate>
  <CharactersWithSpaces>26191</CharactersWithSpaces>
  <SharedDoc>false</SharedDoc>
  <HyperlinksChanged>false</HyperlinksChanged>
  <AppVersion>15.000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2026-06-09T14:20:00Z</dcterms:created>
  <dc:creator>Lyappan Balakrishnan</dc:creator>
  <lastModifiedBy>CPH2717</lastModifiedBy>
  <dcterms:modified xsi:type="dcterms:W3CDTF">2026-06-11T13:26:14Z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bc91ab4f763b4293a5b1f4abb456acd2_23</vt:lpwstr>
  </property>
</Properties>
</file>