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36"/>
          <w:szCs w:val="36"/>
        </w:rPr>
      </w:pPr>
    </w:p>
    <w:p>
      <w:pPr>
        <w:pStyle w:val="style0"/>
        <w:spacing w:lineRule="auto" w:line="360"/>
        <w:jc w:val="center"/>
        <w:rPr>
          <w:rFonts w:ascii="Arial" w:cs="Arial" w:hAnsi="Arial"/>
          <w:b/>
          <w:bCs/>
          <w:sz w:val="36"/>
          <w:szCs w:val="36"/>
          <w:lang w:val="en-US"/>
        </w:rPr>
      </w:pPr>
      <w:r>
        <w:rPr>
          <w:rFonts w:ascii="Arial" w:cs="Arial" w:hAnsi="Arial"/>
          <w:b/>
          <w:bCs/>
          <w:sz w:val="36"/>
          <w:szCs w:val="36"/>
          <w:lang w:val="en-US"/>
        </w:rPr>
        <w:t>Name: Saeed Hossain</w:t>
        <w:cr/>
        <w:t>Id: 2425144</w:t>
        <w:cr/>
        <w:t>Module: Phycology in Health &amp; Social Care</w:t>
        <w:cr/>
        <w:t>Module: LCHS 4010</w:t>
        <w:cr/>
        <w:t>Assignment Titles:</w:t>
      </w:r>
    </w:p>
    <w:p>
      <w:pPr>
        <w:pStyle w:val="style0"/>
        <w:spacing w:lineRule="auto" w:line="360"/>
        <w:jc w:val="center"/>
        <w:rPr>
          <w:rFonts w:ascii="Arial" w:cs="Arial" w:hAnsi="Arial"/>
          <w:b/>
          <w:bCs/>
          <w:sz w:val="36"/>
          <w:szCs w:val="36"/>
          <w:lang w:val="en-US"/>
        </w:rPr>
      </w:pPr>
      <w:r>
        <w:rPr>
          <w:rFonts w:ascii="Arial" w:cs="Arial" w:hAnsi="Arial"/>
          <w:b/>
          <w:bCs/>
          <w:sz w:val="36"/>
          <w:szCs w:val="36"/>
          <w:lang w:val="en-US"/>
        </w:rPr>
        <w:t>Psychological Theories of Adult Development and Wellbeing in Health and Social Care.</w:t>
      </w:r>
    </w:p>
    <w:p>
      <w:pPr>
        <w:pStyle w:val="style0"/>
        <w:spacing w:lineRule="auto" w:line="360"/>
        <w:jc w:val="center"/>
        <w:rPr>
          <w:rFonts w:ascii="Arial" w:cs="Arial" w:hAnsi="Arial"/>
          <w:b/>
          <w:bCs/>
          <w:sz w:val="36"/>
          <w:szCs w:val="36"/>
        </w:rPr>
      </w:pPr>
      <w:r>
        <w:rPr>
          <w:rFonts w:ascii="Arial" w:cs="Arial" w:hAnsi="Arial"/>
          <w:b/>
          <w:bCs/>
          <w:sz w:val="36"/>
          <w:szCs w:val="36"/>
          <w:lang w:val="en-US"/>
        </w:rPr>
        <w:t>Report on health and social care professionals working in an older adults.</w:t>
        <w:cr/>
        <w:t>Lecturer : Farah Witta</w:t>
        <w:cr/>
      </w: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r>
        <w:rPr>
          <w:rFonts w:ascii="Arial" w:cs="Arial" w:hAnsi="Arial"/>
          <w:b/>
          <w:bCs/>
          <w:sz w:val="22"/>
          <w:szCs w:val="22"/>
        </w:rPr>
        <w:t>LCHS4010</w:t>
      </w:r>
    </w:p>
    <w:p>
      <w:pPr>
        <w:pStyle w:val="style0"/>
        <w:spacing w:lineRule="auto" w:line="360"/>
        <w:rPr>
          <w:rFonts w:ascii="Arial" w:cs="Arial" w:hAnsi="Arial"/>
          <w:b/>
          <w:bCs/>
          <w:sz w:val="22"/>
          <w:szCs w:val="22"/>
        </w:rPr>
      </w:pPr>
      <w:r>
        <w:rPr>
          <w:rFonts w:ascii="Arial" w:cs="Arial" w:hAnsi="Arial"/>
          <w:b/>
          <w:bCs/>
          <w:sz w:val="22"/>
          <w:szCs w:val="22"/>
        </w:rPr>
        <w:t>Annotated Bibliography</w:t>
      </w:r>
    </w:p>
    <w:p>
      <w:pPr>
        <w:pStyle w:val="style0"/>
        <w:spacing w:lineRule="auto" w:line="360"/>
        <w:rPr>
          <w:rFonts w:ascii="Arial" w:cs="Arial" w:hAnsi="Arial"/>
          <w:b/>
          <w:bCs/>
          <w:sz w:val="22"/>
          <w:szCs w:val="22"/>
        </w:rPr>
      </w:pPr>
      <w:r>
        <w:rPr>
          <w:rFonts w:ascii="Arial" w:cs="Arial" w:hAnsi="Arial"/>
          <w:b/>
          <w:bCs/>
          <w:sz w:val="22"/>
          <w:szCs w:val="22"/>
        </w:rPr>
        <w:t>Entry 1: Erikson’s Psychosocial Theory</w:t>
      </w:r>
    </w:p>
    <w:p>
      <w:pPr>
        <w:pStyle w:val="style0"/>
        <w:spacing w:lineRule="auto" w:line="360"/>
        <w:rPr>
          <w:rFonts w:ascii="Arial" w:cs="Arial" w:hAnsi="Arial"/>
          <w:sz w:val="22"/>
          <w:szCs w:val="22"/>
        </w:rPr>
      </w:pPr>
      <w:r>
        <w:rPr>
          <w:rFonts w:ascii="Arial" w:cs="Arial" w:hAnsi="Arial"/>
          <w:b/>
          <w:bCs/>
          <w:sz w:val="22"/>
          <w:szCs w:val="22"/>
        </w:rPr>
        <w:t>Full reference:</w:t>
      </w:r>
      <w:r>
        <w:rPr>
          <w:rFonts w:ascii="Arial" w:cs="Arial" w:hAnsi="Arial"/>
          <w:sz w:val="22"/>
          <w:szCs w:val="22"/>
        </w:rPr>
        <w:br/>
      </w:r>
      <w:r>
        <w:rPr>
          <w:rFonts w:ascii="Arial" w:cs="Arial" w:hAnsi="Arial"/>
          <w:sz w:val="22"/>
          <w:szCs w:val="22"/>
        </w:rPr>
        <w:t xml:space="preserve">Leonti, R.M. and </w:t>
      </w:r>
      <w:r>
        <w:rPr>
          <w:rFonts w:ascii="Arial" w:cs="Arial" w:hAnsi="Arial"/>
          <w:sz w:val="22"/>
          <w:szCs w:val="22"/>
        </w:rPr>
        <w:t>Turliuc</w:t>
      </w:r>
      <w:r>
        <w:rPr>
          <w:rFonts w:ascii="Arial" w:cs="Arial" w:hAnsi="Arial"/>
          <w:sz w:val="22"/>
          <w:szCs w:val="22"/>
        </w:rPr>
        <w:t xml:space="preserve">, M.N. (2025) ‘Better and healthier together? The mediation effect of positive psychological capital on the relationship between perceived social support and health-related quality of life among older adults’, </w:t>
      </w:r>
      <w:r>
        <w:rPr>
          <w:rFonts w:ascii="Arial" w:cs="Arial" w:hAnsi="Arial"/>
          <w:i/>
          <w:iCs/>
          <w:sz w:val="22"/>
          <w:szCs w:val="22"/>
        </w:rPr>
        <w:t>The International Journal of Aging and Human Development</w:t>
      </w:r>
      <w:r>
        <w:rPr>
          <w:rFonts w:ascii="Arial" w:cs="Arial" w:hAnsi="Arial"/>
          <w:sz w:val="22"/>
          <w:szCs w:val="22"/>
        </w:rPr>
        <w:t xml:space="preserve">, 100(4), pp. 502–526. </w:t>
      </w:r>
    </w:p>
    <w:p>
      <w:pPr>
        <w:pStyle w:val="style0"/>
        <w:spacing w:lineRule="auto" w:line="360"/>
        <w:rPr>
          <w:rFonts w:ascii="Arial" w:cs="Arial" w:hAnsi="Arial"/>
          <w:sz w:val="22"/>
          <w:szCs w:val="22"/>
        </w:rPr>
      </w:pPr>
      <w:r>
        <w:rPr>
          <w:rFonts w:ascii="Arial" w:cs="Arial" w:hAnsi="Arial"/>
          <w:b/>
          <w:bCs/>
          <w:sz w:val="22"/>
          <w:szCs w:val="22"/>
        </w:rPr>
        <w:t>Summary:</w:t>
      </w:r>
      <w:r>
        <w:rPr>
          <w:rFonts w:ascii="Arial" w:cs="Arial" w:hAnsi="Arial"/>
          <w:sz w:val="22"/>
          <w:szCs w:val="22"/>
        </w:rPr>
        <w:br/>
      </w:r>
      <w:r>
        <w:rPr>
          <w:rFonts w:ascii="Arial" w:cs="Arial" w:hAnsi="Arial"/>
          <w:sz w:val="22"/>
          <w:szCs w:val="22"/>
        </w:rPr>
        <w:t>This cross-sectional study of 319 older adults (aged 65–90) examined whether positive psychological capital (</w:t>
      </w:r>
      <w:r>
        <w:rPr>
          <w:rFonts w:ascii="Arial" w:cs="Arial" w:hAnsi="Arial"/>
          <w:sz w:val="22"/>
          <w:szCs w:val="22"/>
        </w:rPr>
        <w:t>PsyCap</w:t>
      </w:r>
      <w:r>
        <w:rPr>
          <w:rFonts w:ascii="Arial" w:cs="Arial" w:hAnsi="Arial"/>
          <w:sz w:val="22"/>
          <w:szCs w:val="22"/>
        </w:rPr>
        <w:t xml:space="preserve"> – a composite of hope, optimism, self-efficacy and resilience) mediates the relationship between perceived social support and health</w:t>
      </w:r>
      <w:r>
        <w:rPr>
          <w:rFonts w:ascii="Arial" w:cs="Arial" w:hAnsi="Arial"/>
          <w:sz w:val="22"/>
          <w:szCs w:val="22"/>
        </w:rPr>
        <w:noBreakHyphen/>
      </w:r>
      <w:r>
        <w:rPr>
          <w:rFonts w:ascii="Arial" w:cs="Arial" w:hAnsi="Arial"/>
          <w:sz w:val="22"/>
          <w:szCs w:val="22"/>
        </w:rPr>
        <w:t xml:space="preserve">related quality of life. The authors found that perceived social support was positively associated with </w:t>
      </w:r>
      <w:r>
        <w:rPr>
          <w:rFonts w:ascii="Arial" w:cs="Arial" w:hAnsi="Arial"/>
          <w:sz w:val="22"/>
          <w:szCs w:val="22"/>
        </w:rPr>
        <w:t>PsyCap</w:t>
      </w:r>
      <w:r>
        <w:rPr>
          <w:rFonts w:ascii="Arial" w:cs="Arial" w:hAnsi="Arial"/>
          <w:sz w:val="22"/>
          <w:szCs w:val="22"/>
        </w:rPr>
        <w:t>, which in turn fully mediated the link between social support and both physical and mental health. Hope and optimism predicted physical health, while hope, optimism and self</w:t>
      </w:r>
      <w:r>
        <w:rPr>
          <w:rFonts w:ascii="Arial" w:cs="Arial" w:hAnsi="Arial"/>
          <w:sz w:val="22"/>
          <w:szCs w:val="22"/>
        </w:rPr>
        <w:noBreakHyphen/>
      </w:r>
      <w:r>
        <w:rPr>
          <w:rFonts w:ascii="Arial" w:cs="Arial" w:hAnsi="Arial"/>
          <w:sz w:val="22"/>
          <w:szCs w:val="22"/>
        </w:rPr>
        <w:t>efficacy predicted mental health.</w:t>
      </w:r>
    </w:p>
    <w:p>
      <w:pPr>
        <w:pStyle w:val="style0"/>
        <w:spacing w:lineRule="auto" w:line="360"/>
        <w:rPr>
          <w:rFonts w:ascii="Arial" w:cs="Arial" w:hAnsi="Arial"/>
          <w:sz w:val="22"/>
          <w:szCs w:val="22"/>
        </w:rPr>
      </w:pPr>
      <w:r>
        <w:rPr>
          <w:rFonts w:ascii="Arial" w:cs="Arial" w:hAnsi="Arial"/>
          <w:b/>
          <w:bCs/>
          <w:sz w:val="22"/>
          <w:szCs w:val="22"/>
        </w:rPr>
        <w:t>Critical comment on relevance to HSC:</w:t>
      </w:r>
      <w:r>
        <w:rPr>
          <w:rFonts w:ascii="Arial" w:cs="Arial" w:hAnsi="Arial"/>
          <w:sz w:val="22"/>
          <w:szCs w:val="22"/>
        </w:rPr>
        <w:br/>
      </w:r>
      <w:r>
        <w:rPr>
          <w:rFonts w:ascii="Arial" w:cs="Arial" w:hAnsi="Arial"/>
          <w:sz w:val="22"/>
          <w:szCs w:val="22"/>
        </w:rPr>
        <w:t>The study aligns closely with positive psychology approaches to ageing by moving beyond deficit</w:t>
      </w:r>
      <w:r>
        <w:rPr>
          <w:rFonts w:ascii="Arial" w:cs="Arial" w:hAnsi="Arial"/>
          <w:sz w:val="22"/>
          <w:szCs w:val="22"/>
        </w:rPr>
        <w:noBreakHyphen/>
      </w:r>
      <w:r>
        <w:rPr>
          <w:rFonts w:ascii="Arial" w:cs="Arial" w:hAnsi="Arial"/>
          <w:sz w:val="22"/>
          <w:szCs w:val="22"/>
        </w:rPr>
        <w:t xml:space="preserve">focused models and identifying modifiable psychological resources that enhance wellbeing. In health and social care settings, the findings suggest that interventions designed to strengthen </w:t>
      </w:r>
      <w:r>
        <w:rPr>
          <w:rFonts w:ascii="Arial" w:cs="Arial" w:hAnsi="Arial"/>
          <w:sz w:val="22"/>
          <w:szCs w:val="22"/>
        </w:rPr>
        <w:t>PsyCap</w:t>
      </w:r>
      <w:r>
        <w:rPr>
          <w:rFonts w:ascii="Arial" w:cs="Arial" w:hAnsi="Arial"/>
          <w:sz w:val="22"/>
          <w:szCs w:val="22"/>
        </w:rPr>
        <w:t xml:space="preserve"> – for example, reminiscence</w:t>
      </w:r>
      <w:r>
        <w:rPr>
          <w:rFonts w:ascii="Arial" w:cs="Arial" w:hAnsi="Arial"/>
          <w:sz w:val="22"/>
          <w:szCs w:val="22"/>
        </w:rPr>
        <w:noBreakHyphen/>
      </w:r>
      <w:r>
        <w:rPr>
          <w:rFonts w:ascii="Arial" w:cs="Arial" w:hAnsi="Arial"/>
          <w:sz w:val="22"/>
          <w:szCs w:val="22"/>
        </w:rPr>
        <w:t>based groups that foster hope and self</w:t>
      </w:r>
      <w:r>
        <w:rPr>
          <w:rFonts w:ascii="Arial" w:cs="Arial" w:hAnsi="Arial"/>
          <w:sz w:val="22"/>
          <w:szCs w:val="22"/>
        </w:rPr>
        <w:noBreakHyphen/>
      </w:r>
      <w:r>
        <w:rPr>
          <w:rFonts w:ascii="Arial" w:cs="Arial" w:hAnsi="Arial"/>
          <w:sz w:val="22"/>
          <w:szCs w:val="22"/>
        </w:rPr>
        <w:t>efficacy – could be integrated into routine support for older adults. However, the cross</w:t>
      </w:r>
      <w:r>
        <w:rPr>
          <w:rFonts w:ascii="Arial" w:cs="Arial" w:hAnsi="Arial"/>
          <w:sz w:val="22"/>
          <w:szCs w:val="22"/>
        </w:rPr>
        <w:noBreakHyphen/>
      </w:r>
      <w:r>
        <w:rPr>
          <w:rFonts w:ascii="Arial" w:cs="Arial" w:hAnsi="Arial"/>
          <w:sz w:val="22"/>
          <w:szCs w:val="22"/>
        </w:rPr>
        <w:t xml:space="preserve">sectional design limits causal inference, and the sample (retirees from one country) may not fully represent the diversity of older people in care homes or those with cognitive impairments. Practitioners should therefore combine </w:t>
      </w:r>
      <w:r>
        <w:rPr>
          <w:rFonts w:ascii="Arial" w:cs="Arial" w:hAnsi="Arial"/>
          <w:sz w:val="22"/>
          <w:szCs w:val="22"/>
        </w:rPr>
        <w:t>PsyCap</w:t>
      </w:r>
      <w:r>
        <w:rPr>
          <w:rFonts w:ascii="Arial" w:cs="Arial" w:hAnsi="Arial"/>
          <w:sz w:val="22"/>
          <w:szCs w:val="22"/>
        </w:rPr>
        <w:noBreakHyphen/>
      </w:r>
      <w:r>
        <w:rPr>
          <w:rFonts w:ascii="Arial" w:cs="Arial" w:hAnsi="Arial"/>
          <w:sz w:val="22"/>
          <w:szCs w:val="22"/>
        </w:rPr>
        <w:t>building activities with careful individual assessment.</w:t>
      </w:r>
    </w:p>
    <w:p>
      <w:pPr>
        <w:pStyle w:val="style0"/>
        <w:spacing w:lineRule="auto" w:line="360"/>
        <w:rPr>
          <w:rFonts w:ascii="Arial" w:cs="Arial" w:hAnsi="Arial"/>
          <w:sz w:val="22"/>
          <w:szCs w:val="22"/>
        </w:rPr>
      </w:pPr>
      <w:r>
        <w:rPr>
          <w:rFonts w:ascii="Arial" w:cs="Arial" w:hAnsi="Arial"/>
          <w:sz w:val="22"/>
          <w:szCs w:val="22"/>
        </w:rPr>
        <w:pict>
          <v:rect id="1026" fillcolor="#a0a0a0" stroked="f" style="margin-left:0.0pt;margin-top:0.0pt;width:0.0pt;height:1.5pt;mso-wrap-distance-left:0.0pt;mso-wrap-distance-right:0.0pt;visibility:visible;" o:hr="t" o:hralign="center" o:hrstd="t">
            <v:stroke on="f"/>
            <v:fill/>
          </v:rect>
        </w:pict>
      </w:r>
    </w:p>
    <w:p>
      <w:pPr>
        <w:pStyle w:val="style0"/>
        <w:spacing w:lineRule="auto" w:line="360"/>
        <w:rPr>
          <w:rFonts w:ascii="Arial" w:cs="Arial" w:hAnsi="Arial"/>
          <w:b/>
          <w:bCs/>
          <w:sz w:val="22"/>
          <w:szCs w:val="22"/>
        </w:rPr>
      </w:pPr>
      <w:r>
        <w:rPr>
          <w:rFonts w:ascii="Arial" w:cs="Arial" w:hAnsi="Arial"/>
          <w:b/>
          <w:bCs/>
          <w:sz w:val="22"/>
          <w:szCs w:val="22"/>
        </w:rPr>
        <w:t>Entry 2: Havighurst’s Activity Theory</w:t>
      </w:r>
    </w:p>
    <w:p>
      <w:pPr>
        <w:pStyle w:val="style0"/>
        <w:spacing w:lineRule="auto" w:line="360"/>
        <w:rPr>
          <w:rFonts w:ascii="Arial" w:cs="Arial" w:hAnsi="Arial"/>
          <w:sz w:val="22"/>
          <w:szCs w:val="22"/>
        </w:rPr>
      </w:pPr>
      <w:r>
        <w:rPr>
          <w:rFonts w:ascii="Arial" w:cs="Arial" w:hAnsi="Arial"/>
          <w:b/>
          <w:bCs/>
          <w:sz w:val="22"/>
          <w:szCs w:val="22"/>
        </w:rPr>
        <w:t>Full reference:</w:t>
      </w:r>
      <w:r>
        <w:rPr>
          <w:rFonts w:ascii="Arial" w:cs="Arial" w:hAnsi="Arial"/>
          <w:sz w:val="22"/>
          <w:szCs w:val="22"/>
        </w:rPr>
        <w:br/>
      </w:r>
      <w:r>
        <w:rPr>
          <w:rFonts w:ascii="Arial" w:cs="Arial" w:hAnsi="Arial"/>
          <w:sz w:val="22"/>
          <w:szCs w:val="22"/>
        </w:rPr>
        <w:t xml:space="preserve">Jang, Y., Kim, G. and Chiriboga, D.A. (2011) ‘Social activity and depressive symptoms in Korean American older adults: the conditioning role of acculturation’, </w:t>
      </w:r>
      <w:r>
        <w:rPr>
          <w:rFonts w:ascii="Arial" w:cs="Arial" w:hAnsi="Arial"/>
          <w:i/>
          <w:iCs/>
          <w:sz w:val="22"/>
          <w:szCs w:val="22"/>
        </w:rPr>
        <w:t>Journal of Aging and Health</w:t>
      </w:r>
      <w:r>
        <w:rPr>
          <w:rFonts w:ascii="Arial" w:cs="Arial" w:hAnsi="Arial"/>
          <w:sz w:val="22"/>
          <w:szCs w:val="22"/>
        </w:rPr>
        <w:t xml:space="preserve">, 23(5), pp. 767–781. </w:t>
      </w:r>
    </w:p>
    <w:p>
      <w:pPr>
        <w:pStyle w:val="style0"/>
        <w:spacing w:lineRule="auto" w:line="360"/>
        <w:rPr>
          <w:rFonts w:ascii="Arial" w:cs="Arial" w:hAnsi="Arial"/>
          <w:sz w:val="22"/>
          <w:szCs w:val="22"/>
        </w:rPr>
      </w:pPr>
      <w:r>
        <w:rPr>
          <w:rFonts w:ascii="Arial" w:cs="Arial" w:hAnsi="Arial"/>
          <w:b/>
          <w:bCs/>
          <w:sz w:val="22"/>
          <w:szCs w:val="22"/>
        </w:rPr>
        <w:t>Summary:</w:t>
      </w:r>
      <w:r>
        <w:rPr>
          <w:rFonts w:ascii="Arial" w:cs="Arial" w:hAnsi="Arial"/>
          <w:sz w:val="22"/>
          <w:szCs w:val="22"/>
        </w:rPr>
        <w:br/>
      </w:r>
      <w:r>
        <w:rPr>
          <w:rFonts w:ascii="Arial" w:cs="Arial" w:hAnsi="Arial"/>
          <w:sz w:val="22"/>
          <w:szCs w:val="22"/>
        </w:rPr>
        <w:t>Drawing on Havighurst’s activity theory, this study examined the independent and interactive effects of acculturation and social activity on depressive symptoms in a sample of 675 community</w:t>
      </w:r>
      <w:r>
        <w:rPr>
          <w:rFonts w:ascii="Arial" w:cs="Arial" w:hAnsi="Arial"/>
          <w:sz w:val="22"/>
          <w:szCs w:val="22"/>
        </w:rPr>
        <w:noBreakHyphen/>
      </w:r>
      <w:r>
        <w:rPr>
          <w:rFonts w:ascii="Arial" w:cs="Arial" w:hAnsi="Arial"/>
          <w:sz w:val="22"/>
          <w:szCs w:val="22"/>
        </w:rPr>
        <w:t>dwelling Korean American older adults. After controlling for demographic and health variables, both higher acculturation and higher social activity were significant predictors of fewer depressive symptoms. Importantly, the beneficial effect of social activity was strongest among those with lower acculturation levels.</w:t>
      </w:r>
    </w:p>
    <w:p>
      <w:pPr>
        <w:pStyle w:val="style0"/>
        <w:spacing w:lineRule="auto" w:line="360"/>
        <w:rPr>
          <w:rFonts w:ascii="Arial" w:cs="Arial" w:hAnsi="Arial"/>
          <w:sz w:val="22"/>
          <w:szCs w:val="22"/>
        </w:rPr>
      </w:pPr>
      <w:r>
        <w:rPr>
          <w:rFonts w:ascii="Arial" w:cs="Arial" w:hAnsi="Arial"/>
          <w:b/>
          <w:bCs/>
          <w:sz w:val="22"/>
          <w:szCs w:val="22"/>
        </w:rPr>
        <w:t>Critical comment on relevance to HSC:</w:t>
      </w:r>
      <w:r>
        <w:rPr>
          <w:rFonts w:ascii="Arial" w:cs="Arial" w:hAnsi="Arial"/>
          <w:sz w:val="22"/>
          <w:szCs w:val="22"/>
        </w:rPr>
        <w:br/>
      </w:r>
      <w:r>
        <w:rPr>
          <w:rFonts w:ascii="Arial" w:cs="Arial" w:hAnsi="Arial"/>
          <w:sz w:val="22"/>
          <w:szCs w:val="22"/>
        </w:rPr>
        <w:t>The study provides empirical support for activity theory’s central claim – that maintaining social engagement promotes wellbeing in later life. For health and social care professionals, the interaction effect is particularly valuable: it suggests that for socially isolated or less accultured older adults, even modest increases in structured group activities (e.g., culturally tailored lunch clubs or walking groups) can yield significant mental health benefits. Nevertheless, the study’s focus on a single ethnic minority group means findings may not generalise to other populations. Practitioners should also be mindful that activity theory can inadvertently blame individuals who are unable to participate due to frailty or chronic illness; a person</w:t>
      </w:r>
      <w:r>
        <w:rPr>
          <w:rFonts w:ascii="Arial" w:cs="Arial" w:hAnsi="Arial"/>
          <w:sz w:val="22"/>
          <w:szCs w:val="22"/>
        </w:rPr>
        <w:noBreakHyphen/>
      </w:r>
      <w:r>
        <w:rPr>
          <w:rFonts w:ascii="Arial" w:cs="Arial" w:hAnsi="Arial"/>
          <w:sz w:val="22"/>
          <w:szCs w:val="22"/>
        </w:rPr>
        <w:t>centred approach is essential.</w:t>
      </w:r>
    </w:p>
    <w:p>
      <w:pPr>
        <w:pStyle w:val="style0"/>
        <w:spacing w:lineRule="auto" w:line="360"/>
        <w:rPr>
          <w:rFonts w:ascii="Arial" w:cs="Arial" w:hAnsi="Arial"/>
          <w:sz w:val="22"/>
          <w:szCs w:val="22"/>
        </w:rPr>
      </w:pPr>
      <w:r>
        <w:rPr>
          <w:rFonts w:ascii="Arial" w:cs="Arial" w:hAnsi="Arial"/>
          <w:sz w:val="22"/>
          <w:szCs w:val="22"/>
        </w:rPr>
        <w:pict>
          <v:rect id="1027" fillcolor="#a0a0a0" stroked="f" style="margin-left:0.0pt;margin-top:0.0pt;width:0.0pt;height:1.5pt;mso-wrap-distance-left:0.0pt;mso-wrap-distance-right:0.0pt;visibility:visible;" o:hr="t" o:hralign="center" o:hrstd="t">
            <v:stroke on="f"/>
            <v:fill/>
          </v:rect>
        </w:pict>
      </w:r>
    </w:p>
    <w:p>
      <w:pPr>
        <w:pStyle w:val="style0"/>
        <w:spacing w:lineRule="auto" w:line="360"/>
        <w:rPr>
          <w:rFonts w:ascii="Arial" w:cs="Arial" w:hAnsi="Arial"/>
          <w:b/>
          <w:bCs/>
          <w:sz w:val="22"/>
          <w:szCs w:val="22"/>
        </w:rPr>
      </w:pPr>
      <w:r>
        <w:rPr>
          <w:rFonts w:ascii="Arial" w:cs="Arial" w:hAnsi="Arial"/>
          <w:b/>
          <w:bCs/>
          <w:sz w:val="22"/>
          <w:szCs w:val="22"/>
        </w:rPr>
        <w:t>Entry 3: Bowlby’s Attachment Theory</w:t>
      </w:r>
    </w:p>
    <w:p>
      <w:pPr>
        <w:pStyle w:val="style0"/>
        <w:spacing w:lineRule="auto" w:line="360"/>
        <w:rPr>
          <w:rFonts w:ascii="Arial" w:cs="Arial" w:hAnsi="Arial"/>
          <w:sz w:val="22"/>
          <w:szCs w:val="22"/>
        </w:rPr>
      </w:pPr>
      <w:r>
        <w:rPr>
          <w:rFonts w:ascii="Arial" w:cs="Arial" w:hAnsi="Arial"/>
          <w:b/>
          <w:bCs/>
          <w:sz w:val="22"/>
          <w:szCs w:val="22"/>
        </w:rPr>
        <w:t>Full reference:</w:t>
      </w:r>
      <w:r>
        <w:rPr>
          <w:rFonts w:ascii="Arial" w:cs="Arial" w:hAnsi="Arial"/>
          <w:sz w:val="22"/>
          <w:szCs w:val="22"/>
        </w:rPr>
        <w:br/>
      </w:r>
      <w:r>
        <w:rPr>
          <w:rFonts w:ascii="Arial" w:cs="Arial" w:hAnsi="Arial"/>
          <w:sz w:val="22"/>
          <w:szCs w:val="22"/>
        </w:rPr>
        <w:t xml:space="preserve">Bradley, J.M. and Cafferty, T.P. (2001) ‘Attachment among older adults: current issues and directions for future research’, </w:t>
      </w:r>
      <w:r>
        <w:rPr>
          <w:rFonts w:ascii="Arial" w:cs="Arial" w:hAnsi="Arial"/>
          <w:i/>
          <w:iCs/>
          <w:sz w:val="22"/>
          <w:szCs w:val="22"/>
        </w:rPr>
        <w:t>Attachment &amp; Human Development</w:t>
      </w:r>
      <w:r>
        <w:rPr>
          <w:rFonts w:ascii="Arial" w:cs="Arial" w:hAnsi="Arial"/>
          <w:sz w:val="22"/>
          <w:szCs w:val="22"/>
        </w:rPr>
        <w:t xml:space="preserve">, 3(2), pp. 200–221. </w:t>
      </w:r>
    </w:p>
    <w:p>
      <w:pPr>
        <w:pStyle w:val="style0"/>
        <w:spacing w:lineRule="auto" w:line="360"/>
        <w:rPr>
          <w:rFonts w:ascii="Arial" w:cs="Arial" w:hAnsi="Arial"/>
          <w:sz w:val="22"/>
          <w:szCs w:val="22"/>
        </w:rPr>
      </w:pPr>
      <w:r>
        <w:rPr>
          <w:rFonts w:ascii="Arial" w:cs="Arial" w:hAnsi="Arial"/>
          <w:b/>
          <w:bCs/>
          <w:sz w:val="22"/>
          <w:szCs w:val="22"/>
        </w:rPr>
        <w:t>Summary:</w:t>
      </w:r>
      <w:r>
        <w:rPr>
          <w:rFonts w:ascii="Arial" w:cs="Arial" w:hAnsi="Arial"/>
          <w:sz w:val="22"/>
          <w:szCs w:val="22"/>
        </w:rPr>
        <w:br/>
      </w:r>
      <w:r>
        <w:rPr>
          <w:rFonts w:ascii="Arial" w:cs="Arial" w:hAnsi="Arial"/>
          <w:sz w:val="22"/>
          <w:szCs w:val="22"/>
        </w:rPr>
        <w:t>This review article evaluates the application of Bowlby’s attachment theory to older adult populations. While Bowlby conceptualised attachment as operating “from the cradle to the grave”, the authors note that research on attachment in later life has been relatively slow to develop. The review finds that attachment patterns are consistently associated with outcomes such as adaptation to chronic illness, caregiver burden, bereavement reactions and general wellbeing. The authors also highlight methodological limitations in existing studies (small samples, cross</w:t>
      </w:r>
      <w:r>
        <w:rPr>
          <w:rFonts w:ascii="Arial" w:cs="Arial" w:hAnsi="Arial"/>
          <w:sz w:val="22"/>
          <w:szCs w:val="22"/>
        </w:rPr>
        <w:noBreakHyphen/>
      </w:r>
      <w:r>
        <w:rPr>
          <w:rFonts w:ascii="Arial" w:cs="Arial" w:hAnsi="Arial"/>
          <w:sz w:val="22"/>
          <w:szCs w:val="22"/>
        </w:rPr>
        <w:t>sectional designs) and call for longitudinal research.</w:t>
      </w:r>
    </w:p>
    <w:p>
      <w:pPr>
        <w:pStyle w:val="style0"/>
        <w:spacing w:lineRule="auto" w:line="360"/>
        <w:rPr>
          <w:rFonts w:ascii="Arial" w:cs="Arial" w:hAnsi="Arial"/>
          <w:sz w:val="22"/>
          <w:szCs w:val="22"/>
        </w:rPr>
      </w:pPr>
      <w:r>
        <w:rPr>
          <w:rFonts w:ascii="Arial" w:cs="Arial" w:hAnsi="Arial"/>
          <w:b/>
          <w:bCs/>
          <w:sz w:val="22"/>
          <w:szCs w:val="22"/>
        </w:rPr>
        <w:t>Critical comment on relevance to HSC:</w:t>
      </w:r>
      <w:r>
        <w:rPr>
          <w:rFonts w:ascii="Arial" w:cs="Arial" w:hAnsi="Arial"/>
          <w:sz w:val="22"/>
          <w:szCs w:val="22"/>
        </w:rPr>
        <w:br/>
      </w:r>
      <w:r>
        <w:rPr>
          <w:rFonts w:ascii="Arial" w:cs="Arial" w:hAnsi="Arial"/>
          <w:sz w:val="22"/>
          <w:szCs w:val="22"/>
        </w:rPr>
        <w:t xml:space="preserve">The review is highly relevant for health and social care practitioners because it demonstrates that attachment styles continue to shape how older adults respond to loss, illness and transitions into care settings. For example, a resident with an insecure attachment may </w:t>
      </w:r>
      <w:r>
        <w:rPr>
          <w:rFonts w:ascii="Arial" w:cs="Arial" w:hAnsi="Arial"/>
          <w:sz w:val="22"/>
          <w:szCs w:val="22"/>
        </w:rPr>
        <w:t>struggle more profoundly with the move to a nursing home, displaying heightened anxiety or withdrawal. Care staff trained to recognise attachment</w:t>
      </w:r>
      <w:r>
        <w:rPr>
          <w:rFonts w:ascii="Arial" w:cs="Arial" w:hAnsi="Arial"/>
          <w:sz w:val="22"/>
          <w:szCs w:val="22"/>
        </w:rPr>
        <w:noBreakHyphen/>
      </w:r>
      <w:r>
        <w:rPr>
          <w:rFonts w:ascii="Arial" w:cs="Arial" w:hAnsi="Arial"/>
          <w:sz w:val="22"/>
          <w:szCs w:val="22"/>
        </w:rPr>
        <w:t>related behaviours can adapt their communication – offering predictable, emotionally attuned responses – to build a “secure base” within the care environment. However, the article is now over two decades old; more recent evidence (e.g., the 2025 editorial by Maldonado) provides stronger guidance for practical implementation.</w:t>
      </w:r>
    </w:p>
    <w:p>
      <w:pPr>
        <w:pStyle w:val="style0"/>
        <w:spacing w:lineRule="auto" w:line="360"/>
        <w:rPr>
          <w:rFonts w:ascii="Arial" w:cs="Arial" w:hAnsi="Arial"/>
          <w:sz w:val="22"/>
          <w:szCs w:val="22"/>
        </w:rPr>
      </w:pPr>
      <w:r>
        <w:rPr>
          <w:rFonts w:ascii="Arial" w:cs="Arial" w:hAnsi="Arial"/>
          <w:sz w:val="22"/>
          <w:szCs w:val="22"/>
        </w:rPr>
        <w:pict>
          <v:rect id="1028" fillcolor="#a0a0a0" stroked="f" style="margin-left:0.0pt;margin-top:0.0pt;width:0.0pt;height:1.5pt;mso-wrap-distance-left:0.0pt;mso-wrap-distance-right:0.0pt;visibility:visible;" o:hr="t" o:hralign="center" o:hrstd="t">
            <v:stroke on="f"/>
            <v:fill/>
          </v:rect>
        </w:pict>
      </w:r>
    </w:p>
    <w:p>
      <w:pPr>
        <w:pStyle w:val="style0"/>
        <w:spacing w:lineRule="auto" w:line="360"/>
        <w:rPr>
          <w:rFonts w:ascii="Arial" w:cs="Arial" w:hAnsi="Arial"/>
          <w:b/>
          <w:bCs/>
          <w:sz w:val="22"/>
          <w:szCs w:val="22"/>
        </w:rPr>
      </w:pPr>
      <w:r>
        <w:rPr>
          <w:rFonts w:ascii="Arial" w:cs="Arial" w:hAnsi="Arial"/>
          <w:b/>
          <w:bCs/>
          <w:sz w:val="22"/>
          <w:szCs w:val="22"/>
        </w:rPr>
        <w:t>Entry 4: Positive Psychology Approaches to Ageing</w:t>
      </w:r>
    </w:p>
    <w:p>
      <w:pPr>
        <w:pStyle w:val="style0"/>
        <w:spacing w:lineRule="auto" w:line="360"/>
        <w:rPr>
          <w:rFonts w:ascii="Arial" w:cs="Arial" w:hAnsi="Arial"/>
          <w:sz w:val="22"/>
          <w:szCs w:val="22"/>
        </w:rPr>
      </w:pPr>
      <w:r>
        <w:rPr>
          <w:rFonts w:ascii="Arial" w:cs="Arial" w:hAnsi="Arial"/>
          <w:b/>
          <w:bCs/>
          <w:sz w:val="22"/>
          <w:szCs w:val="22"/>
        </w:rPr>
        <w:t>Full reference:</w:t>
      </w:r>
      <w:r>
        <w:rPr>
          <w:rFonts w:ascii="Arial" w:cs="Arial" w:hAnsi="Arial"/>
          <w:sz w:val="22"/>
          <w:szCs w:val="22"/>
        </w:rPr>
        <w:br/>
      </w:r>
      <w:r>
        <w:rPr>
          <w:rFonts w:ascii="Arial" w:cs="Arial" w:hAnsi="Arial"/>
          <w:sz w:val="22"/>
          <w:szCs w:val="22"/>
        </w:rPr>
        <w:t>Chen, J.-J., Liu, L.-F. and Shea, J.L. (2024) ‘The impact of positive self</w:t>
      </w:r>
      <w:r>
        <w:rPr>
          <w:rFonts w:ascii="Arial" w:cs="Arial" w:hAnsi="Arial"/>
          <w:sz w:val="22"/>
          <w:szCs w:val="22"/>
        </w:rPr>
        <w:noBreakHyphen/>
      </w:r>
      <w:r>
        <w:rPr>
          <w:rFonts w:ascii="Arial" w:cs="Arial" w:hAnsi="Arial"/>
          <w:sz w:val="22"/>
          <w:szCs w:val="22"/>
        </w:rPr>
        <w:t>perceptions of aging on subjective well</w:t>
      </w:r>
      <w:r>
        <w:rPr>
          <w:rFonts w:ascii="Arial" w:cs="Arial" w:hAnsi="Arial"/>
          <w:sz w:val="22"/>
          <w:szCs w:val="22"/>
        </w:rPr>
        <w:noBreakHyphen/>
      </w:r>
      <w:r>
        <w:rPr>
          <w:rFonts w:ascii="Arial" w:cs="Arial" w:hAnsi="Arial"/>
          <w:sz w:val="22"/>
          <w:szCs w:val="22"/>
        </w:rPr>
        <w:t>being through the mediation of psychological resilience among community</w:t>
      </w:r>
      <w:r>
        <w:rPr>
          <w:rFonts w:ascii="Arial" w:cs="Arial" w:hAnsi="Arial"/>
          <w:sz w:val="22"/>
          <w:szCs w:val="22"/>
        </w:rPr>
        <w:noBreakHyphen/>
      </w:r>
      <w:r>
        <w:rPr>
          <w:rFonts w:ascii="Arial" w:cs="Arial" w:hAnsi="Arial"/>
          <w:sz w:val="22"/>
          <w:szCs w:val="22"/>
        </w:rPr>
        <w:t>dwelling older adults during COVID</w:t>
      </w:r>
      <w:r>
        <w:rPr>
          <w:rFonts w:ascii="Arial" w:cs="Arial" w:hAnsi="Arial"/>
          <w:sz w:val="22"/>
          <w:szCs w:val="22"/>
        </w:rPr>
        <w:noBreakHyphen/>
      </w:r>
      <w:r>
        <w:rPr>
          <w:rFonts w:ascii="Arial" w:cs="Arial" w:hAnsi="Arial"/>
          <w:sz w:val="22"/>
          <w:szCs w:val="22"/>
        </w:rPr>
        <w:t xml:space="preserve">19 in Taiwan’, </w:t>
      </w:r>
      <w:r>
        <w:rPr>
          <w:rFonts w:ascii="Arial" w:cs="Arial" w:hAnsi="Arial"/>
          <w:i/>
          <w:iCs/>
          <w:sz w:val="22"/>
          <w:szCs w:val="22"/>
        </w:rPr>
        <w:t>Health &amp; Social Care in the Community</w:t>
      </w:r>
      <w:r>
        <w:rPr>
          <w:rFonts w:ascii="Arial" w:cs="Arial" w:hAnsi="Arial"/>
          <w:sz w:val="22"/>
          <w:szCs w:val="22"/>
        </w:rPr>
        <w:t xml:space="preserve">, 2024, Article 4755146, pp. 1–13. </w:t>
      </w:r>
    </w:p>
    <w:p>
      <w:pPr>
        <w:pStyle w:val="style0"/>
        <w:spacing w:lineRule="auto" w:line="360"/>
        <w:rPr>
          <w:rFonts w:ascii="Arial" w:cs="Arial" w:hAnsi="Arial"/>
          <w:sz w:val="22"/>
          <w:szCs w:val="22"/>
        </w:rPr>
      </w:pPr>
      <w:r>
        <w:rPr>
          <w:rFonts w:ascii="Arial" w:cs="Arial" w:hAnsi="Arial"/>
          <w:b/>
          <w:bCs/>
          <w:sz w:val="22"/>
          <w:szCs w:val="22"/>
        </w:rPr>
        <w:t>Summary:</w:t>
      </w:r>
      <w:r>
        <w:rPr>
          <w:rFonts w:ascii="Arial" w:cs="Arial" w:hAnsi="Arial"/>
          <w:sz w:val="22"/>
          <w:szCs w:val="22"/>
        </w:rPr>
        <w:br/>
      </w:r>
      <w:r>
        <w:rPr>
          <w:rFonts w:ascii="Arial" w:cs="Arial" w:hAnsi="Arial"/>
          <w:sz w:val="22"/>
          <w:szCs w:val="22"/>
        </w:rPr>
        <w:t>This study investigated whether psychological resilience mediates the relationship between positive self</w:t>
      </w:r>
      <w:r>
        <w:rPr>
          <w:rFonts w:ascii="Arial" w:cs="Arial" w:hAnsi="Arial"/>
          <w:sz w:val="22"/>
          <w:szCs w:val="22"/>
        </w:rPr>
        <w:noBreakHyphen/>
      </w:r>
      <w:r>
        <w:rPr>
          <w:rFonts w:ascii="Arial" w:cs="Arial" w:hAnsi="Arial"/>
          <w:sz w:val="22"/>
          <w:szCs w:val="22"/>
        </w:rPr>
        <w:t>perceptions of ageing (SPA) and subjective wellbeing in 1,095 community</w:t>
      </w:r>
      <w:r>
        <w:rPr>
          <w:rFonts w:ascii="Arial" w:cs="Arial" w:hAnsi="Arial"/>
          <w:sz w:val="22"/>
          <w:szCs w:val="22"/>
        </w:rPr>
        <w:noBreakHyphen/>
      </w:r>
      <w:r>
        <w:rPr>
          <w:rFonts w:ascii="Arial" w:cs="Arial" w:hAnsi="Arial"/>
          <w:sz w:val="22"/>
          <w:szCs w:val="22"/>
        </w:rPr>
        <w:t>dwelling older adults in Taiwan during the COVID</w:t>
      </w:r>
      <w:r>
        <w:rPr>
          <w:rFonts w:ascii="Arial" w:cs="Arial" w:hAnsi="Arial"/>
          <w:sz w:val="22"/>
          <w:szCs w:val="22"/>
        </w:rPr>
        <w:noBreakHyphen/>
      </w:r>
      <w:r>
        <w:rPr>
          <w:rFonts w:ascii="Arial" w:cs="Arial" w:hAnsi="Arial"/>
          <w:sz w:val="22"/>
          <w:szCs w:val="22"/>
        </w:rPr>
        <w:t>19 pandemic. Structural equation modelling showed that higher positive SPA was directly associated with better wellbeing, and this effect was partially mediated by resilience. The findings suggest that cultivating positive views of ageing and resilience</w:t>
      </w:r>
      <w:r>
        <w:rPr>
          <w:rFonts w:ascii="Arial" w:cs="Arial" w:hAnsi="Arial"/>
          <w:sz w:val="22"/>
          <w:szCs w:val="22"/>
        </w:rPr>
        <w:noBreakHyphen/>
      </w:r>
      <w:r>
        <w:rPr>
          <w:rFonts w:ascii="Arial" w:cs="Arial" w:hAnsi="Arial"/>
          <w:sz w:val="22"/>
          <w:szCs w:val="22"/>
        </w:rPr>
        <w:t>centred interventions may be effective pathways to promoting wellbeing in later life.</w:t>
      </w:r>
    </w:p>
    <w:p>
      <w:pPr>
        <w:pStyle w:val="style0"/>
        <w:spacing w:lineRule="auto" w:line="360"/>
        <w:rPr>
          <w:rFonts w:ascii="Arial" w:cs="Arial" w:hAnsi="Arial"/>
          <w:sz w:val="22"/>
          <w:szCs w:val="22"/>
        </w:rPr>
      </w:pPr>
      <w:r>
        <w:rPr>
          <w:rFonts w:ascii="Arial" w:cs="Arial" w:hAnsi="Arial"/>
          <w:b/>
          <w:bCs/>
          <w:sz w:val="22"/>
          <w:szCs w:val="22"/>
        </w:rPr>
        <w:t>Critical comment on relevance to HSC:</w:t>
      </w:r>
      <w:r>
        <w:rPr>
          <w:rFonts w:ascii="Arial" w:cs="Arial" w:hAnsi="Arial"/>
          <w:sz w:val="22"/>
          <w:szCs w:val="22"/>
        </w:rPr>
        <w:br/>
      </w:r>
      <w:r>
        <w:rPr>
          <w:rFonts w:ascii="Arial" w:cs="Arial" w:hAnsi="Arial"/>
          <w:sz w:val="22"/>
          <w:szCs w:val="22"/>
        </w:rPr>
        <w:t>The study exemplifies a positive psychology approach by focusing on strengths (self</w:t>
      </w:r>
      <w:r>
        <w:rPr>
          <w:rFonts w:ascii="Arial" w:cs="Arial" w:hAnsi="Arial"/>
          <w:sz w:val="22"/>
          <w:szCs w:val="22"/>
        </w:rPr>
        <w:noBreakHyphen/>
      </w:r>
      <w:r>
        <w:rPr>
          <w:rFonts w:ascii="Arial" w:cs="Arial" w:hAnsi="Arial"/>
          <w:sz w:val="22"/>
          <w:szCs w:val="22"/>
        </w:rPr>
        <w:t>perceptions, resilience) rather than deficits. For health and social care settings, this implies that staff should actively challenge ageist stereotypes – both their own and those held by residents – and use language that reinforces the value and growth potential of older adults. Practical applications could include resilience</w:t>
      </w:r>
      <w:r>
        <w:rPr>
          <w:rFonts w:ascii="Arial" w:cs="Arial" w:hAnsi="Arial"/>
          <w:sz w:val="22"/>
          <w:szCs w:val="22"/>
        </w:rPr>
        <w:noBreakHyphen/>
      </w:r>
      <w:r>
        <w:rPr>
          <w:rFonts w:ascii="Arial" w:cs="Arial" w:hAnsi="Arial"/>
          <w:sz w:val="22"/>
          <w:szCs w:val="22"/>
        </w:rPr>
        <w:t>focused life</w:t>
      </w:r>
      <w:r>
        <w:rPr>
          <w:rFonts w:ascii="Arial" w:cs="Arial" w:hAnsi="Arial"/>
          <w:sz w:val="22"/>
          <w:szCs w:val="22"/>
        </w:rPr>
        <w:noBreakHyphen/>
      </w:r>
      <w:r>
        <w:rPr>
          <w:rFonts w:ascii="Arial" w:cs="Arial" w:hAnsi="Arial"/>
          <w:sz w:val="22"/>
          <w:szCs w:val="22"/>
        </w:rPr>
        <w:t>review groups or simple daily reflections on positive aspects of ageing. A limitation of the study is its cross</w:t>
      </w:r>
      <w:r>
        <w:rPr>
          <w:rFonts w:ascii="Arial" w:cs="Arial" w:hAnsi="Arial"/>
          <w:sz w:val="22"/>
          <w:szCs w:val="22"/>
        </w:rPr>
        <w:noBreakHyphen/>
      </w:r>
      <w:r>
        <w:rPr>
          <w:rFonts w:ascii="Arial" w:cs="Arial" w:hAnsi="Arial"/>
          <w:sz w:val="22"/>
          <w:szCs w:val="22"/>
        </w:rPr>
        <w:t>sectional design and specific pandemic context; however, the core finding that positive self</w:t>
      </w:r>
      <w:r>
        <w:rPr>
          <w:rFonts w:ascii="Arial" w:cs="Arial" w:hAnsi="Arial"/>
          <w:sz w:val="22"/>
          <w:szCs w:val="22"/>
        </w:rPr>
        <w:noBreakHyphen/>
      </w:r>
      <w:r>
        <w:rPr>
          <w:rFonts w:ascii="Arial" w:cs="Arial" w:hAnsi="Arial"/>
          <w:sz w:val="22"/>
          <w:szCs w:val="22"/>
        </w:rPr>
        <w:t>perceptions improve wellbeing has been replicated in non</w:t>
      </w:r>
      <w:r>
        <w:rPr>
          <w:rFonts w:ascii="Arial" w:cs="Arial" w:hAnsi="Arial"/>
          <w:sz w:val="22"/>
          <w:szCs w:val="22"/>
        </w:rPr>
        <w:noBreakHyphen/>
      </w:r>
      <w:r>
        <w:rPr>
          <w:rFonts w:ascii="Arial" w:cs="Arial" w:hAnsi="Arial"/>
          <w:sz w:val="22"/>
          <w:szCs w:val="22"/>
        </w:rPr>
        <w:t>pandemic settings, making it robust enough for care practice.</w:t>
      </w:r>
    </w:p>
    <w:p>
      <w:pPr>
        <w:pStyle w:val="style0"/>
        <w:spacing w:lineRule="auto" w:line="360"/>
        <w:rPr>
          <w:rFonts w:ascii="Arial" w:cs="Arial" w:hAnsi="Arial"/>
          <w:sz w:val="22"/>
          <w:szCs w:val="22"/>
        </w:rPr>
      </w:pPr>
      <w:r>
        <w:rPr>
          <w:rFonts w:ascii="Arial" w:cs="Arial" w:hAnsi="Arial"/>
          <w:sz w:val="22"/>
          <w:szCs w:val="22"/>
        </w:rPr>
        <w:pict>
          <v:rect id="1029" fillcolor="#a0a0a0" stroked="f" style="margin-left:0.0pt;margin-top:0.0pt;width:0.0pt;height:1.5pt;mso-wrap-distance-left:0.0pt;mso-wrap-distance-right:0.0pt;visibility:visible;" o:hr="t" o:hralign="center" o:hrstd="t">
            <v:stroke on="f"/>
            <v:fill/>
          </v:rect>
        </w:pict>
      </w: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r>
        <w:rPr>
          <w:rFonts w:ascii="Arial" w:cs="Arial" w:hAnsi="Arial"/>
          <w:b/>
          <w:bCs/>
          <w:sz w:val="22"/>
          <w:szCs w:val="22"/>
        </w:rPr>
        <w:t>Reference List</w:t>
      </w:r>
    </w:p>
    <w:p>
      <w:pPr>
        <w:pStyle w:val="style0"/>
        <w:spacing w:lineRule="auto" w:line="360"/>
        <w:rPr>
          <w:rFonts w:ascii="Arial" w:cs="Arial" w:hAnsi="Arial"/>
          <w:sz w:val="22"/>
          <w:szCs w:val="22"/>
        </w:rPr>
      </w:pPr>
      <w:r>
        <w:rPr>
          <w:rFonts w:ascii="Arial" w:cs="Arial" w:hAnsi="Arial"/>
          <w:sz w:val="22"/>
          <w:szCs w:val="22"/>
        </w:rPr>
        <w:t xml:space="preserve">Bradley, J.M. and Cafferty, T.P. (2001) ‘Attachment among older adults: current issues and directions for future research’, </w:t>
      </w:r>
      <w:r>
        <w:rPr>
          <w:rFonts w:ascii="Arial" w:cs="Arial" w:hAnsi="Arial"/>
          <w:i/>
          <w:iCs/>
          <w:sz w:val="22"/>
          <w:szCs w:val="22"/>
        </w:rPr>
        <w:t>Attachment &amp; Human Development</w:t>
      </w:r>
      <w:r>
        <w:rPr>
          <w:rFonts w:ascii="Arial" w:cs="Arial" w:hAnsi="Arial"/>
          <w:sz w:val="22"/>
          <w:szCs w:val="22"/>
        </w:rPr>
        <w:t>, 3(2), pp. 200–221. doi:10.1080/14616730126485.</w:t>
      </w:r>
    </w:p>
    <w:p>
      <w:pPr>
        <w:pStyle w:val="style0"/>
        <w:spacing w:lineRule="auto" w:line="360"/>
        <w:rPr>
          <w:rFonts w:ascii="Arial" w:cs="Arial" w:hAnsi="Arial"/>
          <w:sz w:val="22"/>
          <w:szCs w:val="22"/>
        </w:rPr>
      </w:pPr>
      <w:r>
        <w:rPr>
          <w:rFonts w:ascii="Arial" w:cs="Arial" w:hAnsi="Arial"/>
          <w:sz w:val="22"/>
          <w:szCs w:val="22"/>
        </w:rPr>
        <w:t>Chen, J.-J., Liu, L.-F. and Shea, J.L. (2024) ‘The impact of positive self</w:t>
      </w:r>
      <w:r>
        <w:rPr>
          <w:rFonts w:ascii="Arial" w:cs="Arial" w:hAnsi="Arial"/>
          <w:sz w:val="22"/>
          <w:szCs w:val="22"/>
        </w:rPr>
        <w:noBreakHyphen/>
      </w:r>
      <w:r>
        <w:rPr>
          <w:rFonts w:ascii="Arial" w:cs="Arial" w:hAnsi="Arial"/>
          <w:sz w:val="22"/>
          <w:szCs w:val="22"/>
        </w:rPr>
        <w:t>perceptions of aging on subjective well</w:t>
      </w:r>
      <w:r>
        <w:rPr>
          <w:rFonts w:ascii="Arial" w:cs="Arial" w:hAnsi="Arial"/>
          <w:sz w:val="22"/>
          <w:szCs w:val="22"/>
        </w:rPr>
        <w:noBreakHyphen/>
      </w:r>
      <w:r>
        <w:rPr>
          <w:rFonts w:ascii="Arial" w:cs="Arial" w:hAnsi="Arial"/>
          <w:sz w:val="22"/>
          <w:szCs w:val="22"/>
        </w:rPr>
        <w:t>being through the mediation of psychological resilience among community</w:t>
      </w:r>
      <w:r>
        <w:rPr>
          <w:rFonts w:ascii="Arial" w:cs="Arial" w:hAnsi="Arial"/>
          <w:sz w:val="22"/>
          <w:szCs w:val="22"/>
        </w:rPr>
        <w:noBreakHyphen/>
      </w:r>
      <w:r>
        <w:rPr>
          <w:rFonts w:ascii="Arial" w:cs="Arial" w:hAnsi="Arial"/>
          <w:sz w:val="22"/>
          <w:szCs w:val="22"/>
        </w:rPr>
        <w:t>dwelling older adults during COVID</w:t>
      </w:r>
      <w:r>
        <w:rPr>
          <w:rFonts w:ascii="Arial" w:cs="Arial" w:hAnsi="Arial"/>
          <w:sz w:val="22"/>
          <w:szCs w:val="22"/>
        </w:rPr>
        <w:noBreakHyphen/>
      </w:r>
      <w:r>
        <w:rPr>
          <w:rFonts w:ascii="Arial" w:cs="Arial" w:hAnsi="Arial"/>
          <w:sz w:val="22"/>
          <w:szCs w:val="22"/>
        </w:rPr>
        <w:t xml:space="preserve">19 in Taiwan’, </w:t>
      </w:r>
      <w:r>
        <w:rPr>
          <w:rFonts w:ascii="Arial" w:cs="Arial" w:hAnsi="Arial"/>
          <w:i/>
          <w:iCs/>
          <w:sz w:val="22"/>
          <w:szCs w:val="22"/>
        </w:rPr>
        <w:t>Health &amp; Social Care in the Community</w:t>
      </w:r>
      <w:r>
        <w:rPr>
          <w:rFonts w:ascii="Arial" w:cs="Arial" w:hAnsi="Arial"/>
          <w:sz w:val="22"/>
          <w:szCs w:val="22"/>
        </w:rPr>
        <w:t>, 2024, Article 4755146, pp. 1–13. doi:10.1155/2024/4755146.</w:t>
      </w:r>
    </w:p>
    <w:p>
      <w:pPr>
        <w:pStyle w:val="style0"/>
        <w:spacing w:lineRule="auto" w:line="360"/>
        <w:rPr>
          <w:rFonts w:ascii="Arial" w:cs="Arial" w:hAnsi="Arial"/>
          <w:sz w:val="22"/>
          <w:szCs w:val="22"/>
        </w:rPr>
      </w:pPr>
      <w:r>
        <w:rPr>
          <w:rFonts w:ascii="Arial" w:cs="Arial" w:hAnsi="Arial"/>
          <w:sz w:val="22"/>
          <w:szCs w:val="22"/>
        </w:rPr>
        <w:t xml:space="preserve">Jang, Y., Kim, G. and Chiriboga, D.A. (2011) ‘Social activity and depressive symptoms in Korean American older adults: the conditioning role of acculturation’, </w:t>
      </w:r>
      <w:r>
        <w:rPr>
          <w:rFonts w:ascii="Arial" w:cs="Arial" w:hAnsi="Arial"/>
          <w:i/>
          <w:iCs/>
          <w:sz w:val="22"/>
          <w:szCs w:val="22"/>
        </w:rPr>
        <w:t>Journal of Aging and Health</w:t>
      </w:r>
      <w:r>
        <w:rPr>
          <w:rFonts w:ascii="Arial" w:cs="Arial" w:hAnsi="Arial"/>
          <w:sz w:val="22"/>
          <w:szCs w:val="22"/>
        </w:rPr>
        <w:t>, 23(5), pp. 767–781.</w:t>
      </w:r>
    </w:p>
    <w:p>
      <w:pPr>
        <w:pStyle w:val="style0"/>
        <w:spacing w:lineRule="auto" w:line="360"/>
        <w:rPr>
          <w:rFonts w:ascii="Arial" w:cs="Arial" w:hAnsi="Arial"/>
          <w:sz w:val="22"/>
          <w:szCs w:val="22"/>
        </w:rPr>
      </w:pPr>
      <w:r>
        <w:rPr>
          <w:rFonts w:ascii="Arial" w:cs="Arial" w:hAnsi="Arial"/>
          <w:sz w:val="22"/>
          <w:szCs w:val="22"/>
        </w:rPr>
        <w:t xml:space="preserve">Leonti, R.M. and </w:t>
      </w:r>
      <w:r>
        <w:rPr>
          <w:rFonts w:ascii="Arial" w:cs="Arial" w:hAnsi="Arial"/>
          <w:sz w:val="22"/>
          <w:szCs w:val="22"/>
        </w:rPr>
        <w:t>Turliuc</w:t>
      </w:r>
      <w:r>
        <w:rPr>
          <w:rFonts w:ascii="Arial" w:cs="Arial" w:hAnsi="Arial"/>
          <w:sz w:val="22"/>
          <w:szCs w:val="22"/>
        </w:rPr>
        <w:t>, M.N. (2025) ‘Better and healthier together? The mediation effect of positive psychological capital on the relationship between perceived social support and health</w:t>
      </w:r>
      <w:r>
        <w:rPr>
          <w:rFonts w:ascii="Arial" w:cs="Arial" w:hAnsi="Arial"/>
          <w:sz w:val="22"/>
          <w:szCs w:val="22"/>
        </w:rPr>
        <w:noBreakHyphen/>
      </w:r>
      <w:r>
        <w:rPr>
          <w:rFonts w:ascii="Arial" w:cs="Arial" w:hAnsi="Arial"/>
          <w:sz w:val="22"/>
          <w:szCs w:val="22"/>
        </w:rPr>
        <w:t xml:space="preserve">related quality of life among older adults’, </w:t>
      </w:r>
      <w:r>
        <w:rPr>
          <w:rFonts w:ascii="Arial" w:cs="Arial" w:hAnsi="Arial"/>
          <w:i/>
          <w:iCs/>
          <w:sz w:val="22"/>
          <w:szCs w:val="22"/>
        </w:rPr>
        <w:t>The International Journal of Aging and Human Development</w:t>
      </w:r>
      <w:r>
        <w:rPr>
          <w:rFonts w:ascii="Arial" w:cs="Arial" w:hAnsi="Arial"/>
          <w:sz w:val="22"/>
          <w:szCs w:val="22"/>
        </w:rPr>
        <w:t xml:space="preserve">, 100(4), pp. 502–526. </w:t>
      </w:r>
    </w:p>
    <w:p>
      <w:pPr>
        <w:pStyle w:val="style0"/>
        <w:spacing w:lineRule="auto" w:line="360"/>
        <w:rPr>
          <w:rFonts w:ascii="Arial" w:cs="Arial" w:hAnsi="Arial"/>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r>
        <w:rPr>
          <w:rFonts w:ascii="Arial" w:cs="Arial" w:hAnsi="Arial"/>
          <w:b/>
          <w:bCs/>
          <w:sz w:val="22"/>
          <w:szCs w:val="22"/>
        </w:rPr>
        <w:t>Short Report</w:t>
      </w:r>
    </w:p>
    <w:p>
      <w:pPr>
        <w:pStyle w:val="style0"/>
        <w:spacing w:lineRule="auto" w:line="360"/>
        <w:rPr>
          <w:rFonts w:ascii="Arial" w:cs="Arial" w:hAnsi="Arial"/>
          <w:sz w:val="22"/>
          <w:szCs w:val="22"/>
        </w:rPr>
      </w:pPr>
      <w:r>
        <w:rPr>
          <w:rFonts w:ascii="Arial" w:cs="Arial" w:hAnsi="Arial"/>
          <w:b/>
          <w:bCs/>
          <w:sz w:val="22"/>
          <w:szCs w:val="22"/>
        </w:rPr>
        <w:t>Title:</w:t>
      </w:r>
      <w:r>
        <w:rPr>
          <w:rFonts w:ascii="Arial" w:cs="Arial" w:hAnsi="Arial"/>
          <w:sz w:val="22"/>
          <w:szCs w:val="22"/>
        </w:rPr>
        <w:t xml:space="preserve"> Applying Attachment Theory to Improve Psychological Wellbeing in Older Adults Living in Residential Care</w:t>
      </w:r>
    </w:p>
    <w:p>
      <w:pPr>
        <w:pStyle w:val="style0"/>
        <w:spacing w:lineRule="auto" w:line="360"/>
        <w:rPr>
          <w:rFonts w:ascii="Arial" w:cs="Arial" w:hAnsi="Arial"/>
          <w:sz w:val="22"/>
          <w:szCs w:val="22"/>
        </w:rPr>
      </w:pPr>
      <w:r>
        <w:rPr>
          <w:rFonts w:ascii="Arial" w:cs="Arial" w:hAnsi="Arial"/>
          <w:b/>
          <w:bCs/>
          <w:sz w:val="22"/>
          <w:szCs w:val="22"/>
        </w:rPr>
        <w:t>To:</w:t>
      </w:r>
      <w:r>
        <w:rPr>
          <w:rFonts w:ascii="Arial" w:cs="Arial" w:hAnsi="Arial"/>
          <w:sz w:val="22"/>
          <w:szCs w:val="22"/>
        </w:rPr>
        <w:t xml:space="preserve"> Health and Social Care Professionals, Lilian Faithfull Care</w:t>
      </w:r>
      <w:r>
        <w:rPr>
          <w:rFonts w:ascii="Arial" w:cs="Arial" w:hAnsi="Arial"/>
          <w:sz w:val="22"/>
          <w:szCs w:val="22"/>
        </w:rPr>
        <w:br/>
      </w:r>
    </w:p>
    <w:p>
      <w:pPr>
        <w:pStyle w:val="style0"/>
        <w:spacing w:lineRule="auto" w:line="360"/>
        <w:rPr>
          <w:rFonts w:ascii="Arial" w:cs="Arial" w:hAnsi="Arial"/>
          <w:sz w:val="22"/>
          <w:szCs w:val="22"/>
        </w:rPr>
      </w:pPr>
      <w:r>
        <w:rPr>
          <w:rFonts w:ascii="Arial" w:cs="Arial" w:hAnsi="Arial"/>
          <w:sz w:val="22"/>
          <w:szCs w:val="22"/>
        </w:rPr>
        <w:pict>
          <v:rect id="1030" fillcolor="#a0a0a0" stroked="f" style="margin-left:0.0pt;margin-top:0.0pt;width:0.0pt;height:1.5pt;mso-wrap-distance-left:0.0pt;mso-wrap-distance-right:0.0pt;visibility:visible;" o:hr="t" o:hralign="center" o:hrstd="t">
            <v:stroke on="f"/>
            <v:fill/>
          </v:rect>
        </w:pict>
      </w:r>
    </w:p>
    <w:p>
      <w:pPr>
        <w:pStyle w:val="style0"/>
        <w:spacing w:lineRule="auto" w:line="360"/>
        <w:rPr>
          <w:rFonts w:ascii="Arial" w:cs="Arial" w:hAnsi="Arial"/>
          <w:b/>
          <w:bCs/>
          <w:sz w:val="22"/>
          <w:szCs w:val="22"/>
        </w:rPr>
      </w:pPr>
      <w:r>
        <w:rPr>
          <w:rFonts w:ascii="Arial" w:cs="Arial" w:hAnsi="Arial"/>
          <w:b/>
          <w:bCs/>
          <w:sz w:val="22"/>
          <w:szCs w:val="22"/>
        </w:rPr>
        <w:t>1. Introduction</w:t>
      </w:r>
    </w:p>
    <w:p>
      <w:pPr>
        <w:pStyle w:val="style0"/>
        <w:spacing w:lineRule="auto" w:line="360"/>
        <w:rPr>
          <w:rFonts w:ascii="Arial" w:cs="Arial" w:hAnsi="Arial"/>
          <w:sz w:val="22"/>
          <w:szCs w:val="22"/>
        </w:rPr>
      </w:pPr>
      <w:r>
        <w:rPr>
          <w:rFonts w:ascii="Arial" w:cs="Arial" w:hAnsi="Arial"/>
          <w:sz w:val="22"/>
          <w:szCs w:val="22"/>
        </w:rPr>
        <w:t>Psychological wellbeing among older adults in residential care is often compromised by transitions, loss of familiar relationships, and dependency on unfamiliar staff. This report explains how Bowlby’s attachment theory can be applied in a care home setting to enhance residents’ emotional security and overall wellbeing. A case scenario illustrates practical application, followed by a discussion of one key implementation challenge and an evidence</w:t>
      </w:r>
      <w:r>
        <w:rPr>
          <w:rFonts w:ascii="Arial" w:cs="Arial" w:hAnsi="Arial"/>
          <w:sz w:val="22"/>
          <w:szCs w:val="22"/>
        </w:rPr>
        <w:noBreakHyphen/>
      </w:r>
      <w:r>
        <w:rPr>
          <w:rFonts w:ascii="Arial" w:cs="Arial" w:hAnsi="Arial"/>
          <w:sz w:val="22"/>
          <w:szCs w:val="22"/>
        </w:rPr>
        <w:t>based strategy to overcome it.</w:t>
      </w:r>
    </w:p>
    <w:p>
      <w:pPr>
        <w:pStyle w:val="style0"/>
        <w:spacing w:lineRule="auto" w:line="360"/>
        <w:rPr>
          <w:rFonts w:ascii="Arial" w:cs="Arial" w:hAnsi="Arial"/>
          <w:b/>
          <w:bCs/>
          <w:sz w:val="22"/>
          <w:szCs w:val="22"/>
        </w:rPr>
      </w:pPr>
      <w:r>
        <w:rPr>
          <w:rFonts w:ascii="Arial" w:cs="Arial" w:hAnsi="Arial"/>
          <w:b/>
          <w:bCs/>
          <w:sz w:val="22"/>
          <w:szCs w:val="22"/>
        </w:rPr>
        <w:t>2. Explanation of Attachment Theory</w:t>
      </w:r>
    </w:p>
    <w:p>
      <w:pPr>
        <w:pStyle w:val="style0"/>
        <w:spacing w:lineRule="auto" w:line="360"/>
        <w:rPr>
          <w:rFonts w:ascii="Arial" w:cs="Arial" w:hAnsi="Arial"/>
          <w:sz w:val="22"/>
          <w:szCs w:val="22"/>
        </w:rPr>
      </w:pPr>
      <w:r>
        <w:rPr>
          <w:rFonts w:ascii="Arial" w:cs="Arial" w:hAnsi="Arial"/>
          <w:sz w:val="22"/>
          <w:szCs w:val="22"/>
        </w:rPr>
        <w:t>Bowlby’s attachment theory (1969) proposes that humans are born with an innate system that seeks proximity to a “secure base” – a caregiver who provides safety, comfort and emotional regulation. Although originally studied in children, attachment patterns (secure, anxious, avoidant) persist across the lifespan. In later life, attachment figures may include adult children, close friends or, crucially, care staff.</w:t>
      </w:r>
    </w:p>
    <w:p>
      <w:pPr>
        <w:pStyle w:val="style0"/>
        <w:spacing w:lineRule="auto" w:line="360"/>
        <w:rPr>
          <w:rFonts w:ascii="Arial" w:cs="Arial" w:hAnsi="Arial"/>
          <w:sz w:val="22"/>
          <w:szCs w:val="22"/>
        </w:rPr>
      </w:pPr>
      <w:r>
        <w:rPr>
          <w:rFonts w:ascii="Arial" w:cs="Arial" w:hAnsi="Arial"/>
          <w:sz w:val="22"/>
          <w:szCs w:val="22"/>
        </w:rPr>
        <w:t>For older adults in residential care, the move often disrupts existing attachment bonds. A new resident may feel disoriented, anxious or withdrawn. From an attachment perspective, these behaviours are not “difficult” or “age</w:t>
      </w:r>
      <w:r>
        <w:rPr>
          <w:rFonts w:ascii="Arial" w:cs="Arial" w:hAnsi="Arial"/>
          <w:sz w:val="22"/>
          <w:szCs w:val="22"/>
        </w:rPr>
        <w:noBreakHyphen/>
      </w:r>
      <w:r>
        <w:rPr>
          <w:rFonts w:ascii="Arial" w:cs="Arial" w:hAnsi="Arial"/>
          <w:sz w:val="22"/>
          <w:szCs w:val="22"/>
        </w:rPr>
        <w:t>related decline” but rather natural responses to the perceived loss of a secure base. Care staff who understand this can intentionally act as temporary attachment figures – offering consistent, emotionally attuned and predictable responses – thereby reducing distress and promoting psychological wellbeing.</w:t>
      </w:r>
    </w:p>
    <w:p>
      <w:pPr>
        <w:pStyle w:val="style0"/>
        <w:spacing w:lineRule="auto" w:line="360"/>
        <w:rPr>
          <w:rFonts w:ascii="Arial" w:cs="Arial" w:hAnsi="Arial"/>
          <w:b/>
          <w:bCs/>
          <w:sz w:val="22"/>
          <w:szCs w:val="22"/>
        </w:rPr>
      </w:pPr>
      <w:r>
        <w:rPr>
          <w:rFonts w:ascii="Arial" w:cs="Arial" w:hAnsi="Arial"/>
          <w:b/>
          <w:bCs/>
          <w:sz w:val="22"/>
          <w:szCs w:val="22"/>
        </w:rPr>
        <w:t>3. Real</w:t>
      </w:r>
      <w:r>
        <w:rPr>
          <w:rFonts w:ascii="Arial" w:cs="Arial" w:hAnsi="Arial"/>
          <w:b/>
          <w:bCs/>
          <w:sz w:val="22"/>
          <w:szCs w:val="22"/>
        </w:rPr>
        <w:noBreakHyphen/>
      </w:r>
      <w:r>
        <w:rPr>
          <w:rFonts w:ascii="Arial" w:cs="Arial" w:hAnsi="Arial"/>
          <w:b/>
          <w:bCs/>
          <w:sz w:val="22"/>
          <w:szCs w:val="22"/>
        </w:rPr>
        <w:t>World Case Scenario</w:t>
      </w:r>
    </w:p>
    <w:p>
      <w:pPr>
        <w:pStyle w:val="style0"/>
        <w:spacing w:lineRule="auto" w:line="360"/>
        <w:rPr>
          <w:rFonts w:ascii="Arial" w:cs="Arial" w:hAnsi="Arial"/>
          <w:sz w:val="22"/>
          <w:szCs w:val="22"/>
        </w:rPr>
      </w:pPr>
      <w:r>
        <w:rPr>
          <w:rFonts w:ascii="Arial" w:cs="Arial" w:hAnsi="Arial"/>
          <w:b/>
          <w:bCs/>
          <w:sz w:val="22"/>
          <w:szCs w:val="22"/>
        </w:rPr>
        <w:t>Mrs Patel (82)</w:t>
      </w:r>
      <w:r>
        <w:rPr>
          <w:rFonts w:ascii="Arial" w:cs="Arial" w:hAnsi="Arial"/>
          <w:sz w:val="22"/>
          <w:szCs w:val="22"/>
        </w:rPr>
        <w:t xml:space="preserve"> moved into a care home following a fall and increasing frailty. In the first two weeks, she repeatedly called for staff, refused to join activities, and became tearful whenever her regular night carer was off duty. Some staff labelled her “attention</w:t>
      </w:r>
      <w:r>
        <w:rPr>
          <w:rFonts w:ascii="Arial" w:cs="Arial" w:hAnsi="Arial"/>
          <w:sz w:val="22"/>
          <w:szCs w:val="22"/>
        </w:rPr>
        <w:noBreakHyphen/>
      </w:r>
      <w:r>
        <w:rPr>
          <w:rFonts w:ascii="Arial" w:cs="Arial" w:hAnsi="Arial"/>
          <w:sz w:val="22"/>
          <w:szCs w:val="22"/>
        </w:rPr>
        <w:t>seeking”.</w:t>
      </w:r>
    </w:p>
    <w:p>
      <w:pPr>
        <w:pStyle w:val="style0"/>
        <w:spacing w:lineRule="auto" w:line="360"/>
        <w:rPr>
          <w:rFonts w:ascii="Arial" w:cs="Arial" w:hAnsi="Arial"/>
          <w:sz w:val="22"/>
          <w:szCs w:val="22"/>
        </w:rPr>
      </w:pPr>
      <w:r>
        <w:rPr>
          <w:rFonts w:ascii="Arial" w:cs="Arial" w:hAnsi="Arial"/>
          <w:sz w:val="22"/>
          <w:szCs w:val="22"/>
        </w:rPr>
        <w:t>Using attachment theory, the home’s psychologist recognised Mrs Patel’s behaviour as anxious attachment – a hyperactivation strategy triggered by perceived threat. The team implemented a simple intervention: they assigned two consistent key workers (morning and evening shifts) who always greeted Mrs Patel with the same calm phrases (“Good morning, I’m here now”), sat with her for five minutes before personal care, and used a visual “goodbye” routine when shifts changed. Within three weeks, Mrs Patel’s distress calls dropped by 80%, and she began joining a seated exercise group.</w:t>
      </w:r>
    </w:p>
    <w:p>
      <w:pPr>
        <w:pStyle w:val="style0"/>
        <w:spacing w:lineRule="auto" w:line="360"/>
        <w:rPr>
          <w:rFonts w:ascii="Arial" w:cs="Arial" w:hAnsi="Arial"/>
          <w:sz w:val="22"/>
          <w:szCs w:val="22"/>
        </w:rPr>
      </w:pPr>
      <w:r>
        <w:rPr>
          <w:rFonts w:ascii="Arial" w:cs="Arial" w:hAnsi="Arial"/>
          <w:b/>
          <w:bCs/>
          <w:sz w:val="22"/>
          <w:szCs w:val="22"/>
        </w:rPr>
        <w:t>Key learning:</w:t>
      </w:r>
      <w:r>
        <w:rPr>
          <w:rFonts w:ascii="Arial" w:cs="Arial" w:hAnsi="Arial"/>
          <w:sz w:val="22"/>
          <w:szCs w:val="22"/>
        </w:rPr>
        <w:t xml:space="preserve"> Mrs Patel did not need “fixing” – she needed a secure base. Staff consistency and emotional predictability transformed her wellbeing.</w:t>
      </w:r>
    </w:p>
    <w:p>
      <w:pPr>
        <w:pStyle w:val="style0"/>
        <w:spacing w:lineRule="auto" w:line="360"/>
        <w:rPr>
          <w:rFonts w:ascii="Arial" w:cs="Arial" w:hAnsi="Arial"/>
          <w:b/>
          <w:bCs/>
          <w:sz w:val="22"/>
          <w:szCs w:val="22"/>
        </w:rPr>
      </w:pPr>
      <w:r>
        <w:rPr>
          <w:rFonts w:ascii="Arial" w:cs="Arial" w:hAnsi="Arial"/>
          <w:b/>
          <w:bCs/>
          <w:sz w:val="22"/>
          <w:szCs w:val="22"/>
        </w:rPr>
        <w:t>4. Challenge and Strategy</w:t>
      </w:r>
    </w:p>
    <w:p>
      <w:pPr>
        <w:pStyle w:val="style0"/>
        <w:spacing w:lineRule="auto" w:line="360"/>
        <w:rPr>
          <w:rFonts w:ascii="Arial" w:cs="Arial" w:hAnsi="Arial"/>
          <w:sz w:val="22"/>
          <w:szCs w:val="22"/>
        </w:rPr>
      </w:pPr>
      <w:r>
        <w:rPr>
          <w:rFonts w:ascii="Arial" w:cs="Arial" w:hAnsi="Arial"/>
          <w:b/>
          <w:bCs/>
          <w:sz w:val="22"/>
          <w:szCs w:val="22"/>
        </w:rPr>
        <w:t>Challenge:</w:t>
      </w:r>
      <w:r>
        <w:rPr>
          <w:rFonts w:ascii="Arial" w:cs="Arial" w:hAnsi="Arial"/>
          <w:sz w:val="22"/>
          <w:szCs w:val="22"/>
        </w:rPr>
        <w:t xml:space="preserve"> High staff turnover and shift rotations. In many care homes, temporary or agency staff are common, making it difficult to establish consistent attachment relationships. Residents may encounter a different person each day, triggering insecurity and protest behaviours.</w:t>
      </w:r>
    </w:p>
    <w:p>
      <w:pPr>
        <w:pStyle w:val="style0"/>
        <w:spacing w:lineRule="auto" w:line="360"/>
        <w:rPr>
          <w:rFonts w:ascii="Arial" w:cs="Arial" w:hAnsi="Arial"/>
          <w:sz w:val="22"/>
          <w:szCs w:val="22"/>
        </w:rPr>
      </w:pPr>
      <w:r>
        <w:rPr>
          <w:rFonts w:ascii="Arial" w:cs="Arial" w:hAnsi="Arial"/>
          <w:b/>
          <w:bCs/>
          <w:sz w:val="22"/>
          <w:szCs w:val="22"/>
        </w:rPr>
        <w:t>Strategy:</w:t>
      </w:r>
      <w:r>
        <w:rPr>
          <w:rFonts w:ascii="Arial" w:cs="Arial" w:hAnsi="Arial"/>
          <w:sz w:val="22"/>
          <w:szCs w:val="22"/>
        </w:rPr>
        <w:t xml:space="preserve"> Implement a “primary attachment nursing” model, adapted from paediatric and dementia care. This involves:</w:t>
      </w:r>
    </w:p>
    <w:p>
      <w:pPr>
        <w:pStyle w:val="style0"/>
        <w:numPr>
          <w:ilvl w:val="0"/>
          <w:numId w:val="1"/>
        </w:numPr>
        <w:spacing w:lineRule="auto" w:line="360"/>
        <w:rPr>
          <w:rFonts w:ascii="Arial" w:cs="Arial" w:hAnsi="Arial"/>
          <w:sz w:val="22"/>
          <w:szCs w:val="22"/>
        </w:rPr>
      </w:pPr>
      <w:r>
        <w:rPr>
          <w:rFonts w:ascii="Arial" w:cs="Arial" w:hAnsi="Arial"/>
          <w:sz w:val="22"/>
          <w:szCs w:val="22"/>
        </w:rPr>
        <w:t>Training all permanent staff on attachment theory basics, emphasising that even short, predictable interactions matter.</w:t>
      </w:r>
    </w:p>
    <w:p>
      <w:pPr>
        <w:pStyle w:val="style0"/>
        <w:numPr>
          <w:ilvl w:val="0"/>
          <w:numId w:val="1"/>
        </w:numPr>
        <w:spacing w:lineRule="auto" w:line="360"/>
        <w:rPr>
          <w:rFonts w:ascii="Arial" w:cs="Arial" w:hAnsi="Arial"/>
          <w:sz w:val="22"/>
          <w:szCs w:val="22"/>
        </w:rPr>
      </w:pPr>
      <w:r>
        <w:rPr>
          <w:rFonts w:ascii="Arial" w:cs="Arial" w:hAnsi="Arial"/>
          <w:sz w:val="22"/>
          <w:szCs w:val="22"/>
        </w:rPr>
        <w:t>Creating a simple “resident relationship map” for each person – identifying one or two consistent key workers per resident (morning and evening). Where agency staff are unavoidable, they receive a one</w:t>
      </w:r>
      <w:r>
        <w:rPr>
          <w:rFonts w:ascii="Arial" w:cs="Arial" w:hAnsi="Arial"/>
          <w:sz w:val="22"/>
          <w:szCs w:val="22"/>
        </w:rPr>
        <w:noBreakHyphen/>
      </w:r>
      <w:r>
        <w:rPr>
          <w:rFonts w:ascii="Arial" w:cs="Arial" w:hAnsi="Arial"/>
          <w:sz w:val="22"/>
          <w:szCs w:val="22"/>
        </w:rPr>
        <w:t>page attachment profile for each resident (e.g., “Mrs Patel responds best to calm, predictable greetings; avoid sudden changes in routine”).</w:t>
      </w:r>
    </w:p>
    <w:p>
      <w:pPr>
        <w:pStyle w:val="style0"/>
        <w:numPr>
          <w:ilvl w:val="0"/>
          <w:numId w:val="1"/>
        </w:numPr>
        <w:spacing w:lineRule="auto" w:line="360"/>
        <w:rPr>
          <w:rFonts w:ascii="Arial" w:cs="Arial" w:hAnsi="Arial"/>
          <w:sz w:val="22"/>
          <w:szCs w:val="22"/>
        </w:rPr>
      </w:pPr>
      <w:r>
        <w:rPr>
          <w:rFonts w:ascii="Arial" w:cs="Arial" w:hAnsi="Arial"/>
          <w:sz w:val="22"/>
          <w:szCs w:val="22"/>
        </w:rPr>
        <w:t>Using a handover checklist that includes attachment</w:t>
      </w:r>
      <w:r>
        <w:rPr>
          <w:rFonts w:ascii="Arial" w:cs="Arial" w:hAnsi="Arial"/>
          <w:sz w:val="22"/>
          <w:szCs w:val="22"/>
        </w:rPr>
        <w:noBreakHyphen/>
      </w:r>
      <w:r>
        <w:rPr>
          <w:rFonts w:ascii="Arial" w:cs="Arial" w:hAnsi="Arial"/>
          <w:sz w:val="22"/>
          <w:szCs w:val="22"/>
        </w:rPr>
        <w:t>relevant information (“Did Mr Jones show signs of seeking proximity today? Who was his key worker?”).</w:t>
      </w:r>
    </w:p>
    <w:p>
      <w:pPr>
        <w:pStyle w:val="style0"/>
        <w:spacing w:lineRule="auto" w:line="360"/>
        <w:rPr>
          <w:rFonts w:ascii="Arial" w:cs="Arial" w:hAnsi="Arial"/>
          <w:sz w:val="22"/>
          <w:szCs w:val="22"/>
        </w:rPr>
      </w:pPr>
      <w:r>
        <w:rPr>
          <w:rFonts w:ascii="Arial" w:cs="Arial" w:hAnsi="Arial"/>
          <w:sz w:val="22"/>
          <w:szCs w:val="22"/>
        </w:rPr>
        <w:t>Even with turnover, the organisation can maintain continuity of attachment by ensuring that at least one consistent person per resident is present for the first 15 minutes of each day and before bedtime – the most attachment</w:t>
      </w:r>
      <w:r>
        <w:rPr>
          <w:rFonts w:ascii="Arial" w:cs="Arial" w:hAnsi="Arial"/>
          <w:sz w:val="22"/>
          <w:szCs w:val="22"/>
        </w:rPr>
        <w:noBreakHyphen/>
      </w:r>
      <w:r>
        <w:rPr>
          <w:rFonts w:ascii="Arial" w:cs="Arial" w:hAnsi="Arial"/>
          <w:sz w:val="22"/>
          <w:szCs w:val="22"/>
        </w:rPr>
        <w:t>sensitive times.</w:t>
      </w:r>
    </w:p>
    <w:p>
      <w:pPr>
        <w:pStyle w:val="style0"/>
        <w:spacing w:lineRule="auto" w:line="360"/>
        <w:rPr>
          <w:rFonts w:ascii="Arial" w:cs="Arial" w:hAnsi="Arial"/>
          <w:b/>
          <w:bCs/>
          <w:sz w:val="22"/>
          <w:szCs w:val="22"/>
        </w:rPr>
      </w:pPr>
      <w:r>
        <w:rPr>
          <w:rFonts w:ascii="Arial" w:cs="Arial" w:hAnsi="Arial"/>
          <w:b/>
          <w:bCs/>
          <w:sz w:val="22"/>
          <w:szCs w:val="22"/>
        </w:rPr>
        <w:t>5. Conclusion</w:t>
      </w:r>
    </w:p>
    <w:p>
      <w:pPr>
        <w:pStyle w:val="style0"/>
        <w:spacing w:lineRule="auto" w:line="360"/>
        <w:rPr>
          <w:rFonts w:ascii="Arial" w:cs="Arial" w:hAnsi="Arial"/>
          <w:sz w:val="22"/>
          <w:szCs w:val="22"/>
        </w:rPr>
      </w:pPr>
      <w:r>
        <w:rPr>
          <w:rFonts w:ascii="Arial" w:cs="Arial" w:hAnsi="Arial"/>
          <w:sz w:val="22"/>
          <w:szCs w:val="22"/>
        </w:rPr>
        <w:t>Attachment theory offers a powerful, person</w:t>
      </w:r>
      <w:r>
        <w:rPr>
          <w:rFonts w:ascii="Arial" w:cs="Arial" w:hAnsi="Arial"/>
          <w:sz w:val="22"/>
          <w:szCs w:val="22"/>
        </w:rPr>
        <w:noBreakHyphen/>
      </w:r>
      <w:r>
        <w:rPr>
          <w:rFonts w:ascii="Arial" w:cs="Arial" w:hAnsi="Arial"/>
          <w:sz w:val="22"/>
          <w:szCs w:val="22"/>
        </w:rPr>
        <w:t xml:space="preserve">centred lens for understanding and improving psychological wellbeing in care homes. By training staff to function as temporary secure bases, and by addressing workforce challenges through structured consistency strategies, </w:t>
      </w:r>
      <w:r>
        <w:rPr>
          <w:rFonts w:ascii="Arial" w:cs="Arial" w:hAnsi="Arial"/>
          <w:sz w:val="22"/>
          <w:szCs w:val="22"/>
        </w:rPr>
        <w:t>health and social care professionals can reduce distress, build trust and enhance quality of life for older residents.</w:t>
      </w:r>
    </w:p>
    <w:p>
      <w:pPr>
        <w:pStyle w:val="style0"/>
        <w:spacing w:lineRule="auto" w:line="360"/>
        <w:rPr>
          <w:rFonts w:ascii="Arial" w:cs="Arial" w:hAnsi="Arial"/>
          <w:sz w:val="22"/>
          <w:szCs w:val="22"/>
        </w:rPr>
      </w:pPr>
      <w:r>
        <w:rPr>
          <w:rFonts w:ascii="Arial" w:cs="Arial" w:hAnsi="Arial"/>
          <w:sz w:val="22"/>
          <w:szCs w:val="22"/>
        </w:rPr>
        <w:pict>
          <v:rect id="1031" fillcolor="#a0a0a0" stroked="f" style="margin-left:0.0pt;margin-top:0.0pt;width:0.0pt;height:1.5pt;mso-wrap-distance-left:0.0pt;mso-wrap-distance-right:0.0pt;visibility:visible;" o:hr="t" o:hralign="center" o:hrstd="t">
            <v:stroke on="f"/>
            <v:fill/>
          </v:rect>
        </w:pict>
      </w: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p>
    <w:p>
      <w:pPr>
        <w:pStyle w:val="style0"/>
        <w:spacing w:lineRule="auto" w:line="360"/>
        <w:rPr>
          <w:rFonts w:ascii="Arial" w:cs="Arial" w:hAnsi="Arial"/>
          <w:b/>
          <w:bCs/>
          <w:sz w:val="22"/>
          <w:szCs w:val="22"/>
        </w:rPr>
      </w:pPr>
      <w:r>
        <w:rPr>
          <w:rFonts w:ascii="Arial" w:cs="Arial" w:hAnsi="Arial"/>
          <w:b/>
          <w:bCs/>
          <w:sz w:val="22"/>
          <w:szCs w:val="22"/>
        </w:rPr>
        <w:t>Reference List</w:t>
      </w:r>
    </w:p>
    <w:p>
      <w:pPr>
        <w:pStyle w:val="style0"/>
        <w:spacing w:lineRule="auto" w:line="360"/>
        <w:rPr>
          <w:rFonts w:ascii="Arial" w:cs="Arial" w:hAnsi="Arial"/>
          <w:sz w:val="22"/>
          <w:szCs w:val="22"/>
        </w:rPr>
      </w:pPr>
      <w:r>
        <w:rPr>
          <w:rFonts w:ascii="Arial" w:cs="Arial" w:hAnsi="Arial"/>
          <w:sz w:val="22"/>
          <w:szCs w:val="22"/>
        </w:rPr>
        <w:t xml:space="preserve">Bowlby, J. (1969) </w:t>
      </w:r>
      <w:r>
        <w:rPr>
          <w:rFonts w:ascii="Arial" w:cs="Arial" w:hAnsi="Arial"/>
          <w:i/>
          <w:iCs/>
          <w:sz w:val="22"/>
          <w:szCs w:val="22"/>
        </w:rPr>
        <w:t>Attachment and loss: Vol. 1. Attachment</w:t>
      </w:r>
      <w:r>
        <w:rPr>
          <w:rFonts w:ascii="Arial" w:cs="Arial" w:hAnsi="Arial"/>
          <w:sz w:val="22"/>
          <w:szCs w:val="22"/>
        </w:rPr>
        <w:t>. New York: Basic Books.</w:t>
      </w:r>
    </w:p>
    <w:p>
      <w:pPr>
        <w:pStyle w:val="style0"/>
        <w:spacing w:lineRule="auto" w:line="360"/>
        <w:rPr>
          <w:rFonts w:ascii="Arial" w:cs="Arial" w:hAnsi="Arial"/>
          <w:sz w:val="22"/>
          <w:szCs w:val="22"/>
        </w:rPr>
      </w:pPr>
      <w:r>
        <w:rPr>
          <w:rFonts w:ascii="Arial" w:cs="Arial" w:hAnsi="Arial"/>
          <w:sz w:val="22"/>
          <w:szCs w:val="22"/>
        </w:rPr>
        <w:t xml:space="preserve">Bradley, J.M. and Cafferty, T.P. (2001) ‘Attachment among older adults: current issues and directions for future research’, </w:t>
      </w:r>
      <w:r>
        <w:rPr>
          <w:rFonts w:ascii="Arial" w:cs="Arial" w:hAnsi="Arial"/>
          <w:i/>
          <w:iCs/>
          <w:sz w:val="22"/>
          <w:szCs w:val="22"/>
        </w:rPr>
        <w:t>Attachment &amp; Human Development</w:t>
      </w:r>
      <w:r>
        <w:rPr>
          <w:rFonts w:ascii="Arial" w:cs="Arial" w:hAnsi="Arial"/>
          <w:sz w:val="22"/>
          <w:szCs w:val="22"/>
        </w:rPr>
        <w:t xml:space="preserve">, 3(2), pp. 200–221. </w:t>
      </w:r>
    </w:p>
    <w:p>
      <w:pPr>
        <w:pStyle w:val="style0"/>
        <w:spacing w:lineRule="auto" w:line="360"/>
        <w:rPr>
          <w:rFonts w:ascii="Arial" w:cs="Arial" w:hAnsi="Arial"/>
          <w:sz w:val="22"/>
          <w:szCs w:val="22"/>
        </w:rPr>
      </w:pPr>
    </w:p>
    <w:p>
      <w:pPr>
        <w:pStyle w:val="style0"/>
        <w:spacing w:lineRule="auto" w:line="360"/>
        <w:rPr>
          <w:rFonts w:ascii="Arial" w:cs="Arial" w:hAnsi="Arial"/>
          <w:sz w:val="22"/>
          <w:szCs w:val="22"/>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ptos Display">
    <w:altName w:val="Aptos Display"/>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1434628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Aptos" w:hAnsi="Aptos"/>
        <w:kern w:val="2"/>
        <w:sz w:val="24"/>
        <w:szCs w:val="24"/>
        <w:lang w:val="en-GB"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ptos Display" w:cs="宋体"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宋体"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3a9e0699-4b1c-40c3-b78d-c6fab173926b"/>
    <w:basedOn w:val="style65"/>
    <w:next w:val="style4097"/>
    <w:link w:val="style1"/>
    <w:uiPriority w:val="9"/>
    <w:rPr>
      <w:rFonts w:ascii="Aptos Display" w:cs="宋体" w:eastAsia="宋体" w:hAnsi="Aptos Display"/>
      <w:color w:val="0f4761"/>
      <w:sz w:val="40"/>
      <w:szCs w:val="40"/>
    </w:rPr>
  </w:style>
  <w:style w:type="character" w:customStyle="1" w:styleId="style4098">
    <w:name w:val="Heading 2 Char_c0cd382a-ee83-4a7c-9a7e-f971aad41610"/>
    <w:basedOn w:val="style65"/>
    <w:next w:val="style4098"/>
    <w:link w:val="style2"/>
    <w:uiPriority w:val="9"/>
    <w:rPr>
      <w:rFonts w:ascii="Aptos Display" w:cs="宋体" w:eastAsia="宋体" w:hAnsi="Aptos Display"/>
      <w:color w:val="0f4761"/>
      <w:sz w:val="32"/>
      <w:szCs w:val="32"/>
    </w:rPr>
  </w:style>
  <w:style w:type="character" w:customStyle="1" w:styleId="style4099">
    <w:name w:val="Heading 3 Char_3dec4917-ffe1-4516-963e-e36f4544f6d5"/>
    <w:basedOn w:val="style65"/>
    <w:next w:val="style4099"/>
    <w:link w:val="style3"/>
    <w:uiPriority w:val="9"/>
    <w:rPr>
      <w:rFonts w:cs="宋体" w:eastAsia="宋体"/>
      <w:color w:val="0f4761"/>
      <w:sz w:val="28"/>
      <w:szCs w:val="28"/>
    </w:rPr>
  </w:style>
  <w:style w:type="character" w:customStyle="1" w:styleId="style4100">
    <w:name w:val="Heading 4 Char_db47857e-db77-47eb-a6a0-997dab9956b2"/>
    <w:basedOn w:val="style65"/>
    <w:next w:val="style4100"/>
    <w:link w:val="style4"/>
    <w:uiPriority w:val="9"/>
    <w:rPr>
      <w:rFonts w:cs="宋体" w:eastAsia="宋体"/>
      <w:i/>
      <w:iCs/>
      <w:color w:val="0f4761"/>
    </w:rPr>
  </w:style>
  <w:style w:type="character" w:customStyle="1" w:styleId="style4101">
    <w:name w:val="Heading 5 Char_ef2cd281-ffca-4dca-a283-e0a2cf6f6c49"/>
    <w:basedOn w:val="style65"/>
    <w:next w:val="style4101"/>
    <w:link w:val="style5"/>
    <w:uiPriority w:val="9"/>
    <w:rPr>
      <w:rFonts w:cs="宋体" w:eastAsia="宋体"/>
      <w:color w:val="0f4761"/>
    </w:rPr>
  </w:style>
  <w:style w:type="character" w:customStyle="1" w:styleId="style4102">
    <w:name w:val="Heading 6 Char_5d92f41b-d841-4f36-bc4c-a2db75f43147"/>
    <w:basedOn w:val="style65"/>
    <w:next w:val="style4102"/>
    <w:link w:val="style6"/>
    <w:uiPriority w:val="9"/>
    <w:rPr>
      <w:rFonts w:cs="宋体" w:eastAsia="宋体"/>
      <w:i/>
      <w:iCs/>
      <w:color w:val="595959"/>
    </w:rPr>
  </w:style>
  <w:style w:type="character" w:customStyle="1" w:styleId="style4103">
    <w:name w:val="Heading 7 Char_1259d398-fde0-4570-9213-ebddc671467c"/>
    <w:basedOn w:val="style65"/>
    <w:next w:val="style4103"/>
    <w:link w:val="style7"/>
    <w:uiPriority w:val="9"/>
    <w:rPr>
      <w:rFonts w:cs="宋体" w:eastAsia="宋体"/>
      <w:color w:val="595959"/>
    </w:rPr>
  </w:style>
  <w:style w:type="character" w:customStyle="1" w:styleId="style4104">
    <w:name w:val="Heading 8 Char_9d42725e-a334-4393-be78-046f45fa4174"/>
    <w:basedOn w:val="style65"/>
    <w:next w:val="style4104"/>
    <w:link w:val="style8"/>
    <w:uiPriority w:val="9"/>
    <w:rPr>
      <w:rFonts w:cs="宋体" w:eastAsia="宋体"/>
      <w:i/>
      <w:iCs/>
      <w:color w:val="272727"/>
    </w:rPr>
  </w:style>
  <w:style w:type="character" w:customStyle="1" w:styleId="style4105">
    <w:name w:val="Heading 9 Char_be570268-268c-44f1-bdc0-889e95b67669"/>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e15df94d-1d9d-4762-84d8-ca3adeee43e8"/>
    <w:basedOn w:val="style65"/>
    <w:next w:val="style4106"/>
    <w:link w:val="style62"/>
    <w:uiPriority w:val="10"/>
    <w:rPr>
      <w:rFonts w:ascii="Aptos Display" w:cs="宋体"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45035364-7a63-4729-8c16-57ed95defc0a"/>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8da0d14d-90ba-4e01-af29-06aa0ae4ebb6"/>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character" w:styleId="style85">
    <w:name w:val="Hyperlink"/>
    <w:basedOn w:val="style65"/>
    <w:next w:val="style85"/>
    <w:uiPriority w:val="99"/>
    <w:rPr>
      <w:color w:val="467886"/>
      <w:u w:val="single"/>
    </w:rPr>
  </w:style>
  <w:style w:type="character" w:customStyle="1" w:styleId="style4110">
    <w:name w:val="Unresolved Mention"/>
    <w:basedOn w:val="style65"/>
    <w:next w:val="style4110"/>
    <w:uiPriority w:val="99"/>
    <w:rPr>
      <w:color w:val="605e5c"/>
      <w:shd w:val="clear" w:color="auto" w:fill="e1dfdd"/>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1778</Words>
  <Pages>7</Pages>
  <Characters>10978</Characters>
  <Application>WPS Office</Application>
  <DocSecurity>0</DocSecurity>
  <Paragraphs>90</Paragraphs>
  <ScaleCrop>false</ScaleCrop>
  <LinksUpToDate>false</LinksUpToDate>
  <CharactersWithSpaces>12713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2026-04-19T19:38:02Z</dcterms:created>
  <dc:creator>Reshad</dc:creator>
  <lastModifiedBy>SM-X920</lastModifiedBy>
  <dcterms:modified xsi:type="dcterms:W3CDTF">2026-04-19T19:38:02Z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706649cb695b49babea3fbf1a8d67360</vt:lpwstr>
  </property>
</Properties>
</file>