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52D09" w14:textId="54633B4D" w:rsidR="0030732A" w:rsidRPr="00457F46" w:rsidRDefault="00F40CDF" w:rsidP="00F40CDF">
      <w:pPr>
        <w:ind w:left="1440"/>
        <w:rPr>
          <w:rFonts w:ascii="Arial" w:hAnsi="Arial" w:cs="Arial"/>
          <w:sz w:val="22"/>
          <w:szCs w:val="22"/>
        </w:rPr>
      </w:pPr>
      <w:r>
        <w:t xml:space="preserve">                            </w:t>
      </w:r>
      <w:r w:rsidR="0030732A" w:rsidRPr="00457F46">
        <w:rPr>
          <w:rFonts w:ascii="Arial" w:hAnsi="Arial" w:cs="Arial"/>
          <w:sz w:val="22"/>
          <w:szCs w:val="22"/>
        </w:rPr>
        <w:t>Mona-Alexa Costescu</w:t>
      </w:r>
      <w:r w:rsidR="000271A5" w:rsidRPr="00457F46">
        <w:rPr>
          <w:rFonts w:ascii="Arial" w:hAnsi="Arial" w:cs="Arial"/>
          <w:sz w:val="22"/>
          <w:szCs w:val="22"/>
        </w:rPr>
        <w:t xml:space="preserve"> </w:t>
      </w:r>
    </w:p>
    <w:p w14:paraId="64AC20DD" w14:textId="77777777" w:rsidR="002E3938" w:rsidRPr="00457F46" w:rsidRDefault="002E3938" w:rsidP="00F40CDF">
      <w:pPr>
        <w:ind w:left="1440"/>
        <w:rPr>
          <w:rFonts w:ascii="Arial" w:hAnsi="Arial" w:cs="Arial"/>
          <w:sz w:val="22"/>
          <w:szCs w:val="22"/>
        </w:rPr>
      </w:pPr>
      <w:r w:rsidRPr="00457F46">
        <w:rPr>
          <w:rFonts w:ascii="Arial" w:hAnsi="Arial" w:cs="Arial"/>
          <w:sz w:val="22"/>
          <w:szCs w:val="22"/>
        </w:rPr>
        <w:t xml:space="preserve">                        </w:t>
      </w:r>
    </w:p>
    <w:p w14:paraId="766619D3" w14:textId="074E3A6C" w:rsidR="002E3938" w:rsidRPr="00457F46" w:rsidRDefault="002E3938" w:rsidP="00F40CDF">
      <w:pPr>
        <w:ind w:left="1440"/>
        <w:rPr>
          <w:rFonts w:ascii="Arial" w:hAnsi="Arial" w:cs="Arial"/>
          <w:sz w:val="22"/>
          <w:szCs w:val="22"/>
        </w:rPr>
      </w:pPr>
      <w:r w:rsidRPr="00457F46">
        <w:rPr>
          <w:rFonts w:ascii="Arial" w:hAnsi="Arial" w:cs="Arial"/>
          <w:sz w:val="22"/>
          <w:szCs w:val="22"/>
        </w:rPr>
        <w:t xml:space="preserve">                        Introduction to physiology </w:t>
      </w:r>
    </w:p>
    <w:p w14:paraId="6802EB92" w14:textId="77777777" w:rsidR="0084377E" w:rsidRPr="00457F46" w:rsidRDefault="0084377E" w:rsidP="0084377E">
      <w:pPr>
        <w:pStyle w:val="p1"/>
        <w:ind w:left="3600"/>
        <w:rPr>
          <w:rStyle w:val="s1"/>
          <w:rFonts w:ascii="Arial" w:hAnsi="Arial" w:cs="Arial"/>
          <w:sz w:val="22"/>
          <w:szCs w:val="22"/>
        </w:rPr>
      </w:pPr>
      <w:r w:rsidRPr="00457F46">
        <w:rPr>
          <w:rStyle w:val="s1"/>
          <w:rFonts w:ascii="Arial" w:hAnsi="Arial" w:cs="Arial"/>
          <w:sz w:val="22"/>
          <w:szCs w:val="22"/>
        </w:rPr>
        <w:t xml:space="preserve"> </w:t>
      </w:r>
    </w:p>
    <w:p w14:paraId="00D482C7" w14:textId="77777777" w:rsidR="002E3938" w:rsidRPr="00457F46" w:rsidRDefault="00BF4C9E" w:rsidP="00BF4C9E">
      <w:pPr>
        <w:pStyle w:val="p1"/>
        <w:rPr>
          <w:rStyle w:val="s1"/>
          <w:rFonts w:ascii="Arial" w:hAnsi="Arial" w:cs="Arial"/>
          <w:sz w:val="22"/>
          <w:szCs w:val="22"/>
        </w:rPr>
      </w:pPr>
      <w:r w:rsidRPr="00457F46">
        <w:rPr>
          <w:rStyle w:val="s1"/>
          <w:rFonts w:ascii="Arial" w:hAnsi="Arial" w:cs="Arial"/>
          <w:sz w:val="22"/>
          <w:szCs w:val="22"/>
        </w:rPr>
        <w:t xml:space="preserve">                                                          </w:t>
      </w:r>
      <w:r w:rsidR="0084377E" w:rsidRPr="00457F46">
        <w:rPr>
          <w:rStyle w:val="s1"/>
          <w:rFonts w:ascii="Arial" w:hAnsi="Arial" w:cs="Arial"/>
          <w:sz w:val="22"/>
          <w:szCs w:val="22"/>
        </w:rPr>
        <w:t xml:space="preserve">   </w:t>
      </w:r>
    </w:p>
    <w:p w14:paraId="5FF6EEE5" w14:textId="77777777" w:rsidR="002E3938" w:rsidRPr="00457F46" w:rsidRDefault="002E3938" w:rsidP="00BF4C9E">
      <w:pPr>
        <w:pStyle w:val="p1"/>
        <w:rPr>
          <w:rStyle w:val="s1"/>
          <w:rFonts w:ascii="Arial" w:hAnsi="Arial" w:cs="Arial"/>
          <w:sz w:val="22"/>
          <w:szCs w:val="22"/>
        </w:rPr>
      </w:pPr>
      <w:r w:rsidRPr="00457F46">
        <w:rPr>
          <w:rStyle w:val="s1"/>
          <w:rFonts w:ascii="Arial" w:hAnsi="Arial" w:cs="Arial"/>
          <w:sz w:val="22"/>
          <w:szCs w:val="22"/>
        </w:rPr>
        <w:t xml:space="preserve"> </w:t>
      </w:r>
    </w:p>
    <w:p w14:paraId="37B2F8D7" w14:textId="77777777" w:rsidR="002E3938" w:rsidRPr="00457F46" w:rsidRDefault="002E3938" w:rsidP="00BF4C9E">
      <w:pPr>
        <w:pStyle w:val="p1"/>
        <w:rPr>
          <w:rStyle w:val="s1"/>
          <w:rFonts w:ascii="Arial" w:hAnsi="Arial" w:cs="Arial"/>
          <w:sz w:val="22"/>
          <w:szCs w:val="22"/>
        </w:rPr>
      </w:pPr>
    </w:p>
    <w:p w14:paraId="19F49D7F" w14:textId="43CB96A1" w:rsidR="0084377E" w:rsidRPr="00457F46" w:rsidRDefault="002E3938" w:rsidP="002E3938">
      <w:pPr>
        <w:pStyle w:val="p1"/>
        <w:ind w:left="1440"/>
        <w:rPr>
          <w:rStyle w:val="s1"/>
          <w:rFonts w:ascii="Arial" w:hAnsi="Arial" w:cs="Arial"/>
          <w:sz w:val="22"/>
          <w:szCs w:val="22"/>
        </w:rPr>
      </w:pPr>
      <w:r w:rsidRPr="00457F46">
        <w:rPr>
          <w:rStyle w:val="s1"/>
          <w:rFonts w:ascii="Arial" w:hAnsi="Arial" w:cs="Arial"/>
          <w:sz w:val="22"/>
          <w:szCs w:val="22"/>
        </w:rPr>
        <w:t xml:space="preserve">                            </w:t>
      </w:r>
      <w:r w:rsidR="0084377E" w:rsidRPr="00457F46">
        <w:rPr>
          <w:rStyle w:val="s1"/>
          <w:rFonts w:ascii="Arial" w:hAnsi="Arial" w:cs="Arial"/>
          <w:sz w:val="22"/>
          <w:szCs w:val="22"/>
        </w:rPr>
        <w:t>Student ID: 2412771</w:t>
      </w:r>
    </w:p>
    <w:p w14:paraId="0A4DC64E" w14:textId="77777777" w:rsidR="0096295A" w:rsidRPr="00457F46" w:rsidRDefault="0096295A" w:rsidP="002E3938">
      <w:pPr>
        <w:pStyle w:val="p1"/>
        <w:ind w:left="1440"/>
        <w:rPr>
          <w:rStyle w:val="s1"/>
          <w:rFonts w:ascii="Arial" w:hAnsi="Arial" w:cs="Arial"/>
          <w:sz w:val="22"/>
          <w:szCs w:val="22"/>
        </w:rPr>
      </w:pPr>
    </w:p>
    <w:p w14:paraId="4F235CC9" w14:textId="77777777" w:rsidR="0096295A" w:rsidRPr="00457F46" w:rsidRDefault="0096295A" w:rsidP="002E3938">
      <w:pPr>
        <w:pStyle w:val="p1"/>
        <w:ind w:left="1440"/>
        <w:rPr>
          <w:rStyle w:val="s1"/>
          <w:rFonts w:ascii="Arial" w:hAnsi="Arial" w:cs="Arial"/>
          <w:sz w:val="22"/>
          <w:szCs w:val="22"/>
        </w:rPr>
      </w:pPr>
    </w:p>
    <w:p w14:paraId="3B3AE9C0" w14:textId="7FFBBAF6" w:rsidR="0096295A" w:rsidRPr="00457F46" w:rsidRDefault="0096295A" w:rsidP="002E3938">
      <w:pPr>
        <w:pStyle w:val="p1"/>
        <w:ind w:left="1440"/>
        <w:rPr>
          <w:rStyle w:val="s1"/>
          <w:rFonts w:ascii="Arial" w:hAnsi="Arial" w:cs="Arial"/>
          <w:sz w:val="22"/>
          <w:szCs w:val="22"/>
        </w:rPr>
      </w:pPr>
      <w:r w:rsidRPr="00457F46">
        <w:rPr>
          <w:rStyle w:val="s1"/>
          <w:rFonts w:ascii="Arial" w:hAnsi="Arial" w:cs="Arial"/>
          <w:sz w:val="22"/>
          <w:szCs w:val="22"/>
        </w:rPr>
        <w:t xml:space="preserve">           </w:t>
      </w:r>
    </w:p>
    <w:p w14:paraId="7BF9DD52" w14:textId="77777777" w:rsidR="0096295A" w:rsidRPr="00457F46" w:rsidRDefault="0096295A" w:rsidP="002E3938">
      <w:pPr>
        <w:pStyle w:val="p1"/>
        <w:ind w:left="1440"/>
        <w:rPr>
          <w:rStyle w:val="s1"/>
          <w:rFonts w:ascii="Arial" w:hAnsi="Arial" w:cs="Arial"/>
          <w:sz w:val="22"/>
          <w:szCs w:val="22"/>
        </w:rPr>
      </w:pPr>
    </w:p>
    <w:p w14:paraId="64F7BE62" w14:textId="3FF397F1" w:rsidR="0096295A" w:rsidRPr="00457F46" w:rsidRDefault="0096295A" w:rsidP="0096295A">
      <w:pPr>
        <w:pStyle w:val="p1"/>
        <w:ind w:left="2880"/>
        <w:rPr>
          <w:rStyle w:val="s1"/>
          <w:rFonts w:ascii="Arial" w:hAnsi="Arial" w:cs="Arial"/>
          <w:sz w:val="22"/>
          <w:szCs w:val="22"/>
        </w:rPr>
      </w:pPr>
      <w:r w:rsidRPr="00457F46">
        <w:rPr>
          <w:rStyle w:val="s1"/>
          <w:rFonts w:ascii="Arial" w:hAnsi="Arial" w:cs="Arial"/>
          <w:sz w:val="22"/>
          <w:szCs w:val="22"/>
        </w:rPr>
        <w:t xml:space="preserve">        </w:t>
      </w:r>
      <w:r w:rsidR="00ED37FB" w:rsidRPr="00457F46">
        <w:rPr>
          <w:rStyle w:val="s1"/>
          <w:rFonts w:ascii="Arial" w:hAnsi="Arial" w:cs="Arial"/>
          <w:sz w:val="22"/>
          <w:szCs w:val="22"/>
        </w:rPr>
        <w:t xml:space="preserve">   BMHP5023</w:t>
      </w:r>
    </w:p>
    <w:p w14:paraId="78E2B0F0" w14:textId="77777777" w:rsidR="009D0B76" w:rsidRPr="00457F46" w:rsidRDefault="009D0B76" w:rsidP="0084377E">
      <w:pPr>
        <w:pStyle w:val="p1"/>
        <w:ind w:left="3600"/>
        <w:rPr>
          <w:rStyle w:val="s1"/>
          <w:rFonts w:ascii="Arial" w:hAnsi="Arial" w:cs="Arial"/>
          <w:sz w:val="22"/>
          <w:szCs w:val="22"/>
        </w:rPr>
      </w:pPr>
    </w:p>
    <w:tbl>
      <w:tblPr>
        <w:tblW w:w="0" w:type="auto"/>
        <w:tblCellSpacing w:w="0" w:type="dxa"/>
        <w:tblInd w:w="2880" w:type="dxa"/>
        <w:tblCellMar>
          <w:left w:w="0" w:type="dxa"/>
          <w:right w:w="0" w:type="dxa"/>
        </w:tblCellMar>
        <w:tblLook w:val="04A0" w:firstRow="1" w:lastRow="0" w:firstColumn="1" w:lastColumn="0" w:noHBand="0" w:noVBand="1"/>
      </w:tblPr>
      <w:tblGrid>
        <w:gridCol w:w="6"/>
        <w:gridCol w:w="2422"/>
      </w:tblGrid>
      <w:tr w:rsidR="00BF4C9E" w:rsidRPr="00457F46" w14:paraId="6E114CA3" w14:textId="77777777" w:rsidTr="0096295A">
        <w:trPr>
          <w:tblCellSpacing w:w="0" w:type="dxa"/>
        </w:trPr>
        <w:tc>
          <w:tcPr>
            <w:tcW w:w="0" w:type="auto"/>
            <w:hideMark/>
          </w:tcPr>
          <w:p w14:paraId="1A5DC919" w14:textId="77777777" w:rsidR="00BF4C9E" w:rsidRPr="00457F46" w:rsidRDefault="00BF4C9E" w:rsidP="00BF4C9E">
            <w:pPr>
              <w:spacing w:after="0" w:line="240" w:lineRule="auto"/>
              <w:rPr>
                <w:rFonts w:ascii="Arial" w:hAnsi="Arial" w:cs="Arial"/>
                <w:kern w:val="0"/>
                <w:sz w:val="22"/>
                <w:szCs w:val="22"/>
                <w14:ligatures w14:val="none"/>
              </w:rPr>
            </w:pPr>
          </w:p>
        </w:tc>
        <w:tc>
          <w:tcPr>
            <w:tcW w:w="0" w:type="auto"/>
            <w:hideMark/>
          </w:tcPr>
          <w:p w14:paraId="71C84869" w14:textId="77777777" w:rsidR="002E3938" w:rsidRPr="00457F46" w:rsidRDefault="002E3938" w:rsidP="00BF4C9E">
            <w:pPr>
              <w:spacing w:after="0" w:line="240" w:lineRule="auto"/>
              <w:rPr>
                <w:rFonts w:ascii="Arial" w:hAnsi="Arial" w:cs="Arial"/>
                <w:kern w:val="0"/>
                <w:sz w:val="22"/>
                <w:szCs w:val="22"/>
                <w14:ligatures w14:val="none"/>
              </w:rPr>
            </w:pPr>
          </w:p>
          <w:p w14:paraId="246AB59D" w14:textId="77777777" w:rsidR="002E3938" w:rsidRPr="00457F46" w:rsidRDefault="002E3938" w:rsidP="00BF4C9E">
            <w:pPr>
              <w:spacing w:after="0" w:line="240" w:lineRule="auto"/>
              <w:rPr>
                <w:rFonts w:ascii="Arial" w:hAnsi="Arial" w:cs="Arial"/>
                <w:kern w:val="0"/>
                <w:sz w:val="22"/>
                <w:szCs w:val="22"/>
                <w14:ligatures w14:val="none"/>
              </w:rPr>
            </w:pPr>
          </w:p>
          <w:p w14:paraId="1AF878C2" w14:textId="2B8EE818" w:rsidR="00BF4C9E" w:rsidRPr="00457F46" w:rsidRDefault="00BF4C9E" w:rsidP="00BF4C9E">
            <w:pPr>
              <w:spacing w:after="0" w:line="240" w:lineRule="auto"/>
              <w:rPr>
                <w:rFonts w:ascii="Arial" w:hAnsi="Arial" w:cs="Arial"/>
                <w:kern w:val="0"/>
                <w:sz w:val="22"/>
                <w:szCs w:val="22"/>
                <w14:ligatures w14:val="none"/>
              </w:rPr>
            </w:pPr>
            <w:r w:rsidRPr="00457F46">
              <w:rPr>
                <w:rFonts w:ascii="Arial" w:hAnsi="Arial" w:cs="Arial"/>
                <w:kern w:val="0"/>
                <w:sz w:val="22"/>
                <w:szCs w:val="22"/>
                <w14:ligatures w14:val="none"/>
              </w:rPr>
              <w:t>Component 1: Written</w:t>
            </w:r>
          </w:p>
          <w:p w14:paraId="493D788D" w14:textId="77777777" w:rsidR="00BF4C9E" w:rsidRPr="00457F46" w:rsidRDefault="00BF4C9E" w:rsidP="00BF4C9E">
            <w:pPr>
              <w:spacing w:after="0" w:line="240" w:lineRule="auto"/>
              <w:rPr>
                <w:rFonts w:ascii="Arial" w:hAnsi="Arial" w:cs="Arial"/>
                <w:kern w:val="0"/>
                <w:sz w:val="22"/>
                <w:szCs w:val="22"/>
                <w14:ligatures w14:val="none"/>
              </w:rPr>
            </w:pPr>
            <w:r w:rsidRPr="00457F46">
              <w:rPr>
                <w:rFonts w:ascii="Arial" w:hAnsi="Arial" w:cs="Arial"/>
                <w:kern w:val="0"/>
                <w:sz w:val="22"/>
                <w:szCs w:val="22"/>
                <w14:ligatures w14:val="none"/>
              </w:rPr>
              <w:t>Assignment (Case Study</w:t>
            </w:r>
          </w:p>
          <w:p w14:paraId="3F95E72A" w14:textId="77777777" w:rsidR="00BF4C9E" w:rsidRDefault="00BF4C9E" w:rsidP="00BF4C9E">
            <w:pPr>
              <w:spacing w:after="0" w:line="240" w:lineRule="auto"/>
              <w:rPr>
                <w:rFonts w:ascii="Arial" w:hAnsi="Arial" w:cs="Arial"/>
                <w:kern w:val="0"/>
                <w:sz w:val="22"/>
                <w:szCs w:val="22"/>
                <w14:ligatures w14:val="none"/>
              </w:rPr>
            </w:pPr>
            <w:r w:rsidRPr="00457F46">
              <w:rPr>
                <w:rFonts w:ascii="Arial" w:hAnsi="Arial" w:cs="Arial"/>
                <w:kern w:val="0"/>
                <w:sz w:val="22"/>
                <w:szCs w:val="22"/>
                <w14:ligatures w14:val="none"/>
              </w:rPr>
              <w:t>Report)</w:t>
            </w:r>
          </w:p>
          <w:p w14:paraId="4280EBD5" w14:textId="77777777" w:rsidR="0026066D" w:rsidRDefault="0026066D" w:rsidP="00BF4C9E">
            <w:pPr>
              <w:spacing w:after="0" w:line="240" w:lineRule="auto"/>
              <w:rPr>
                <w:rFonts w:ascii="Arial" w:hAnsi="Arial" w:cs="Arial"/>
                <w:kern w:val="0"/>
                <w:sz w:val="22"/>
                <w:szCs w:val="22"/>
                <w14:ligatures w14:val="none"/>
              </w:rPr>
            </w:pPr>
          </w:p>
          <w:p w14:paraId="73AF7FA5" w14:textId="77777777" w:rsidR="00C53F1A" w:rsidRDefault="00C53F1A" w:rsidP="00BF4C9E">
            <w:pPr>
              <w:spacing w:after="0" w:line="240" w:lineRule="auto"/>
              <w:rPr>
                <w:rFonts w:ascii="Arial" w:hAnsi="Arial" w:cs="Arial"/>
                <w:kern w:val="0"/>
                <w:sz w:val="22"/>
                <w:szCs w:val="22"/>
                <w14:ligatures w14:val="none"/>
              </w:rPr>
            </w:pPr>
          </w:p>
          <w:p w14:paraId="34A0AC44" w14:textId="77777777" w:rsidR="00C53F1A" w:rsidRDefault="00C53F1A" w:rsidP="00BF4C9E">
            <w:pPr>
              <w:spacing w:after="0" w:line="240" w:lineRule="auto"/>
              <w:rPr>
                <w:rFonts w:ascii="Arial" w:hAnsi="Arial" w:cs="Arial"/>
                <w:kern w:val="0"/>
                <w:sz w:val="22"/>
                <w:szCs w:val="22"/>
                <w14:ligatures w14:val="none"/>
              </w:rPr>
            </w:pPr>
          </w:p>
          <w:p w14:paraId="21450982" w14:textId="77777777" w:rsidR="00C53F1A" w:rsidRDefault="00C53F1A" w:rsidP="00BF4C9E">
            <w:pPr>
              <w:spacing w:after="0" w:line="240" w:lineRule="auto"/>
              <w:rPr>
                <w:rFonts w:ascii="Arial" w:hAnsi="Arial" w:cs="Arial"/>
                <w:kern w:val="0"/>
                <w:sz w:val="22"/>
                <w:szCs w:val="22"/>
                <w14:ligatures w14:val="none"/>
              </w:rPr>
            </w:pPr>
          </w:p>
          <w:p w14:paraId="0E9EC2DD" w14:textId="77777777" w:rsidR="00C53F1A" w:rsidRDefault="00C53F1A" w:rsidP="00BF4C9E">
            <w:pPr>
              <w:spacing w:after="0" w:line="240" w:lineRule="auto"/>
              <w:rPr>
                <w:rFonts w:ascii="Arial" w:hAnsi="Arial" w:cs="Arial"/>
                <w:kern w:val="0"/>
                <w:sz w:val="22"/>
                <w:szCs w:val="22"/>
                <w14:ligatures w14:val="none"/>
              </w:rPr>
            </w:pPr>
          </w:p>
          <w:p w14:paraId="347357FF" w14:textId="77777777" w:rsidR="00C53F1A" w:rsidRDefault="00C53F1A" w:rsidP="00BF4C9E">
            <w:pPr>
              <w:spacing w:after="0" w:line="240" w:lineRule="auto"/>
              <w:rPr>
                <w:rFonts w:ascii="Arial" w:hAnsi="Arial" w:cs="Arial"/>
                <w:kern w:val="0"/>
                <w:sz w:val="22"/>
                <w:szCs w:val="22"/>
                <w14:ligatures w14:val="none"/>
              </w:rPr>
            </w:pPr>
          </w:p>
          <w:p w14:paraId="4FF2F7B3" w14:textId="77777777" w:rsidR="00C53F1A" w:rsidRDefault="00C53F1A" w:rsidP="00BF4C9E">
            <w:pPr>
              <w:spacing w:after="0" w:line="240" w:lineRule="auto"/>
              <w:rPr>
                <w:rFonts w:ascii="Arial" w:hAnsi="Arial" w:cs="Arial"/>
                <w:kern w:val="0"/>
                <w:sz w:val="22"/>
                <w:szCs w:val="22"/>
                <w14:ligatures w14:val="none"/>
              </w:rPr>
            </w:pPr>
          </w:p>
          <w:p w14:paraId="4AC00703" w14:textId="77777777" w:rsidR="00C53F1A" w:rsidRDefault="00C53F1A" w:rsidP="00BF4C9E">
            <w:pPr>
              <w:spacing w:after="0" w:line="240" w:lineRule="auto"/>
              <w:rPr>
                <w:rFonts w:ascii="Arial" w:hAnsi="Arial" w:cs="Arial"/>
                <w:kern w:val="0"/>
                <w:sz w:val="22"/>
                <w:szCs w:val="22"/>
                <w14:ligatures w14:val="none"/>
              </w:rPr>
            </w:pPr>
          </w:p>
          <w:p w14:paraId="1599EA04" w14:textId="77777777" w:rsidR="00C53F1A" w:rsidRDefault="00C53F1A" w:rsidP="00BF4C9E">
            <w:pPr>
              <w:spacing w:after="0" w:line="240" w:lineRule="auto"/>
              <w:rPr>
                <w:rFonts w:ascii="Arial" w:hAnsi="Arial" w:cs="Arial"/>
                <w:kern w:val="0"/>
                <w:sz w:val="22"/>
                <w:szCs w:val="22"/>
                <w14:ligatures w14:val="none"/>
              </w:rPr>
            </w:pPr>
          </w:p>
          <w:p w14:paraId="57F55989" w14:textId="77777777" w:rsidR="004879BD" w:rsidRDefault="004879BD" w:rsidP="00BF4C9E">
            <w:pPr>
              <w:spacing w:after="0" w:line="240" w:lineRule="auto"/>
              <w:rPr>
                <w:rFonts w:ascii="Arial" w:hAnsi="Arial" w:cs="Arial"/>
                <w:kern w:val="0"/>
                <w:sz w:val="22"/>
                <w:szCs w:val="22"/>
                <w14:ligatures w14:val="none"/>
              </w:rPr>
            </w:pPr>
          </w:p>
          <w:p w14:paraId="66ABF535" w14:textId="77777777" w:rsidR="00D07314" w:rsidRDefault="00D07314" w:rsidP="00BF4C9E">
            <w:pPr>
              <w:spacing w:after="0" w:line="240" w:lineRule="auto"/>
              <w:rPr>
                <w:rFonts w:ascii="Arial" w:hAnsi="Arial" w:cs="Arial"/>
                <w:kern w:val="0"/>
                <w:sz w:val="22"/>
                <w:szCs w:val="22"/>
                <w14:ligatures w14:val="none"/>
              </w:rPr>
            </w:pPr>
          </w:p>
          <w:p w14:paraId="65A9EF1C" w14:textId="77777777" w:rsidR="00D07314" w:rsidRDefault="00D07314" w:rsidP="00BF4C9E">
            <w:pPr>
              <w:spacing w:after="0" w:line="240" w:lineRule="auto"/>
              <w:rPr>
                <w:rFonts w:ascii="Arial" w:hAnsi="Arial" w:cs="Arial"/>
                <w:kern w:val="0"/>
                <w:sz w:val="22"/>
                <w:szCs w:val="22"/>
                <w14:ligatures w14:val="none"/>
              </w:rPr>
            </w:pPr>
          </w:p>
          <w:p w14:paraId="14A65C92" w14:textId="77777777" w:rsidR="00D07314" w:rsidRDefault="00D07314" w:rsidP="00BF4C9E">
            <w:pPr>
              <w:spacing w:after="0" w:line="240" w:lineRule="auto"/>
              <w:rPr>
                <w:rFonts w:ascii="Arial" w:hAnsi="Arial" w:cs="Arial"/>
                <w:kern w:val="0"/>
                <w:sz w:val="22"/>
                <w:szCs w:val="22"/>
                <w14:ligatures w14:val="none"/>
              </w:rPr>
            </w:pPr>
          </w:p>
          <w:p w14:paraId="45D39262" w14:textId="77777777" w:rsidR="00D07314" w:rsidRDefault="00D07314" w:rsidP="00BF4C9E">
            <w:pPr>
              <w:spacing w:after="0" w:line="240" w:lineRule="auto"/>
              <w:rPr>
                <w:rFonts w:ascii="Arial" w:hAnsi="Arial" w:cs="Arial"/>
                <w:kern w:val="0"/>
                <w:sz w:val="22"/>
                <w:szCs w:val="22"/>
                <w14:ligatures w14:val="none"/>
              </w:rPr>
            </w:pPr>
          </w:p>
          <w:p w14:paraId="7E33E988" w14:textId="77777777" w:rsidR="00D07314" w:rsidRDefault="00D07314" w:rsidP="00BF4C9E">
            <w:pPr>
              <w:spacing w:after="0" w:line="240" w:lineRule="auto"/>
              <w:rPr>
                <w:rFonts w:ascii="Arial" w:hAnsi="Arial" w:cs="Arial"/>
                <w:kern w:val="0"/>
                <w:sz w:val="22"/>
                <w:szCs w:val="22"/>
                <w14:ligatures w14:val="none"/>
              </w:rPr>
            </w:pPr>
          </w:p>
          <w:p w14:paraId="2886020C" w14:textId="77777777" w:rsidR="00D07314" w:rsidRDefault="00D07314" w:rsidP="00BF4C9E">
            <w:pPr>
              <w:spacing w:after="0" w:line="240" w:lineRule="auto"/>
              <w:rPr>
                <w:rFonts w:ascii="Arial" w:hAnsi="Arial" w:cs="Arial"/>
                <w:kern w:val="0"/>
                <w:sz w:val="22"/>
                <w:szCs w:val="22"/>
                <w14:ligatures w14:val="none"/>
              </w:rPr>
            </w:pPr>
          </w:p>
          <w:p w14:paraId="558F31D1" w14:textId="77777777" w:rsidR="00D07314" w:rsidRDefault="00D07314" w:rsidP="00BF4C9E">
            <w:pPr>
              <w:spacing w:after="0" w:line="240" w:lineRule="auto"/>
              <w:rPr>
                <w:rFonts w:ascii="Arial" w:hAnsi="Arial" w:cs="Arial"/>
                <w:kern w:val="0"/>
                <w:sz w:val="22"/>
                <w:szCs w:val="22"/>
                <w14:ligatures w14:val="none"/>
              </w:rPr>
            </w:pPr>
          </w:p>
          <w:p w14:paraId="7F20871E" w14:textId="77777777" w:rsidR="00D07314" w:rsidRDefault="00D07314" w:rsidP="00BF4C9E">
            <w:pPr>
              <w:spacing w:after="0" w:line="240" w:lineRule="auto"/>
              <w:rPr>
                <w:rFonts w:ascii="Arial" w:hAnsi="Arial" w:cs="Arial"/>
                <w:kern w:val="0"/>
                <w:sz w:val="22"/>
                <w:szCs w:val="22"/>
                <w14:ligatures w14:val="none"/>
              </w:rPr>
            </w:pPr>
          </w:p>
          <w:p w14:paraId="1635DC4C" w14:textId="77777777" w:rsidR="00D07314" w:rsidRDefault="00D07314" w:rsidP="00BF4C9E">
            <w:pPr>
              <w:spacing w:after="0" w:line="240" w:lineRule="auto"/>
              <w:rPr>
                <w:rFonts w:ascii="Arial" w:hAnsi="Arial" w:cs="Arial"/>
                <w:kern w:val="0"/>
                <w:sz w:val="22"/>
                <w:szCs w:val="22"/>
                <w14:ligatures w14:val="none"/>
              </w:rPr>
            </w:pPr>
          </w:p>
          <w:p w14:paraId="623D2321" w14:textId="77777777" w:rsidR="00D07314" w:rsidRDefault="00D07314" w:rsidP="00BF4C9E">
            <w:pPr>
              <w:spacing w:after="0" w:line="240" w:lineRule="auto"/>
              <w:rPr>
                <w:rFonts w:ascii="Arial" w:hAnsi="Arial" w:cs="Arial"/>
                <w:kern w:val="0"/>
                <w:sz w:val="22"/>
                <w:szCs w:val="22"/>
                <w14:ligatures w14:val="none"/>
              </w:rPr>
            </w:pPr>
          </w:p>
          <w:p w14:paraId="7B7978B0" w14:textId="77777777" w:rsidR="00D07314" w:rsidRDefault="00D07314" w:rsidP="00BF4C9E">
            <w:pPr>
              <w:spacing w:after="0" w:line="240" w:lineRule="auto"/>
              <w:rPr>
                <w:rFonts w:ascii="Arial" w:hAnsi="Arial" w:cs="Arial"/>
                <w:kern w:val="0"/>
                <w:sz w:val="22"/>
                <w:szCs w:val="22"/>
                <w14:ligatures w14:val="none"/>
              </w:rPr>
            </w:pPr>
          </w:p>
          <w:p w14:paraId="75921189" w14:textId="77777777" w:rsidR="00D07314" w:rsidRDefault="00D07314" w:rsidP="00BF4C9E">
            <w:pPr>
              <w:spacing w:after="0" w:line="240" w:lineRule="auto"/>
              <w:rPr>
                <w:rFonts w:ascii="Arial" w:hAnsi="Arial" w:cs="Arial"/>
                <w:kern w:val="0"/>
                <w:sz w:val="22"/>
                <w:szCs w:val="22"/>
                <w14:ligatures w14:val="none"/>
              </w:rPr>
            </w:pPr>
          </w:p>
          <w:p w14:paraId="44FFCDB4" w14:textId="77777777" w:rsidR="00D07314" w:rsidRDefault="00D07314" w:rsidP="00BF4C9E">
            <w:pPr>
              <w:spacing w:after="0" w:line="240" w:lineRule="auto"/>
              <w:rPr>
                <w:rFonts w:ascii="Arial" w:hAnsi="Arial" w:cs="Arial"/>
                <w:kern w:val="0"/>
                <w:sz w:val="22"/>
                <w:szCs w:val="22"/>
                <w14:ligatures w14:val="none"/>
              </w:rPr>
            </w:pPr>
          </w:p>
          <w:p w14:paraId="5E606A76" w14:textId="77777777" w:rsidR="00D07314" w:rsidRDefault="00D07314" w:rsidP="00BF4C9E">
            <w:pPr>
              <w:spacing w:after="0" w:line="240" w:lineRule="auto"/>
              <w:rPr>
                <w:rFonts w:ascii="Arial" w:hAnsi="Arial" w:cs="Arial"/>
                <w:kern w:val="0"/>
                <w:sz w:val="22"/>
                <w:szCs w:val="22"/>
                <w14:ligatures w14:val="none"/>
              </w:rPr>
            </w:pPr>
          </w:p>
          <w:p w14:paraId="60555A85" w14:textId="77777777" w:rsidR="00D07314" w:rsidRDefault="00D07314" w:rsidP="00BF4C9E">
            <w:pPr>
              <w:spacing w:after="0" w:line="240" w:lineRule="auto"/>
              <w:rPr>
                <w:rFonts w:ascii="Arial" w:hAnsi="Arial" w:cs="Arial"/>
                <w:kern w:val="0"/>
                <w:sz w:val="22"/>
                <w:szCs w:val="22"/>
                <w14:ligatures w14:val="none"/>
              </w:rPr>
            </w:pPr>
          </w:p>
          <w:p w14:paraId="2448B25B" w14:textId="77777777" w:rsidR="00D07314" w:rsidRDefault="00D07314" w:rsidP="00BF4C9E">
            <w:pPr>
              <w:spacing w:after="0" w:line="240" w:lineRule="auto"/>
              <w:rPr>
                <w:rFonts w:ascii="Arial" w:hAnsi="Arial" w:cs="Arial"/>
                <w:kern w:val="0"/>
                <w:sz w:val="22"/>
                <w:szCs w:val="22"/>
                <w14:ligatures w14:val="none"/>
              </w:rPr>
            </w:pPr>
          </w:p>
          <w:p w14:paraId="5458C967" w14:textId="77777777" w:rsidR="00D07314" w:rsidRDefault="00D07314" w:rsidP="00BF4C9E">
            <w:pPr>
              <w:spacing w:after="0" w:line="240" w:lineRule="auto"/>
              <w:rPr>
                <w:rFonts w:ascii="Arial" w:hAnsi="Arial" w:cs="Arial"/>
                <w:kern w:val="0"/>
                <w:sz w:val="22"/>
                <w:szCs w:val="22"/>
                <w14:ligatures w14:val="none"/>
              </w:rPr>
            </w:pPr>
          </w:p>
          <w:p w14:paraId="68251F6B" w14:textId="77777777" w:rsidR="00D07314" w:rsidRDefault="00D07314" w:rsidP="00BF4C9E">
            <w:pPr>
              <w:spacing w:after="0" w:line="240" w:lineRule="auto"/>
              <w:rPr>
                <w:rFonts w:ascii="Arial" w:hAnsi="Arial" w:cs="Arial"/>
                <w:kern w:val="0"/>
                <w:sz w:val="22"/>
                <w:szCs w:val="22"/>
                <w14:ligatures w14:val="none"/>
              </w:rPr>
            </w:pPr>
          </w:p>
          <w:p w14:paraId="0DAA783D" w14:textId="77777777" w:rsidR="00D07314" w:rsidRDefault="00D07314" w:rsidP="00BF4C9E">
            <w:pPr>
              <w:spacing w:after="0" w:line="240" w:lineRule="auto"/>
              <w:rPr>
                <w:rFonts w:ascii="Arial" w:hAnsi="Arial" w:cs="Arial"/>
                <w:kern w:val="0"/>
                <w:sz w:val="22"/>
                <w:szCs w:val="22"/>
                <w14:ligatures w14:val="none"/>
              </w:rPr>
            </w:pPr>
          </w:p>
          <w:p w14:paraId="4ECD421C" w14:textId="77777777" w:rsidR="00D07314" w:rsidRPr="002F1B8C" w:rsidRDefault="00D07314" w:rsidP="002F1B8C">
            <w:pPr>
              <w:pStyle w:val="ListParagraph"/>
              <w:spacing w:after="0" w:line="240" w:lineRule="auto"/>
              <w:rPr>
                <w:rFonts w:ascii="Arial" w:hAnsi="Arial" w:cs="Arial"/>
                <w:kern w:val="0"/>
                <w:sz w:val="22"/>
                <w:szCs w:val="22"/>
                <w14:ligatures w14:val="none"/>
              </w:rPr>
            </w:pPr>
          </w:p>
          <w:p w14:paraId="1E3CFA86" w14:textId="77777777" w:rsidR="00D07314" w:rsidRDefault="00D07314" w:rsidP="00BF4C9E">
            <w:pPr>
              <w:spacing w:after="0" w:line="240" w:lineRule="auto"/>
              <w:rPr>
                <w:rFonts w:ascii="Arial" w:hAnsi="Arial" w:cs="Arial"/>
                <w:kern w:val="0"/>
                <w:sz w:val="22"/>
                <w:szCs w:val="22"/>
                <w14:ligatures w14:val="none"/>
              </w:rPr>
            </w:pPr>
          </w:p>
          <w:p w14:paraId="1E9BE57F" w14:textId="77777777" w:rsidR="00D07314" w:rsidRDefault="00D07314" w:rsidP="00BF4C9E">
            <w:pPr>
              <w:spacing w:after="0" w:line="240" w:lineRule="auto"/>
              <w:rPr>
                <w:rFonts w:ascii="Arial" w:hAnsi="Arial" w:cs="Arial"/>
                <w:kern w:val="0"/>
                <w:sz w:val="22"/>
                <w:szCs w:val="22"/>
                <w14:ligatures w14:val="none"/>
              </w:rPr>
            </w:pPr>
          </w:p>
          <w:p w14:paraId="36E99938" w14:textId="77777777" w:rsidR="004879BD" w:rsidRDefault="004879BD" w:rsidP="00BF4C9E">
            <w:pPr>
              <w:spacing w:after="0" w:line="240" w:lineRule="auto"/>
              <w:rPr>
                <w:rFonts w:ascii="Arial" w:hAnsi="Arial" w:cs="Arial"/>
                <w:kern w:val="0"/>
                <w:sz w:val="22"/>
                <w:szCs w:val="22"/>
                <w14:ligatures w14:val="none"/>
              </w:rPr>
            </w:pPr>
          </w:p>
          <w:p w14:paraId="56469D67" w14:textId="76F39691" w:rsidR="004879BD" w:rsidRPr="00457F46" w:rsidRDefault="004879BD" w:rsidP="00BF4C9E">
            <w:pPr>
              <w:spacing w:after="0" w:line="240" w:lineRule="auto"/>
              <w:rPr>
                <w:rFonts w:ascii="Arial" w:hAnsi="Arial" w:cs="Arial"/>
                <w:kern w:val="0"/>
                <w:sz w:val="22"/>
                <w:szCs w:val="22"/>
                <w14:ligatures w14:val="none"/>
              </w:rPr>
            </w:pPr>
          </w:p>
        </w:tc>
      </w:tr>
    </w:tbl>
    <w:p w14:paraId="398CF094" w14:textId="77777777" w:rsidR="00094070" w:rsidRPr="00094070" w:rsidRDefault="00094070" w:rsidP="00094070">
      <w:pPr>
        <w:spacing w:before="100" w:beforeAutospacing="1" w:after="100" w:afterAutospacing="1" w:line="240" w:lineRule="auto"/>
        <w:outlineLvl w:val="0"/>
        <w:rPr>
          <w:rFonts w:ascii="Arial" w:eastAsia="Times New Roman" w:hAnsi="Arial" w:cs="Arial"/>
          <w:b/>
          <w:bCs/>
          <w:kern w:val="36"/>
          <w:sz w:val="22"/>
          <w:szCs w:val="22"/>
          <w14:ligatures w14:val="none"/>
        </w:rPr>
      </w:pPr>
      <w:r w:rsidRPr="00094070">
        <w:rPr>
          <w:rFonts w:ascii="Arial" w:eastAsia="Times New Roman" w:hAnsi="Arial" w:cs="Arial"/>
          <w:b/>
          <w:bCs/>
          <w:kern w:val="36"/>
          <w:sz w:val="22"/>
          <w:szCs w:val="22"/>
          <w14:ligatures w14:val="none"/>
        </w:rPr>
        <w:lastRenderedPageBreak/>
        <w:t>Understanding Diabetes, Blood Sugar Regulation, and the Impact of Lifestyle</w:t>
      </w:r>
    </w:p>
    <w:p w14:paraId="6EF62937" w14:textId="77777777" w:rsidR="00094070" w:rsidRPr="00094070" w:rsidRDefault="00094070" w:rsidP="00094070">
      <w:pPr>
        <w:spacing w:after="0" w:line="240" w:lineRule="auto"/>
        <w:rPr>
          <w:rFonts w:ascii="Arial" w:hAnsi="Arial" w:cs="Arial"/>
          <w:kern w:val="0"/>
          <w:sz w:val="22"/>
          <w:szCs w:val="22"/>
          <w14:ligatures w14:val="none"/>
        </w:rPr>
      </w:pPr>
      <w:r w:rsidRPr="00094070">
        <w:rPr>
          <w:rFonts w:ascii="Arial" w:eastAsia="Times New Roman" w:hAnsi="Arial" w:cs="Arial"/>
          <w:noProof/>
          <w:kern w:val="0"/>
          <w:sz w:val="22"/>
          <w:szCs w:val="22"/>
          <w14:ligatures w14:val="none"/>
        </w:rPr>
        <mc:AlternateContent>
          <mc:Choice Requires="wps">
            <w:drawing>
              <wp:inline distT="0" distB="0" distL="0" distR="0" wp14:anchorId="5524B396" wp14:editId="2FDFA367">
                <wp:extent cx="5731510" cy="1270"/>
                <wp:effectExtent l="0" t="33655" r="0" b="38735"/>
                <wp:docPr id="125384241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6CF0B1"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496D5A6" w14:textId="77777777" w:rsidR="004879BD" w:rsidRDefault="00094070" w:rsidP="00094070">
      <w:pPr>
        <w:spacing w:before="100" w:beforeAutospacing="1" w:after="100" w:afterAutospacing="1" w:line="240" w:lineRule="auto"/>
        <w:outlineLvl w:val="1"/>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 xml:space="preserve"> </w:t>
      </w:r>
    </w:p>
    <w:p w14:paraId="74981FCF" w14:textId="3AA7DB5A" w:rsidR="00094070" w:rsidRPr="00094070" w:rsidRDefault="00094070" w:rsidP="00094070">
      <w:pPr>
        <w:spacing w:before="100" w:beforeAutospacing="1" w:after="100" w:afterAutospacing="1" w:line="240" w:lineRule="auto"/>
        <w:outlineLvl w:val="1"/>
        <w:rPr>
          <w:rFonts w:ascii="Arial" w:hAnsi="Arial" w:cs="Arial"/>
          <w:b/>
          <w:bCs/>
          <w:kern w:val="0"/>
          <w:sz w:val="22"/>
          <w:szCs w:val="22"/>
          <w14:ligatures w14:val="none"/>
        </w:rPr>
      </w:pPr>
      <w:r w:rsidRPr="00094070">
        <w:rPr>
          <w:rFonts w:ascii="Arial" w:eastAsia="Times New Roman" w:hAnsi="Arial" w:cs="Arial"/>
          <w:b/>
          <w:bCs/>
          <w:kern w:val="0"/>
          <w:sz w:val="22"/>
          <w:szCs w:val="22"/>
          <w14:ligatures w14:val="none"/>
        </w:rPr>
        <w:t>Introduction – What Is Diabetes and What Are the Risk Factors?</w:t>
      </w:r>
    </w:p>
    <w:p w14:paraId="0B09399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7BF242C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Diabetes mellitus is a chronic metabolic disorder characterised by persistent hyperglycaemia resulting from defects in insulin secretion, insulin action, or both (American Diabetes Association, 2024). Hyperglycaemia, if sustained over time, can cause damage to multiple organs, leading to long-term complications such as cardiovascular disease, chronic kidney disease, neuropathy, retinopathy, and even limb amputation (Forbes &amp; Cooper, 2013). The global prevalence of diabetes has increased dramatically over the last few decades, and it has now reached epidemic proportions. In 2023, the International Diabetes Federation estimated that over 537 million adults were living with diabetes worldwide, with Type 2 diabetes accounting for approximately 90% of cases (IDF, 2023).</w:t>
      </w:r>
    </w:p>
    <w:p w14:paraId="17F86A44"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DD2FA61" w14:textId="1FE6C9E7" w:rsidR="00ED6A5C"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Diabetes is not a uniform disease but consists of several types with distinct </w:t>
      </w:r>
      <w:proofErr w:type="spellStart"/>
      <w:r w:rsidRPr="00094070">
        <w:rPr>
          <w:rFonts w:ascii="Arial" w:hAnsi="Arial" w:cs="Arial"/>
          <w:kern w:val="0"/>
          <w:sz w:val="22"/>
          <w:szCs w:val="22"/>
          <w14:ligatures w14:val="none"/>
        </w:rPr>
        <w:t>pathophysiologies</w:t>
      </w:r>
      <w:proofErr w:type="spellEnd"/>
      <w:r w:rsidRPr="00094070">
        <w:rPr>
          <w:rFonts w:ascii="Arial" w:hAnsi="Arial" w:cs="Arial"/>
          <w:kern w:val="0"/>
          <w:sz w:val="22"/>
          <w:szCs w:val="22"/>
          <w14:ligatures w14:val="none"/>
        </w:rPr>
        <w:t>. Type 1 diabetes is an autoimmune condition characterised by the</w:t>
      </w:r>
      <w:r w:rsidR="004879BD">
        <w:rPr>
          <w:rFonts w:ascii="Arial" w:hAnsi="Arial" w:cs="Arial"/>
          <w:kern w:val="0"/>
          <w:sz w:val="22"/>
          <w:szCs w:val="22"/>
          <w14:ligatures w14:val="none"/>
        </w:rPr>
        <w:t xml:space="preserve"> </w:t>
      </w:r>
      <w:r w:rsidRPr="00094070">
        <w:rPr>
          <w:rFonts w:ascii="Arial" w:hAnsi="Arial" w:cs="Arial"/>
          <w:kern w:val="0"/>
          <w:sz w:val="22"/>
          <w:szCs w:val="22"/>
          <w14:ligatures w14:val="none"/>
        </w:rPr>
        <w:t>destruction of pancreatic beta cells, leading to an absolute deficiency of insulin. This form of</w:t>
      </w:r>
      <w:r w:rsidR="00ED6A5C">
        <w:rPr>
          <w:rFonts w:ascii="Arial" w:hAnsi="Arial" w:cs="Arial"/>
          <w:kern w:val="0"/>
          <w:sz w:val="22"/>
          <w:szCs w:val="22"/>
          <w14:ligatures w14:val="none"/>
        </w:rPr>
        <w:t xml:space="preserve"> </w:t>
      </w:r>
    </w:p>
    <w:p w14:paraId="52900A31" w14:textId="77777777" w:rsidR="00ED6A5C" w:rsidRDefault="00ED6A5C" w:rsidP="00094070">
      <w:pPr>
        <w:spacing w:before="100" w:beforeAutospacing="1" w:after="100" w:afterAutospacing="1" w:line="240" w:lineRule="auto"/>
        <w:rPr>
          <w:rFonts w:ascii="Arial" w:hAnsi="Arial" w:cs="Arial"/>
          <w:kern w:val="0"/>
          <w:sz w:val="22"/>
          <w:szCs w:val="22"/>
          <w14:ligatures w14:val="none"/>
        </w:rPr>
      </w:pPr>
    </w:p>
    <w:p w14:paraId="30117F5B" w14:textId="1E25DE6F"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 diabetes typically manifests during childhood or adolescence, though adult-onset cases are also documented. Conversely, Type 2 diabetes is primarily associated with insulin resistance and a relative deficiency of insulin, usually developing later in life. Type 2 diabetes is particularly prevalent in adults and is strongly linked to modifiable lifestyle factors, making it a focus of preventive strategies in clinical practice (International Diabetes Federation, 2023).</w:t>
      </w:r>
    </w:p>
    <w:p w14:paraId="2A4F98EE"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AAAB841"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Key Risk Factors for Type 2 Diabetes</w:t>
      </w:r>
    </w:p>
    <w:p w14:paraId="126B6EA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E7FE83C"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Understanding risk factors is essential for prevention and early intervention. The following are some of the most significant contributors:</w:t>
      </w:r>
    </w:p>
    <w:p w14:paraId="4BFD2627" w14:textId="4538F050" w:rsidR="00094070" w:rsidRDefault="00094070" w:rsidP="00094070">
      <w:pPr>
        <w:numPr>
          <w:ilvl w:val="0"/>
          <w:numId w:val="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Obesity and Physical Inactivity: Excess adiposity, particularly visceral fat around the abdominal organs, disrupts metabolic processes and contributes to insulin resistance. Adipose tissue releases inflammatory cytokines, such as TNF-alpha and IL-6, which interfere with insulin </w:t>
      </w:r>
      <w:r w:rsidR="0026066D" w:rsidRPr="00094070">
        <w:rPr>
          <w:rFonts w:ascii="Arial" w:hAnsi="Arial" w:cs="Arial"/>
          <w:kern w:val="0"/>
          <w:sz w:val="22"/>
          <w:szCs w:val="22"/>
          <w14:ligatures w14:val="none"/>
        </w:rPr>
        <w:t>signalling</w:t>
      </w:r>
      <w:r w:rsidRPr="00094070">
        <w:rPr>
          <w:rFonts w:ascii="Arial" w:hAnsi="Arial" w:cs="Arial"/>
          <w:kern w:val="0"/>
          <w:sz w:val="22"/>
          <w:szCs w:val="22"/>
          <w14:ligatures w14:val="none"/>
        </w:rPr>
        <w:t xml:space="preserve">, impair glucose uptake, and exacerbate hyperglycaemia (Hu, 2018). Sedentary </w:t>
      </w:r>
      <w:r w:rsidR="0026066D" w:rsidRPr="00094070">
        <w:rPr>
          <w:rFonts w:ascii="Arial" w:hAnsi="Arial" w:cs="Arial"/>
          <w:kern w:val="0"/>
          <w:sz w:val="22"/>
          <w:szCs w:val="22"/>
          <w14:ligatures w14:val="none"/>
        </w:rPr>
        <w:t>behaviour</w:t>
      </w:r>
      <w:r w:rsidRPr="00094070">
        <w:rPr>
          <w:rFonts w:ascii="Arial" w:hAnsi="Arial" w:cs="Arial"/>
          <w:kern w:val="0"/>
          <w:sz w:val="22"/>
          <w:szCs w:val="22"/>
          <w14:ligatures w14:val="none"/>
        </w:rPr>
        <w:t xml:space="preserve"> further compounds this problem, as skeletal muscle activity plays a critical role in glucose </w:t>
      </w:r>
      <w:r w:rsidR="0026066D" w:rsidRPr="00094070">
        <w:rPr>
          <w:rFonts w:ascii="Arial" w:hAnsi="Arial" w:cs="Arial"/>
          <w:kern w:val="0"/>
          <w:sz w:val="22"/>
          <w:szCs w:val="22"/>
          <w14:ligatures w14:val="none"/>
        </w:rPr>
        <w:t>utilisation</w:t>
      </w:r>
      <w:r w:rsidRPr="00094070">
        <w:rPr>
          <w:rFonts w:ascii="Arial" w:hAnsi="Arial" w:cs="Arial"/>
          <w:kern w:val="0"/>
          <w:sz w:val="22"/>
          <w:szCs w:val="22"/>
          <w14:ligatures w14:val="none"/>
        </w:rPr>
        <w:t>.</w:t>
      </w:r>
    </w:p>
    <w:p w14:paraId="33450F62" w14:textId="77777777" w:rsidR="00585D14" w:rsidRPr="00094070" w:rsidRDefault="00585D14" w:rsidP="00585D14">
      <w:pPr>
        <w:spacing w:before="100" w:beforeAutospacing="1" w:after="100" w:afterAutospacing="1" w:line="240" w:lineRule="auto"/>
        <w:ind w:left="720"/>
        <w:rPr>
          <w:rFonts w:ascii="Arial" w:hAnsi="Arial" w:cs="Arial"/>
          <w:kern w:val="0"/>
          <w:sz w:val="22"/>
          <w:szCs w:val="22"/>
          <w14:ligatures w14:val="none"/>
        </w:rPr>
      </w:pPr>
    </w:p>
    <w:p w14:paraId="49AD96A3" w14:textId="17B22883" w:rsidR="00094070" w:rsidRDefault="00094070" w:rsidP="00094070">
      <w:pPr>
        <w:numPr>
          <w:ilvl w:val="0"/>
          <w:numId w:val="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lastRenderedPageBreak/>
        <w:t xml:space="preserve">Unhealthy Diet: Diets high in processed foods, refined sugars, saturated fats, and trans fats increase the risk of insulin resistance. Regular consumption of sugar-sweetened beverages, fried foods, and </w:t>
      </w:r>
      <w:proofErr w:type="spellStart"/>
      <w:r w:rsidRPr="00094070">
        <w:rPr>
          <w:rFonts w:ascii="Arial" w:hAnsi="Arial" w:cs="Arial"/>
          <w:kern w:val="0"/>
          <w:sz w:val="22"/>
          <w:szCs w:val="22"/>
          <w14:ligatures w14:val="none"/>
        </w:rPr>
        <w:t>low-fiber</w:t>
      </w:r>
      <w:proofErr w:type="spellEnd"/>
      <w:r w:rsidRPr="00094070">
        <w:rPr>
          <w:rFonts w:ascii="Arial" w:hAnsi="Arial" w:cs="Arial"/>
          <w:kern w:val="0"/>
          <w:sz w:val="22"/>
          <w:szCs w:val="22"/>
          <w14:ligatures w14:val="none"/>
        </w:rPr>
        <w:t xml:space="preserve"> diets promotes weight gain and metabolic dysfunction (Ley, </w:t>
      </w:r>
      <w:proofErr w:type="spellStart"/>
      <w:r w:rsidRPr="00094070">
        <w:rPr>
          <w:rFonts w:ascii="Arial" w:hAnsi="Arial" w:cs="Arial"/>
          <w:kern w:val="0"/>
          <w:sz w:val="22"/>
          <w:szCs w:val="22"/>
          <w14:ligatures w14:val="none"/>
        </w:rPr>
        <w:t>Hamdy</w:t>
      </w:r>
      <w:proofErr w:type="spellEnd"/>
      <w:r w:rsidRPr="00094070">
        <w:rPr>
          <w:rFonts w:ascii="Arial" w:hAnsi="Arial" w:cs="Arial"/>
          <w:kern w:val="0"/>
          <w:sz w:val="22"/>
          <w:szCs w:val="22"/>
          <w14:ligatures w14:val="none"/>
        </w:rPr>
        <w:t xml:space="preserve">, Mohan &amp; Hu, 2014). On the other hand, diets rich in </w:t>
      </w:r>
      <w:r w:rsidR="0026066D" w:rsidRPr="00094070">
        <w:rPr>
          <w:rFonts w:ascii="Arial" w:hAnsi="Arial" w:cs="Arial"/>
          <w:kern w:val="0"/>
          <w:sz w:val="22"/>
          <w:szCs w:val="22"/>
          <w14:ligatures w14:val="none"/>
        </w:rPr>
        <w:t>fibre</w:t>
      </w:r>
      <w:r w:rsidRPr="00094070">
        <w:rPr>
          <w:rFonts w:ascii="Arial" w:hAnsi="Arial" w:cs="Arial"/>
          <w:kern w:val="0"/>
          <w:sz w:val="22"/>
          <w:szCs w:val="22"/>
          <w14:ligatures w14:val="none"/>
        </w:rPr>
        <w:t xml:space="preserve">, lean protein, and complex carbohydrates support better </w:t>
      </w:r>
      <w:r w:rsidR="0026066D" w:rsidRPr="00094070">
        <w:rPr>
          <w:rFonts w:ascii="Arial" w:hAnsi="Arial" w:cs="Arial"/>
          <w:kern w:val="0"/>
          <w:sz w:val="22"/>
          <w:szCs w:val="22"/>
          <w14:ligatures w14:val="none"/>
        </w:rPr>
        <w:t>glycemic</w:t>
      </w:r>
      <w:r w:rsidRPr="00094070">
        <w:rPr>
          <w:rFonts w:ascii="Arial" w:hAnsi="Arial" w:cs="Arial"/>
          <w:kern w:val="0"/>
          <w:sz w:val="22"/>
          <w:szCs w:val="22"/>
          <w14:ligatures w14:val="none"/>
        </w:rPr>
        <w:t xml:space="preserve"> control and may help prevent Type 2 diabetes.</w:t>
      </w:r>
    </w:p>
    <w:p w14:paraId="76242DF7" w14:textId="77777777" w:rsidR="00585D14" w:rsidRDefault="00585D14" w:rsidP="00585D14">
      <w:pPr>
        <w:pStyle w:val="ListParagraph"/>
        <w:rPr>
          <w:rFonts w:ascii="Arial" w:hAnsi="Arial" w:cs="Arial"/>
          <w:kern w:val="0"/>
          <w:sz w:val="22"/>
          <w:szCs w:val="22"/>
          <w14:ligatures w14:val="none"/>
        </w:rPr>
      </w:pPr>
    </w:p>
    <w:p w14:paraId="78086C00" w14:textId="77777777" w:rsidR="00585D14" w:rsidRPr="00094070" w:rsidRDefault="00585D14" w:rsidP="00585D14">
      <w:pPr>
        <w:spacing w:before="100" w:beforeAutospacing="1" w:after="100" w:afterAutospacing="1" w:line="240" w:lineRule="auto"/>
        <w:ind w:left="720"/>
        <w:rPr>
          <w:rFonts w:ascii="Arial" w:hAnsi="Arial" w:cs="Arial"/>
          <w:kern w:val="0"/>
          <w:sz w:val="22"/>
          <w:szCs w:val="22"/>
          <w14:ligatures w14:val="none"/>
        </w:rPr>
      </w:pPr>
    </w:p>
    <w:p w14:paraId="2378B758" w14:textId="77777777" w:rsidR="00094070" w:rsidRDefault="00094070" w:rsidP="00094070">
      <w:pPr>
        <w:numPr>
          <w:ilvl w:val="0"/>
          <w:numId w:val="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Age: Advancing age increases the risk of Type 2 diabetes, particularly after 45 years. Aging is associated with a natural decline in insulin sensitivity and beta-cell function, along with changes in body composition, such as increased visceral fat, which compound the risk (NCD Risk Factor Collaboration, 2016).</w:t>
      </w:r>
    </w:p>
    <w:p w14:paraId="6F467E6B" w14:textId="77777777" w:rsidR="00585D14" w:rsidRPr="00094070" w:rsidRDefault="00585D14" w:rsidP="00585D14">
      <w:pPr>
        <w:spacing w:before="100" w:beforeAutospacing="1" w:after="100" w:afterAutospacing="1" w:line="240" w:lineRule="auto"/>
        <w:ind w:left="720"/>
        <w:rPr>
          <w:rFonts w:ascii="Arial" w:hAnsi="Arial" w:cs="Arial"/>
          <w:kern w:val="0"/>
          <w:sz w:val="22"/>
          <w:szCs w:val="22"/>
          <w14:ligatures w14:val="none"/>
        </w:rPr>
      </w:pPr>
    </w:p>
    <w:p w14:paraId="691E736C" w14:textId="77777777" w:rsidR="00094070" w:rsidRDefault="00094070" w:rsidP="00094070">
      <w:pPr>
        <w:numPr>
          <w:ilvl w:val="0"/>
          <w:numId w:val="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Genetics and Family History: Genetic predisposition plays a substantial role. Individuals with a first-degree relative with Type 2 diabetes are at significantly higher risk, highlighting the influence of inherited factors alongside lifestyle (</w:t>
      </w:r>
      <w:proofErr w:type="spellStart"/>
      <w:r w:rsidRPr="00094070">
        <w:rPr>
          <w:rFonts w:ascii="Arial" w:hAnsi="Arial" w:cs="Arial"/>
          <w:kern w:val="0"/>
          <w:sz w:val="22"/>
          <w:szCs w:val="22"/>
          <w14:ligatures w14:val="none"/>
        </w:rPr>
        <w:t>Lyssenko</w:t>
      </w:r>
      <w:proofErr w:type="spellEnd"/>
      <w:r w:rsidRPr="00094070">
        <w:rPr>
          <w:rFonts w:ascii="Arial" w:hAnsi="Arial" w:cs="Arial"/>
          <w:kern w:val="0"/>
          <w:sz w:val="22"/>
          <w:szCs w:val="22"/>
          <w14:ligatures w14:val="none"/>
        </w:rPr>
        <w:t xml:space="preserve"> et al., 2008).</w:t>
      </w:r>
    </w:p>
    <w:p w14:paraId="2ED54323" w14:textId="77777777" w:rsidR="00585D14" w:rsidRPr="00094070" w:rsidRDefault="00585D14" w:rsidP="00585D14">
      <w:pPr>
        <w:spacing w:before="100" w:beforeAutospacing="1" w:after="100" w:afterAutospacing="1" w:line="240" w:lineRule="auto"/>
        <w:rPr>
          <w:rFonts w:ascii="Arial" w:hAnsi="Arial" w:cs="Arial"/>
          <w:kern w:val="0"/>
          <w:sz w:val="22"/>
          <w:szCs w:val="22"/>
          <w14:ligatures w14:val="none"/>
        </w:rPr>
      </w:pPr>
    </w:p>
    <w:p w14:paraId="503EE8E0" w14:textId="77777777" w:rsidR="00094070" w:rsidRPr="00094070" w:rsidRDefault="00094070" w:rsidP="00094070">
      <w:pPr>
        <w:numPr>
          <w:ilvl w:val="0"/>
          <w:numId w:val="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Ethnicity: Certain ethnic populations, including South Asian, African, and Caribbean groups, demonstrate higher susceptibility to Type 2 diabetes due to a combination of genetic, metabolic, and sociocultural factors (</w:t>
      </w:r>
      <w:proofErr w:type="spellStart"/>
      <w:r w:rsidRPr="00094070">
        <w:rPr>
          <w:rFonts w:ascii="Arial" w:hAnsi="Arial" w:cs="Arial"/>
          <w:kern w:val="0"/>
          <w:sz w:val="22"/>
          <w:szCs w:val="22"/>
          <w14:ligatures w14:val="none"/>
        </w:rPr>
        <w:t>McKeigue</w:t>
      </w:r>
      <w:proofErr w:type="spellEnd"/>
      <w:r w:rsidRPr="00094070">
        <w:rPr>
          <w:rFonts w:ascii="Arial" w:hAnsi="Arial" w:cs="Arial"/>
          <w:kern w:val="0"/>
          <w:sz w:val="22"/>
          <w:szCs w:val="22"/>
          <w14:ligatures w14:val="none"/>
        </w:rPr>
        <w:t>, 2019). These populations often develop diabetes at lower body mass indices than Caucasian populations, underscoring the importance of tailored prevention strategies.</w:t>
      </w:r>
    </w:p>
    <w:p w14:paraId="1878AFC5" w14:textId="77777777" w:rsidR="00094070" w:rsidRPr="00094070" w:rsidRDefault="00094070" w:rsidP="00094070">
      <w:pPr>
        <w:numPr>
          <w:ilvl w:val="0"/>
          <w:numId w:val="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Smoking and Alcohol Use: Smoking increases oxidative stress and inflammation, exacerbating insulin resistance. Excessive alcohol intake affects liver metabolism and can cause both hyper- and hypoglycaemia, further complicating diabetes management (</w:t>
      </w:r>
      <w:proofErr w:type="spellStart"/>
      <w:r w:rsidRPr="00094070">
        <w:rPr>
          <w:rFonts w:ascii="Arial" w:hAnsi="Arial" w:cs="Arial"/>
          <w:kern w:val="0"/>
          <w:sz w:val="22"/>
          <w:szCs w:val="22"/>
          <w14:ligatures w14:val="none"/>
        </w:rPr>
        <w:t>Bertrais</w:t>
      </w:r>
      <w:proofErr w:type="spellEnd"/>
      <w:r w:rsidRPr="00094070">
        <w:rPr>
          <w:rFonts w:ascii="Arial" w:hAnsi="Arial" w:cs="Arial"/>
          <w:kern w:val="0"/>
          <w:sz w:val="22"/>
          <w:szCs w:val="22"/>
          <w14:ligatures w14:val="none"/>
        </w:rPr>
        <w:t xml:space="preserve">, </w:t>
      </w:r>
      <w:proofErr w:type="spellStart"/>
      <w:r w:rsidRPr="00094070">
        <w:rPr>
          <w:rFonts w:ascii="Arial" w:hAnsi="Arial" w:cs="Arial"/>
          <w:kern w:val="0"/>
          <w:sz w:val="22"/>
          <w:szCs w:val="22"/>
          <w14:ligatures w14:val="none"/>
        </w:rPr>
        <w:t>Preziosi</w:t>
      </w:r>
      <w:proofErr w:type="spellEnd"/>
      <w:r w:rsidRPr="00094070">
        <w:rPr>
          <w:rFonts w:ascii="Arial" w:hAnsi="Arial" w:cs="Arial"/>
          <w:kern w:val="0"/>
          <w:sz w:val="22"/>
          <w:szCs w:val="22"/>
          <w14:ligatures w14:val="none"/>
        </w:rPr>
        <w:t xml:space="preserve"> &amp; </w:t>
      </w:r>
      <w:proofErr w:type="spellStart"/>
      <w:r w:rsidRPr="00094070">
        <w:rPr>
          <w:rFonts w:ascii="Arial" w:hAnsi="Arial" w:cs="Arial"/>
          <w:kern w:val="0"/>
          <w:sz w:val="22"/>
          <w:szCs w:val="22"/>
          <w14:ligatures w14:val="none"/>
        </w:rPr>
        <w:t>Galan</w:t>
      </w:r>
      <w:proofErr w:type="spellEnd"/>
      <w:r w:rsidRPr="00094070">
        <w:rPr>
          <w:rFonts w:ascii="Arial" w:hAnsi="Arial" w:cs="Arial"/>
          <w:kern w:val="0"/>
          <w:sz w:val="22"/>
          <w:szCs w:val="22"/>
          <w14:ligatures w14:val="none"/>
        </w:rPr>
        <w:t xml:space="preserve">, 2020; World Health </w:t>
      </w:r>
      <w:proofErr w:type="spellStart"/>
      <w:r w:rsidRPr="00094070">
        <w:rPr>
          <w:rFonts w:ascii="Arial" w:hAnsi="Arial" w:cs="Arial"/>
          <w:kern w:val="0"/>
          <w:sz w:val="22"/>
          <w:szCs w:val="22"/>
          <w14:ligatures w14:val="none"/>
        </w:rPr>
        <w:t>Organization</w:t>
      </w:r>
      <w:proofErr w:type="spellEnd"/>
      <w:r w:rsidRPr="00094070">
        <w:rPr>
          <w:rFonts w:ascii="Arial" w:hAnsi="Arial" w:cs="Arial"/>
          <w:kern w:val="0"/>
          <w:sz w:val="22"/>
          <w:szCs w:val="22"/>
          <w14:ligatures w14:val="none"/>
        </w:rPr>
        <w:t>, 2018).</w:t>
      </w:r>
    </w:p>
    <w:p w14:paraId="68FBDC9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14AD717"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Other contributing factors include stress, poor sleep quality, and certain medications that may impair glucose metabolism. Awareness of these risk factors enables early detection and intervention, potentially delaying or preventing the onset of Type 2 diabetes.</w:t>
      </w:r>
    </w:p>
    <w:p w14:paraId="4F2A4A5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4730CA1"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Understanding the disease and its risk factors is crucial not only for preventing diabetes but also for mitigating its complications. Educating patients about modifiable lifestyle factors, recognising early symptoms, and promoting self</w:t>
      </w:r>
      <w:r w:rsidRPr="00094070">
        <w:rPr>
          <w:rFonts w:ascii="Arial" w:hAnsi="Arial" w:cs="Arial"/>
          <w:kern w:val="0"/>
          <w:sz w:val="22"/>
          <w:szCs w:val="22"/>
          <w14:ligatures w14:val="none"/>
        </w:rPr>
        <w:noBreakHyphen/>
        <w:t>management strategies are central to reducing morbidity and improving quality of life for people living with diabetes.</w:t>
      </w:r>
    </w:p>
    <w:p w14:paraId="6CB83D39" w14:textId="77777777" w:rsidR="00094070" w:rsidRPr="00094070" w:rsidRDefault="00094070" w:rsidP="00094070">
      <w:pPr>
        <w:spacing w:after="0" w:line="240" w:lineRule="auto"/>
        <w:rPr>
          <w:rFonts w:ascii="Arial" w:eastAsia="Times New Roman" w:hAnsi="Arial" w:cs="Arial"/>
          <w:kern w:val="0"/>
          <w:sz w:val="22"/>
          <w:szCs w:val="22"/>
          <w14:ligatures w14:val="none"/>
        </w:rPr>
      </w:pPr>
      <w:r w:rsidRPr="00094070">
        <w:rPr>
          <w:rFonts w:ascii="Arial" w:eastAsia="Times New Roman" w:hAnsi="Arial" w:cs="Arial"/>
          <w:noProof/>
          <w:kern w:val="0"/>
          <w:sz w:val="22"/>
          <w:szCs w:val="22"/>
          <w14:ligatures w14:val="none"/>
        </w:rPr>
        <mc:AlternateContent>
          <mc:Choice Requires="wps">
            <w:drawing>
              <wp:inline distT="0" distB="0" distL="0" distR="0" wp14:anchorId="36332879" wp14:editId="63A46FDD">
                <wp:extent cx="5731510" cy="1270"/>
                <wp:effectExtent l="0" t="31750" r="0" b="36830"/>
                <wp:docPr id="9662674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C5FE2D"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311B182" w14:textId="77777777" w:rsidR="00094070" w:rsidRPr="00094070" w:rsidRDefault="00094070" w:rsidP="00094070">
      <w:pPr>
        <w:spacing w:before="100" w:beforeAutospacing="1" w:after="100" w:afterAutospacing="1" w:line="240" w:lineRule="auto"/>
        <w:outlineLvl w:val="1"/>
        <w:rPr>
          <w:rFonts w:ascii="Arial" w:hAnsi="Arial" w:cs="Arial"/>
          <w:b/>
          <w:bCs/>
          <w:kern w:val="0"/>
          <w:sz w:val="22"/>
          <w:szCs w:val="22"/>
          <w14:ligatures w14:val="none"/>
        </w:rPr>
      </w:pPr>
      <w:r w:rsidRPr="00094070">
        <w:rPr>
          <w:rFonts w:ascii="Arial" w:eastAsia="Times New Roman" w:hAnsi="Arial" w:cs="Arial"/>
          <w:b/>
          <w:bCs/>
          <w:kern w:val="0"/>
          <w:sz w:val="22"/>
          <w:szCs w:val="22"/>
          <w14:ligatures w14:val="none"/>
        </w:rPr>
        <w:t>b) How Blood Sugar Levels Are Maintained at a Safe and Effective Level</w:t>
      </w:r>
    </w:p>
    <w:p w14:paraId="08D3C78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F9A7743"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lastRenderedPageBreak/>
        <w:t>Maintaining blood glucose within a safe range is essential for physiological function. Glucose is the primary fuel for cellular activity, particularly for the brain, red blood cells, and muscles. The body tightly regulates blood sugar through a coordinated interplay of hormones, enzymes, and cellular mechanisms to ensure a constant energy supply without the harmful effects of prolonged hyper- or hypoglycaemia (</w:t>
      </w:r>
      <w:proofErr w:type="spellStart"/>
      <w:r w:rsidRPr="00094070">
        <w:rPr>
          <w:rFonts w:ascii="Arial" w:hAnsi="Arial" w:cs="Arial"/>
          <w:kern w:val="0"/>
          <w:sz w:val="22"/>
          <w:szCs w:val="22"/>
          <w14:ligatures w14:val="none"/>
        </w:rPr>
        <w:t>Rizza</w:t>
      </w:r>
      <w:proofErr w:type="spellEnd"/>
      <w:r w:rsidRPr="00094070">
        <w:rPr>
          <w:rFonts w:ascii="Arial" w:hAnsi="Arial" w:cs="Arial"/>
          <w:kern w:val="0"/>
          <w:sz w:val="22"/>
          <w:szCs w:val="22"/>
          <w14:ligatures w14:val="none"/>
        </w:rPr>
        <w:t>, 2010).</w:t>
      </w:r>
    </w:p>
    <w:p w14:paraId="23DE0A6D"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1842BD35"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Key Hormones Involved in Glucose Homeostasis</w:t>
      </w:r>
    </w:p>
    <w:p w14:paraId="53616A47" w14:textId="77777777" w:rsidR="00094070" w:rsidRDefault="00094070" w:rsidP="00094070">
      <w:pPr>
        <w:numPr>
          <w:ilvl w:val="0"/>
          <w:numId w:val="3"/>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Insulin – Produced by pancreatic beta cells, insulin lowers blood glucose by facilitating its uptake into muscle, liver, and adipose tissue. It promotes the translocation of GLUT-4 transporters to the cell membrane, enabling glucose entry into cells (</w:t>
      </w:r>
      <w:proofErr w:type="spellStart"/>
      <w:r w:rsidRPr="00094070">
        <w:rPr>
          <w:rFonts w:ascii="Arial" w:hAnsi="Arial" w:cs="Arial"/>
          <w:kern w:val="0"/>
          <w:sz w:val="22"/>
          <w:szCs w:val="22"/>
          <w14:ligatures w14:val="none"/>
        </w:rPr>
        <w:t>Saltiel</w:t>
      </w:r>
      <w:proofErr w:type="spellEnd"/>
      <w:r w:rsidRPr="00094070">
        <w:rPr>
          <w:rFonts w:ascii="Arial" w:hAnsi="Arial" w:cs="Arial"/>
          <w:kern w:val="0"/>
          <w:sz w:val="22"/>
          <w:szCs w:val="22"/>
          <w14:ligatures w14:val="none"/>
        </w:rPr>
        <w:t xml:space="preserve"> &amp; Kahn, 2001). Insulin also stimulates glycogen synthesis in the liver and inhibits hepatic </w:t>
      </w:r>
      <w:proofErr w:type="spellStart"/>
      <w:r w:rsidRPr="00094070">
        <w:rPr>
          <w:rFonts w:ascii="Arial" w:hAnsi="Arial" w:cs="Arial"/>
          <w:kern w:val="0"/>
          <w:sz w:val="22"/>
          <w:szCs w:val="22"/>
          <w14:ligatures w14:val="none"/>
        </w:rPr>
        <w:t>gluconeogenesis</w:t>
      </w:r>
      <w:proofErr w:type="spellEnd"/>
      <w:r w:rsidRPr="00094070">
        <w:rPr>
          <w:rFonts w:ascii="Arial" w:hAnsi="Arial" w:cs="Arial"/>
          <w:kern w:val="0"/>
          <w:sz w:val="22"/>
          <w:szCs w:val="22"/>
          <w14:ligatures w14:val="none"/>
        </w:rPr>
        <w:t>, maintaining glucose balance after meals.</w:t>
      </w:r>
    </w:p>
    <w:p w14:paraId="01549449" w14:textId="77777777" w:rsidR="00801E11" w:rsidRPr="00094070" w:rsidRDefault="00801E11" w:rsidP="00801E11">
      <w:pPr>
        <w:spacing w:before="100" w:beforeAutospacing="1" w:after="100" w:afterAutospacing="1" w:line="240" w:lineRule="auto"/>
        <w:ind w:left="720"/>
        <w:rPr>
          <w:rFonts w:ascii="Arial" w:hAnsi="Arial" w:cs="Arial"/>
          <w:kern w:val="0"/>
          <w:sz w:val="22"/>
          <w:szCs w:val="22"/>
          <w14:ligatures w14:val="none"/>
        </w:rPr>
      </w:pPr>
    </w:p>
    <w:p w14:paraId="5DF7EFB0" w14:textId="1987589F" w:rsidR="00801E11" w:rsidRDefault="00094070" w:rsidP="00801E11">
      <w:pPr>
        <w:numPr>
          <w:ilvl w:val="0"/>
          <w:numId w:val="3"/>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Glucagon – Secreted by alpha cells of the pancreas, glucagon works antagonistically to insulin. During fasting or hypoglycaemia, glucagon stimulates glycogen breakdown (</w:t>
      </w:r>
      <w:proofErr w:type="spellStart"/>
      <w:r w:rsidRPr="00094070">
        <w:rPr>
          <w:rFonts w:ascii="Arial" w:hAnsi="Arial" w:cs="Arial"/>
          <w:kern w:val="0"/>
          <w:sz w:val="22"/>
          <w:szCs w:val="22"/>
          <w14:ligatures w14:val="none"/>
        </w:rPr>
        <w:t>glycogenolysis</w:t>
      </w:r>
      <w:proofErr w:type="spellEnd"/>
      <w:r w:rsidRPr="00094070">
        <w:rPr>
          <w:rFonts w:ascii="Arial" w:hAnsi="Arial" w:cs="Arial"/>
          <w:kern w:val="0"/>
          <w:sz w:val="22"/>
          <w:szCs w:val="22"/>
          <w14:ligatures w14:val="none"/>
        </w:rPr>
        <w:t>) and promotes glucose production from non-carbohydrate sources (</w:t>
      </w:r>
      <w:proofErr w:type="spellStart"/>
      <w:r w:rsidRPr="00094070">
        <w:rPr>
          <w:rFonts w:ascii="Arial" w:hAnsi="Arial" w:cs="Arial"/>
          <w:kern w:val="0"/>
          <w:sz w:val="22"/>
          <w:szCs w:val="22"/>
          <w14:ligatures w14:val="none"/>
        </w:rPr>
        <w:t>gluconeogenesis</w:t>
      </w:r>
      <w:proofErr w:type="spellEnd"/>
      <w:r w:rsidRPr="00094070">
        <w:rPr>
          <w:rFonts w:ascii="Arial" w:hAnsi="Arial" w:cs="Arial"/>
          <w:kern w:val="0"/>
          <w:sz w:val="22"/>
          <w:szCs w:val="22"/>
          <w14:ligatures w14:val="none"/>
        </w:rPr>
        <w:t xml:space="preserve">), ensuring that blood glucose remains within physiological limits (Unger &amp; </w:t>
      </w:r>
      <w:proofErr w:type="spellStart"/>
      <w:r w:rsidRPr="00094070">
        <w:rPr>
          <w:rFonts w:ascii="Arial" w:hAnsi="Arial" w:cs="Arial"/>
          <w:kern w:val="0"/>
          <w:sz w:val="22"/>
          <w:szCs w:val="22"/>
          <w14:ligatures w14:val="none"/>
        </w:rPr>
        <w:t>Cherrington</w:t>
      </w:r>
      <w:proofErr w:type="spellEnd"/>
      <w:r w:rsidRPr="00094070">
        <w:rPr>
          <w:rFonts w:ascii="Arial" w:hAnsi="Arial" w:cs="Arial"/>
          <w:kern w:val="0"/>
          <w:sz w:val="22"/>
          <w:szCs w:val="22"/>
          <w14:ligatures w14:val="none"/>
        </w:rPr>
        <w:t>, 2012).</w:t>
      </w:r>
    </w:p>
    <w:p w14:paraId="4F51AA4A" w14:textId="77777777" w:rsidR="00801E11" w:rsidRDefault="00801E11" w:rsidP="00801E11">
      <w:pPr>
        <w:pStyle w:val="ListParagraph"/>
        <w:rPr>
          <w:rFonts w:ascii="Arial" w:hAnsi="Arial" w:cs="Arial"/>
          <w:kern w:val="0"/>
          <w:sz w:val="22"/>
          <w:szCs w:val="22"/>
          <w14:ligatures w14:val="none"/>
        </w:rPr>
      </w:pPr>
    </w:p>
    <w:p w14:paraId="06C2E93E" w14:textId="77777777" w:rsidR="00801E11" w:rsidRPr="00094070" w:rsidRDefault="00801E11" w:rsidP="00801E11">
      <w:pPr>
        <w:spacing w:before="100" w:beforeAutospacing="1" w:after="100" w:afterAutospacing="1" w:line="240" w:lineRule="auto"/>
        <w:ind w:left="720"/>
        <w:rPr>
          <w:rFonts w:ascii="Arial" w:hAnsi="Arial" w:cs="Arial"/>
          <w:kern w:val="0"/>
          <w:sz w:val="22"/>
          <w:szCs w:val="22"/>
          <w14:ligatures w14:val="none"/>
        </w:rPr>
      </w:pPr>
    </w:p>
    <w:p w14:paraId="67EE3C0A" w14:textId="77777777" w:rsidR="00094070" w:rsidRPr="00094070" w:rsidRDefault="00094070" w:rsidP="00094070">
      <w:pPr>
        <w:numPr>
          <w:ilvl w:val="0"/>
          <w:numId w:val="3"/>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Other Hormones – Catecholamines (adrenaline and noradrenaline), cortisol, and growth hormone contribute to glucose regulation during stress, illness, or exercise by increasing glucose availability to critical organs. However, their effects are generally transient, while insulin and glucagon remain the primary regulators for day-to-day glucose control (</w:t>
      </w:r>
      <w:proofErr w:type="spellStart"/>
      <w:r w:rsidRPr="00094070">
        <w:rPr>
          <w:rFonts w:ascii="Arial" w:hAnsi="Arial" w:cs="Arial"/>
          <w:kern w:val="0"/>
          <w:sz w:val="22"/>
          <w:szCs w:val="22"/>
          <w14:ligatures w14:val="none"/>
        </w:rPr>
        <w:t>Rizza</w:t>
      </w:r>
      <w:proofErr w:type="spellEnd"/>
      <w:r w:rsidRPr="00094070">
        <w:rPr>
          <w:rFonts w:ascii="Arial" w:hAnsi="Arial" w:cs="Arial"/>
          <w:kern w:val="0"/>
          <w:sz w:val="22"/>
          <w:szCs w:val="22"/>
          <w14:ligatures w14:val="none"/>
        </w:rPr>
        <w:t>, 2010).</w:t>
      </w:r>
    </w:p>
    <w:p w14:paraId="3982358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534B88F4"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Feedback Mechanisms</w:t>
      </w:r>
    </w:p>
    <w:p w14:paraId="13D1D27C"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73848A5A"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The endocrine system relies on negative feedback loops to maintain blood sugar homeostasis:</w:t>
      </w:r>
    </w:p>
    <w:p w14:paraId="3EBC9E73" w14:textId="77777777" w:rsidR="00094070" w:rsidRPr="00094070" w:rsidRDefault="00094070" w:rsidP="00094070">
      <w:pPr>
        <w:numPr>
          <w:ilvl w:val="0"/>
          <w:numId w:val="4"/>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Hyperglycaemia Response: When blood glucose rises, insulin secretion increases, glucagon secretion decreases, and glucose is taken up and stored by tissues.</w:t>
      </w:r>
    </w:p>
    <w:p w14:paraId="65177013" w14:textId="77777777" w:rsidR="00094070" w:rsidRPr="00094070" w:rsidRDefault="00094070" w:rsidP="00094070">
      <w:pPr>
        <w:numPr>
          <w:ilvl w:val="0"/>
          <w:numId w:val="4"/>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Hypoglycaemia Response: When blood glucose falls, glucagon secretion rises, insulin secretion drops, and hepatic glucose production is stimulated.</w:t>
      </w:r>
    </w:p>
    <w:p w14:paraId="4F3381FC"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060E8EC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This continuous adjustment ensures a stable internal environment, allowing organs to function optimally.</w:t>
      </w:r>
    </w:p>
    <w:p w14:paraId="7787D67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13B3DDE"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Insulin Resistance and Type 2 Diabetes</w:t>
      </w:r>
    </w:p>
    <w:p w14:paraId="48C12EC3"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62BC2C3"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In Type 2 diabetes, insulin resistance develops in peripheral tissues such as skeletal muscle, liver, and adipose tissue. This means that even normal or elevated insulin levels are insufficient to maintain normal glucose uptake and utilisation. Initially, pancreatic beta cells compensate by producing more insulin, but over time this compensatory mechanism fails, resulting in sustained hyperglycaemia (</w:t>
      </w:r>
      <w:proofErr w:type="spellStart"/>
      <w:r w:rsidRPr="00094070">
        <w:rPr>
          <w:rFonts w:ascii="Arial" w:hAnsi="Arial" w:cs="Arial"/>
          <w:kern w:val="0"/>
          <w:sz w:val="22"/>
          <w:szCs w:val="22"/>
          <w14:ligatures w14:val="none"/>
        </w:rPr>
        <w:t>DeFronzo</w:t>
      </w:r>
      <w:proofErr w:type="spellEnd"/>
      <w:r w:rsidRPr="00094070">
        <w:rPr>
          <w:rFonts w:ascii="Arial" w:hAnsi="Arial" w:cs="Arial"/>
          <w:kern w:val="0"/>
          <w:sz w:val="22"/>
          <w:szCs w:val="22"/>
          <w14:ligatures w14:val="none"/>
        </w:rPr>
        <w:t xml:space="preserve">, </w:t>
      </w:r>
      <w:proofErr w:type="spellStart"/>
      <w:r w:rsidRPr="00094070">
        <w:rPr>
          <w:rFonts w:ascii="Arial" w:hAnsi="Arial" w:cs="Arial"/>
          <w:kern w:val="0"/>
          <w:sz w:val="22"/>
          <w:szCs w:val="22"/>
          <w14:ligatures w14:val="none"/>
        </w:rPr>
        <w:t>Ferrannini</w:t>
      </w:r>
      <w:proofErr w:type="spellEnd"/>
      <w:r w:rsidRPr="00094070">
        <w:rPr>
          <w:rFonts w:ascii="Arial" w:hAnsi="Arial" w:cs="Arial"/>
          <w:kern w:val="0"/>
          <w:sz w:val="22"/>
          <w:szCs w:val="22"/>
          <w14:ligatures w14:val="none"/>
        </w:rPr>
        <w:t xml:space="preserve"> &amp; </w:t>
      </w:r>
      <w:proofErr w:type="spellStart"/>
      <w:r w:rsidRPr="00094070">
        <w:rPr>
          <w:rFonts w:ascii="Arial" w:hAnsi="Arial" w:cs="Arial"/>
          <w:kern w:val="0"/>
          <w:sz w:val="22"/>
          <w:szCs w:val="22"/>
          <w14:ligatures w14:val="none"/>
        </w:rPr>
        <w:t>Groop</w:t>
      </w:r>
      <w:proofErr w:type="spellEnd"/>
      <w:r w:rsidRPr="00094070">
        <w:rPr>
          <w:rFonts w:ascii="Arial" w:hAnsi="Arial" w:cs="Arial"/>
          <w:kern w:val="0"/>
          <w:sz w:val="22"/>
          <w:szCs w:val="22"/>
          <w14:ligatures w14:val="none"/>
        </w:rPr>
        <w:t>, 2015).</w:t>
      </w:r>
    </w:p>
    <w:p w14:paraId="47DB771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974E621"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Insulin resistance also affects lipid metabolism, leading to elevated circulating free fatty acids, which further worsen glucose intolerance and contribute to atherogenic </w:t>
      </w:r>
      <w:proofErr w:type="spellStart"/>
      <w:r w:rsidRPr="00094070">
        <w:rPr>
          <w:rFonts w:ascii="Arial" w:hAnsi="Arial" w:cs="Arial"/>
          <w:kern w:val="0"/>
          <w:sz w:val="22"/>
          <w:szCs w:val="22"/>
          <w14:ligatures w14:val="none"/>
        </w:rPr>
        <w:t>dyslipidaemia</w:t>
      </w:r>
      <w:proofErr w:type="spellEnd"/>
      <w:r w:rsidRPr="00094070">
        <w:rPr>
          <w:rFonts w:ascii="Arial" w:hAnsi="Arial" w:cs="Arial"/>
          <w:kern w:val="0"/>
          <w:sz w:val="22"/>
          <w:szCs w:val="22"/>
          <w14:ligatures w14:val="none"/>
        </w:rPr>
        <w:t xml:space="preserve"> — a combination that significantly increases cardiovascular risk.</w:t>
      </w:r>
    </w:p>
    <w:p w14:paraId="24AD56FB" w14:textId="77777777" w:rsidR="00094070" w:rsidRPr="00094070" w:rsidRDefault="00094070" w:rsidP="00094070">
      <w:pPr>
        <w:spacing w:after="0" w:line="240" w:lineRule="auto"/>
        <w:rPr>
          <w:rFonts w:ascii="Arial" w:eastAsia="Times New Roman" w:hAnsi="Arial" w:cs="Arial"/>
          <w:kern w:val="0"/>
          <w:sz w:val="22"/>
          <w:szCs w:val="22"/>
          <w14:ligatures w14:val="none"/>
        </w:rPr>
      </w:pPr>
      <w:r w:rsidRPr="00094070">
        <w:rPr>
          <w:rFonts w:ascii="Arial" w:eastAsia="Times New Roman" w:hAnsi="Arial" w:cs="Arial"/>
          <w:noProof/>
          <w:kern w:val="0"/>
          <w:sz w:val="22"/>
          <w:szCs w:val="22"/>
          <w14:ligatures w14:val="none"/>
        </w:rPr>
        <mc:AlternateContent>
          <mc:Choice Requires="wps">
            <w:drawing>
              <wp:inline distT="0" distB="0" distL="0" distR="0" wp14:anchorId="36645D2F" wp14:editId="43579D21">
                <wp:extent cx="5731510" cy="1270"/>
                <wp:effectExtent l="0" t="31750" r="0" b="36830"/>
                <wp:docPr id="173290978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264F435"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8EEB09B" w14:textId="77777777" w:rsidR="00094070" w:rsidRPr="00094070" w:rsidRDefault="00094070" w:rsidP="00094070">
      <w:pPr>
        <w:spacing w:before="100" w:beforeAutospacing="1" w:after="100" w:afterAutospacing="1" w:line="240" w:lineRule="auto"/>
        <w:outlineLvl w:val="1"/>
        <w:rPr>
          <w:rFonts w:ascii="Arial" w:hAnsi="Arial" w:cs="Arial"/>
          <w:b/>
          <w:bCs/>
          <w:kern w:val="0"/>
          <w:sz w:val="22"/>
          <w:szCs w:val="22"/>
          <w14:ligatures w14:val="none"/>
        </w:rPr>
      </w:pPr>
      <w:r w:rsidRPr="00094070">
        <w:rPr>
          <w:rFonts w:ascii="Arial" w:eastAsia="Times New Roman" w:hAnsi="Arial" w:cs="Arial"/>
          <w:b/>
          <w:bCs/>
          <w:kern w:val="0"/>
          <w:sz w:val="22"/>
          <w:szCs w:val="22"/>
          <w14:ligatures w14:val="none"/>
        </w:rPr>
        <w:t>c) How Oxygen and Glucose Are Used to Produce Energy Through Cellular Metabolism</w:t>
      </w:r>
    </w:p>
    <w:p w14:paraId="67F9E07B"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7825B508"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Glucose is the primary energy source for most cells. Its metabolism involves a series of biochemical pathways that extract energy in the form of ATP (adenosine triphosphate), which powers all cellular processes.</w:t>
      </w:r>
    </w:p>
    <w:p w14:paraId="599EF8C1"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2B9DFE7"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Stages of Cellular Respiration</w:t>
      </w:r>
    </w:p>
    <w:p w14:paraId="6FCF67F3" w14:textId="77777777" w:rsidR="00094070" w:rsidRPr="00094070" w:rsidRDefault="00094070" w:rsidP="00094070">
      <w:pPr>
        <w:numPr>
          <w:ilvl w:val="0"/>
          <w:numId w:val="5"/>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Glycolysis</w:t>
      </w:r>
    </w:p>
    <w:p w14:paraId="02D3B69D"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0F1156B7" w14:textId="77777777" w:rsidR="00094070" w:rsidRPr="00094070" w:rsidRDefault="00094070" w:rsidP="00094070">
      <w:pPr>
        <w:numPr>
          <w:ilvl w:val="0"/>
          <w:numId w:val="6"/>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Occurs in the cytoplasm.</w:t>
      </w:r>
    </w:p>
    <w:p w14:paraId="27386E5F" w14:textId="77777777" w:rsidR="00094070" w:rsidRPr="00094070" w:rsidRDefault="00094070" w:rsidP="00094070">
      <w:pPr>
        <w:numPr>
          <w:ilvl w:val="0"/>
          <w:numId w:val="6"/>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One glucose molecule (6 carbons) is converted into two molecules of pyruvate (3 carbons each).</w:t>
      </w:r>
    </w:p>
    <w:p w14:paraId="3AEEEC5B" w14:textId="77777777" w:rsidR="00094070" w:rsidRPr="00094070" w:rsidRDefault="00094070" w:rsidP="00094070">
      <w:pPr>
        <w:numPr>
          <w:ilvl w:val="0"/>
          <w:numId w:val="6"/>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Produces a net gain of 2 ATP and 2 NADH molecules.</w:t>
      </w:r>
    </w:p>
    <w:p w14:paraId="7AEE4196" w14:textId="77777777" w:rsidR="00094070" w:rsidRPr="00094070" w:rsidRDefault="00094070" w:rsidP="00094070">
      <w:pPr>
        <w:numPr>
          <w:ilvl w:val="0"/>
          <w:numId w:val="6"/>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Anaerobic: does not require oxygen.</w:t>
      </w:r>
    </w:p>
    <w:p w14:paraId="2157123A"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46302C7" w14:textId="77777777" w:rsidR="00094070" w:rsidRPr="00094070" w:rsidRDefault="00094070" w:rsidP="00094070">
      <w:pPr>
        <w:numPr>
          <w:ilvl w:val="0"/>
          <w:numId w:val="7"/>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Pyruvate Oxidation and Citric Acid (Krebs) Cycle</w:t>
      </w:r>
    </w:p>
    <w:p w14:paraId="056E5F9E"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7656E346" w14:textId="77777777" w:rsidR="00094070" w:rsidRPr="00094070" w:rsidRDefault="00094070" w:rsidP="00094070">
      <w:pPr>
        <w:numPr>
          <w:ilvl w:val="0"/>
          <w:numId w:val="8"/>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Pyruvate enters mitochondria and is converted to acetyl-CoA.</w:t>
      </w:r>
    </w:p>
    <w:p w14:paraId="7E59DB14" w14:textId="77777777" w:rsidR="00094070" w:rsidRPr="00094070" w:rsidRDefault="00094070" w:rsidP="00094070">
      <w:pPr>
        <w:numPr>
          <w:ilvl w:val="0"/>
          <w:numId w:val="8"/>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Acetyl-CoA enters the Krebs cycle, generating NADH, FADH</w:t>
      </w:r>
      <w:r w:rsidRPr="00094070">
        <w:rPr>
          <w:rFonts w:ascii="Cambria Math" w:hAnsi="Cambria Math" w:cs="Cambria Math"/>
          <w:kern w:val="0"/>
          <w:sz w:val="22"/>
          <w:szCs w:val="22"/>
          <w14:ligatures w14:val="none"/>
        </w:rPr>
        <w:t>₂</w:t>
      </w:r>
      <w:r w:rsidRPr="00094070">
        <w:rPr>
          <w:rFonts w:ascii="Arial" w:hAnsi="Arial" w:cs="Arial"/>
          <w:kern w:val="0"/>
          <w:sz w:val="22"/>
          <w:szCs w:val="22"/>
          <w14:ligatures w14:val="none"/>
        </w:rPr>
        <w:t>, and a small amount of ATP.</w:t>
      </w:r>
    </w:p>
    <w:p w14:paraId="5836889F" w14:textId="77777777" w:rsidR="00094070" w:rsidRPr="00094070" w:rsidRDefault="00094070" w:rsidP="00094070">
      <w:pPr>
        <w:numPr>
          <w:ilvl w:val="0"/>
          <w:numId w:val="8"/>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Carbon dioxide is released as a by-product.</w:t>
      </w:r>
    </w:p>
    <w:p w14:paraId="3F242D6E"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69EF9D7D" w14:textId="77777777" w:rsidR="00094070" w:rsidRPr="00094070" w:rsidRDefault="00094070" w:rsidP="00094070">
      <w:pPr>
        <w:numPr>
          <w:ilvl w:val="0"/>
          <w:numId w:val="9"/>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Electron Transport Chain (ETC) and Oxidative Phosphorylation</w:t>
      </w:r>
    </w:p>
    <w:p w14:paraId="2879BE0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617B9816" w14:textId="77777777" w:rsidR="00094070" w:rsidRPr="00094070" w:rsidRDefault="00094070" w:rsidP="00094070">
      <w:pPr>
        <w:numPr>
          <w:ilvl w:val="0"/>
          <w:numId w:val="10"/>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Located in the inner mitochondrial membrane.</w:t>
      </w:r>
    </w:p>
    <w:p w14:paraId="5D866EC3" w14:textId="77777777" w:rsidR="00094070" w:rsidRPr="00094070" w:rsidRDefault="00094070" w:rsidP="00094070">
      <w:pPr>
        <w:numPr>
          <w:ilvl w:val="0"/>
          <w:numId w:val="10"/>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Electrons from NADH and FADH</w:t>
      </w:r>
      <w:r w:rsidRPr="00094070">
        <w:rPr>
          <w:rFonts w:ascii="Cambria Math" w:hAnsi="Cambria Math" w:cs="Cambria Math"/>
          <w:kern w:val="0"/>
          <w:sz w:val="22"/>
          <w:szCs w:val="22"/>
          <w14:ligatures w14:val="none"/>
        </w:rPr>
        <w:t>₂</w:t>
      </w:r>
      <w:r w:rsidRPr="00094070">
        <w:rPr>
          <w:rFonts w:ascii="Arial" w:hAnsi="Arial" w:cs="Arial"/>
          <w:kern w:val="0"/>
          <w:sz w:val="22"/>
          <w:szCs w:val="22"/>
          <w14:ligatures w14:val="none"/>
        </w:rPr>
        <w:t xml:space="preserve"> pass through protein complexes, ultimately reducing oxygen to water.</w:t>
      </w:r>
    </w:p>
    <w:p w14:paraId="095428D4" w14:textId="77777777" w:rsidR="00094070" w:rsidRPr="00094070" w:rsidRDefault="00094070" w:rsidP="00094070">
      <w:pPr>
        <w:numPr>
          <w:ilvl w:val="0"/>
          <w:numId w:val="10"/>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Creates a proton gradient that drives ATP synthesis via ATP synthase.</w:t>
      </w:r>
    </w:p>
    <w:p w14:paraId="7CAEF566" w14:textId="77777777" w:rsidR="00094070" w:rsidRPr="00094070" w:rsidRDefault="00094070" w:rsidP="00094070">
      <w:pPr>
        <w:numPr>
          <w:ilvl w:val="0"/>
          <w:numId w:val="10"/>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Produces ~30–32 ATP per glucose molecule and requires oxygen.</w:t>
      </w:r>
    </w:p>
    <w:p w14:paraId="5F09469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01E5BDFD"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Role of Oxygen</w:t>
      </w:r>
    </w:p>
    <w:p w14:paraId="65B6500D"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1E29E4F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Oxygen serves as the terminal electron acceptor in the ETC. Without oxygen, electrons cannot move efficiently along the chain, halting ATP production. Cells then rely on anaerobic glycolysis, which produces much less ATP (2 per glucose) and results in lactic acid accumulation, leading to fatigue and metabolic acidosis if prolonged (Alberts et al., 2015).</w:t>
      </w:r>
    </w:p>
    <w:p w14:paraId="48415A81"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0E39D5FE"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Implications in Diabetes</w:t>
      </w:r>
    </w:p>
    <w:p w14:paraId="5BD31D8E"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D21B7D6"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In diabetes, impaired glucose uptake due to insulin resistance limits the amount of glucose available for energy production. Chronic hyperglycaemia can also damage mitochondria and reduce the efficiency of cellular respiration. These metabolic disruptions contribute to fatigue, muscle weakness, and impaired organ function commonly reported by patients with uncontrolled diabetes.</w:t>
      </w:r>
    </w:p>
    <w:p w14:paraId="2196721F"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3A4DFE3"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Overall, one glucose molecule yields approximately 36–38 ATP under aerobic conditions, providing the energy required for muscle contraction, neural activity, organ function, and maintaining homeostasis.</w:t>
      </w:r>
    </w:p>
    <w:p w14:paraId="072DCC07" w14:textId="77777777" w:rsidR="00094070" w:rsidRPr="00094070" w:rsidRDefault="00094070" w:rsidP="00094070">
      <w:pPr>
        <w:spacing w:after="0" w:line="240" w:lineRule="auto"/>
        <w:rPr>
          <w:rFonts w:ascii="Arial" w:eastAsia="Times New Roman" w:hAnsi="Arial" w:cs="Arial"/>
          <w:kern w:val="0"/>
          <w:sz w:val="22"/>
          <w:szCs w:val="22"/>
          <w14:ligatures w14:val="none"/>
        </w:rPr>
      </w:pPr>
      <w:r w:rsidRPr="00094070">
        <w:rPr>
          <w:rFonts w:ascii="Arial" w:eastAsia="Times New Roman" w:hAnsi="Arial" w:cs="Arial"/>
          <w:noProof/>
          <w:kern w:val="0"/>
          <w:sz w:val="22"/>
          <w:szCs w:val="22"/>
          <w14:ligatures w14:val="none"/>
        </w:rPr>
        <mc:AlternateContent>
          <mc:Choice Requires="wps">
            <w:drawing>
              <wp:inline distT="0" distB="0" distL="0" distR="0" wp14:anchorId="1333D8A7" wp14:editId="470B3417">
                <wp:extent cx="5731510" cy="1270"/>
                <wp:effectExtent l="0" t="31750" r="0" b="36830"/>
                <wp:docPr id="209500216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E4DF29"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2F8E3BE" w14:textId="77777777" w:rsidR="00094070" w:rsidRPr="00094070" w:rsidRDefault="00094070" w:rsidP="00094070">
      <w:pPr>
        <w:spacing w:before="100" w:beforeAutospacing="1" w:after="100" w:afterAutospacing="1" w:line="240" w:lineRule="auto"/>
        <w:outlineLvl w:val="1"/>
        <w:rPr>
          <w:rFonts w:ascii="Arial" w:hAnsi="Arial" w:cs="Arial"/>
          <w:b/>
          <w:bCs/>
          <w:kern w:val="0"/>
          <w:sz w:val="22"/>
          <w:szCs w:val="22"/>
          <w14:ligatures w14:val="none"/>
        </w:rPr>
      </w:pPr>
      <w:r w:rsidRPr="00094070">
        <w:rPr>
          <w:rFonts w:ascii="Arial" w:eastAsia="Times New Roman" w:hAnsi="Arial" w:cs="Arial"/>
          <w:b/>
          <w:bCs/>
          <w:kern w:val="0"/>
          <w:sz w:val="22"/>
          <w:szCs w:val="22"/>
          <w14:ligatures w14:val="none"/>
        </w:rPr>
        <w:t>d) How Recording and Tracking Blood Sugar Levels Helps Individuals with Type 2 Diabetes</w:t>
      </w:r>
    </w:p>
    <w:p w14:paraId="2145902B"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04B8988B"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Self-monitoring of blood glucose (SMBG) is a cornerstone of diabetes management. It provides immediate feedback on the effects of meals, exercise, stress, and medication, enabling patients to make timely adjustments.</w:t>
      </w:r>
    </w:p>
    <w:p w14:paraId="38C0CB96"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574F1115"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lastRenderedPageBreak/>
        <w:t>Purposes of Blood Glucose Monitoring</w:t>
      </w:r>
    </w:p>
    <w:p w14:paraId="0F4F396F" w14:textId="18319E70" w:rsidR="00094070" w:rsidRPr="00094070" w:rsidRDefault="00094070" w:rsidP="00094070">
      <w:pPr>
        <w:numPr>
          <w:ilvl w:val="0"/>
          <w:numId w:val="11"/>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Evaluate treatment efficacy: Helps clinicians and patients assess the response to oral </w:t>
      </w:r>
      <w:r w:rsidR="00CA4B63" w:rsidRPr="00094070">
        <w:rPr>
          <w:rFonts w:ascii="Arial" w:hAnsi="Arial" w:cs="Arial"/>
          <w:kern w:val="0"/>
          <w:sz w:val="22"/>
          <w:szCs w:val="22"/>
          <w14:ligatures w14:val="none"/>
        </w:rPr>
        <w:t>anti-diabetics</w:t>
      </w:r>
      <w:r w:rsidRPr="00094070">
        <w:rPr>
          <w:rFonts w:ascii="Arial" w:hAnsi="Arial" w:cs="Arial"/>
          <w:kern w:val="0"/>
          <w:sz w:val="22"/>
          <w:szCs w:val="22"/>
          <w14:ligatures w14:val="none"/>
        </w:rPr>
        <w:t xml:space="preserve"> or insulin therapy.</w:t>
      </w:r>
    </w:p>
    <w:p w14:paraId="6D5B12E4" w14:textId="77777777" w:rsidR="00094070" w:rsidRPr="00094070" w:rsidRDefault="00094070" w:rsidP="00094070">
      <w:pPr>
        <w:numPr>
          <w:ilvl w:val="0"/>
          <w:numId w:val="11"/>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Adjust lifestyle behaviours: Patients can see how dietary choices, portion sizes, or physical activity impact glucose.</w:t>
      </w:r>
    </w:p>
    <w:p w14:paraId="59F09E2D" w14:textId="77777777" w:rsidR="00094070" w:rsidRPr="00094070" w:rsidRDefault="00094070" w:rsidP="00094070">
      <w:pPr>
        <w:numPr>
          <w:ilvl w:val="0"/>
          <w:numId w:val="11"/>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Detect patterns: Identifying recurrent hyper- or hypoglycaemia allows for preventive measures.</w:t>
      </w:r>
    </w:p>
    <w:p w14:paraId="7EF10D05" w14:textId="77777777" w:rsidR="00094070" w:rsidRPr="00094070" w:rsidRDefault="00094070" w:rsidP="00094070">
      <w:pPr>
        <w:numPr>
          <w:ilvl w:val="0"/>
          <w:numId w:val="11"/>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Enhance safety: Early detection of extreme glucose values prevents dangerous complications (Davies et al., 2018).</w:t>
      </w:r>
    </w:p>
    <w:p w14:paraId="008D6F8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CFB76EA"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Evidence-Based Benefits</w:t>
      </w:r>
    </w:p>
    <w:p w14:paraId="660DBAAF"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7BFC269" w14:textId="274C0E15"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Structured SMBG improves </w:t>
      </w:r>
      <w:r w:rsidR="00CA4B63" w:rsidRPr="00094070">
        <w:rPr>
          <w:rFonts w:ascii="Arial" w:hAnsi="Arial" w:cs="Arial"/>
          <w:kern w:val="0"/>
          <w:sz w:val="22"/>
          <w:szCs w:val="22"/>
          <w14:ligatures w14:val="none"/>
        </w:rPr>
        <w:t>glycemic</w:t>
      </w:r>
      <w:r w:rsidRPr="00094070">
        <w:rPr>
          <w:rFonts w:ascii="Arial" w:hAnsi="Arial" w:cs="Arial"/>
          <w:kern w:val="0"/>
          <w:sz w:val="22"/>
          <w:szCs w:val="22"/>
          <w14:ligatures w14:val="none"/>
        </w:rPr>
        <w:t xml:space="preserve"> control, particularly when results guide </w:t>
      </w:r>
      <w:r w:rsidR="00CA4B63" w:rsidRPr="00094070">
        <w:rPr>
          <w:rFonts w:ascii="Arial" w:hAnsi="Arial" w:cs="Arial"/>
          <w:kern w:val="0"/>
          <w:sz w:val="22"/>
          <w:szCs w:val="22"/>
          <w14:ligatures w14:val="none"/>
        </w:rPr>
        <w:t>behavioural</w:t>
      </w:r>
      <w:r w:rsidRPr="00094070">
        <w:rPr>
          <w:rFonts w:ascii="Arial" w:hAnsi="Arial" w:cs="Arial"/>
          <w:kern w:val="0"/>
          <w:sz w:val="22"/>
          <w:szCs w:val="22"/>
          <w14:ligatures w14:val="none"/>
        </w:rPr>
        <w:t xml:space="preserve"> and pharmacological interventions (Farmer et al., 2012). Patients develop a better understanding of how their daily choices influence glucose, promoting autonomy and adherence to treatment plans.</w:t>
      </w:r>
    </w:p>
    <w:p w14:paraId="52921321"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8F4C2C9"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Measurement Strategies</w:t>
      </w:r>
    </w:p>
    <w:p w14:paraId="70E18523" w14:textId="77777777" w:rsidR="00094070" w:rsidRPr="00094070" w:rsidRDefault="00094070" w:rsidP="00094070">
      <w:pPr>
        <w:numPr>
          <w:ilvl w:val="0"/>
          <w:numId w:val="1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Fasting blood glucose (before breakfast)</w:t>
      </w:r>
    </w:p>
    <w:p w14:paraId="16BD940B" w14:textId="77777777" w:rsidR="00094070" w:rsidRPr="00094070" w:rsidRDefault="00094070" w:rsidP="00094070">
      <w:pPr>
        <w:numPr>
          <w:ilvl w:val="0"/>
          <w:numId w:val="1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Pre- and postprandial glucose</w:t>
      </w:r>
    </w:p>
    <w:p w14:paraId="01E514EF" w14:textId="77777777" w:rsidR="00094070" w:rsidRPr="00094070" w:rsidRDefault="00094070" w:rsidP="00094070">
      <w:pPr>
        <w:numPr>
          <w:ilvl w:val="0"/>
          <w:numId w:val="12"/>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Bedtime readings</w:t>
      </w:r>
    </w:p>
    <w:p w14:paraId="4C60CB5F"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866DE58"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These measurements contribute to estimating HbA1c levels, which reflect average </w:t>
      </w:r>
      <w:proofErr w:type="spellStart"/>
      <w:r w:rsidRPr="00094070">
        <w:rPr>
          <w:rFonts w:ascii="Arial" w:hAnsi="Arial" w:cs="Arial"/>
          <w:kern w:val="0"/>
          <w:sz w:val="22"/>
          <w:szCs w:val="22"/>
          <w14:ligatures w14:val="none"/>
        </w:rPr>
        <w:t>glycaemia</w:t>
      </w:r>
      <w:proofErr w:type="spellEnd"/>
      <w:r w:rsidRPr="00094070">
        <w:rPr>
          <w:rFonts w:ascii="Arial" w:hAnsi="Arial" w:cs="Arial"/>
          <w:kern w:val="0"/>
          <w:sz w:val="22"/>
          <w:szCs w:val="22"/>
          <w14:ligatures w14:val="none"/>
        </w:rPr>
        <w:t xml:space="preserve"> over roughly three months. Maintaining HbA1c within target ranges is strongly correlated with reduced risk of long-term complications (UK Prospective Diabetes Study Group, 1998).</w:t>
      </w:r>
    </w:p>
    <w:p w14:paraId="5D6CB6D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EAF9DB7"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Empowerment and Behaviour Change</w:t>
      </w:r>
    </w:p>
    <w:p w14:paraId="22424B20"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6448D5B4"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SMBG empowers patients, providing visual feedback that reinforces healthy behaviours. Patients often report increased confidence in managing their condition and better compliance with medication, diet, and exercise plans (Polonsky et al., 2011).</w:t>
      </w:r>
    </w:p>
    <w:p w14:paraId="593B3461" w14:textId="77777777" w:rsidR="00094070" w:rsidRPr="00094070" w:rsidRDefault="00094070" w:rsidP="00094070">
      <w:pPr>
        <w:spacing w:after="0" w:line="240" w:lineRule="auto"/>
        <w:rPr>
          <w:rFonts w:ascii="Arial" w:eastAsia="Times New Roman" w:hAnsi="Arial" w:cs="Arial"/>
          <w:kern w:val="0"/>
          <w:sz w:val="22"/>
          <w:szCs w:val="22"/>
          <w14:ligatures w14:val="none"/>
        </w:rPr>
      </w:pPr>
      <w:r w:rsidRPr="00094070">
        <w:rPr>
          <w:rFonts w:ascii="Arial" w:eastAsia="Times New Roman" w:hAnsi="Arial" w:cs="Arial"/>
          <w:noProof/>
          <w:kern w:val="0"/>
          <w:sz w:val="22"/>
          <w:szCs w:val="22"/>
          <w14:ligatures w14:val="none"/>
        </w:rPr>
        <mc:AlternateContent>
          <mc:Choice Requires="wps">
            <w:drawing>
              <wp:inline distT="0" distB="0" distL="0" distR="0" wp14:anchorId="13DA43C1" wp14:editId="3765FE15">
                <wp:extent cx="5731510" cy="1270"/>
                <wp:effectExtent l="0" t="31750" r="0" b="36830"/>
                <wp:docPr id="66999649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A24D45"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F554CD9" w14:textId="77777777" w:rsidR="00094070" w:rsidRPr="00094070" w:rsidRDefault="00094070" w:rsidP="00094070">
      <w:pPr>
        <w:spacing w:before="100" w:beforeAutospacing="1" w:after="100" w:afterAutospacing="1" w:line="240" w:lineRule="auto"/>
        <w:outlineLvl w:val="1"/>
        <w:rPr>
          <w:rFonts w:ascii="Arial" w:hAnsi="Arial" w:cs="Arial"/>
          <w:b/>
          <w:bCs/>
          <w:kern w:val="0"/>
          <w:sz w:val="22"/>
          <w:szCs w:val="22"/>
          <w14:ligatures w14:val="none"/>
        </w:rPr>
      </w:pPr>
      <w:r w:rsidRPr="00094070">
        <w:rPr>
          <w:rFonts w:ascii="Arial" w:eastAsia="Times New Roman" w:hAnsi="Arial" w:cs="Arial"/>
          <w:b/>
          <w:bCs/>
          <w:kern w:val="0"/>
          <w:sz w:val="22"/>
          <w:szCs w:val="22"/>
          <w14:ligatures w14:val="none"/>
        </w:rPr>
        <w:t>e) Evidence-Based Recommendations on How Lifestyle Changes Can Improve Diabetes Management</w:t>
      </w:r>
    </w:p>
    <w:p w14:paraId="1671F1FB"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C5CF92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lastRenderedPageBreak/>
        <w:t>Lifestyle interventions are highly effective for preventing and managing Type 2 diabetes. Evidence supports a multi-component approach focusing on diet, physical activity, weight management, stress reduction, and substance use moderation.</w:t>
      </w:r>
    </w:p>
    <w:p w14:paraId="05CF5E9C"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7F6D296F"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1. Diet and Nutrition</w:t>
      </w:r>
    </w:p>
    <w:p w14:paraId="19DB925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1789052B"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a) Balanced Carbohydrate Intake</w:t>
      </w:r>
    </w:p>
    <w:p w14:paraId="7E9810FE" w14:textId="6AD64735" w:rsidR="00094070" w:rsidRPr="00094070" w:rsidRDefault="00386362" w:rsidP="00094070">
      <w:pPr>
        <w:numPr>
          <w:ilvl w:val="0"/>
          <w:numId w:val="13"/>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Low-glycemic</w:t>
      </w:r>
      <w:r w:rsidR="00094070" w:rsidRPr="00094070">
        <w:rPr>
          <w:rFonts w:ascii="Arial" w:hAnsi="Arial" w:cs="Arial"/>
          <w:kern w:val="0"/>
          <w:sz w:val="22"/>
          <w:szCs w:val="22"/>
          <w14:ligatures w14:val="none"/>
        </w:rPr>
        <w:t xml:space="preserve"> index foods (whole grains, legumes, vegetables) slow glucose absorption and prevent postprandial spikes (Jenkins et al., 2008).</w:t>
      </w:r>
    </w:p>
    <w:p w14:paraId="2AD0E054" w14:textId="77777777" w:rsidR="00094070" w:rsidRPr="00094070" w:rsidRDefault="00094070" w:rsidP="00094070">
      <w:pPr>
        <w:numPr>
          <w:ilvl w:val="0"/>
          <w:numId w:val="13"/>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Distributing carbohydrate intake evenly throughout the day reduces sudden fluctuations in glucose.</w:t>
      </w:r>
    </w:p>
    <w:p w14:paraId="2A3ABA54"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2A0AEAC1"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b) Healthy Eating Patterns</w:t>
      </w:r>
    </w:p>
    <w:p w14:paraId="7FDCB777" w14:textId="178B0FE5" w:rsidR="00094070" w:rsidRPr="00094070" w:rsidRDefault="00094070" w:rsidP="00094070">
      <w:pPr>
        <w:numPr>
          <w:ilvl w:val="0"/>
          <w:numId w:val="14"/>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Mediterranean Diet: Rich in fruits, vegetables, legumes, whole grains, and monounsaturated fats; associated with improved </w:t>
      </w:r>
      <w:r w:rsidR="00386362" w:rsidRPr="00094070">
        <w:rPr>
          <w:rFonts w:ascii="Arial" w:hAnsi="Arial" w:cs="Arial"/>
          <w:kern w:val="0"/>
          <w:sz w:val="22"/>
          <w:szCs w:val="22"/>
          <w14:ligatures w14:val="none"/>
        </w:rPr>
        <w:t>glycemic</w:t>
      </w:r>
      <w:r w:rsidRPr="00094070">
        <w:rPr>
          <w:rFonts w:ascii="Arial" w:hAnsi="Arial" w:cs="Arial"/>
          <w:kern w:val="0"/>
          <w:sz w:val="22"/>
          <w:szCs w:val="22"/>
          <w14:ligatures w14:val="none"/>
        </w:rPr>
        <w:t xml:space="preserve"> control and cardiovascular health (Esposito et al., 2015).</w:t>
      </w:r>
    </w:p>
    <w:p w14:paraId="517749C3" w14:textId="77777777" w:rsidR="00094070" w:rsidRPr="00094070" w:rsidRDefault="00094070" w:rsidP="00094070">
      <w:pPr>
        <w:numPr>
          <w:ilvl w:val="0"/>
          <w:numId w:val="14"/>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DASH Diet: Emphasises fruits, vegetables, lean protein, and low-fat dairy; shown to improve insulin sensitivity (</w:t>
      </w:r>
      <w:proofErr w:type="spellStart"/>
      <w:r w:rsidRPr="00094070">
        <w:rPr>
          <w:rFonts w:ascii="Arial" w:hAnsi="Arial" w:cs="Arial"/>
          <w:kern w:val="0"/>
          <w:sz w:val="22"/>
          <w:szCs w:val="22"/>
          <w14:ligatures w14:val="none"/>
        </w:rPr>
        <w:t>Saneei</w:t>
      </w:r>
      <w:proofErr w:type="spellEnd"/>
      <w:r w:rsidRPr="00094070">
        <w:rPr>
          <w:rFonts w:ascii="Arial" w:hAnsi="Arial" w:cs="Arial"/>
          <w:kern w:val="0"/>
          <w:sz w:val="22"/>
          <w:szCs w:val="22"/>
          <w14:ligatures w14:val="none"/>
        </w:rPr>
        <w:t xml:space="preserve"> et al., 2014).</w:t>
      </w:r>
    </w:p>
    <w:p w14:paraId="6855AF81"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A3AD6C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c) Portion Control</w:t>
      </w:r>
    </w:p>
    <w:p w14:paraId="7E4DA3B8" w14:textId="77777777" w:rsidR="00094070" w:rsidRPr="00094070" w:rsidRDefault="00094070" w:rsidP="00094070">
      <w:pPr>
        <w:numPr>
          <w:ilvl w:val="0"/>
          <w:numId w:val="15"/>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Modest weight loss of 5–10% of body weight through caloric reduction can significantly improve insulin sensitivity and glucose metabolism (Look AHEAD Research Group, 2013).</w:t>
      </w:r>
    </w:p>
    <w:p w14:paraId="038EC27B"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16C7AD19"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2. Physical Activity</w:t>
      </w:r>
    </w:p>
    <w:p w14:paraId="05484558"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098E95B"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Exercise increases glucose uptake independently of insulin and enhances insulin sensitivity:</w:t>
      </w:r>
    </w:p>
    <w:p w14:paraId="453D1E3A" w14:textId="77777777" w:rsidR="00094070" w:rsidRPr="00094070" w:rsidRDefault="00094070" w:rsidP="00094070">
      <w:pPr>
        <w:numPr>
          <w:ilvl w:val="0"/>
          <w:numId w:val="16"/>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Aerobic Exercise: Brisk walking, swimming, or cycling for at least 150 minutes per week.</w:t>
      </w:r>
    </w:p>
    <w:p w14:paraId="54BD6C90" w14:textId="77777777" w:rsidR="00094070" w:rsidRPr="00094070" w:rsidRDefault="00094070" w:rsidP="00094070">
      <w:pPr>
        <w:numPr>
          <w:ilvl w:val="0"/>
          <w:numId w:val="16"/>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Resistance Training: Two or more sessions weekly increase muscle glucose disposal.</w:t>
      </w:r>
    </w:p>
    <w:p w14:paraId="01FAB3D2" w14:textId="5172DA7C" w:rsidR="00094070" w:rsidRPr="00094070" w:rsidRDefault="00094070" w:rsidP="00094070">
      <w:pPr>
        <w:numPr>
          <w:ilvl w:val="0"/>
          <w:numId w:val="16"/>
        </w:num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Combined Programs: Offer the greatest improvements in </w:t>
      </w:r>
      <w:r w:rsidR="00386362" w:rsidRPr="00094070">
        <w:rPr>
          <w:rFonts w:ascii="Arial" w:hAnsi="Arial" w:cs="Arial"/>
          <w:kern w:val="0"/>
          <w:sz w:val="22"/>
          <w:szCs w:val="22"/>
          <w14:ligatures w14:val="none"/>
        </w:rPr>
        <w:t>glycemic</w:t>
      </w:r>
      <w:r w:rsidRPr="00094070">
        <w:rPr>
          <w:rFonts w:ascii="Arial" w:hAnsi="Arial" w:cs="Arial"/>
          <w:kern w:val="0"/>
          <w:sz w:val="22"/>
          <w:szCs w:val="22"/>
          <w14:ligatures w14:val="none"/>
        </w:rPr>
        <w:t xml:space="preserve"> control (</w:t>
      </w:r>
      <w:proofErr w:type="spellStart"/>
      <w:r w:rsidRPr="00094070">
        <w:rPr>
          <w:rFonts w:ascii="Arial" w:hAnsi="Arial" w:cs="Arial"/>
          <w:kern w:val="0"/>
          <w:sz w:val="22"/>
          <w:szCs w:val="22"/>
          <w14:ligatures w14:val="none"/>
        </w:rPr>
        <w:t>Colberg</w:t>
      </w:r>
      <w:proofErr w:type="spellEnd"/>
      <w:r w:rsidRPr="00094070">
        <w:rPr>
          <w:rFonts w:ascii="Arial" w:hAnsi="Arial" w:cs="Arial"/>
          <w:kern w:val="0"/>
          <w:sz w:val="22"/>
          <w:szCs w:val="22"/>
          <w14:ligatures w14:val="none"/>
        </w:rPr>
        <w:t xml:space="preserve"> et al., 2016).</w:t>
      </w:r>
    </w:p>
    <w:p w14:paraId="09D13B2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3AD74C6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Even short activity bouts after meals can reduce postprandial glucose spikes.</w:t>
      </w:r>
    </w:p>
    <w:p w14:paraId="709A878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734D8C6C"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3. Smoking Cessation</w:t>
      </w:r>
    </w:p>
    <w:p w14:paraId="0110F15E"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0208467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Smoking increases insulin resistance and cardiovascular risk. Quitting smoking improves metabolic health and reduces long-term complications (</w:t>
      </w:r>
      <w:proofErr w:type="spellStart"/>
      <w:r w:rsidRPr="00094070">
        <w:rPr>
          <w:rFonts w:ascii="Arial" w:hAnsi="Arial" w:cs="Arial"/>
          <w:kern w:val="0"/>
          <w:sz w:val="22"/>
          <w:szCs w:val="22"/>
          <w14:ligatures w14:val="none"/>
        </w:rPr>
        <w:t>Bertrais</w:t>
      </w:r>
      <w:proofErr w:type="spellEnd"/>
      <w:r w:rsidRPr="00094070">
        <w:rPr>
          <w:rFonts w:ascii="Arial" w:hAnsi="Arial" w:cs="Arial"/>
          <w:kern w:val="0"/>
          <w:sz w:val="22"/>
          <w:szCs w:val="22"/>
          <w14:ligatures w14:val="none"/>
        </w:rPr>
        <w:t xml:space="preserve"> et al., 2020).</w:t>
      </w:r>
    </w:p>
    <w:p w14:paraId="128325BC"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C4B639D"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4. Weight Management</w:t>
      </w:r>
    </w:p>
    <w:p w14:paraId="03396614"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4C0DB594"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Weight reduction improves insulin sensitivity, often allowing for reduced pharmacological therapy requirements (Lean et al., 2018). Maintaining a healthy weight is a critical component of long-term diabetes control.</w:t>
      </w:r>
    </w:p>
    <w:p w14:paraId="44FBBDF8"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6DA83965" w14:textId="5EA010D7" w:rsidR="00094070" w:rsidRPr="00094070" w:rsidRDefault="00094070" w:rsidP="00386362">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5. Stress Reduction and Sleep Hygiene</w:t>
      </w:r>
    </w:p>
    <w:p w14:paraId="6FC62A2A" w14:textId="38AA8685"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Chronic stress and sleep disruption elevate cortisol levels, worsening insulin resistance. Mindfulness, cognitive-behavioural therapy, and consistent sleep routines contribute to improved glucose control (</w:t>
      </w:r>
      <w:proofErr w:type="spellStart"/>
      <w:r w:rsidRPr="00094070">
        <w:rPr>
          <w:rFonts w:ascii="Arial" w:hAnsi="Arial" w:cs="Arial"/>
          <w:kern w:val="0"/>
          <w:sz w:val="22"/>
          <w:szCs w:val="22"/>
          <w14:ligatures w14:val="none"/>
        </w:rPr>
        <w:t>Hirotsu</w:t>
      </w:r>
      <w:proofErr w:type="spellEnd"/>
      <w:r w:rsidRPr="00094070">
        <w:rPr>
          <w:rFonts w:ascii="Arial" w:hAnsi="Arial" w:cs="Arial"/>
          <w:kern w:val="0"/>
          <w:sz w:val="22"/>
          <w:szCs w:val="22"/>
          <w14:ligatures w14:val="none"/>
        </w:rPr>
        <w:t xml:space="preserve"> et al., 2015).</w:t>
      </w:r>
    </w:p>
    <w:p w14:paraId="204C89F1" w14:textId="77777777" w:rsidR="00094070" w:rsidRPr="00094070" w:rsidRDefault="00094070" w:rsidP="00094070">
      <w:pPr>
        <w:spacing w:before="100" w:beforeAutospacing="1" w:after="100" w:afterAutospacing="1" w:line="240" w:lineRule="auto"/>
        <w:outlineLvl w:val="2"/>
        <w:rPr>
          <w:rFonts w:ascii="Arial" w:eastAsia="Times New Roman" w:hAnsi="Arial" w:cs="Arial"/>
          <w:b/>
          <w:bCs/>
          <w:kern w:val="0"/>
          <w:sz w:val="22"/>
          <w:szCs w:val="22"/>
          <w14:ligatures w14:val="none"/>
        </w:rPr>
      </w:pPr>
      <w:r w:rsidRPr="00094070">
        <w:rPr>
          <w:rFonts w:ascii="Arial" w:eastAsia="Times New Roman" w:hAnsi="Arial" w:cs="Arial"/>
          <w:b/>
          <w:bCs/>
          <w:kern w:val="0"/>
          <w:sz w:val="22"/>
          <w:szCs w:val="22"/>
          <w14:ligatures w14:val="none"/>
        </w:rPr>
        <w:t>6. Alcohol Moderation</w:t>
      </w:r>
    </w:p>
    <w:p w14:paraId="33549F9E"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507C4BA9"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Alcohol affects blood glucose unpredictably. Light to moderate intake (≤1 drink/day for women, ≤2 drinks/day for men) may be safe with careful monitoring. Excessive intake can precipitate hypoglycaemia or hyperglycaemia and should be avoided (American Diabetes Association, 2024).</w:t>
      </w:r>
    </w:p>
    <w:p w14:paraId="4B6F7560" w14:textId="77777777" w:rsidR="00094070" w:rsidRPr="00094070" w:rsidRDefault="00094070" w:rsidP="00094070">
      <w:pPr>
        <w:spacing w:after="0" w:line="240" w:lineRule="auto"/>
        <w:rPr>
          <w:rFonts w:ascii="Arial" w:eastAsia="Times New Roman" w:hAnsi="Arial" w:cs="Arial"/>
          <w:kern w:val="0"/>
          <w:sz w:val="22"/>
          <w:szCs w:val="22"/>
          <w14:ligatures w14:val="none"/>
        </w:rPr>
      </w:pPr>
      <w:r w:rsidRPr="00094070">
        <w:rPr>
          <w:rFonts w:ascii="Arial" w:eastAsia="Times New Roman" w:hAnsi="Arial" w:cs="Arial"/>
          <w:noProof/>
          <w:kern w:val="0"/>
          <w:sz w:val="22"/>
          <w:szCs w:val="22"/>
          <w14:ligatures w14:val="none"/>
        </w:rPr>
        <mc:AlternateContent>
          <mc:Choice Requires="wps">
            <w:drawing>
              <wp:inline distT="0" distB="0" distL="0" distR="0" wp14:anchorId="5ED14398" wp14:editId="1D1B0180">
                <wp:extent cx="5731510" cy="1270"/>
                <wp:effectExtent l="0" t="31750" r="0" b="36830"/>
                <wp:docPr id="53602146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88C7B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DF6BBB2" w14:textId="77777777" w:rsidR="00094070" w:rsidRPr="00094070" w:rsidRDefault="00094070" w:rsidP="00094070">
      <w:pPr>
        <w:spacing w:before="100" w:beforeAutospacing="1" w:after="100" w:afterAutospacing="1" w:line="240" w:lineRule="auto"/>
        <w:outlineLvl w:val="1"/>
        <w:rPr>
          <w:rFonts w:ascii="Arial" w:hAnsi="Arial" w:cs="Arial"/>
          <w:b/>
          <w:bCs/>
          <w:kern w:val="0"/>
          <w:sz w:val="22"/>
          <w:szCs w:val="22"/>
          <w14:ligatures w14:val="none"/>
        </w:rPr>
      </w:pPr>
      <w:r w:rsidRPr="00094070">
        <w:rPr>
          <w:rFonts w:ascii="Arial" w:eastAsia="Times New Roman" w:hAnsi="Arial" w:cs="Arial"/>
          <w:b/>
          <w:bCs/>
          <w:kern w:val="0"/>
          <w:sz w:val="22"/>
          <w:szCs w:val="22"/>
          <w14:ligatures w14:val="none"/>
        </w:rPr>
        <w:t>f) Conclusion</w:t>
      </w:r>
    </w:p>
    <w:p w14:paraId="4D8B4AA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73BB718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Diabetes, particularly Type 2 diabetes, represents a complex interplay of genetic predisposition, metabolic </w:t>
      </w:r>
      <w:proofErr w:type="spellStart"/>
      <w:r w:rsidRPr="00094070">
        <w:rPr>
          <w:rFonts w:ascii="Arial" w:hAnsi="Arial" w:cs="Arial"/>
          <w:kern w:val="0"/>
          <w:sz w:val="22"/>
          <w:szCs w:val="22"/>
          <w14:ligatures w14:val="none"/>
        </w:rPr>
        <w:t>dysregulation</w:t>
      </w:r>
      <w:proofErr w:type="spellEnd"/>
      <w:r w:rsidRPr="00094070">
        <w:rPr>
          <w:rFonts w:ascii="Arial" w:hAnsi="Arial" w:cs="Arial"/>
          <w:kern w:val="0"/>
          <w:sz w:val="22"/>
          <w:szCs w:val="22"/>
          <w14:ligatures w14:val="none"/>
        </w:rPr>
        <w:t>, and lifestyle factors. Understanding its pathophysiology, including glucose regulation and cellular metabolism, is fundamental for effective self-management.</w:t>
      </w:r>
    </w:p>
    <w:p w14:paraId="78FE72B2"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54831B36"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 xml:space="preserve">Recording and tracking blood glucose enables individuals to make informed decisions, identify trends, and collaborate effectively with healthcare professionals in adjusting treatment plans. Evidence-based lifestyle interventions — including diet modification, physical activity, weight management, smoking cessation, stress reduction, and moderate </w:t>
      </w:r>
      <w:r w:rsidRPr="00094070">
        <w:rPr>
          <w:rFonts w:ascii="Arial" w:hAnsi="Arial" w:cs="Arial"/>
          <w:kern w:val="0"/>
          <w:sz w:val="22"/>
          <w:szCs w:val="22"/>
          <w14:ligatures w14:val="none"/>
        </w:rPr>
        <w:lastRenderedPageBreak/>
        <w:t xml:space="preserve">alcohol consumption — are proven to improve </w:t>
      </w:r>
      <w:proofErr w:type="spellStart"/>
      <w:r w:rsidRPr="00094070">
        <w:rPr>
          <w:rFonts w:ascii="Arial" w:hAnsi="Arial" w:cs="Arial"/>
          <w:kern w:val="0"/>
          <w:sz w:val="22"/>
          <w:szCs w:val="22"/>
          <w14:ligatures w14:val="none"/>
        </w:rPr>
        <w:t>glycaemic</w:t>
      </w:r>
      <w:proofErr w:type="spellEnd"/>
      <w:r w:rsidRPr="00094070">
        <w:rPr>
          <w:rFonts w:ascii="Arial" w:hAnsi="Arial" w:cs="Arial"/>
          <w:kern w:val="0"/>
          <w:sz w:val="22"/>
          <w:szCs w:val="22"/>
          <w14:ligatures w14:val="none"/>
        </w:rPr>
        <w:t xml:space="preserve"> control and reduce the risk of complications.</w:t>
      </w:r>
    </w:p>
    <w:p w14:paraId="44B7CCE5" w14:textId="77777777" w:rsidR="00094070" w:rsidRPr="00094070" w:rsidRDefault="00094070" w:rsidP="00094070">
      <w:pPr>
        <w:spacing w:before="100" w:beforeAutospacing="1" w:after="100" w:afterAutospacing="1" w:line="240" w:lineRule="auto"/>
        <w:rPr>
          <w:rFonts w:ascii="Arial" w:hAnsi="Arial" w:cs="Arial"/>
          <w:kern w:val="0"/>
          <w:sz w:val="22"/>
          <w:szCs w:val="22"/>
          <w14:ligatures w14:val="none"/>
        </w:rPr>
      </w:pPr>
    </w:p>
    <w:p w14:paraId="5A3C44B5" w14:textId="77777777" w:rsidR="00094070" w:rsidRDefault="00094070" w:rsidP="00094070">
      <w:pPr>
        <w:spacing w:before="100" w:beforeAutospacing="1" w:after="100" w:afterAutospacing="1" w:line="240" w:lineRule="auto"/>
        <w:rPr>
          <w:rFonts w:ascii="Arial" w:hAnsi="Arial" w:cs="Arial"/>
          <w:kern w:val="0"/>
          <w:sz w:val="22"/>
          <w:szCs w:val="22"/>
          <w14:ligatures w14:val="none"/>
        </w:rPr>
      </w:pPr>
      <w:r w:rsidRPr="00094070">
        <w:rPr>
          <w:rFonts w:ascii="Arial" w:hAnsi="Arial" w:cs="Arial"/>
          <w:kern w:val="0"/>
          <w:sz w:val="22"/>
          <w:szCs w:val="22"/>
          <w14:ligatures w14:val="none"/>
        </w:rPr>
        <w:t>In primary care, patient education and empowerment are crucial. Tailored lifestyle advice, structured monitoring, and supportive programs can transform clinical outcomes, enhance quality of life, and enable people living with diabetes to take an active and informed role in managing their condition.</w:t>
      </w:r>
    </w:p>
    <w:p w14:paraId="6B3C7466" w14:textId="77777777" w:rsidR="004E3109" w:rsidRDefault="004E3109" w:rsidP="00094070">
      <w:pPr>
        <w:spacing w:before="100" w:beforeAutospacing="1" w:after="100" w:afterAutospacing="1" w:line="240" w:lineRule="auto"/>
        <w:rPr>
          <w:rFonts w:ascii="Arial" w:hAnsi="Arial" w:cs="Arial"/>
          <w:kern w:val="0"/>
          <w:sz w:val="22"/>
          <w:szCs w:val="22"/>
          <w14:ligatures w14:val="none"/>
        </w:rPr>
      </w:pPr>
    </w:p>
    <w:p w14:paraId="3F4B08A3" w14:textId="592EC006" w:rsidR="0042089D" w:rsidRPr="0042089D" w:rsidRDefault="0042089D" w:rsidP="0042089D">
      <w:pPr>
        <w:spacing w:before="100" w:beforeAutospacing="1" w:after="100" w:afterAutospacing="1" w:line="240" w:lineRule="auto"/>
        <w:outlineLvl w:val="1"/>
        <w:rPr>
          <w:rFonts w:ascii="Arial" w:eastAsia="Times New Roman" w:hAnsi="Arial" w:cs="Arial"/>
          <w:b/>
          <w:bCs/>
          <w:kern w:val="0"/>
          <w:sz w:val="22"/>
          <w:szCs w:val="22"/>
          <w14:ligatures w14:val="none"/>
        </w:rPr>
      </w:pPr>
      <w:r w:rsidRPr="0042089D">
        <w:rPr>
          <w:rFonts w:ascii="Arial" w:eastAsia="Times New Roman" w:hAnsi="Arial" w:cs="Arial"/>
          <w:b/>
          <w:bCs/>
          <w:kern w:val="0"/>
          <w:sz w:val="22"/>
          <w:szCs w:val="22"/>
          <w14:ligatures w14:val="none"/>
        </w:rPr>
        <w:t xml:space="preserve">Reference List </w:t>
      </w:r>
    </w:p>
    <w:p w14:paraId="3C972BD5"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0E796352"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 xml:space="preserve">Alberts, B. et al. (2015) Molecular Biology of the Cell. 6th </w:t>
      </w:r>
      <w:proofErr w:type="spellStart"/>
      <w:r w:rsidRPr="0042089D">
        <w:rPr>
          <w:rFonts w:ascii="Arial" w:hAnsi="Arial" w:cs="Arial"/>
          <w:kern w:val="0"/>
          <w:sz w:val="22"/>
          <w:szCs w:val="22"/>
          <w14:ligatures w14:val="none"/>
        </w:rPr>
        <w:t>edn</w:t>
      </w:r>
      <w:proofErr w:type="spellEnd"/>
      <w:r w:rsidRPr="0042089D">
        <w:rPr>
          <w:rFonts w:ascii="Arial" w:hAnsi="Arial" w:cs="Arial"/>
          <w:kern w:val="0"/>
          <w:sz w:val="22"/>
          <w:szCs w:val="22"/>
          <w14:ligatures w14:val="none"/>
        </w:rPr>
        <w:t>. New York: Garland Science.</w:t>
      </w:r>
    </w:p>
    <w:p w14:paraId="61E40B91"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049C9E29"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American Diabetes Association (2024) Standards of Medical Care in Diabetes—2024. Diabetes Care. Available at: http://care.diabetesjournals.org (Accessed: 20 February 2026).</w:t>
      </w:r>
    </w:p>
    <w:p w14:paraId="076C2E44"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5C378FFD"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Bertrais</w:t>
      </w:r>
      <w:proofErr w:type="spellEnd"/>
      <w:r w:rsidRPr="0042089D">
        <w:rPr>
          <w:rFonts w:ascii="Arial" w:hAnsi="Arial" w:cs="Arial"/>
          <w:kern w:val="0"/>
          <w:sz w:val="22"/>
          <w:szCs w:val="22"/>
          <w14:ligatures w14:val="none"/>
        </w:rPr>
        <w:t xml:space="preserve">, S., </w:t>
      </w:r>
      <w:proofErr w:type="spellStart"/>
      <w:r w:rsidRPr="0042089D">
        <w:rPr>
          <w:rFonts w:ascii="Arial" w:hAnsi="Arial" w:cs="Arial"/>
          <w:kern w:val="0"/>
          <w:sz w:val="22"/>
          <w:szCs w:val="22"/>
          <w14:ligatures w14:val="none"/>
        </w:rPr>
        <w:t>Preziosi</w:t>
      </w:r>
      <w:proofErr w:type="spellEnd"/>
      <w:r w:rsidRPr="0042089D">
        <w:rPr>
          <w:rFonts w:ascii="Arial" w:hAnsi="Arial" w:cs="Arial"/>
          <w:kern w:val="0"/>
          <w:sz w:val="22"/>
          <w:szCs w:val="22"/>
          <w14:ligatures w14:val="none"/>
        </w:rPr>
        <w:t xml:space="preserve">, P. and </w:t>
      </w:r>
      <w:proofErr w:type="spellStart"/>
      <w:r w:rsidRPr="0042089D">
        <w:rPr>
          <w:rFonts w:ascii="Arial" w:hAnsi="Arial" w:cs="Arial"/>
          <w:kern w:val="0"/>
          <w:sz w:val="22"/>
          <w:szCs w:val="22"/>
          <w14:ligatures w14:val="none"/>
        </w:rPr>
        <w:t>Galan</w:t>
      </w:r>
      <w:proofErr w:type="spellEnd"/>
      <w:r w:rsidRPr="0042089D">
        <w:rPr>
          <w:rFonts w:ascii="Arial" w:hAnsi="Arial" w:cs="Arial"/>
          <w:kern w:val="0"/>
          <w:sz w:val="22"/>
          <w:szCs w:val="22"/>
          <w14:ligatures w14:val="none"/>
        </w:rPr>
        <w:t>, P. (2020) ‘Tobacco smoking and insulin resistance’, Nutrition Metabolism and Cardiovascular Diseases, 30(4), pp. 579–586.</w:t>
      </w:r>
    </w:p>
    <w:p w14:paraId="5A9BB9F8"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233A4FDD"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Colberg</w:t>
      </w:r>
      <w:proofErr w:type="spellEnd"/>
      <w:r w:rsidRPr="0042089D">
        <w:rPr>
          <w:rFonts w:ascii="Arial" w:hAnsi="Arial" w:cs="Arial"/>
          <w:kern w:val="0"/>
          <w:sz w:val="22"/>
          <w:szCs w:val="22"/>
          <w14:ligatures w14:val="none"/>
        </w:rPr>
        <w:t>, S.R. et al. (2016) ‘Physical activity and diabetes’, Diabetes Care, 39(11), pp. 2065–2079.</w:t>
      </w:r>
    </w:p>
    <w:p w14:paraId="0F1692ED"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700F4611"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Davies, M.J. et al. (2018) ‘Management of hyperglycaemia in Type 2 diabetes’, The Lancet, 391(10138), pp. 814–832.</w:t>
      </w:r>
    </w:p>
    <w:p w14:paraId="14FFEE51"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396661BB"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DeFronzo</w:t>
      </w:r>
      <w:proofErr w:type="spellEnd"/>
      <w:r w:rsidRPr="0042089D">
        <w:rPr>
          <w:rFonts w:ascii="Arial" w:hAnsi="Arial" w:cs="Arial"/>
          <w:kern w:val="0"/>
          <w:sz w:val="22"/>
          <w:szCs w:val="22"/>
          <w14:ligatures w14:val="none"/>
        </w:rPr>
        <w:t xml:space="preserve">, R.A., </w:t>
      </w:r>
      <w:proofErr w:type="spellStart"/>
      <w:r w:rsidRPr="0042089D">
        <w:rPr>
          <w:rFonts w:ascii="Arial" w:hAnsi="Arial" w:cs="Arial"/>
          <w:kern w:val="0"/>
          <w:sz w:val="22"/>
          <w:szCs w:val="22"/>
          <w14:ligatures w14:val="none"/>
        </w:rPr>
        <w:t>Ferrannini</w:t>
      </w:r>
      <w:proofErr w:type="spellEnd"/>
      <w:r w:rsidRPr="0042089D">
        <w:rPr>
          <w:rFonts w:ascii="Arial" w:hAnsi="Arial" w:cs="Arial"/>
          <w:kern w:val="0"/>
          <w:sz w:val="22"/>
          <w:szCs w:val="22"/>
          <w14:ligatures w14:val="none"/>
        </w:rPr>
        <w:t xml:space="preserve">, E. and </w:t>
      </w:r>
      <w:proofErr w:type="spellStart"/>
      <w:r w:rsidRPr="0042089D">
        <w:rPr>
          <w:rFonts w:ascii="Arial" w:hAnsi="Arial" w:cs="Arial"/>
          <w:kern w:val="0"/>
          <w:sz w:val="22"/>
          <w:szCs w:val="22"/>
          <w14:ligatures w14:val="none"/>
        </w:rPr>
        <w:t>Groop</w:t>
      </w:r>
      <w:proofErr w:type="spellEnd"/>
      <w:r w:rsidRPr="0042089D">
        <w:rPr>
          <w:rFonts w:ascii="Arial" w:hAnsi="Arial" w:cs="Arial"/>
          <w:kern w:val="0"/>
          <w:sz w:val="22"/>
          <w:szCs w:val="22"/>
          <w14:ligatures w14:val="none"/>
        </w:rPr>
        <w:t>, L. (2015) ‘Type 2 diabetes mellitus’, Nature Reviews Disease Primers, 1, p. 15019.</w:t>
      </w:r>
    </w:p>
    <w:p w14:paraId="27C027A4"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11BD76DA"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Esposito, K. et al. (2015) ‘Mediterranean diet for type 2 diabetes’, BMJ, 351, h4048.</w:t>
      </w:r>
    </w:p>
    <w:p w14:paraId="2C854C7C"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10D3E8DF"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Farmer, A. et al. (2012) ‘Meta</w:t>
      </w:r>
      <w:r w:rsidRPr="0042089D">
        <w:rPr>
          <w:rFonts w:ascii="Arial" w:hAnsi="Arial" w:cs="Arial"/>
          <w:kern w:val="0"/>
          <w:sz w:val="22"/>
          <w:szCs w:val="22"/>
          <w14:ligatures w14:val="none"/>
        </w:rPr>
        <w:noBreakHyphen/>
        <w:t>analysis of structured self</w:t>
      </w:r>
      <w:r w:rsidRPr="0042089D">
        <w:rPr>
          <w:rFonts w:ascii="Arial" w:hAnsi="Arial" w:cs="Arial"/>
          <w:kern w:val="0"/>
          <w:sz w:val="22"/>
          <w:szCs w:val="22"/>
          <w14:ligatures w14:val="none"/>
        </w:rPr>
        <w:noBreakHyphen/>
        <w:t>monitoring of blood glucose’, Diabetic Medicine, 29(3), pp. 385–393.</w:t>
      </w:r>
    </w:p>
    <w:p w14:paraId="2C9972DA"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15D7E5BF"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Forbes, J.M. and Cooper, M.E. (2013) ‘Mechanisms of diabetic complications’, Physiological Reviews, 93(1), pp. 137–188.</w:t>
      </w:r>
    </w:p>
    <w:p w14:paraId="16958DFB"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02749581"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Hirotsu</w:t>
      </w:r>
      <w:proofErr w:type="spellEnd"/>
      <w:r w:rsidRPr="0042089D">
        <w:rPr>
          <w:rFonts w:ascii="Arial" w:hAnsi="Arial" w:cs="Arial"/>
          <w:kern w:val="0"/>
          <w:sz w:val="22"/>
          <w:szCs w:val="22"/>
          <w14:ligatures w14:val="none"/>
        </w:rPr>
        <w:t>, C. et al. (2015) ‘Sleep, metabolic dysfunction, and diabetes’, Nature Reviews Endocrinology, 11(8), pp. 227–238.</w:t>
      </w:r>
    </w:p>
    <w:p w14:paraId="4D9815A2"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5E82C24A"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Hu, F.B. (2018) ‘</w:t>
      </w:r>
      <w:proofErr w:type="spellStart"/>
      <w:r w:rsidRPr="0042089D">
        <w:rPr>
          <w:rFonts w:ascii="Arial" w:hAnsi="Arial" w:cs="Arial"/>
          <w:kern w:val="0"/>
          <w:sz w:val="22"/>
          <w:szCs w:val="22"/>
          <w14:ligatures w14:val="none"/>
        </w:rPr>
        <w:t>Globalization</w:t>
      </w:r>
      <w:proofErr w:type="spellEnd"/>
      <w:r w:rsidRPr="0042089D">
        <w:rPr>
          <w:rFonts w:ascii="Arial" w:hAnsi="Arial" w:cs="Arial"/>
          <w:kern w:val="0"/>
          <w:sz w:val="22"/>
          <w:szCs w:val="22"/>
          <w14:ligatures w14:val="none"/>
        </w:rPr>
        <w:t xml:space="preserve"> of diabetes’, Diabetes Care, 41(5), pp. 1355–1364.</w:t>
      </w:r>
    </w:p>
    <w:p w14:paraId="59648AF1"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01331546"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 xml:space="preserve">International Diabetes Federation (2023) IDF Diabetes Atlas. 11th </w:t>
      </w:r>
      <w:proofErr w:type="spellStart"/>
      <w:r w:rsidRPr="0042089D">
        <w:rPr>
          <w:rFonts w:ascii="Arial" w:hAnsi="Arial" w:cs="Arial"/>
          <w:kern w:val="0"/>
          <w:sz w:val="22"/>
          <w:szCs w:val="22"/>
          <w14:ligatures w14:val="none"/>
        </w:rPr>
        <w:t>edn</w:t>
      </w:r>
      <w:proofErr w:type="spellEnd"/>
      <w:r w:rsidRPr="0042089D">
        <w:rPr>
          <w:rFonts w:ascii="Arial" w:hAnsi="Arial" w:cs="Arial"/>
          <w:kern w:val="0"/>
          <w:sz w:val="22"/>
          <w:szCs w:val="22"/>
          <w14:ligatures w14:val="none"/>
        </w:rPr>
        <w:t>. Brussels: IDF.</w:t>
      </w:r>
    </w:p>
    <w:p w14:paraId="1FC3CA1D"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352D9068"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Jenkins, D.J.A. et al. (2008) ‘Glycemic index and health’, American Journal of Clinical Nutrition, 87(1), pp. 1–2.</w:t>
      </w:r>
    </w:p>
    <w:p w14:paraId="3009AAE7"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7DEE3C30"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Lean, M.E.J. et al. (2018) ‘Primary care</w:t>
      </w:r>
      <w:r w:rsidRPr="0042089D">
        <w:rPr>
          <w:rFonts w:ascii="Arial" w:hAnsi="Arial" w:cs="Arial"/>
          <w:kern w:val="0"/>
          <w:sz w:val="22"/>
          <w:szCs w:val="22"/>
          <w14:ligatures w14:val="none"/>
        </w:rPr>
        <w:noBreakHyphen/>
        <w:t>led weight management for remission of type 2 diabetes’, Lancet, 391(10120), pp. 541–551.</w:t>
      </w:r>
    </w:p>
    <w:p w14:paraId="378804F2"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7832919A"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 xml:space="preserve">Ley, S.H., </w:t>
      </w:r>
      <w:proofErr w:type="spellStart"/>
      <w:r w:rsidRPr="0042089D">
        <w:rPr>
          <w:rFonts w:ascii="Arial" w:hAnsi="Arial" w:cs="Arial"/>
          <w:kern w:val="0"/>
          <w:sz w:val="22"/>
          <w:szCs w:val="22"/>
          <w14:ligatures w14:val="none"/>
        </w:rPr>
        <w:t>Hamdy</w:t>
      </w:r>
      <w:proofErr w:type="spellEnd"/>
      <w:r w:rsidRPr="0042089D">
        <w:rPr>
          <w:rFonts w:ascii="Arial" w:hAnsi="Arial" w:cs="Arial"/>
          <w:kern w:val="0"/>
          <w:sz w:val="22"/>
          <w:szCs w:val="22"/>
          <w14:ligatures w14:val="none"/>
        </w:rPr>
        <w:t>, O., Mohan, V. and Hu, F.B. (2014) ‘Prevention and management of type 2 diabetes’, The Lancet, 383(9933), pp. 1999–2007.</w:t>
      </w:r>
    </w:p>
    <w:p w14:paraId="4708AB0B"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3296A6A1"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Lyssenko</w:t>
      </w:r>
      <w:proofErr w:type="spellEnd"/>
      <w:r w:rsidRPr="0042089D">
        <w:rPr>
          <w:rFonts w:ascii="Arial" w:hAnsi="Arial" w:cs="Arial"/>
          <w:kern w:val="0"/>
          <w:sz w:val="22"/>
          <w:szCs w:val="22"/>
          <w14:ligatures w14:val="none"/>
        </w:rPr>
        <w:t>, V. et al. (2008) ‘Genetic risk and progression to diabetes’, New England Journal of Medicine, 359(21), pp. 2220–2232.</w:t>
      </w:r>
    </w:p>
    <w:p w14:paraId="58833BF7"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3DA04587"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McKeigue</w:t>
      </w:r>
      <w:proofErr w:type="spellEnd"/>
      <w:r w:rsidRPr="0042089D">
        <w:rPr>
          <w:rFonts w:ascii="Arial" w:hAnsi="Arial" w:cs="Arial"/>
          <w:kern w:val="0"/>
          <w:sz w:val="22"/>
          <w:szCs w:val="22"/>
          <w14:ligatures w14:val="none"/>
        </w:rPr>
        <w:t>, P. (2019) Ethnicity and Diabetes. Oxford: Oxford University Press.</w:t>
      </w:r>
    </w:p>
    <w:p w14:paraId="48981ADE"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0E4B93CA"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NCD Risk Factor Collaboration (2016) ‘Worldwide trends in diabetes’, New England Journal of Medicine, 375(5), pp. 410–421.</w:t>
      </w:r>
    </w:p>
    <w:p w14:paraId="04715765"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0B327B36"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Polonsky, W.H. et al. (2011) ‘Impact of self</w:t>
      </w:r>
      <w:r w:rsidRPr="0042089D">
        <w:rPr>
          <w:rFonts w:ascii="Arial" w:hAnsi="Arial" w:cs="Arial"/>
          <w:kern w:val="0"/>
          <w:sz w:val="22"/>
          <w:szCs w:val="22"/>
          <w14:ligatures w14:val="none"/>
        </w:rPr>
        <w:noBreakHyphen/>
        <w:t>monitoring on diabetes management’, Diabetes Care, 34(2), pp. 262–267.</w:t>
      </w:r>
    </w:p>
    <w:p w14:paraId="2AAD7EF7"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5CEC93FC"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Rizza</w:t>
      </w:r>
      <w:proofErr w:type="spellEnd"/>
      <w:r w:rsidRPr="0042089D">
        <w:rPr>
          <w:rFonts w:ascii="Arial" w:hAnsi="Arial" w:cs="Arial"/>
          <w:kern w:val="0"/>
          <w:sz w:val="22"/>
          <w:szCs w:val="22"/>
          <w14:ligatures w14:val="none"/>
        </w:rPr>
        <w:t xml:space="preserve">, R.A. (2010) ‘Pathogenesis of fasting and postprandial </w:t>
      </w:r>
      <w:proofErr w:type="spellStart"/>
      <w:r w:rsidRPr="0042089D">
        <w:rPr>
          <w:rFonts w:ascii="Arial" w:hAnsi="Arial" w:cs="Arial"/>
          <w:kern w:val="0"/>
          <w:sz w:val="22"/>
          <w:szCs w:val="22"/>
          <w14:ligatures w14:val="none"/>
        </w:rPr>
        <w:t>hyperglycemia</w:t>
      </w:r>
      <w:proofErr w:type="spellEnd"/>
      <w:r w:rsidRPr="0042089D">
        <w:rPr>
          <w:rFonts w:ascii="Arial" w:hAnsi="Arial" w:cs="Arial"/>
          <w:kern w:val="0"/>
          <w:sz w:val="22"/>
          <w:szCs w:val="22"/>
          <w14:ligatures w14:val="none"/>
        </w:rPr>
        <w:t>’, Diabetes, 59(11), pp. 2697–2707.</w:t>
      </w:r>
    </w:p>
    <w:p w14:paraId="7AF6049B"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4B1BBB40"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Saltiel</w:t>
      </w:r>
      <w:proofErr w:type="spellEnd"/>
      <w:r w:rsidRPr="0042089D">
        <w:rPr>
          <w:rFonts w:ascii="Arial" w:hAnsi="Arial" w:cs="Arial"/>
          <w:kern w:val="0"/>
          <w:sz w:val="22"/>
          <w:szCs w:val="22"/>
          <w14:ligatures w14:val="none"/>
        </w:rPr>
        <w:t>, A.R. and Kahn, C.R. (2001) ‘Insulin signalling’, Science, 294(5548), pp. 171–175.</w:t>
      </w:r>
    </w:p>
    <w:p w14:paraId="01EB535B"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3BE97A03"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roofErr w:type="spellStart"/>
      <w:r w:rsidRPr="0042089D">
        <w:rPr>
          <w:rFonts w:ascii="Arial" w:hAnsi="Arial" w:cs="Arial"/>
          <w:kern w:val="0"/>
          <w:sz w:val="22"/>
          <w:szCs w:val="22"/>
          <w14:ligatures w14:val="none"/>
        </w:rPr>
        <w:t>Saneei</w:t>
      </w:r>
      <w:proofErr w:type="spellEnd"/>
      <w:r w:rsidRPr="0042089D">
        <w:rPr>
          <w:rFonts w:ascii="Arial" w:hAnsi="Arial" w:cs="Arial"/>
          <w:kern w:val="0"/>
          <w:sz w:val="22"/>
          <w:szCs w:val="22"/>
          <w14:ligatures w14:val="none"/>
        </w:rPr>
        <w:t>, P. et al. (2014) ‘DASH diet and diabetes’, Diabetes Research and Clinical Practice, 104(2), pp. 211–220.</w:t>
      </w:r>
    </w:p>
    <w:p w14:paraId="06FAA887"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p>
    <w:p w14:paraId="591FE895" w14:textId="77777777" w:rsidR="0042089D" w:rsidRPr="0042089D" w:rsidRDefault="0042089D" w:rsidP="0042089D">
      <w:pPr>
        <w:spacing w:before="100" w:beforeAutospacing="1" w:after="100" w:afterAutospacing="1" w:line="240" w:lineRule="auto"/>
        <w:rPr>
          <w:rFonts w:ascii="Arial" w:hAnsi="Arial" w:cs="Arial"/>
          <w:kern w:val="0"/>
          <w:sz w:val="22"/>
          <w:szCs w:val="22"/>
          <w14:ligatures w14:val="none"/>
        </w:rPr>
      </w:pPr>
      <w:r w:rsidRPr="0042089D">
        <w:rPr>
          <w:rFonts w:ascii="Arial" w:hAnsi="Arial" w:cs="Arial"/>
          <w:kern w:val="0"/>
          <w:sz w:val="22"/>
          <w:szCs w:val="22"/>
          <w14:ligatures w14:val="none"/>
        </w:rPr>
        <w:t xml:space="preserve">Unger, R.H. and </w:t>
      </w:r>
      <w:proofErr w:type="spellStart"/>
      <w:r w:rsidRPr="0042089D">
        <w:rPr>
          <w:rFonts w:ascii="Arial" w:hAnsi="Arial" w:cs="Arial"/>
          <w:kern w:val="0"/>
          <w:sz w:val="22"/>
          <w:szCs w:val="22"/>
          <w14:ligatures w14:val="none"/>
        </w:rPr>
        <w:t>Cherrington</w:t>
      </w:r>
      <w:proofErr w:type="spellEnd"/>
      <w:r w:rsidRPr="0042089D">
        <w:rPr>
          <w:rFonts w:ascii="Arial" w:hAnsi="Arial" w:cs="Arial"/>
          <w:kern w:val="0"/>
          <w:sz w:val="22"/>
          <w:szCs w:val="22"/>
          <w14:ligatures w14:val="none"/>
        </w:rPr>
        <w:t>, A.D. (2012) ‘</w:t>
      </w:r>
      <w:proofErr w:type="spellStart"/>
      <w:r w:rsidRPr="0042089D">
        <w:rPr>
          <w:rFonts w:ascii="Arial" w:hAnsi="Arial" w:cs="Arial"/>
          <w:kern w:val="0"/>
          <w:sz w:val="22"/>
          <w:szCs w:val="22"/>
          <w14:ligatures w14:val="none"/>
        </w:rPr>
        <w:t>Glucagonocentric</w:t>
      </w:r>
      <w:proofErr w:type="spellEnd"/>
      <w:r w:rsidRPr="0042089D">
        <w:rPr>
          <w:rFonts w:ascii="Arial" w:hAnsi="Arial" w:cs="Arial"/>
          <w:kern w:val="0"/>
          <w:sz w:val="22"/>
          <w:szCs w:val="22"/>
          <w14:ligatures w14:val="none"/>
        </w:rPr>
        <w:t xml:space="preserve"> restructuring of diabetes</w:t>
      </w:r>
    </w:p>
    <w:p w14:paraId="04CA6BB2" w14:textId="77777777" w:rsidR="004E3109" w:rsidRPr="00094070" w:rsidRDefault="004E3109" w:rsidP="00094070">
      <w:pPr>
        <w:spacing w:before="100" w:beforeAutospacing="1" w:after="100" w:afterAutospacing="1" w:line="240" w:lineRule="auto"/>
        <w:rPr>
          <w:rFonts w:ascii="Arial" w:hAnsi="Arial" w:cs="Arial"/>
          <w:kern w:val="0"/>
          <w:sz w:val="22"/>
          <w:szCs w:val="22"/>
          <w14:ligatures w14:val="none"/>
        </w:rPr>
      </w:pPr>
    </w:p>
    <w:p w14:paraId="48332C96" w14:textId="6A4391A3" w:rsidR="009D0B76" w:rsidRPr="00CC6B86" w:rsidRDefault="009D0B76" w:rsidP="00BF4C9E">
      <w:pPr>
        <w:pStyle w:val="p1"/>
        <w:ind w:left="2880"/>
        <w:rPr>
          <w:rFonts w:ascii="Arial" w:hAnsi="Arial" w:cs="Arial"/>
          <w:sz w:val="22"/>
          <w:szCs w:val="22"/>
        </w:rPr>
      </w:pPr>
    </w:p>
    <w:sectPr w:rsidR="009D0B76" w:rsidRPr="00CC6B8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7D0E1" w14:textId="77777777" w:rsidR="00AE0E19" w:rsidRDefault="00AE0E19" w:rsidP="00AE0E19">
      <w:pPr>
        <w:spacing w:after="0" w:line="240" w:lineRule="auto"/>
      </w:pPr>
      <w:r>
        <w:separator/>
      </w:r>
    </w:p>
  </w:endnote>
  <w:endnote w:type="continuationSeparator" w:id="0">
    <w:p w14:paraId="67D39D72" w14:textId="77777777" w:rsidR="00AE0E19" w:rsidRDefault="00AE0E19" w:rsidP="00AE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1941279"/>
      <w:docPartObj>
        <w:docPartGallery w:val="Page Numbers (Bottom of Page)"/>
        <w:docPartUnique/>
      </w:docPartObj>
    </w:sdtPr>
    <w:sdtContent>
      <w:p w14:paraId="74F7D94E" w14:textId="5666AC89" w:rsidR="00AE0E19" w:rsidRDefault="00AE0E19" w:rsidP="0079297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F630B9" w14:textId="77777777" w:rsidR="00AE0E19" w:rsidRDefault="00AE0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0003412"/>
      <w:docPartObj>
        <w:docPartGallery w:val="Page Numbers (Bottom of Page)"/>
        <w:docPartUnique/>
      </w:docPartObj>
    </w:sdtPr>
    <w:sdtContent>
      <w:p w14:paraId="1A4F9D8B" w14:textId="23B4FFF1" w:rsidR="00AE0E19" w:rsidRDefault="00AE0E19" w:rsidP="0079297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44D40B" w14:textId="77777777" w:rsidR="00AE0E19" w:rsidRDefault="00AE0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FBF27" w14:textId="77777777" w:rsidR="00AE0E19" w:rsidRDefault="00AE0E19" w:rsidP="00AE0E19">
      <w:pPr>
        <w:spacing w:after="0" w:line="240" w:lineRule="auto"/>
      </w:pPr>
      <w:r>
        <w:separator/>
      </w:r>
    </w:p>
  </w:footnote>
  <w:footnote w:type="continuationSeparator" w:id="0">
    <w:p w14:paraId="0894F3D5" w14:textId="77777777" w:rsidR="00AE0E19" w:rsidRDefault="00AE0E19" w:rsidP="00AE0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4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D1C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D24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170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2963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FD40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943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8750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0F6E9F"/>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406A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0F19D7"/>
    <w:multiLevelType w:val="hybridMultilevel"/>
    <w:tmpl w:val="FCBE8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4807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A304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951E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11062B"/>
    <w:multiLevelType w:val="hybridMultilevel"/>
    <w:tmpl w:val="8CC6160A"/>
    <w:lvl w:ilvl="0" w:tplc="08090001">
      <w:start w:val="1"/>
      <w:numFmt w:val="bullet"/>
      <w:lvlText w:val=""/>
      <w:lvlJc w:val="left"/>
      <w:pPr>
        <w:ind w:left="2440" w:hanging="360"/>
      </w:pPr>
      <w:rPr>
        <w:rFonts w:ascii="Symbol" w:hAnsi="Symbol" w:hint="default"/>
      </w:rPr>
    </w:lvl>
    <w:lvl w:ilvl="1" w:tplc="08090003" w:tentative="1">
      <w:start w:val="1"/>
      <w:numFmt w:val="bullet"/>
      <w:lvlText w:val="o"/>
      <w:lvlJc w:val="left"/>
      <w:pPr>
        <w:ind w:left="3160" w:hanging="360"/>
      </w:pPr>
      <w:rPr>
        <w:rFonts w:ascii="Courier New" w:hAnsi="Courier New" w:cs="Courier New" w:hint="default"/>
      </w:rPr>
    </w:lvl>
    <w:lvl w:ilvl="2" w:tplc="08090005" w:tentative="1">
      <w:start w:val="1"/>
      <w:numFmt w:val="bullet"/>
      <w:lvlText w:val=""/>
      <w:lvlJc w:val="left"/>
      <w:pPr>
        <w:ind w:left="3880" w:hanging="360"/>
      </w:pPr>
      <w:rPr>
        <w:rFonts w:ascii="Wingdings" w:hAnsi="Wingdings" w:hint="default"/>
      </w:rPr>
    </w:lvl>
    <w:lvl w:ilvl="3" w:tplc="08090001" w:tentative="1">
      <w:start w:val="1"/>
      <w:numFmt w:val="bullet"/>
      <w:lvlText w:val=""/>
      <w:lvlJc w:val="left"/>
      <w:pPr>
        <w:ind w:left="4600" w:hanging="360"/>
      </w:pPr>
      <w:rPr>
        <w:rFonts w:ascii="Symbol" w:hAnsi="Symbol" w:hint="default"/>
      </w:rPr>
    </w:lvl>
    <w:lvl w:ilvl="4" w:tplc="08090003" w:tentative="1">
      <w:start w:val="1"/>
      <w:numFmt w:val="bullet"/>
      <w:lvlText w:val="o"/>
      <w:lvlJc w:val="left"/>
      <w:pPr>
        <w:ind w:left="5320" w:hanging="360"/>
      </w:pPr>
      <w:rPr>
        <w:rFonts w:ascii="Courier New" w:hAnsi="Courier New" w:cs="Courier New" w:hint="default"/>
      </w:rPr>
    </w:lvl>
    <w:lvl w:ilvl="5" w:tplc="08090005" w:tentative="1">
      <w:start w:val="1"/>
      <w:numFmt w:val="bullet"/>
      <w:lvlText w:val=""/>
      <w:lvlJc w:val="left"/>
      <w:pPr>
        <w:ind w:left="6040" w:hanging="360"/>
      </w:pPr>
      <w:rPr>
        <w:rFonts w:ascii="Wingdings" w:hAnsi="Wingdings" w:hint="default"/>
      </w:rPr>
    </w:lvl>
    <w:lvl w:ilvl="6" w:tplc="08090001" w:tentative="1">
      <w:start w:val="1"/>
      <w:numFmt w:val="bullet"/>
      <w:lvlText w:val=""/>
      <w:lvlJc w:val="left"/>
      <w:pPr>
        <w:ind w:left="6760" w:hanging="360"/>
      </w:pPr>
      <w:rPr>
        <w:rFonts w:ascii="Symbol" w:hAnsi="Symbol" w:hint="default"/>
      </w:rPr>
    </w:lvl>
    <w:lvl w:ilvl="7" w:tplc="08090003" w:tentative="1">
      <w:start w:val="1"/>
      <w:numFmt w:val="bullet"/>
      <w:lvlText w:val="o"/>
      <w:lvlJc w:val="left"/>
      <w:pPr>
        <w:ind w:left="7480" w:hanging="360"/>
      </w:pPr>
      <w:rPr>
        <w:rFonts w:ascii="Courier New" w:hAnsi="Courier New" w:cs="Courier New" w:hint="default"/>
      </w:rPr>
    </w:lvl>
    <w:lvl w:ilvl="8" w:tplc="08090005" w:tentative="1">
      <w:start w:val="1"/>
      <w:numFmt w:val="bullet"/>
      <w:lvlText w:val=""/>
      <w:lvlJc w:val="left"/>
      <w:pPr>
        <w:ind w:left="8200" w:hanging="360"/>
      </w:pPr>
      <w:rPr>
        <w:rFonts w:ascii="Wingdings" w:hAnsi="Wingdings" w:hint="default"/>
      </w:rPr>
    </w:lvl>
  </w:abstractNum>
  <w:abstractNum w:abstractNumId="15" w15:restartNumberingAfterBreak="0">
    <w:nsid w:val="6C3F75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D0122F"/>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9154866">
    <w:abstractNumId w:val="14"/>
  </w:num>
  <w:num w:numId="2" w16cid:durableId="487599056">
    <w:abstractNumId w:val="9"/>
  </w:num>
  <w:num w:numId="3" w16cid:durableId="56784876">
    <w:abstractNumId w:val="3"/>
  </w:num>
  <w:num w:numId="4" w16cid:durableId="1442650050">
    <w:abstractNumId w:val="12"/>
  </w:num>
  <w:num w:numId="5" w16cid:durableId="329409026">
    <w:abstractNumId w:val="4"/>
  </w:num>
  <w:num w:numId="6" w16cid:durableId="27879607">
    <w:abstractNumId w:val="5"/>
  </w:num>
  <w:num w:numId="7" w16cid:durableId="1229001760">
    <w:abstractNumId w:val="16"/>
  </w:num>
  <w:num w:numId="8" w16cid:durableId="782069625">
    <w:abstractNumId w:val="11"/>
  </w:num>
  <w:num w:numId="9" w16cid:durableId="388266085">
    <w:abstractNumId w:val="8"/>
  </w:num>
  <w:num w:numId="10" w16cid:durableId="386728128">
    <w:abstractNumId w:val="2"/>
  </w:num>
  <w:num w:numId="11" w16cid:durableId="131289867">
    <w:abstractNumId w:val="15"/>
  </w:num>
  <w:num w:numId="12" w16cid:durableId="422605302">
    <w:abstractNumId w:val="0"/>
  </w:num>
  <w:num w:numId="13" w16cid:durableId="1300766346">
    <w:abstractNumId w:val="6"/>
  </w:num>
  <w:num w:numId="14" w16cid:durableId="827523518">
    <w:abstractNumId w:val="7"/>
  </w:num>
  <w:num w:numId="15" w16cid:durableId="1415279963">
    <w:abstractNumId w:val="1"/>
  </w:num>
  <w:num w:numId="16" w16cid:durableId="2072465192">
    <w:abstractNumId w:val="13"/>
  </w:num>
  <w:num w:numId="17" w16cid:durableId="10816344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2A"/>
    <w:rsid w:val="000271A5"/>
    <w:rsid w:val="00094070"/>
    <w:rsid w:val="0026066D"/>
    <w:rsid w:val="002739DB"/>
    <w:rsid w:val="002E3938"/>
    <w:rsid w:val="002F1B8C"/>
    <w:rsid w:val="0030732A"/>
    <w:rsid w:val="00386362"/>
    <w:rsid w:val="003A754E"/>
    <w:rsid w:val="0042089D"/>
    <w:rsid w:val="00457F46"/>
    <w:rsid w:val="004879BD"/>
    <w:rsid w:val="004E3109"/>
    <w:rsid w:val="005574B9"/>
    <w:rsid w:val="00585D14"/>
    <w:rsid w:val="00646C1F"/>
    <w:rsid w:val="00801E11"/>
    <w:rsid w:val="0084377E"/>
    <w:rsid w:val="00861BE1"/>
    <w:rsid w:val="00874151"/>
    <w:rsid w:val="0096295A"/>
    <w:rsid w:val="009D0B76"/>
    <w:rsid w:val="00AE0E19"/>
    <w:rsid w:val="00BF4C9E"/>
    <w:rsid w:val="00C53F1A"/>
    <w:rsid w:val="00CA2DB7"/>
    <w:rsid w:val="00CA4B63"/>
    <w:rsid w:val="00CC6B86"/>
    <w:rsid w:val="00D07314"/>
    <w:rsid w:val="00DC2514"/>
    <w:rsid w:val="00E8043C"/>
    <w:rsid w:val="00ED37FB"/>
    <w:rsid w:val="00ED6A5C"/>
    <w:rsid w:val="00F40CDF"/>
    <w:rsid w:val="00FB5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9DA71"/>
  <w15:chartTrackingRefBased/>
  <w15:docId w15:val="{E8163559-5922-974F-8FD7-193D75D6B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3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073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073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73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73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7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73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73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73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73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7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32A"/>
    <w:rPr>
      <w:rFonts w:eastAsiaTheme="majorEastAsia" w:cstheme="majorBidi"/>
      <w:color w:val="272727" w:themeColor="text1" w:themeTint="D8"/>
    </w:rPr>
  </w:style>
  <w:style w:type="paragraph" w:styleId="Title">
    <w:name w:val="Title"/>
    <w:basedOn w:val="Normal"/>
    <w:next w:val="Normal"/>
    <w:link w:val="TitleChar"/>
    <w:uiPriority w:val="10"/>
    <w:qFormat/>
    <w:rsid w:val="00307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32A"/>
    <w:pPr>
      <w:spacing w:before="160"/>
      <w:jc w:val="center"/>
    </w:pPr>
    <w:rPr>
      <w:i/>
      <w:iCs/>
      <w:color w:val="404040" w:themeColor="text1" w:themeTint="BF"/>
    </w:rPr>
  </w:style>
  <w:style w:type="character" w:customStyle="1" w:styleId="QuoteChar">
    <w:name w:val="Quote Char"/>
    <w:basedOn w:val="DefaultParagraphFont"/>
    <w:link w:val="Quote"/>
    <w:uiPriority w:val="29"/>
    <w:rsid w:val="0030732A"/>
    <w:rPr>
      <w:i/>
      <w:iCs/>
      <w:color w:val="404040" w:themeColor="text1" w:themeTint="BF"/>
    </w:rPr>
  </w:style>
  <w:style w:type="paragraph" w:styleId="ListParagraph">
    <w:name w:val="List Paragraph"/>
    <w:basedOn w:val="Normal"/>
    <w:uiPriority w:val="34"/>
    <w:qFormat/>
    <w:rsid w:val="0030732A"/>
    <w:pPr>
      <w:ind w:left="720"/>
      <w:contextualSpacing/>
    </w:pPr>
  </w:style>
  <w:style w:type="character" w:styleId="IntenseEmphasis">
    <w:name w:val="Intense Emphasis"/>
    <w:basedOn w:val="DefaultParagraphFont"/>
    <w:uiPriority w:val="21"/>
    <w:qFormat/>
    <w:rsid w:val="0030732A"/>
    <w:rPr>
      <w:i/>
      <w:iCs/>
      <w:color w:val="2F5496" w:themeColor="accent1" w:themeShade="BF"/>
    </w:rPr>
  </w:style>
  <w:style w:type="paragraph" w:styleId="IntenseQuote">
    <w:name w:val="Intense Quote"/>
    <w:basedOn w:val="Normal"/>
    <w:next w:val="Normal"/>
    <w:link w:val="IntenseQuoteChar"/>
    <w:uiPriority w:val="30"/>
    <w:qFormat/>
    <w:rsid w:val="003073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732A"/>
    <w:rPr>
      <w:i/>
      <w:iCs/>
      <w:color w:val="2F5496" w:themeColor="accent1" w:themeShade="BF"/>
    </w:rPr>
  </w:style>
  <w:style w:type="character" w:styleId="IntenseReference">
    <w:name w:val="Intense Reference"/>
    <w:basedOn w:val="DefaultParagraphFont"/>
    <w:uiPriority w:val="32"/>
    <w:qFormat/>
    <w:rsid w:val="0030732A"/>
    <w:rPr>
      <w:b/>
      <w:bCs/>
      <w:smallCaps/>
      <w:color w:val="2F5496" w:themeColor="accent1" w:themeShade="BF"/>
      <w:spacing w:val="5"/>
    </w:rPr>
  </w:style>
  <w:style w:type="paragraph" w:customStyle="1" w:styleId="p1">
    <w:name w:val="p1"/>
    <w:basedOn w:val="Normal"/>
    <w:rsid w:val="0084377E"/>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84377E"/>
    <w:rPr>
      <w:rFonts w:ascii="Helvetica" w:hAnsi="Helvetica" w:hint="default"/>
      <w:b w:val="0"/>
      <w:bCs w:val="0"/>
      <w:i w:val="0"/>
      <w:iCs w:val="0"/>
      <w:sz w:val="18"/>
      <w:szCs w:val="18"/>
    </w:rPr>
  </w:style>
  <w:style w:type="paragraph" w:customStyle="1" w:styleId="p2">
    <w:name w:val="p2"/>
    <w:basedOn w:val="Normal"/>
    <w:rsid w:val="00FB5E13"/>
    <w:pPr>
      <w:spacing w:after="0" w:line="240" w:lineRule="auto"/>
    </w:pPr>
    <w:rPr>
      <w:rFonts w:ascii="Helvetica" w:hAnsi="Helvetica" w:cs="Times New Roman"/>
      <w:kern w:val="0"/>
      <w:sz w:val="18"/>
      <w:szCs w:val="18"/>
      <w14:ligatures w14:val="none"/>
    </w:rPr>
  </w:style>
  <w:style w:type="character" w:customStyle="1" w:styleId="s2">
    <w:name w:val="s2"/>
    <w:basedOn w:val="DefaultParagraphFont"/>
    <w:rsid w:val="00094070"/>
  </w:style>
  <w:style w:type="paragraph" w:customStyle="1" w:styleId="p3">
    <w:name w:val="p3"/>
    <w:basedOn w:val="Normal"/>
    <w:rsid w:val="0009407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94070"/>
  </w:style>
  <w:style w:type="paragraph" w:styleId="Header">
    <w:name w:val="header"/>
    <w:basedOn w:val="Normal"/>
    <w:link w:val="HeaderChar"/>
    <w:uiPriority w:val="99"/>
    <w:unhideWhenUsed/>
    <w:rsid w:val="00AE0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E19"/>
  </w:style>
  <w:style w:type="paragraph" w:styleId="Footer">
    <w:name w:val="footer"/>
    <w:basedOn w:val="Normal"/>
    <w:link w:val="FooterChar"/>
    <w:uiPriority w:val="99"/>
    <w:unhideWhenUsed/>
    <w:rsid w:val="00AE0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E19"/>
  </w:style>
  <w:style w:type="character" w:styleId="PageNumber">
    <w:name w:val="page number"/>
    <w:basedOn w:val="DefaultParagraphFont"/>
    <w:uiPriority w:val="99"/>
    <w:semiHidden/>
    <w:unhideWhenUsed/>
    <w:rsid w:val="00AE0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2718</Words>
  <Characters>15493</Characters>
  <Application>Microsoft Office Word</Application>
  <DocSecurity>0</DocSecurity>
  <Lines>129</Lines>
  <Paragraphs>36</Paragraphs>
  <ScaleCrop>false</ScaleCrop>
  <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Lissa</dc:creator>
  <cp:keywords/>
  <dc:description/>
  <cp:lastModifiedBy>Alexa Lissa</cp:lastModifiedBy>
  <cp:revision>2</cp:revision>
  <dcterms:created xsi:type="dcterms:W3CDTF">2026-02-22T17:04:00Z</dcterms:created>
  <dcterms:modified xsi:type="dcterms:W3CDTF">2026-02-22T17:04:00Z</dcterms:modified>
</cp:coreProperties>
</file>