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D97860" w14:textId="45D16ABA" w:rsidR="00DD4436" w:rsidRDefault="00DD4436" w:rsidP="00DC585B">
      <w:pPr>
        <w:spacing w:line="360" w:lineRule="auto"/>
        <w:jc w:val="center"/>
        <w:rPr>
          <w:rFonts w:asciiTheme="minorBidi" w:hAnsiTheme="minorBidi"/>
          <w:b/>
          <w:bCs/>
          <w:sz w:val="22"/>
          <w:szCs w:val="22"/>
        </w:rPr>
      </w:pPr>
      <w:r w:rsidRPr="00DC585B">
        <w:rPr>
          <w:rFonts w:asciiTheme="minorBidi" w:hAnsiTheme="minorBidi"/>
          <w:b/>
          <w:bCs/>
          <w:sz w:val="22"/>
          <w:szCs w:val="22"/>
        </w:rPr>
        <w:t>Name:</w:t>
      </w:r>
      <w:r w:rsidR="00A575A5">
        <w:rPr>
          <w:rFonts w:asciiTheme="minorBidi" w:hAnsiTheme="minorBidi"/>
          <w:b/>
          <w:bCs/>
          <w:sz w:val="22"/>
          <w:szCs w:val="22"/>
        </w:rPr>
        <w:t xml:space="preserve"> </w:t>
      </w:r>
      <w:r w:rsidR="00A575A5" w:rsidRPr="00DC585B">
        <w:rPr>
          <w:rFonts w:asciiTheme="minorBidi" w:hAnsiTheme="minorBidi"/>
          <w:b/>
          <w:bCs/>
          <w:sz w:val="22"/>
          <w:szCs w:val="22"/>
        </w:rPr>
        <w:t>Chinemerem</w:t>
      </w:r>
      <w:r w:rsidR="00A575A5">
        <w:rPr>
          <w:rFonts w:asciiTheme="minorBidi" w:hAnsiTheme="minorBidi"/>
          <w:b/>
          <w:bCs/>
          <w:sz w:val="22"/>
          <w:szCs w:val="22"/>
        </w:rPr>
        <w:t xml:space="preserve"> </w:t>
      </w:r>
      <w:r w:rsidR="00E378A0">
        <w:rPr>
          <w:rFonts w:asciiTheme="minorBidi" w:hAnsiTheme="minorBidi"/>
          <w:b/>
          <w:bCs/>
          <w:sz w:val="22"/>
          <w:szCs w:val="22"/>
        </w:rPr>
        <w:t>Ihenacho</w:t>
      </w:r>
    </w:p>
    <w:p w14:paraId="315A9BE6" w14:textId="77777777" w:rsidR="00E378A0" w:rsidRPr="00DC585B" w:rsidRDefault="00E378A0" w:rsidP="00DC585B">
      <w:pPr>
        <w:spacing w:line="360" w:lineRule="auto"/>
        <w:jc w:val="center"/>
        <w:rPr>
          <w:rFonts w:asciiTheme="minorBidi" w:hAnsiTheme="minorBidi"/>
          <w:b/>
          <w:bCs/>
          <w:sz w:val="22"/>
          <w:szCs w:val="22"/>
        </w:rPr>
      </w:pPr>
    </w:p>
    <w:p w14:paraId="03DC21F7" w14:textId="6B34C868" w:rsidR="00DD4436" w:rsidRDefault="00DD4436" w:rsidP="00DC585B">
      <w:pPr>
        <w:spacing w:line="360" w:lineRule="auto"/>
        <w:jc w:val="center"/>
        <w:rPr>
          <w:rFonts w:asciiTheme="majorBidi" w:hAnsiTheme="majorBidi" w:cstheme="majorBidi"/>
          <w:b/>
          <w:bCs/>
        </w:rPr>
      </w:pPr>
      <w:r w:rsidRPr="00DC585B">
        <w:rPr>
          <w:rFonts w:asciiTheme="minorBidi" w:hAnsiTheme="minorBidi"/>
          <w:b/>
          <w:bCs/>
          <w:sz w:val="22"/>
          <w:szCs w:val="22"/>
        </w:rPr>
        <w:t xml:space="preserve">Student </w:t>
      </w:r>
      <w:proofErr w:type="gramStart"/>
      <w:r w:rsidRPr="00DC585B">
        <w:rPr>
          <w:rFonts w:asciiTheme="minorBidi" w:hAnsiTheme="minorBidi"/>
          <w:b/>
          <w:bCs/>
          <w:sz w:val="22"/>
          <w:szCs w:val="22"/>
        </w:rPr>
        <w:t>Number</w:t>
      </w:r>
      <w:r w:rsidR="00E378A0">
        <w:rPr>
          <w:rFonts w:asciiTheme="minorBidi" w:hAnsiTheme="minorBidi"/>
          <w:b/>
          <w:bCs/>
          <w:sz w:val="22"/>
          <w:szCs w:val="22"/>
        </w:rPr>
        <w:t xml:space="preserve">  </w:t>
      </w:r>
      <w:r w:rsidRPr="00DC585B">
        <w:rPr>
          <w:rFonts w:asciiTheme="minorBidi" w:hAnsiTheme="minorBidi"/>
          <w:b/>
          <w:bCs/>
          <w:sz w:val="22"/>
          <w:szCs w:val="22"/>
        </w:rPr>
        <w:t>:</w:t>
      </w:r>
      <w:proofErr w:type="gramEnd"/>
      <w:r w:rsidR="00A575A5">
        <w:rPr>
          <w:rFonts w:asciiTheme="minorBidi" w:hAnsiTheme="minorBidi"/>
          <w:b/>
          <w:bCs/>
          <w:sz w:val="22"/>
          <w:szCs w:val="22"/>
        </w:rPr>
        <w:t xml:space="preserve"> </w:t>
      </w:r>
      <w:r w:rsidR="00E378A0">
        <w:rPr>
          <w:rFonts w:asciiTheme="minorBidi" w:hAnsiTheme="minorBidi"/>
          <w:b/>
          <w:bCs/>
          <w:sz w:val="22"/>
          <w:szCs w:val="22"/>
        </w:rPr>
        <w:t xml:space="preserve">     </w:t>
      </w:r>
      <w:r w:rsidR="00A575A5" w:rsidRPr="00D40E8B">
        <w:rPr>
          <w:rFonts w:asciiTheme="majorBidi" w:hAnsiTheme="majorBidi" w:cstheme="majorBidi"/>
          <w:b/>
          <w:bCs/>
        </w:rPr>
        <w:t>2311669</w:t>
      </w:r>
    </w:p>
    <w:p w14:paraId="49CE40E8" w14:textId="77777777" w:rsidR="00E378A0" w:rsidRPr="00DC585B" w:rsidRDefault="00E378A0" w:rsidP="00DC585B">
      <w:pPr>
        <w:spacing w:line="360" w:lineRule="auto"/>
        <w:jc w:val="center"/>
        <w:rPr>
          <w:rFonts w:asciiTheme="minorBidi" w:hAnsiTheme="minorBidi"/>
          <w:b/>
          <w:bCs/>
          <w:sz w:val="22"/>
          <w:szCs w:val="22"/>
        </w:rPr>
      </w:pPr>
    </w:p>
    <w:p w14:paraId="0AEE0AFF" w14:textId="5866C8AC" w:rsidR="00DD4436" w:rsidRDefault="00DD4436" w:rsidP="00DC585B">
      <w:pPr>
        <w:spacing w:line="360" w:lineRule="auto"/>
        <w:jc w:val="center"/>
        <w:rPr>
          <w:rFonts w:asciiTheme="minorBidi" w:hAnsiTheme="minorBidi"/>
          <w:b/>
          <w:bCs/>
          <w:sz w:val="22"/>
          <w:szCs w:val="22"/>
        </w:rPr>
      </w:pPr>
      <w:r w:rsidRPr="00DC585B">
        <w:rPr>
          <w:rFonts w:asciiTheme="minorBidi" w:hAnsiTheme="minorBidi"/>
          <w:b/>
          <w:bCs/>
          <w:sz w:val="22"/>
          <w:szCs w:val="22"/>
        </w:rPr>
        <w:t>Module Code:</w:t>
      </w:r>
      <w:r w:rsidR="00E378A0">
        <w:rPr>
          <w:rFonts w:asciiTheme="minorBidi" w:hAnsiTheme="minorBidi"/>
          <w:b/>
          <w:bCs/>
          <w:sz w:val="22"/>
          <w:szCs w:val="22"/>
        </w:rPr>
        <w:t xml:space="preserve">      </w:t>
      </w:r>
      <w:r w:rsidRPr="00DC585B">
        <w:rPr>
          <w:rFonts w:asciiTheme="minorBidi" w:hAnsiTheme="minorBidi"/>
          <w:b/>
          <w:bCs/>
          <w:sz w:val="22"/>
          <w:szCs w:val="22"/>
        </w:rPr>
        <w:t xml:space="preserve"> </w:t>
      </w:r>
      <w:r w:rsidR="0055458F" w:rsidRPr="00DC585B">
        <w:rPr>
          <w:rFonts w:asciiTheme="minorBidi" w:hAnsiTheme="minorBidi"/>
          <w:b/>
          <w:bCs/>
          <w:sz w:val="22"/>
          <w:szCs w:val="22"/>
        </w:rPr>
        <w:t>BMHP5023</w:t>
      </w:r>
    </w:p>
    <w:p w14:paraId="075DC1C7" w14:textId="77777777" w:rsidR="00E378A0" w:rsidRPr="00DC585B" w:rsidRDefault="00E378A0" w:rsidP="00DC585B">
      <w:pPr>
        <w:spacing w:line="360" w:lineRule="auto"/>
        <w:jc w:val="center"/>
        <w:rPr>
          <w:rFonts w:asciiTheme="minorBidi" w:hAnsiTheme="minorBidi"/>
          <w:b/>
          <w:bCs/>
          <w:sz w:val="22"/>
          <w:szCs w:val="22"/>
        </w:rPr>
      </w:pPr>
    </w:p>
    <w:p w14:paraId="5257D46F" w14:textId="146FC9D8" w:rsidR="00DD4436" w:rsidRDefault="00DD4436" w:rsidP="00DC585B">
      <w:pPr>
        <w:spacing w:line="360" w:lineRule="auto"/>
        <w:jc w:val="center"/>
        <w:rPr>
          <w:rFonts w:asciiTheme="minorBidi" w:hAnsiTheme="minorBidi"/>
          <w:b/>
          <w:bCs/>
          <w:sz w:val="22"/>
          <w:szCs w:val="22"/>
        </w:rPr>
      </w:pPr>
      <w:r w:rsidRPr="00DC585B">
        <w:rPr>
          <w:rFonts w:asciiTheme="minorBidi" w:hAnsiTheme="minorBidi"/>
          <w:b/>
          <w:bCs/>
          <w:sz w:val="22"/>
          <w:szCs w:val="22"/>
        </w:rPr>
        <w:t>Title:</w:t>
      </w:r>
      <w:r w:rsidR="00AD01E6">
        <w:rPr>
          <w:rFonts w:asciiTheme="minorBidi" w:hAnsiTheme="minorBidi"/>
          <w:b/>
          <w:bCs/>
          <w:sz w:val="22"/>
          <w:szCs w:val="22"/>
        </w:rPr>
        <w:t xml:space="preserve"> </w:t>
      </w:r>
      <w:r w:rsidRPr="00DC585B">
        <w:rPr>
          <w:rFonts w:asciiTheme="minorBidi" w:hAnsiTheme="minorBidi"/>
          <w:b/>
          <w:bCs/>
          <w:sz w:val="22"/>
          <w:szCs w:val="22"/>
        </w:rPr>
        <w:t>Introduction to Physiology</w:t>
      </w:r>
    </w:p>
    <w:p w14:paraId="4AEC94C9" w14:textId="77777777" w:rsidR="00E378A0" w:rsidRDefault="00E378A0" w:rsidP="00DC585B">
      <w:pPr>
        <w:spacing w:line="360" w:lineRule="auto"/>
        <w:jc w:val="center"/>
        <w:rPr>
          <w:rFonts w:asciiTheme="minorBidi" w:hAnsiTheme="minorBidi"/>
          <w:b/>
          <w:bCs/>
          <w:sz w:val="22"/>
          <w:szCs w:val="22"/>
        </w:rPr>
      </w:pPr>
    </w:p>
    <w:p w14:paraId="29795AD5" w14:textId="036D5558" w:rsidR="00E378A0" w:rsidRDefault="00361A7E" w:rsidP="00DC585B">
      <w:pPr>
        <w:spacing w:line="360" w:lineRule="auto"/>
        <w:jc w:val="center"/>
        <w:rPr>
          <w:rFonts w:asciiTheme="minorBidi" w:hAnsiTheme="minorBidi"/>
          <w:b/>
          <w:bCs/>
          <w:sz w:val="22"/>
          <w:szCs w:val="22"/>
        </w:rPr>
      </w:pPr>
      <w:r>
        <w:rPr>
          <w:rFonts w:asciiTheme="minorBidi" w:hAnsiTheme="minorBidi"/>
          <w:b/>
          <w:bCs/>
          <w:sz w:val="22"/>
          <w:szCs w:val="22"/>
        </w:rPr>
        <w:t>Lecturer:</w:t>
      </w:r>
      <w:r w:rsidR="00E378A0">
        <w:rPr>
          <w:rFonts w:asciiTheme="minorBidi" w:hAnsiTheme="minorBidi"/>
          <w:b/>
          <w:bCs/>
          <w:sz w:val="22"/>
          <w:szCs w:val="22"/>
        </w:rPr>
        <w:t xml:space="preserve">       </w:t>
      </w:r>
      <w:r>
        <w:rPr>
          <w:rFonts w:asciiTheme="minorBidi" w:hAnsiTheme="minorBidi"/>
          <w:b/>
          <w:bCs/>
          <w:sz w:val="22"/>
          <w:szCs w:val="22"/>
        </w:rPr>
        <w:t xml:space="preserve"> Robert Nartowsk</w:t>
      </w:r>
      <w:r w:rsidR="00AD01E6">
        <w:rPr>
          <w:rFonts w:asciiTheme="minorBidi" w:hAnsiTheme="minorBidi"/>
          <w:b/>
          <w:bCs/>
          <w:sz w:val="22"/>
          <w:szCs w:val="22"/>
        </w:rPr>
        <w:t>i</w:t>
      </w:r>
    </w:p>
    <w:p w14:paraId="6C36BDB0" w14:textId="77777777" w:rsidR="00E378A0" w:rsidRDefault="00E378A0" w:rsidP="00DC585B">
      <w:pPr>
        <w:spacing w:line="360" w:lineRule="auto"/>
        <w:jc w:val="center"/>
        <w:rPr>
          <w:rFonts w:asciiTheme="minorBidi" w:hAnsiTheme="minorBidi"/>
          <w:b/>
          <w:bCs/>
          <w:sz w:val="22"/>
          <w:szCs w:val="22"/>
        </w:rPr>
      </w:pPr>
    </w:p>
    <w:p w14:paraId="0DCD2C2B" w14:textId="7DF6E2F2" w:rsidR="00361A7E" w:rsidRDefault="00361A7E" w:rsidP="00DC585B">
      <w:pPr>
        <w:spacing w:line="360" w:lineRule="auto"/>
        <w:jc w:val="center"/>
        <w:rPr>
          <w:rFonts w:asciiTheme="minorBidi" w:hAnsiTheme="minorBidi"/>
          <w:b/>
          <w:bCs/>
          <w:sz w:val="22"/>
          <w:szCs w:val="22"/>
        </w:rPr>
      </w:pPr>
    </w:p>
    <w:p w14:paraId="2C0EF0DD" w14:textId="21A11C47" w:rsidR="00DD4436" w:rsidRPr="00DC585B" w:rsidRDefault="00DD4436" w:rsidP="00DC585B">
      <w:pPr>
        <w:spacing w:line="360" w:lineRule="auto"/>
        <w:jc w:val="center"/>
        <w:rPr>
          <w:rFonts w:asciiTheme="minorBidi" w:hAnsiTheme="minorBidi"/>
          <w:b/>
          <w:bCs/>
          <w:sz w:val="22"/>
          <w:szCs w:val="22"/>
        </w:rPr>
      </w:pPr>
      <w:r w:rsidRPr="00DC585B">
        <w:rPr>
          <w:rFonts w:asciiTheme="minorBidi" w:hAnsiTheme="minorBidi"/>
          <w:b/>
          <w:bCs/>
          <w:sz w:val="22"/>
          <w:szCs w:val="22"/>
        </w:rPr>
        <w:t xml:space="preserve">Assignment Title: </w:t>
      </w:r>
      <w:r w:rsidR="001674B1" w:rsidRPr="00DC585B">
        <w:rPr>
          <w:rFonts w:asciiTheme="minorBidi" w:hAnsiTheme="minorBidi"/>
          <w:b/>
          <w:bCs/>
          <w:sz w:val="22"/>
          <w:szCs w:val="22"/>
        </w:rPr>
        <w:t>Diabetes Management and Patient Education</w:t>
      </w:r>
    </w:p>
    <w:p w14:paraId="61C22766" w14:textId="77777777" w:rsidR="001674B1" w:rsidRPr="00DC585B" w:rsidRDefault="001674B1" w:rsidP="00DC585B">
      <w:pPr>
        <w:spacing w:line="360" w:lineRule="auto"/>
        <w:jc w:val="both"/>
        <w:rPr>
          <w:rFonts w:asciiTheme="minorBidi" w:hAnsiTheme="minorBidi"/>
          <w:b/>
          <w:bCs/>
          <w:i/>
          <w:iCs/>
          <w:sz w:val="22"/>
          <w:szCs w:val="22"/>
        </w:rPr>
      </w:pPr>
      <w:r w:rsidRPr="00DC585B">
        <w:rPr>
          <w:rFonts w:asciiTheme="minorBidi" w:hAnsiTheme="minorBidi"/>
          <w:b/>
          <w:bCs/>
          <w:i/>
          <w:iCs/>
          <w:sz w:val="22"/>
          <w:szCs w:val="22"/>
        </w:rPr>
        <w:br w:type="page"/>
      </w:r>
    </w:p>
    <w:p w14:paraId="609D357B" w14:textId="2E3EC37F" w:rsidR="0055458F" w:rsidRPr="00DC585B" w:rsidRDefault="0055458F" w:rsidP="00DC585B">
      <w:pPr>
        <w:pStyle w:val="ListParagraph"/>
        <w:numPr>
          <w:ilvl w:val="0"/>
          <w:numId w:val="12"/>
        </w:numPr>
        <w:spacing w:line="360" w:lineRule="auto"/>
        <w:jc w:val="both"/>
        <w:rPr>
          <w:rFonts w:asciiTheme="minorBidi" w:hAnsiTheme="minorBidi"/>
          <w:b/>
          <w:bCs/>
          <w:sz w:val="22"/>
          <w:szCs w:val="22"/>
        </w:rPr>
      </w:pPr>
      <w:r w:rsidRPr="00DC585B">
        <w:rPr>
          <w:rFonts w:asciiTheme="minorBidi" w:hAnsiTheme="minorBidi"/>
          <w:b/>
          <w:bCs/>
          <w:sz w:val="22"/>
          <w:szCs w:val="22"/>
        </w:rPr>
        <w:lastRenderedPageBreak/>
        <w:t>Introduction</w:t>
      </w:r>
    </w:p>
    <w:p w14:paraId="067C69F7" w14:textId="77777777" w:rsidR="004E081D" w:rsidRPr="004E081D" w:rsidRDefault="004E081D" w:rsidP="00DC585B">
      <w:pPr>
        <w:spacing w:line="360" w:lineRule="auto"/>
        <w:jc w:val="both"/>
        <w:rPr>
          <w:rFonts w:asciiTheme="minorBidi" w:hAnsiTheme="minorBidi"/>
          <w:sz w:val="22"/>
          <w:szCs w:val="22"/>
        </w:rPr>
      </w:pPr>
      <w:r w:rsidRPr="004E081D">
        <w:rPr>
          <w:rFonts w:asciiTheme="minorBidi" w:hAnsiTheme="minorBidi"/>
          <w:sz w:val="22"/>
          <w:szCs w:val="22"/>
        </w:rPr>
        <w:t>Diabetes mellitus (DM) refers to a metabolic disorder characterised by persistent hyperglycaemia caused by either impaired insulin action, a lack of insulin secretion or both (Antar et al., 2023). Generally, insulin is an anabolic hormone and affects the metabolism of carbohydrates, proteins and lipids (Poznyak et al., 2020). Due to insulin resistance, the metabolic abnormalities that result from diabetes mainly affect tissues such as skeletal muscles, adipose tissues and the liver; however, the severity of symptoms may vary depending on the type and duration of diabetes (Rossi et al., 2019).</w:t>
      </w:r>
    </w:p>
    <w:p w14:paraId="6DF9ECD6" w14:textId="77777777" w:rsidR="004E081D" w:rsidRPr="004E081D" w:rsidRDefault="004E081D" w:rsidP="00DC585B">
      <w:pPr>
        <w:spacing w:line="360" w:lineRule="auto"/>
        <w:jc w:val="both"/>
        <w:rPr>
          <w:rFonts w:asciiTheme="minorBidi" w:hAnsiTheme="minorBidi"/>
          <w:sz w:val="22"/>
          <w:szCs w:val="22"/>
        </w:rPr>
      </w:pPr>
      <w:r w:rsidRPr="004E081D">
        <w:rPr>
          <w:rFonts w:asciiTheme="minorBidi" w:hAnsiTheme="minorBidi"/>
          <w:sz w:val="22"/>
          <w:szCs w:val="22"/>
        </w:rPr>
        <w:t xml:space="preserve">DM occurs in several distinct types, each with its own causes and unique characteristics. For instance, Type 1 diabetes involves the immune-mediated destruction of insulin-producing pancreatic β-cells, leading to insulin deficiency (Lucier &amp; Weinstock, 2024). On the other hand, type 2 diabetes mellitus (T2DM), which accounts for at least 90% of cases of diabetes in the UK (PHE, 2018), occurs </w:t>
      </w:r>
      <w:proofErr w:type="gramStart"/>
      <w:r w:rsidRPr="004E081D">
        <w:rPr>
          <w:rFonts w:asciiTheme="minorBidi" w:hAnsiTheme="minorBidi"/>
          <w:sz w:val="22"/>
          <w:szCs w:val="22"/>
        </w:rPr>
        <w:t>as a result of</w:t>
      </w:r>
      <w:proofErr w:type="gramEnd"/>
      <w:r w:rsidRPr="004E081D">
        <w:rPr>
          <w:rFonts w:asciiTheme="minorBidi" w:hAnsiTheme="minorBidi"/>
          <w:sz w:val="22"/>
          <w:szCs w:val="22"/>
        </w:rPr>
        <w:t xml:space="preserve"> defective insulin secretion by pancreatic β-cells and the inability of insulin-sensitive tissues to respond to insulin (Roden &amp; Shulman, 2019). Both types of diabetes can, however, have life-changing complications, as they can cause kidney disease, affect vision, lead to heart attacks or strokes, as well as cause polydipsia or dysuria (Antar et al., 2023; NHS England, 2024a). </w:t>
      </w:r>
    </w:p>
    <w:p w14:paraId="00C331D0" w14:textId="324D14F5" w:rsidR="004251DA" w:rsidRPr="00DC585B" w:rsidRDefault="008E2BCD" w:rsidP="00DC585B">
      <w:pPr>
        <w:spacing w:line="360" w:lineRule="auto"/>
        <w:jc w:val="both"/>
        <w:rPr>
          <w:rFonts w:asciiTheme="minorBidi" w:hAnsiTheme="minorBidi"/>
          <w:sz w:val="22"/>
          <w:szCs w:val="22"/>
        </w:rPr>
      </w:pPr>
      <w:r w:rsidRPr="00DC585B">
        <w:rPr>
          <w:rFonts w:asciiTheme="minorBidi" w:hAnsiTheme="minorBidi"/>
          <w:sz w:val="22"/>
          <w:szCs w:val="22"/>
        </w:rPr>
        <w:t xml:space="preserve"> </w:t>
      </w:r>
    </w:p>
    <w:p w14:paraId="51635FA7" w14:textId="58A83E04" w:rsidR="004251DA" w:rsidRPr="00DC585B" w:rsidRDefault="00726D59" w:rsidP="009A187D">
      <w:pPr>
        <w:spacing w:line="360" w:lineRule="auto"/>
        <w:jc w:val="center"/>
        <w:rPr>
          <w:rFonts w:asciiTheme="minorBidi" w:hAnsiTheme="minorBidi"/>
          <w:sz w:val="22"/>
          <w:szCs w:val="22"/>
        </w:rPr>
      </w:pPr>
      <w:r w:rsidRPr="00DC585B">
        <w:rPr>
          <w:rFonts w:asciiTheme="minorBidi" w:hAnsiTheme="minorBidi"/>
          <w:noProof/>
          <w:sz w:val="22"/>
          <w:szCs w:val="22"/>
        </w:rPr>
        <w:drawing>
          <wp:inline distT="0" distB="0" distL="0" distR="0" wp14:anchorId="495FF612" wp14:editId="016FE97C">
            <wp:extent cx="5381625" cy="2800350"/>
            <wp:effectExtent l="0" t="0" r="9525" b="0"/>
            <wp:docPr id="317345925" name="Picture 1"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Fig.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81625" cy="2800350"/>
                    </a:xfrm>
                    <a:prstGeom prst="rect">
                      <a:avLst/>
                    </a:prstGeom>
                    <a:noFill/>
                    <a:ln>
                      <a:noFill/>
                    </a:ln>
                  </pic:spPr>
                </pic:pic>
              </a:graphicData>
            </a:graphic>
          </wp:inline>
        </w:drawing>
      </w:r>
    </w:p>
    <w:p w14:paraId="2495AF73" w14:textId="46ACE237" w:rsidR="00726D59" w:rsidRPr="00DC585B" w:rsidRDefault="00726D59" w:rsidP="00DC585B">
      <w:pPr>
        <w:spacing w:line="360" w:lineRule="auto"/>
        <w:jc w:val="both"/>
        <w:rPr>
          <w:rFonts w:asciiTheme="minorBidi" w:hAnsiTheme="minorBidi"/>
          <w:i/>
          <w:iCs/>
          <w:sz w:val="22"/>
          <w:szCs w:val="22"/>
        </w:rPr>
      </w:pPr>
      <w:r w:rsidRPr="00DC585B">
        <w:rPr>
          <w:rFonts w:asciiTheme="minorBidi" w:hAnsiTheme="minorBidi"/>
          <w:i/>
          <w:iCs/>
          <w:sz w:val="22"/>
          <w:szCs w:val="22"/>
        </w:rPr>
        <w:t>Figure 1: Classification of Diabetes Mellitus (Antar et al., 2023)</w:t>
      </w:r>
    </w:p>
    <w:p w14:paraId="509AE530" w14:textId="77777777" w:rsidR="00726D59" w:rsidRPr="00DC585B" w:rsidRDefault="00726D59" w:rsidP="00DC585B">
      <w:pPr>
        <w:spacing w:line="360" w:lineRule="auto"/>
        <w:jc w:val="both"/>
        <w:rPr>
          <w:rFonts w:asciiTheme="minorBidi" w:hAnsiTheme="minorBidi"/>
          <w:i/>
          <w:iCs/>
          <w:sz w:val="22"/>
          <w:szCs w:val="22"/>
        </w:rPr>
      </w:pPr>
    </w:p>
    <w:p w14:paraId="67670075" w14:textId="137BFC50" w:rsidR="00BE6353" w:rsidRPr="00BE6353" w:rsidRDefault="00BE6353" w:rsidP="00D9153F">
      <w:pPr>
        <w:spacing w:line="360" w:lineRule="auto"/>
        <w:jc w:val="both"/>
        <w:rPr>
          <w:rFonts w:asciiTheme="minorBidi" w:hAnsiTheme="minorBidi"/>
          <w:sz w:val="22"/>
          <w:szCs w:val="22"/>
        </w:rPr>
      </w:pPr>
      <w:r w:rsidRPr="00BE6353">
        <w:rPr>
          <w:rFonts w:asciiTheme="minorBidi" w:hAnsiTheme="minorBidi"/>
          <w:sz w:val="22"/>
          <w:szCs w:val="22"/>
        </w:rPr>
        <w:t xml:space="preserve">In the UK, an estimated 5.6 million people live with </w:t>
      </w:r>
      <w:proofErr w:type="gramStart"/>
      <w:r w:rsidRPr="00BE6353">
        <w:rPr>
          <w:rFonts w:asciiTheme="minorBidi" w:hAnsiTheme="minorBidi"/>
          <w:sz w:val="22"/>
          <w:szCs w:val="22"/>
        </w:rPr>
        <w:t>diabetes</w:t>
      </w:r>
      <w:proofErr w:type="gramEnd"/>
      <w:r w:rsidRPr="00BE6353">
        <w:rPr>
          <w:rFonts w:asciiTheme="minorBidi" w:hAnsiTheme="minorBidi"/>
          <w:sz w:val="22"/>
          <w:szCs w:val="22"/>
        </w:rPr>
        <w:t xml:space="preserve"> and this number continues to rise due to increasing obesity and sedentary lifestyles (NHS England, 2024a). Additionally, more </w:t>
      </w:r>
      <w:r w:rsidRPr="00BE6353">
        <w:rPr>
          <w:rFonts w:asciiTheme="minorBidi" w:hAnsiTheme="minorBidi"/>
          <w:sz w:val="22"/>
          <w:szCs w:val="22"/>
        </w:rPr>
        <w:lastRenderedPageBreak/>
        <w:t>than half a million more people (549,000) have been found by the NHS to be at risk of developing type 2 diabetes within a year (NHS England, 2024b).</w:t>
      </w:r>
      <w:r w:rsidR="00D9153F">
        <w:rPr>
          <w:rFonts w:asciiTheme="minorBidi" w:hAnsiTheme="minorBidi"/>
          <w:sz w:val="22"/>
          <w:szCs w:val="22"/>
        </w:rPr>
        <w:t xml:space="preserve"> </w:t>
      </w:r>
      <w:r w:rsidRPr="00BE6353">
        <w:rPr>
          <w:rFonts w:asciiTheme="minorBidi" w:hAnsiTheme="minorBidi"/>
          <w:sz w:val="22"/>
          <w:szCs w:val="22"/>
        </w:rPr>
        <w:t>Several factors increase the risk of diabetes. Some of these factors include genetic predisposition, obesity, sedentary lifestyle, poor diet, smoking and ageing (Ismail et al., 2021; Stene et al., 2023).</w:t>
      </w:r>
    </w:p>
    <w:p w14:paraId="75897662" w14:textId="77777777" w:rsidR="00BE6353" w:rsidRPr="00BE6353" w:rsidRDefault="00BE6353" w:rsidP="00DC585B">
      <w:pPr>
        <w:spacing w:line="360" w:lineRule="auto"/>
        <w:jc w:val="both"/>
        <w:rPr>
          <w:rFonts w:asciiTheme="minorBidi" w:hAnsiTheme="minorBidi"/>
          <w:sz w:val="22"/>
          <w:szCs w:val="22"/>
        </w:rPr>
      </w:pPr>
      <w:r w:rsidRPr="00BE6353">
        <w:rPr>
          <w:rFonts w:asciiTheme="minorBidi" w:hAnsiTheme="minorBidi"/>
          <w:sz w:val="22"/>
          <w:szCs w:val="22"/>
        </w:rPr>
        <w:t>As a result, this report aims to gather evidence-based information to educate patients at a local GP surgery on understanding diabetes, monitoring and managing their blood sugar levels, as well as improving their lifestyle behaviours to achieve better health outcomes. Additionally, anatomical and physiological knowledge will be linked to practical nursing interventions, outlining the role of patient education in enhancing self-management.</w:t>
      </w:r>
    </w:p>
    <w:p w14:paraId="7C04EBEF" w14:textId="4BA457A3" w:rsidR="00CC54DB" w:rsidRPr="00DC585B" w:rsidRDefault="00CC54DB" w:rsidP="00DC585B">
      <w:pPr>
        <w:spacing w:line="360" w:lineRule="auto"/>
        <w:jc w:val="both"/>
        <w:rPr>
          <w:rFonts w:asciiTheme="minorBidi" w:hAnsiTheme="minorBidi"/>
          <w:b/>
          <w:bCs/>
          <w:sz w:val="22"/>
          <w:szCs w:val="22"/>
        </w:rPr>
      </w:pPr>
    </w:p>
    <w:p w14:paraId="1E79FC61" w14:textId="48D3E69C" w:rsidR="0060033E" w:rsidRPr="00DC585B" w:rsidRDefault="0055458F" w:rsidP="00DC585B">
      <w:pPr>
        <w:spacing w:line="360" w:lineRule="auto"/>
        <w:jc w:val="both"/>
        <w:rPr>
          <w:rFonts w:asciiTheme="minorBidi" w:hAnsiTheme="minorBidi"/>
          <w:b/>
          <w:bCs/>
          <w:sz w:val="22"/>
          <w:szCs w:val="22"/>
        </w:rPr>
      </w:pPr>
      <w:r w:rsidRPr="00DC585B">
        <w:rPr>
          <w:rFonts w:asciiTheme="minorBidi" w:hAnsiTheme="minorBidi"/>
          <w:b/>
          <w:bCs/>
          <w:sz w:val="22"/>
          <w:szCs w:val="22"/>
        </w:rPr>
        <w:t>2.</w:t>
      </w:r>
      <w:r w:rsidR="0060033E" w:rsidRPr="00DC585B">
        <w:rPr>
          <w:rFonts w:asciiTheme="minorBidi" w:hAnsiTheme="minorBidi"/>
          <w:b/>
          <w:bCs/>
          <w:sz w:val="22"/>
          <w:szCs w:val="22"/>
        </w:rPr>
        <w:t>0</w:t>
      </w:r>
      <w:r w:rsidRPr="00DC585B">
        <w:rPr>
          <w:rFonts w:asciiTheme="minorBidi" w:hAnsiTheme="minorBidi"/>
          <w:b/>
          <w:bCs/>
          <w:sz w:val="22"/>
          <w:szCs w:val="22"/>
        </w:rPr>
        <w:t xml:space="preserve"> Regulation of Blood Sugar Levels</w:t>
      </w:r>
    </w:p>
    <w:p w14:paraId="631F25C4" w14:textId="77777777" w:rsidR="00BE6353" w:rsidRPr="00BE6353" w:rsidRDefault="00BE6353" w:rsidP="00DC585B">
      <w:pPr>
        <w:spacing w:line="360" w:lineRule="auto"/>
        <w:jc w:val="both"/>
        <w:rPr>
          <w:rFonts w:asciiTheme="minorBidi" w:hAnsiTheme="minorBidi"/>
          <w:sz w:val="22"/>
          <w:szCs w:val="22"/>
        </w:rPr>
      </w:pPr>
      <w:r w:rsidRPr="00BE6353">
        <w:rPr>
          <w:rFonts w:asciiTheme="minorBidi" w:hAnsiTheme="minorBidi"/>
          <w:sz w:val="22"/>
          <w:szCs w:val="22"/>
        </w:rPr>
        <w:t>Glucose homeostasis largely depends on the balanced secretion of glucagon and insulin from the alpha and beta cells in the pancreas in a closely regulated multiloop feedback system (Hædersdal et al., 2018). After a meal, the pancreas is stimulated to release insulin due to the high plasma glucose levels (hyperglycaemia). In turn, the beta cells of the islets of Langerhans detect this increase and secrete insulin, which promotes glucose uptake and use by insulin-dependent tissues, stimulates the formation of glycogen from glucose (glycogenesis) in the liver and muscle and suppresses glucagon secretion (Antar et al., 2023). On the other hand, during hypoglycaemia (low glucose levels), the alpha cells of the islets of Langerhans detect a drop in glucose levels and release glucagon. When this glucagon gets to the liver, it promotes the breakdown of glycogen to glucose (glycogenolysis). This further promotes the synthesis of glucose (gluconeogenesis), inhibits glycogen formation (glycogenesis) and further mobilises the export of glucose into the bloodstream (Hædersdal et al., 2018).</w:t>
      </w:r>
    </w:p>
    <w:p w14:paraId="1EC0D441" w14:textId="5DDC2FB5" w:rsidR="00426DE3" w:rsidRPr="00DC585B" w:rsidRDefault="00426DE3" w:rsidP="00DC585B">
      <w:pPr>
        <w:spacing w:line="360" w:lineRule="auto"/>
        <w:jc w:val="both"/>
        <w:rPr>
          <w:rFonts w:asciiTheme="minorBidi" w:hAnsiTheme="minorBidi"/>
          <w:sz w:val="22"/>
          <w:szCs w:val="22"/>
        </w:rPr>
      </w:pPr>
    </w:p>
    <w:p w14:paraId="62587744" w14:textId="24525B0C" w:rsidR="00783477" w:rsidRPr="00DC585B" w:rsidRDefault="00783477" w:rsidP="00DC585B">
      <w:pPr>
        <w:spacing w:line="360" w:lineRule="auto"/>
        <w:jc w:val="both"/>
        <w:rPr>
          <w:rFonts w:asciiTheme="minorBidi" w:hAnsiTheme="minorBidi"/>
          <w:sz w:val="22"/>
          <w:szCs w:val="22"/>
        </w:rPr>
      </w:pPr>
    </w:p>
    <w:p w14:paraId="4AE5DBE4" w14:textId="53179520" w:rsidR="00783477" w:rsidRPr="00DC585B" w:rsidRDefault="00783477" w:rsidP="009A187D">
      <w:pPr>
        <w:spacing w:line="360" w:lineRule="auto"/>
        <w:jc w:val="center"/>
        <w:rPr>
          <w:rFonts w:asciiTheme="minorBidi" w:hAnsiTheme="minorBidi"/>
          <w:sz w:val="22"/>
          <w:szCs w:val="22"/>
        </w:rPr>
      </w:pPr>
      <w:r w:rsidRPr="00DC585B">
        <w:rPr>
          <w:rFonts w:asciiTheme="minorBidi" w:hAnsiTheme="minorBidi"/>
          <w:noProof/>
          <w:sz w:val="22"/>
          <w:szCs w:val="22"/>
        </w:rPr>
        <w:lastRenderedPageBreak/>
        <w:drawing>
          <wp:inline distT="0" distB="0" distL="0" distR="0" wp14:anchorId="06BFAFF5" wp14:editId="7FAB68BC">
            <wp:extent cx="4305300" cy="4964430"/>
            <wp:effectExtent l="0" t="0" r="0" b="7620"/>
            <wp:docPr id="293600986" name="Picture 1" descr="Diagram of a normal glucose lev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600986" name="Picture 1" descr="Diagram of a normal glucose level&#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32176" cy="4995421"/>
                    </a:xfrm>
                    <a:prstGeom prst="rect">
                      <a:avLst/>
                    </a:prstGeom>
                    <a:noFill/>
                    <a:ln>
                      <a:noFill/>
                    </a:ln>
                  </pic:spPr>
                </pic:pic>
              </a:graphicData>
            </a:graphic>
          </wp:inline>
        </w:drawing>
      </w:r>
    </w:p>
    <w:p w14:paraId="15971D3F" w14:textId="753E0E82" w:rsidR="00783477" w:rsidRPr="00DC585B" w:rsidRDefault="00783477" w:rsidP="00DC585B">
      <w:pPr>
        <w:spacing w:line="360" w:lineRule="auto"/>
        <w:jc w:val="both"/>
        <w:rPr>
          <w:rFonts w:asciiTheme="minorBidi" w:hAnsiTheme="minorBidi"/>
          <w:i/>
          <w:iCs/>
          <w:sz w:val="22"/>
          <w:szCs w:val="22"/>
        </w:rPr>
      </w:pPr>
      <w:r w:rsidRPr="00DC585B">
        <w:rPr>
          <w:rFonts w:asciiTheme="minorBidi" w:hAnsiTheme="minorBidi"/>
          <w:i/>
          <w:iCs/>
          <w:sz w:val="22"/>
          <w:szCs w:val="22"/>
        </w:rPr>
        <w:t>Figure 2: Regulation of blood glucose levels (Hædersdal et al., 2018)</w:t>
      </w:r>
    </w:p>
    <w:p w14:paraId="45B9DCEA" w14:textId="77777777" w:rsidR="00783477" w:rsidRPr="00DC585B" w:rsidRDefault="00783477" w:rsidP="00DC585B">
      <w:pPr>
        <w:spacing w:line="360" w:lineRule="auto"/>
        <w:jc w:val="both"/>
        <w:rPr>
          <w:rFonts w:asciiTheme="minorBidi" w:hAnsiTheme="minorBidi"/>
          <w:sz w:val="22"/>
          <w:szCs w:val="22"/>
        </w:rPr>
      </w:pPr>
    </w:p>
    <w:p w14:paraId="723AB3FA" w14:textId="77777777" w:rsidR="004C107A" w:rsidRPr="004C107A" w:rsidRDefault="004C107A" w:rsidP="00DC585B">
      <w:pPr>
        <w:spacing w:line="360" w:lineRule="auto"/>
        <w:jc w:val="both"/>
        <w:rPr>
          <w:rFonts w:asciiTheme="minorBidi" w:hAnsiTheme="minorBidi"/>
          <w:sz w:val="22"/>
          <w:szCs w:val="22"/>
        </w:rPr>
      </w:pPr>
      <w:r w:rsidRPr="004C107A">
        <w:rPr>
          <w:rFonts w:asciiTheme="minorBidi" w:hAnsiTheme="minorBidi"/>
          <w:sz w:val="22"/>
          <w:szCs w:val="22"/>
        </w:rPr>
        <w:t xml:space="preserve">In individuals with T2DM, a flaw in the feedback loops between insulin action and insulin secretion leads to abnormally high glucose levels in the blood (Stumvoll et al., 2005). In cases of β-cell dysfunction, there is a marked reduction in secretion, which limits the body’s ability to maintain physiological glucose levels (Galica-Galica et al., 2020). Insulin resistance (IR), on the other hand, contributes to the increased production of glucose in the liver and decreased uptake of glucose in the muscle, liver and adipose tissue (Freeman &amp; Pennings, 2023). Even in cases where both processes occur early in the pathogenesis and contribute to the development of T2DM, β-cell dysfunction is usually more severe than insulin resistance (Galica-Galica et al., 2020). However, in such cases where both β-cell dysfunction and IR are present, the progression of T2DM is accelerated due to the amplification of hyperglycaemia (Cerf, 2013; Zheng et al., 2018). This poses severe risks as hyperglycaemia contributes to the impairment of retinal endothelial cells (RECs) by ischaemia, oxidative stress and the release </w:t>
      </w:r>
      <w:r w:rsidRPr="004C107A">
        <w:rPr>
          <w:rFonts w:asciiTheme="minorBidi" w:hAnsiTheme="minorBidi"/>
          <w:sz w:val="22"/>
          <w:szCs w:val="22"/>
        </w:rPr>
        <w:lastRenderedPageBreak/>
        <w:t>of pro-inflammatory factors (Yang et al., 2024). Additionally, uncontrolled chronic hyperglycaemia is linked with micro- and macrovascular complications such as diabetic nephropathy (DN), retinopathy, and neuropathy (ADA, 2022).</w:t>
      </w:r>
    </w:p>
    <w:p w14:paraId="51176A3E" w14:textId="77777777" w:rsidR="004C107A" w:rsidRPr="004C107A" w:rsidRDefault="004C107A" w:rsidP="00DC585B">
      <w:pPr>
        <w:spacing w:line="360" w:lineRule="auto"/>
        <w:jc w:val="both"/>
        <w:rPr>
          <w:rFonts w:asciiTheme="minorBidi" w:hAnsiTheme="minorBidi"/>
          <w:sz w:val="22"/>
          <w:szCs w:val="22"/>
        </w:rPr>
      </w:pPr>
      <w:r w:rsidRPr="004C107A">
        <w:rPr>
          <w:rFonts w:asciiTheme="minorBidi" w:hAnsiTheme="minorBidi"/>
          <w:sz w:val="22"/>
          <w:szCs w:val="22"/>
        </w:rPr>
        <w:t>Clinically, maintaining normal blood glucose levels (</w:t>
      </w:r>
      <w:proofErr w:type="spellStart"/>
      <w:r w:rsidRPr="004C107A">
        <w:rPr>
          <w:rFonts w:asciiTheme="minorBidi" w:hAnsiTheme="minorBidi"/>
          <w:sz w:val="22"/>
          <w:szCs w:val="22"/>
        </w:rPr>
        <w:t>euglycaemia</w:t>
      </w:r>
      <w:proofErr w:type="spellEnd"/>
      <w:r w:rsidRPr="004C107A">
        <w:rPr>
          <w:rFonts w:asciiTheme="minorBidi" w:hAnsiTheme="minorBidi"/>
          <w:sz w:val="22"/>
          <w:szCs w:val="22"/>
        </w:rPr>
        <w:t>) is important to prevent chronic and acute complications in patients. Nurses can contribute to achieving this by educating patients about the process of insulin resistance and how small lifestyle modifications can have significant benefits for their health outcomes.</w:t>
      </w:r>
    </w:p>
    <w:p w14:paraId="4773AFA5" w14:textId="77777777" w:rsidR="00193EAD" w:rsidRPr="00DC585B" w:rsidRDefault="00193EAD" w:rsidP="00DC585B">
      <w:pPr>
        <w:spacing w:line="360" w:lineRule="auto"/>
        <w:jc w:val="both"/>
        <w:rPr>
          <w:rFonts w:asciiTheme="minorBidi" w:hAnsiTheme="minorBidi"/>
          <w:sz w:val="22"/>
          <w:szCs w:val="22"/>
        </w:rPr>
      </w:pPr>
    </w:p>
    <w:p w14:paraId="4553F194" w14:textId="1CF5E95B" w:rsidR="0055458F" w:rsidRPr="00DC585B" w:rsidRDefault="0055458F" w:rsidP="00DC585B">
      <w:pPr>
        <w:spacing w:line="360" w:lineRule="auto"/>
        <w:jc w:val="both"/>
        <w:rPr>
          <w:rFonts w:asciiTheme="minorBidi" w:hAnsiTheme="minorBidi"/>
          <w:b/>
          <w:bCs/>
          <w:sz w:val="22"/>
          <w:szCs w:val="22"/>
        </w:rPr>
      </w:pPr>
      <w:r w:rsidRPr="00DC585B">
        <w:rPr>
          <w:rFonts w:asciiTheme="minorBidi" w:hAnsiTheme="minorBidi"/>
          <w:b/>
          <w:bCs/>
          <w:sz w:val="22"/>
          <w:szCs w:val="22"/>
        </w:rPr>
        <w:t>3.</w:t>
      </w:r>
      <w:r w:rsidR="001E5E5B" w:rsidRPr="00DC585B">
        <w:rPr>
          <w:rFonts w:asciiTheme="minorBidi" w:hAnsiTheme="minorBidi"/>
          <w:b/>
          <w:bCs/>
          <w:sz w:val="22"/>
          <w:szCs w:val="22"/>
        </w:rPr>
        <w:t>0</w:t>
      </w:r>
      <w:r w:rsidRPr="00DC585B">
        <w:rPr>
          <w:rFonts w:asciiTheme="minorBidi" w:hAnsiTheme="minorBidi"/>
          <w:b/>
          <w:bCs/>
          <w:sz w:val="22"/>
          <w:szCs w:val="22"/>
        </w:rPr>
        <w:t xml:space="preserve"> Cellular Energy Production: Role of Oxygen and Glucose</w:t>
      </w:r>
    </w:p>
    <w:p w14:paraId="1A378294" w14:textId="77777777" w:rsidR="004C107A" w:rsidRPr="004C107A" w:rsidRDefault="004C107A" w:rsidP="00DC585B">
      <w:pPr>
        <w:spacing w:line="360" w:lineRule="auto"/>
        <w:jc w:val="both"/>
        <w:rPr>
          <w:rFonts w:asciiTheme="minorBidi" w:hAnsiTheme="minorBidi"/>
          <w:sz w:val="22"/>
          <w:szCs w:val="22"/>
        </w:rPr>
      </w:pPr>
      <w:r w:rsidRPr="004C107A">
        <w:rPr>
          <w:rFonts w:asciiTheme="minorBidi" w:hAnsiTheme="minorBidi"/>
          <w:sz w:val="22"/>
          <w:szCs w:val="22"/>
        </w:rPr>
        <w:t xml:space="preserve">At the cellular level, glucose is usually the final substrate that enters the tissue cells and converts to ATP (adenosine triphosphate) (Chaudry &amp; </w:t>
      </w:r>
      <w:proofErr w:type="spellStart"/>
      <w:r w:rsidRPr="004C107A">
        <w:rPr>
          <w:rFonts w:asciiTheme="minorBidi" w:hAnsiTheme="minorBidi"/>
          <w:sz w:val="22"/>
          <w:szCs w:val="22"/>
        </w:rPr>
        <w:t>Varacallo</w:t>
      </w:r>
      <w:proofErr w:type="spellEnd"/>
      <w:r w:rsidRPr="004C107A">
        <w:rPr>
          <w:rFonts w:asciiTheme="minorBidi" w:hAnsiTheme="minorBidi"/>
          <w:sz w:val="22"/>
          <w:szCs w:val="22"/>
        </w:rPr>
        <w:t xml:space="preserve">, 2023), while oxygen is key for the generation of ATP through oxidative phosphorylation (Rhodes &amp; </w:t>
      </w:r>
      <w:proofErr w:type="spellStart"/>
      <w:r w:rsidRPr="004C107A">
        <w:rPr>
          <w:rFonts w:asciiTheme="minorBidi" w:hAnsiTheme="minorBidi"/>
          <w:sz w:val="22"/>
          <w:szCs w:val="22"/>
        </w:rPr>
        <w:t>Varacallo</w:t>
      </w:r>
      <w:proofErr w:type="spellEnd"/>
      <w:r w:rsidRPr="004C107A">
        <w:rPr>
          <w:rFonts w:asciiTheme="minorBidi" w:hAnsiTheme="minorBidi"/>
          <w:sz w:val="22"/>
          <w:szCs w:val="22"/>
        </w:rPr>
        <w:t xml:space="preserve">, 2022). The process of aerobic respiration primarily occurs in the </w:t>
      </w:r>
      <w:proofErr w:type="gramStart"/>
      <w:r w:rsidRPr="004C107A">
        <w:rPr>
          <w:rFonts w:asciiTheme="minorBidi" w:hAnsiTheme="minorBidi"/>
          <w:sz w:val="22"/>
          <w:szCs w:val="22"/>
        </w:rPr>
        <w:t>mitochondria</w:t>
      </w:r>
      <w:proofErr w:type="gramEnd"/>
      <w:r w:rsidRPr="004C107A">
        <w:rPr>
          <w:rFonts w:asciiTheme="minorBidi" w:hAnsiTheme="minorBidi"/>
          <w:sz w:val="22"/>
          <w:szCs w:val="22"/>
        </w:rPr>
        <w:t xml:space="preserve"> and this process occurs in three key stages: glycolysis, the citric acid (Krebs) cycle and oxidative phosphorylation (Ahmad et al., 2023).</w:t>
      </w:r>
    </w:p>
    <w:p w14:paraId="5E99274E" w14:textId="77777777" w:rsidR="004C107A" w:rsidRPr="004C107A" w:rsidRDefault="004C107A" w:rsidP="00DC585B">
      <w:pPr>
        <w:spacing w:line="360" w:lineRule="auto"/>
        <w:jc w:val="both"/>
        <w:rPr>
          <w:rFonts w:asciiTheme="minorBidi" w:hAnsiTheme="minorBidi"/>
          <w:sz w:val="22"/>
          <w:szCs w:val="22"/>
        </w:rPr>
      </w:pPr>
      <w:r w:rsidRPr="004C107A">
        <w:rPr>
          <w:rFonts w:asciiTheme="minorBidi" w:hAnsiTheme="minorBidi"/>
          <w:sz w:val="22"/>
          <w:szCs w:val="22"/>
        </w:rPr>
        <w:t xml:space="preserve">During </w:t>
      </w:r>
      <w:r w:rsidRPr="004C107A">
        <w:rPr>
          <w:rFonts w:asciiTheme="minorBidi" w:hAnsiTheme="minorBidi"/>
          <w:b/>
          <w:bCs/>
          <w:i/>
          <w:iCs/>
          <w:sz w:val="22"/>
          <w:szCs w:val="22"/>
        </w:rPr>
        <w:t>glycolysis</w:t>
      </w:r>
      <w:r w:rsidRPr="004C107A">
        <w:rPr>
          <w:rFonts w:asciiTheme="minorBidi" w:hAnsiTheme="minorBidi"/>
          <w:sz w:val="22"/>
          <w:szCs w:val="22"/>
        </w:rPr>
        <w:t xml:space="preserve">, glucose is metabolised into two molecules of pyruvate, with an output of ATP and nicotinamide adenine dinucleotide (NADH) (Melkonian &amp; </w:t>
      </w:r>
      <w:proofErr w:type="spellStart"/>
      <w:r w:rsidRPr="004C107A">
        <w:rPr>
          <w:rFonts w:asciiTheme="minorBidi" w:hAnsiTheme="minorBidi"/>
          <w:sz w:val="22"/>
          <w:szCs w:val="22"/>
        </w:rPr>
        <w:t>Schury</w:t>
      </w:r>
      <w:proofErr w:type="spellEnd"/>
      <w:r w:rsidRPr="004C107A">
        <w:rPr>
          <w:rFonts w:asciiTheme="minorBidi" w:hAnsiTheme="minorBidi"/>
          <w:sz w:val="22"/>
          <w:szCs w:val="22"/>
        </w:rPr>
        <w:t xml:space="preserve">, 2023). During the </w:t>
      </w:r>
      <w:r w:rsidRPr="004C107A">
        <w:rPr>
          <w:rFonts w:asciiTheme="minorBidi" w:hAnsiTheme="minorBidi"/>
          <w:b/>
          <w:bCs/>
          <w:i/>
          <w:iCs/>
          <w:sz w:val="22"/>
          <w:szCs w:val="22"/>
        </w:rPr>
        <w:t>Krebs cycle</w:t>
      </w:r>
      <w:r w:rsidRPr="004C107A">
        <w:rPr>
          <w:rFonts w:asciiTheme="minorBidi" w:hAnsiTheme="minorBidi"/>
          <w:sz w:val="22"/>
          <w:szCs w:val="22"/>
        </w:rPr>
        <w:t>, each molecule of pyruvate is further oxidised into acetyl CoA and an extra molecule of NADH and CO</w:t>
      </w:r>
      <w:r w:rsidRPr="004C107A">
        <w:rPr>
          <w:rFonts w:ascii="Cambria Math" w:hAnsi="Cambria Math" w:cs="Cambria Math"/>
          <w:sz w:val="22"/>
          <w:szCs w:val="22"/>
        </w:rPr>
        <w:t>₂</w:t>
      </w:r>
      <w:r w:rsidRPr="004C107A">
        <w:rPr>
          <w:rFonts w:asciiTheme="minorBidi" w:hAnsiTheme="minorBidi"/>
          <w:sz w:val="22"/>
          <w:szCs w:val="22"/>
        </w:rPr>
        <w:t xml:space="preserve"> (Tarantino, 2022). The acetyl CoA is then used in the citric acid cycle, leading to the production of CO</w:t>
      </w:r>
      <w:r w:rsidRPr="004C107A">
        <w:rPr>
          <w:rFonts w:ascii="Cambria Math" w:hAnsi="Cambria Math" w:cs="Cambria Math"/>
          <w:sz w:val="22"/>
          <w:szCs w:val="22"/>
        </w:rPr>
        <w:t>₂</w:t>
      </w:r>
      <w:r w:rsidRPr="004C107A">
        <w:rPr>
          <w:rFonts w:asciiTheme="minorBidi" w:hAnsiTheme="minorBidi"/>
          <w:sz w:val="22"/>
          <w:szCs w:val="22"/>
        </w:rPr>
        <w:t>, NADH, flavin adenine dinucleotide (FADH</w:t>
      </w:r>
      <w:r w:rsidRPr="004C107A">
        <w:rPr>
          <w:rFonts w:ascii="Cambria Math" w:hAnsi="Cambria Math" w:cs="Cambria Math"/>
          <w:sz w:val="22"/>
          <w:szCs w:val="22"/>
        </w:rPr>
        <w:t>₂</w:t>
      </w:r>
      <w:r w:rsidRPr="004C107A">
        <w:rPr>
          <w:rFonts w:asciiTheme="minorBidi" w:hAnsiTheme="minorBidi"/>
          <w:sz w:val="22"/>
          <w:szCs w:val="22"/>
        </w:rPr>
        <w:t>) and ATP. The NADH and FADH</w:t>
      </w:r>
      <w:r w:rsidRPr="004C107A">
        <w:rPr>
          <w:rFonts w:ascii="Cambria Math" w:hAnsi="Cambria Math" w:cs="Cambria Math"/>
          <w:sz w:val="22"/>
          <w:szCs w:val="22"/>
        </w:rPr>
        <w:t>₂</w:t>
      </w:r>
      <w:r w:rsidRPr="004C107A">
        <w:rPr>
          <w:rFonts w:asciiTheme="minorBidi" w:hAnsiTheme="minorBidi"/>
          <w:sz w:val="22"/>
          <w:szCs w:val="22"/>
        </w:rPr>
        <w:t xml:space="preserve"> produced are subsequently used in oxidative phosphorylation to generate water and ATP, which are critical for cellular function, repair and homeostasis (Ahmad et al., 2023). Additionally, during </w:t>
      </w:r>
      <w:r w:rsidRPr="004C107A">
        <w:rPr>
          <w:rFonts w:asciiTheme="minorBidi" w:hAnsiTheme="minorBidi"/>
          <w:b/>
          <w:bCs/>
          <w:i/>
          <w:iCs/>
          <w:sz w:val="22"/>
          <w:szCs w:val="22"/>
        </w:rPr>
        <w:t>oxidative phosphorylation</w:t>
      </w:r>
      <w:r w:rsidRPr="004C107A">
        <w:rPr>
          <w:rFonts w:asciiTheme="minorBidi" w:hAnsiTheme="minorBidi"/>
          <w:sz w:val="22"/>
          <w:szCs w:val="22"/>
        </w:rPr>
        <w:t>, a series of oxidation-reduction reactions occur that involve the transfer of electrons from NADH and FADH</w:t>
      </w:r>
      <w:r w:rsidRPr="004C107A">
        <w:rPr>
          <w:rFonts w:ascii="Cambria Math" w:hAnsi="Cambria Math" w:cs="Cambria Math"/>
          <w:sz w:val="22"/>
          <w:szCs w:val="22"/>
        </w:rPr>
        <w:t>₂</w:t>
      </w:r>
      <w:r w:rsidRPr="004C107A">
        <w:rPr>
          <w:rFonts w:asciiTheme="minorBidi" w:hAnsiTheme="minorBidi"/>
          <w:sz w:val="22"/>
          <w:szCs w:val="22"/>
        </w:rPr>
        <w:t xml:space="preserve"> to oxygen across several protein, metal, and lipid complexes in the mitochondria known as the</w:t>
      </w:r>
      <w:r w:rsidRPr="004C107A">
        <w:rPr>
          <w:rFonts w:ascii="Arial" w:hAnsi="Arial" w:cs="Arial"/>
          <w:sz w:val="22"/>
          <w:szCs w:val="22"/>
        </w:rPr>
        <w:t> </w:t>
      </w:r>
      <w:r w:rsidRPr="004C107A">
        <w:rPr>
          <w:rFonts w:asciiTheme="minorBidi" w:hAnsiTheme="minorBidi"/>
          <w:sz w:val="22"/>
          <w:szCs w:val="22"/>
        </w:rPr>
        <w:t>electron transport chain</w:t>
      </w:r>
      <w:r w:rsidRPr="004C107A">
        <w:rPr>
          <w:rFonts w:ascii="Arial" w:hAnsi="Arial" w:cs="Arial"/>
          <w:sz w:val="22"/>
          <w:szCs w:val="22"/>
        </w:rPr>
        <w:t> </w:t>
      </w:r>
      <w:r w:rsidRPr="004C107A">
        <w:rPr>
          <w:rFonts w:asciiTheme="minorBidi" w:hAnsiTheme="minorBidi"/>
          <w:sz w:val="22"/>
          <w:szCs w:val="22"/>
        </w:rPr>
        <w:t>(ETC) (Deshpande &amp; Mohiuddin, 2023). Approximately 30-32 ATP molecules are generated during this process, which are critical for fuelling essential cellular activities and maintaining homeostasis (Deshpande &amp; Mohiuddin, 2023).</w:t>
      </w:r>
    </w:p>
    <w:p w14:paraId="3485B660" w14:textId="2C48465A" w:rsidR="004C107A" w:rsidRPr="004C107A" w:rsidRDefault="004C107A" w:rsidP="00DC585B">
      <w:pPr>
        <w:spacing w:line="360" w:lineRule="auto"/>
        <w:jc w:val="both"/>
        <w:rPr>
          <w:rFonts w:asciiTheme="minorBidi" w:hAnsiTheme="minorBidi"/>
          <w:sz w:val="22"/>
          <w:szCs w:val="22"/>
        </w:rPr>
      </w:pPr>
      <w:r w:rsidRPr="004C107A">
        <w:rPr>
          <w:rFonts w:asciiTheme="minorBidi" w:hAnsiTheme="minorBidi"/>
          <w:sz w:val="22"/>
          <w:szCs w:val="22"/>
        </w:rPr>
        <w:t>In patients with poorly controlled diabetes, the chronic exposure to high levels of pro-inflammatory factors, fatty acids and glucose inhibits ATP synthesis and impairs insulin secretion (</w:t>
      </w:r>
      <w:proofErr w:type="spellStart"/>
      <w:r w:rsidRPr="004C107A">
        <w:rPr>
          <w:rFonts w:asciiTheme="minorBidi" w:hAnsiTheme="minorBidi"/>
          <w:sz w:val="22"/>
          <w:szCs w:val="22"/>
        </w:rPr>
        <w:t>Giacca</w:t>
      </w:r>
      <w:proofErr w:type="spellEnd"/>
      <w:r w:rsidRPr="004C107A">
        <w:rPr>
          <w:rFonts w:asciiTheme="minorBidi" w:hAnsiTheme="minorBidi"/>
          <w:sz w:val="22"/>
          <w:szCs w:val="22"/>
        </w:rPr>
        <w:t xml:space="preserve"> et al., 2011). This reduction in ATP synthesis is usually accompanied by an increase in mitochondrial potential, triggering the production of excessive reactive oxygen species (ROS), which can cause oxidative stress that can impair insulin secretion (Wang et al., 2014). If left untreated, hyperglycaemia can lead to several life-threatening complications, </w:t>
      </w:r>
      <w:r w:rsidRPr="004C107A">
        <w:rPr>
          <w:rFonts w:asciiTheme="minorBidi" w:hAnsiTheme="minorBidi"/>
          <w:sz w:val="22"/>
          <w:szCs w:val="22"/>
        </w:rPr>
        <w:lastRenderedPageBreak/>
        <w:t xml:space="preserve">such as damage to the eyes, nerves, heart, kidneys and peripheral vascular system (Mouri &amp; </w:t>
      </w:r>
      <w:proofErr w:type="spellStart"/>
      <w:r w:rsidRPr="004C107A">
        <w:rPr>
          <w:rFonts w:asciiTheme="minorBidi" w:hAnsiTheme="minorBidi"/>
          <w:sz w:val="22"/>
          <w:szCs w:val="22"/>
        </w:rPr>
        <w:t>Badireddy</w:t>
      </w:r>
      <w:proofErr w:type="spellEnd"/>
      <w:r w:rsidRPr="004C107A">
        <w:rPr>
          <w:rFonts w:asciiTheme="minorBidi" w:hAnsiTheme="minorBidi"/>
          <w:sz w:val="22"/>
          <w:szCs w:val="22"/>
        </w:rPr>
        <w:t xml:space="preserve">, 2023). </w:t>
      </w:r>
    </w:p>
    <w:p w14:paraId="1E5A1FEC" w14:textId="33A9F562" w:rsidR="0055458F" w:rsidRPr="00DC585B" w:rsidRDefault="0055458F" w:rsidP="00DC585B">
      <w:pPr>
        <w:spacing w:line="360" w:lineRule="auto"/>
        <w:jc w:val="both"/>
        <w:rPr>
          <w:rFonts w:asciiTheme="minorBidi" w:hAnsiTheme="minorBidi"/>
          <w:sz w:val="22"/>
          <w:szCs w:val="22"/>
        </w:rPr>
      </w:pPr>
    </w:p>
    <w:p w14:paraId="1CADD92E" w14:textId="5A1DEA1B" w:rsidR="0055458F" w:rsidRPr="00DC585B" w:rsidRDefault="0055458F" w:rsidP="00DC585B">
      <w:pPr>
        <w:spacing w:line="360" w:lineRule="auto"/>
        <w:jc w:val="both"/>
        <w:rPr>
          <w:rFonts w:asciiTheme="minorBidi" w:hAnsiTheme="minorBidi"/>
          <w:b/>
          <w:bCs/>
          <w:sz w:val="22"/>
          <w:szCs w:val="22"/>
        </w:rPr>
      </w:pPr>
      <w:r w:rsidRPr="00DC585B">
        <w:rPr>
          <w:rFonts w:asciiTheme="minorBidi" w:hAnsiTheme="minorBidi"/>
          <w:b/>
          <w:bCs/>
          <w:sz w:val="22"/>
          <w:szCs w:val="22"/>
        </w:rPr>
        <w:t>4.</w:t>
      </w:r>
      <w:r w:rsidR="00C428D5" w:rsidRPr="00DC585B">
        <w:rPr>
          <w:rFonts w:asciiTheme="minorBidi" w:hAnsiTheme="minorBidi"/>
          <w:b/>
          <w:bCs/>
          <w:sz w:val="22"/>
          <w:szCs w:val="22"/>
        </w:rPr>
        <w:t>0</w:t>
      </w:r>
      <w:r w:rsidRPr="00DC585B">
        <w:rPr>
          <w:rFonts w:asciiTheme="minorBidi" w:hAnsiTheme="minorBidi"/>
          <w:b/>
          <w:bCs/>
          <w:sz w:val="22"/>
          <w:szCs w:val="22"/>
        </w:rPr>
        <w:t xml:space="preserve"> Recording and Tracking Blood Sugar Levels</w:t>
      </w:r>
    </w:p>
    <w:p w14:paraId="32684C6F" w14:textId="77777777" w:rsidR="004C107A" w:rsidRPr="004C107A" w:rsidRDefault="004C107A" w:rsidP="00DC585B">
      <w:pPr>
        <w:spacing w:line="360" w:lineRule="auto"/>
        <w:jc w:val="both"/>
        <w:rPr>
          <w:rFonts w:asciiTheme="minorBidi" w:hAnsiTheme="minorBidi"/>
          <w:sz w:val="22"/>
          <w:szCs w:val="22"/>
        </w:rPr>
      </w:pPr>
      <w:r w:rsidRPr="004C107A">
        <w:rPr>
          <w:rFonts w:asciiTheme="minorBidi" w:hAnsiTheme="minorBidi"/>
          <w:sz w:val="22"/>
          <w:szCs w:val="22"/>
        </w:rPr>
        <w:t>Individuals with diabetes generally require constant monitoring of their blood sugar levels to ensure the detection and prevention of hypoglycaemia and hyperglycaemia (</w:t>
      </w:r>
      <w:proofErr w:type="spellStart"/>
      <w:r w:rsidRPr="004C107A">
        <w:rPr>
          <w:rFonts w:asciiTheme="minorBidi" w:hAnsiTheme="minorBidi"/>
          <w:sz w:val="22"/>
          <w:szCs w:val="22"/>
        </w:rPr>
        <w:t>Thobari</w:t>
      </w:r>
      <w:proofErr w:type="spellEnd"/>
      <w:r w:rsidRPr="004C107A">
        <w:rPr>
          <w:rFonts w:asciiTheme="minorBidi" w:hAnsiTheme="minorBidi"/>
          <w:sz w:val="22"/>
          <w:szCs w:val="22"/>
        </w:rPr>
        <w:t>, 2023). Routine monitoring of blood sugar levels has been noted to be effective for effectively evaluating the efficacy of treatment measures, adjusting their insulin levels and reducing the risks of glycaemic events (NICE, 2023).</w:t>
      </w:r>
    </w:p>
    <w:p w14:paraId="66490966" w14:textId="77777777" w:rsidR="004C107A" w:rsidRPr="004C107A" w:rsidRDefault="004C107A" w:rsidP="00DC585B">
      <w:pPr>
        <w:spacing w:line="360" w:lineRule="auto"/>
        <w:jc w:val="both"/>
        <w:rPr>
          <w:rFonts w:asciiTheme="minorBidi" w:hAnsiTheme="minorBidi"/>
          <w:sz w:val="22"/>
          <w:szCs w:val="22"/>
        </w:rPr>
      </w:pPr>
      <w:r w:rsidRPr="004C107A">
        <w:rPr>
          <w:rFonts w:asciiTheme="minorBidi" w:hAnsiTheme="minorBidi"/>
          <w:sz w:val="22"/>
          <w:szCs w:val="22"/>
        </w:rPr>
        <w:t>To accurately record and track blood sugar levels, a range of tools can be used, including blood glucose meters, continuous glucose monitors and urine tests (</w:t>
      </w:r>
      <w:proofErr w:type="spellStart"/>
      <w:r w:rsidRPr="004C107A">
        <w:rPr>
          <w:rFonts w:asciiTheme="minorBidi" w:hAnsiTheme="minorBidi"/>
          <w:sz w:val="22"/>
          <w:szCs w:val="22"/>
        </w:rPr>
        <w:t>Thobari</w:t>
      </w:r>
      <w:proofErr w:type="spellEnd"/>
      <w:r w:rsidRPr="004C107A">
        <w:rPr>
          <w:rFonts w:asciiTheme="minorBidi" w:hAnsiTheme="minorBidi"/>
          <w:sz w:val="22"/>
          <w:szCs w:val="22"/>
        </w:rPr>
        <w:t>, 2023). Individuals with diabetes can use self-monitoring blood glucose measures to measure their blood sugar at home using glucometers (</w:t>
      </w:r>
      <w:proofErr w:type="spellStart"/>
      <w:r w:rsidRPr="004C107A">
        <w:rPr>
          <w:rFonts w:asciiTheme="minorBidi" w:hAnsiTheme="minorBidi"/>
          <w:sz w:val="22"/>
          <w:szCs w:val="22"/>
        </w:rPr>
        <w:t>Ewunetu</w:t>
      </w:r>
      <w:proofErr w:type="spellEnd"/>
      <w:r w:rsidRPr="004C107A">
        <w:rPr>
          <w:rFonts w:asciiTheme="minorBidi" w:hAnsiTheme="minorBidi"/>
          <w:sz w:val="22"/>
          <w:szCs w:val="22"/>
        </w:rPr>
        <w:t xml:space="preserve"> et al., 2025). Evidence indicates that self-monitoring blood glucose measures provides several benefits, including patient empowerment, enables providers to modify treatment decisions and help patients stay on target, as well as lowers the patients' risk of developing health challenges over time (Bhattad &amp; Pacifico, 2022; Pleus et al., 2022). Continuous glucose monitors can also be used to improve glycaemic control in adults with T2DM who use insulin. Continuous glucose monitors, which are small sensors inserted under the skin, provide sufficient, continuous and reliable recordings of blood sugar levels throughout the day (</w:t>
      </w:r>
      <w:proofErr w:type="spellStart"/>
      <w:r w:rsidRPr="004C107A">
        <w:rPr>
          <w:rFonts w:asciiTheme="minorBidi" w:hAnsiTheme="minorBidi"/>
          <w:sz w:val="22"/>
          <w:szCs w:val="22"/>
        </w:rPr>
        <w:t>Thobari</w:t>
      </w:r>
      <w:proofErr w:type="spellEnd"/>
      <w:r w:rsidRPr="004C107A">
        <w:rPr>
          <w:rFonts w:asciiTheme="minorBidi" w:hAnsiTheme="minorBidi"/>
          <w:sz w:val="22"/>
          <w:szCs w:val="22"/>
        </w:rPr>
        <w:t>, 2023). This tool is clinically important, as it helps care providers to quickly record blood glucose levels and record adjustments, if necessary (NICE, 2023). However, to ensure long-term control and management of blood glucose levels, HbA1c tests can be conducted to measure the glucose control levels of an individual. This test provides accurate information on the average blood sugar levels for 2-3 months, expressed as a percentage (Eyth et al., 2023). Overall, several studies have found that patients who routinely tracked and recorded their blood glucose levels have been able to identify patterns in the fluctuation of their blood glucose levels and the impact of diet, exercise and medications (Weinstock et al., 2020; Mathew et al., 2023). This can further enable such patients to increase their self-efficacy in diabetes management and reduce the risk of hypoglycaemic events and hospital admissions (NICE, 2023).</w:t>
      </w:r>
    </w:p>
    <w:p w14:paraId="1AFA8E69" w14:textId="77777777" w:rsidR="004C107A" w:rsidRPr="004C107A" w:rsidRDefault="004C107A" w:rsidP="00DC585B">
      <w:pPr>
        <w:spacing w:line="360" w:lineRule="auto"/>
        <w:jc w:val="both"/>
        <w:rPr>
          <w:rFonts w:asciiTheme="minorBidi" w:hAnsiTheme="minorBidi"/>
          <w:sz w:val="22"/>
          <w:szCs w:val="22"/>
        </w:rPr>
      </w:pPr>
      <w:r w:rsidRPr="004C107A">
        <w:rPr>
          <w:rFonts w:asciiTheme="minorBidi" w:hAnsiTheme="minorBidi"/>
          <w:sz w:val="22"/>
          <w:szCs w:val="22"/>
        </w:rPr>
        <w:t>From a nursing perspective, it is important that education is provided to patients on the importance of tracking and recording their blood sugar levels and how to use the different tools. It is also important that inequalities in the access and uptake of monitoring tools are addressed by identifying groups who have a lower uptake and engaging them to facilitate an increase in their access and use (NICE, 2023).</w:t>
      </w:r>
    </w:p>
    <w:p w14:paraId="5CF7F892" w14:textId="7B307068" w:rsidR="0055458F" w:rsidRPr="00DC585B" w:rsidRDefault="0055458F" w:rsidP="00DC585B">
      <w:pPr>
        <w:spacing w:line="360" w:lineRule="auto"/>
        <w:jc w:val="both"/>
        <w:rPr>
          <w:rFonts w:asciiTheme="minorBidi" w:hAnsiTheme="minorBidi"/>
          <w:sz w:val="22"/>
          <w:szCs w:val="22"/>
        </w:rPr>
      </w:pPr>
    </w:p>
    <w:p w14:paraId="5962CFCD" w14:textId="470EA54C" w:rsidR="00016ECE" w:rsidRPr="00DC585B" w:rsidRDefault="0055458F" w:rsidP="00DC585B">
      <w:pPr>
        <w:spacing w:line="360" w:lineRule="auto"/>
        <w:jc w:val="both"/>
        <w:rPr>
          <w:rFonts w:asciiTheme="minorBidi" w:hAnsiTheme="minorBidi"/>
          <w:b/>
          <w:bCs/>
          <w:sz w:val="22"/>
          <w:szCs w:val="22"/>
        </w:rPr>
      </w:pPr>
      <w:r w:rsidRPr="00DC585B">
        <w:rPr>
          <w:rFonts w:asciiTheme="minorBidi" w:hAnsiTheme="minorBidi"/>
          <w:b/>
          <w:bCs/>
          <w:sz w:val="22"/>
          <w:szCs w:val="22"/>
        </w:rPr>
        <w:t>5.</w:t>
      </w:r>
      <w:r w:rsidR="00016ECE" w:rsidRPr="00DC585B">
        <w:rPr>
          <w:rFonts w:asciiTheme="minorBidi" w:hAnsiTheme="minorBidi"/>
          <w:b/>
          <w:bCs/>
          <w:sz w:val="22"/>
          <w:szCs w:val="22"/>
        </w:rPr>
        <w:t>0</w:t>
      </w:r>
      <w:r w:rsidRPr="00DC585B">
        <w:rPr>
          <w:rFonts w:asciiTheme="minorBidi" w:hAnsiTheme="minorBidi"/>
          <w:b/>
          <w:bCs/>
          <w:sz w:val="22"/>
          <w:szCs w:val="22"/>
        </w:rPr>
        <w:t xml:space="preserve"> Lifestyle Factors and Evidence-Based Recommendations </w:t>
      </w:r>
    </w:p>
    <w:p w14:paraId="424D0A72" w14:textId="712ACD5D" w:rsidR="003525D6" w:rsidRPr="00DC585B" w:rsidRDefault="00B85D9C" w:rsidP="00DC585B">
      <w:pPr>
        <w:spacing w:line="360" w:lineRule="auto"/>
        <w:jc w:val="both"/>
        <w:rPr>
          <w:rFonts w:asciiTheme="minorBidi" w:hAnsiTheme="minorBidi"/>
          <w:sz w:val="22"/>
          <w:szCs w:val="22"/>
        </w:rPr>
      </w:pPr>
      <w:r w:rsidRPr="00DC585B">
        <w:rPr>
          <w:rFonts w:asciiTheme="minorBidi" w:hAnsiTheme="minorBidi"/>
          <w:sz w:val="22"/>
          <w:szCs w:val="22"/>
        </w:rPr>
        <w:t>While several medications have been designed for the management of diabetes, evidence suggests that following a diagnosis of this condition, it is important to consider lifestyle modifications to prevent the worsening of the disease (Hatami et al., 2023</w:t>
      </w:r>
      <w:r w:rsidR="00040E0C" w:rsidRPr="00DC585B">
        <w:rPr>
          <w:rFonts w:asciiTheme="minorBidi" w:hAnsiTheme="minorBidi"/>
          <w:sz w:val="22"/>
          <w:szCs w:val="22"/>
        </w:rPr>
        <w:t>; Patel &amp; Keyes, 2024</w:t>
      </w:r>
      <w:r w:rsidRPr="00DC585B">
        <w:rPr>
          <w:rFonts w:asciiTheme="minorBidi" w:hAnsiTheme="minorBidi"/>
          <w:sz w:val="22"/>
          <w:szCs w:val="22"/>
        </w:rPr>
        <w:t>).</w:t>
      </w:r>
      <w:r w:rsidR="0023481D" w:rsidRPr="00DC585B">
        <w:rPr>
          <w:rFonts w:asciiTheme="minorBidi" w:hAnsiTheme="minorBidi"/>
          <w:sz w:val="22"/>
          <w:szCs w:val="22"/>
        </w:rPr>
        <w:t xml:space="preserve"> Some of these lifestyle modifications include: </w:t>
      </w:r>
    </w:p>
    <w:p w14:paraId="5ADF5E47" w14:textId="58AE4297" w:rsidR="0023481D" w:rsidRPr="00DC585B" w:rsidRDefault="0023481D" w:rsidP="00DC585B">
      <w:pPr>
        <w:pStyle w:val="ListParagraph"/>
        <w:numPr>
          <w:ilvl w:val="0"/>
          <w:numId w:val="13"/>
        </w:numPr>
        <w:spacing w:line="360" w:lineRule="auto"/>
        <w:jc w:val="both"/>
        <w:rPr>
          <w:rFonts w:asciiTheme="minorBidi" w:hAnsiTheme="minorBidi"/>
          <w:b/>
          <w:bCs/>
          <w:sz w:val="22"/>
          <w:szCs w:val="22"/>
        </w:rPr>
      </w:pPr>
      <w:r w:rsidRPr="00DC585B">
        <w:rPr>
          <w:rFonts w:asciiTheme="minorBidi" w:hAnsiTheme="minorBidi"/>
          <w:b/>
          <w:bCs/>
          <w:sz w:val="22"/>
          <w:szCs w:val="22"/>
        </w:rPr>
        <w:t xml:space="preserve">Weight Loss: </w:t>
      </w:r>
    </w:p>
    <w:p w14:paraId="16F2B0C0" w14:textId="77777777" w:rsidR="004C107A" w:rsidRPr="004C107A" w:rsidRDefault="004C107A" w:rsidP="00DC585B">
      <w:pPr>
        <w:spacing w:line="360" w:lineRule="auto"/>
        <w:jc w:val="both"/>
        <w:rPr>
          <w:rFonts w:asciiTheme="minorBidi" w:hAnsiTheme="minorBidi"/>
          <w:sz w:val="22"/>
          <w:szCs w:val="22"/>
        </w:rPr>
      </w:pPr>
      <w:r w:rsidRPr="004C107A">
        <w:rPr>
          <w:rFonts w:asciiTheme="minorBidi" w:hAnsiTheme="minorBidi"/>
          <w:sz w:val="22"/>
          <w:szCs w:val="22"/>
        </w:rPr>
        <w:t>Weight loss has been identified as an effective lifestyle modification for the improvement of insulin secretion, including for patients with T2DM who are obese or overweight (Patel &amp; Keyes, 2024). Evidence from several studies supports the notion that there is a strong association between weight loss and a decreased risk of developing T2DM (Yun &amp; Ko, 2021). For instance, the studies by Kosaka et al. (2005) and Feldman et al. (2017) revealed that individuals with T2DM who were required to perform moderate-intensity physical activity and placed on a calorie-reduced and low-fat diet lost about 7% of their body weight over a year and this was linked to a considerable reduction in the incidence of diabetes.</w:t>
      </w:r>
    </w:p>
    <w:p w14:paraId="730C5C36" w14:textId="3D643B73" w:rsidR="00DC136D" w:rsidRPr="00DC585B" w:rsidRDefault="00DC136D" w:rsidP="00DC585B">
      <w:pPr>
        <w:pStyle w:val="ListParagraph"/>
        <w:numPr>
          <w:ilvl w:val="0"/>
          <w:numId w:val="13"/>
        </w:numPr>
        <w:spacing w:line="360" w:lineRule="auto"/>
        <w:jc w:val="both"/>
        <w:rPr>
          <w:rFonts w:asciiTheme="minorBidi" w:hAnsiTheme="minorBidi"/>
          <w:b/>
          <w:bCs/>
          <w:sz w:val="22"/>
          <w:szCs w:val="22"/>
        </w:rPr>
      </w:pPr>
      <w:r w:rsidRPr="00DC585B">
        <w:rPr>
          <w:rFonts w:asciiTheme="minorBidi" w:hAnsiTheme="minorBidi"/>
          <w:b/>
          <w:bCs/>
          <w:sz w:val="22"/>
          <w:szCs w:val="22"/>
        </w:rPr>
        <w:t>Physical Activity</w:t>
      </w:r>
    </w:p>
    <w:p w14:paraId="4C2355EB" w14:textId="77777777" w:rsidR="004C107A" w:rsidRPr="004C107A" w:rsidRDefault="004C107A" w:rsidP="00DC585B">
      <w:pPr>
        <w:spacing w:line="360" w:lineRule="auto"/>
        <w:jc w:val="both"/>
        <w:rPr>
          <w:rFonts w:asciiTheme="minorBidi" w:hAnsiTheme="minorBidi"/>
          <w:sz w:val="22"/>
          <w:szCs w:val="22"/>
        </w:rPr>
      </w:pPr>
      <w:r w:rsidRPr="004C107A">
        <w:rPr>
          <w:rFonts w:asciiTheme="minorBidi" w:hAnsiTheme="minorBidi"/>
          <w:sz w:val="22"/>
          <w:szCs w:val="22"/>
        </w:rPr>
        <w:t xml:space="preserve">Physical activity has also been found to be effective in preventing and managing T2DM. For instance, a Finnish study called the Diabetes Prevention Study placed some middle-aged adults who were overweight and had impaired glucose tolerance in an intervention group with the goal of 30 minutes or more of </w:t>
      </w:r>
      <w:proofErr w:type="gramStart"/>
      <w:r w:rsidRPr="004C107A">
        <w:rPr>
          <w:rFonts w:asciiTheme="minorBidi" w:hAnsiTheme="minorBidi"/>
          <w:sz w:val="22"/>
          <w:szCs w:val="22"/>
        </w:rPr>
        <w:t>moderate-intensity</w:t>
      </w:r>
      <w:proofErr w:type="gramEnd"/>
      <w:r w:rsidRPr="004C107A">
        <w:rPr>
          <w:rFonts w:asciiTheme="minorBidi" w:hAnsiTheme="minorBidi"/>
          <w:sz w:val="22"/>
          <w:szCs w:val="22"/>
        </w:rPr>
        <w:t xml:space="preserve"> exercise each day (Crandall et al., 2008). The study noted a marked reduction in the risk of developing T2DM in these individuals, leading to better health outcomes. Additionally, Yang et al. (2024), in their study, found that moderate and high levels of physical activity were linked with a lower risk of developing T2DM. The physiology surrounding glucose metabolism and physical activity supports these findings, as physical activity causes an increased uptake of glucose into muscles as they are actively used (Colberg et al., 2010).</w:t>
      </w:r>
    </w:p>
    <w:p w14:paraId="2DC5C22F" w14:textId="1124988B" w:rsidR="00B85D9C" w:rsidRPr="00DC585B" w:rsidRDefault="00237F61" w:rsidP="00DC585B">
      <w:pPr>
        <w:pStyle w:val="ListParagraph"/>
        <w:numPr>
          <w:ilvl w:val="0"/>
          <w:numId w:val="13"/>
        </w:numPr>
        <w:spacing w:line="360" w:lineRule="auto"/>
        <w:jc w:val="both"/>
        <w:rPr>
          <w:rFonts w:asciiTheme="minorBidi" w:hAnsiTheme="minorBidi"/>
          <w:b/>
          <w:bCs/>
          <w:sz w:val="22"/>
          <w:szCs w:val="22"/>
        </w:rPr>
      </w:pPr>
      <w:r w:rsidRPr="00DC585B">
        <w:rPr>
          <w:rFonts w:asciiTheme="minorBidi" w:hAnsiTheme="minorBidi"/>
          <w:b/>
          <w:bCs/>
          <w:sz w:val="22"/>
          <w:szCs w:val="22"/>
        </w:rPr>
        <w:t>Smoking Cessation</w:t>
      </w:r>
    </w:p>
    <w:p w14:paraId="61ADC054" w14:textId="77777777" w:rsidR="004C107A" w:rsidRPr="004C107A" w:rsidRDefault="004C107A" w:rsidP="00DC585B">
      <w:pPr>
        <w:spacing w:line="360" w:lineRule="auto"/>
        <w:jc w:val="both"/>
        <w:rPr>
          <w:rFonts w:asciiTheme="minorBidi" w:hAnsiTheme="minorBidi"/>
          <w:sz w:val="22"/>
          <w:szCs w:val="22"/>
        </w:rPr>
      </w:pPr>
      <w:r w:rsidRPr="004C107A">
        <w:rPr>
          <w:rFonts w:asciiTheme="minorBidi" w:hAnsiTheme="minorBidi"/>
          <w:sz w:val="22"/>
          <w:szCs w:val="22"/>
        </w:rPr>
        <w:t>Evidence indicates that exposure to cigarette smoke and its combustion by-products can lead to the activation of several pathways linked with the development and acceleration of diabetes complications (</w:t>
      </w:r>
      <w:proofErr w:type="spellStart"/>
      <w:r w:rsidRPr="004C107A">
        <w:rPr>
          <w:rFonts w:asciiTheme="minorBidi" w:hAnsiTheme="minorBidi"/>
          <w:sz w:val="22"/>
          <w:szCs w:val="22"/>
        </w:rPr>
        <w:t>Alnima</w:t>
      </w:r>
      <w:proofErr w:type="spellEnd"/>
      <w:r w:rsidRPr="004C107A">
        <w:rPr>
          <w:rFonts w:asciiTheme="minorBidi" w:hAnsiTheme="minorBidi"/>
          <w:sz w:val="22"/>
          <w:szCs w:val="22"/>
        </w:rPr>
        <w:t xml:space="preserve"> et al., 2023; Walicka et al., 2024). As a result, nursing-led interventions are recommended to facilitate smoking cessation, as this lifestyle modification is associated with decreased risks of myocardial infarction and ischaemic stroke, as well as reduced diabetic nephropathy (Walicka et al., 2024).</w:t>
      </w:r>
    </w:p>
    <w:p w14:paraId="7D07E429" w14:textId="24DD16D7" w:rsidR="00E76315" w:rsidRPr="00DC585B" w:rsidRDefault="00077524" w:rsidP="00DC585B">
      <w:pPr>
        <w:pStyle w:val="ListParagraph"/>
        <w:numPr>
          <w:ilvl w:val="0"/>
          <w:numId w:val="13"/>
        </w:numPr>
        <w:spacing w:line="360" w:lineRule="auto"/>
        <w:jc w:val="both"/>
        <w:rPr>
          <w:rFonts w:asciiTheme="minorBidi" w:hAnsiTheme="minorBidi"/>
          <w:b/>
          <w:bCs/>
          <w:sz w:val="22"/>
          <w:szCs w:val="22"/>
        </w:rPr>
      </w:pPr>
      <w:r w:rsidRPr="00DC585B">
        <w:rPr>
          <w:rFonts w:asciiTheme="minorBidi" w:hAnsiTheme="minorBidi"/>
          <w:b/>
          <w:bCs/>
          <w:sz w:val="22"/>
          <w:szCs w:val="22"/>
        </w:rPr>
        <w:lastRenderedPageBreak/>
        <w:t>Patient Education</w:t>
      </w:r>
      <w:r w:rsidR="00974CAD" w:rsidRPr="00DC585B">
        <w:rPr>
          <w:rFonts w:asciiTheme="minorBidi" w:hAnsiTheme="minorBidi"/>
          <w:b/>
          <w:bCs/>
          <w:sz w:val="22"/>
          <w:szCs w:val="22"/>
        </w:rPr>
        <w:t xml:space="preserve"> on Self-Management</w:t>
      </w:r>
    </w:p>
    <w:p w14:paraId="1F6B5447" w14:textId="77777777" w:rsidR="004C107A" w:rsidRPr="004C107A" w:rsidRDefault="004C107A" w:rsidP="00DC585B">
      <w:pPr>
        <w:spacing w:line="360" w:lineRule="auto"/>
        <w:jc w:val="both"/>
        <w:rPr>
          <w:rFonts w:asciiTheme="minorBidi" w:hAnsiTheme="minorBidi"/>
          <w:sz w:val="22"/>
          <w:szCs w:val="22"/>
        </w:rPr>
      </w:pPr>
      <w:r w:rsidRPr="004C107A">
        <w:rPr>
          <w:rFonts w:asciiTheme="minorBidi" w:hAnsiTheme="minorBidi"/>
          <w:sz w:val="22"/>
          <w:szCs w:val="22"/>
        </w:rPr>
        <w:t>A critical element of comprehensive diabetes care to facilitate lifestyle modification is self-management education (Maina et al., 2023). For instance, the structured diabetes self-management education programme, DESMOND (Diabetes Education and Self</w:t>
      </w:r>
      <w:r w:rsidRPr="004C107A">
        <w:rPr>
          <w:rFonts w:ascii="Cambria Math" w:hAnsi="Cambria Math" w:cs="Cambria Math"/>
          <w:sz w:val="22"/>
          <w:szCs w:val="22"/>
        </w:rPr>
        <w:t>‐</w:t>
      </w:r>
      <w:r w:rsidRPr="004C107A">
        <w:rPr>
          <w:rFonts w:asciiTheme="minorBidi" w:hAnsiTheme="minorBidi"/>
          <w:sz w:val="22"/>
          <w:szCs w:val="22"/>
        </w:rPr>
        <w:t>Management for Ongoing and Newly Diagnosed), has been found to be effective for improving health outcomes for patients. The study by Scannell et al. (2025) on the administration of DESMOND by a registered dietitian in a primary care setting for 6 months resulted in better glycaemic control and clinically significant improvements in BMI and weight. According to the NHS (2024), the DESMOND programme helps people improve their diabetes, maintain a healthy weight, reduce stress and tiredness and reduce the amount of medication needed.</w:t>
      </w:r>
    </w:p>
    <w:p w14:paraId="09E3F07F" w14:textId="77777777" w:rsidR="004C107A" w:rsidRPr="00DC585B" w:rsidRDefault="004C107A" w:rsidP="00DC585B">
      <w:pPr>
        <w:spacing w:line="360" w:lineRule="auto"/>
        <w:jc w:val="both"/>
        <w:rPr>
          <w:rFonts w:asciiTheme="minorBidi" w:hAnsiTheme="minorBidi"/>
          <w:sz w:val="22"/>
          <w:szCs w:val="22"/>
        </w:rPr>
      </w:pPr>
    </w:p>
    <w:p w14:paraId="4B780E85" w14:textId="0D7EF067" w:rsidR="0055458F" w:rsidRPr="00DC585B" w:rsidRDefault="0055458F" w:rsidP="00DC585B">
      <w:pPr>
        <w:spacing w:line="360" w:lineRule="auto"/>
        <w:jc w:val="both"/>
        <w:rPr>
          <w:rFonts w:asciiTheme="minorBidi" w:hAnsiTheme="minorBidi"/>
          <w:b/>
          <w:bCs/>
          <w:sz w:val="22"/>
          <w:szCs w:val="22"/>
        </w:rPr>
      </w:pPr>
      <w:r w:rsidRPr="00DC585B">
        <w:rPr>
          <w:rFonts w:asciiTheme="minorBidi" w:hAnsiTheme="minorBidi"/>
          <w:b/>
          <w:bCs/>
          <w:sz w:val="22"/>
          <w:szCs w:val="22"/>
        </w:rPr>
        <w:t>6.</w:t>
      </w:r>
      <w:r w:rsidR="00D73777" w:rsidRPr="00DC585B">
        <w:rPr>
          <w:rFonts w:asciiTheme="minorBidi" w:hAnsiTheme="minorBidi"/>
          <w:b/>
          <w:bCs/>
          <w:sz w:val="22"/>
          <w:szCs w:val="22"/>
        </w:rPr>
        <w:t xml:space="preserve">0 </w:t>
      </w:r>
      <w:r w:rsidRPr="00DC585B">
        <w:rPr>
          <w:rFonts w:asciiTheme="minorBidi" w:hAnsiTheme="minorBidi"/>
          <w:b/>
          <w:bCs/>
          <w:sz w:val="22"/>
          <w:szCs w:val="22"/>
        </w:rPr>
        <w:t>Conclusion</w:t>
      </w:r>
    </w:p>
    <w:p w14:paraId="574280E4" w14:textId="2E140624" w:rsidR="00752F3F" w:rsidRPr="00752F3F" w:rsidRDefault="00752F3F" w:rsidP="00DC585B">
      <w:pPr>
        <w:spacing w:line="360" w:lineRule="auto"/>
        <w:jc w:val="both"/>
        <w:rPr>
          <w:rFonts w:asciiTheme="minorBidi" w:hAnsiTheme="minorBidi"/>
          <w:sz w:val="22"/>
          <w:szCs w:val="22"/>
        </w:rPr>
      </w:pPr>
      <w:r w:rsidRPr="00752F3F">
        <w:rPr>
          <w:rFonts w:asciiTheme="minorBidi" w:hAnsiTheme="minorBidi"/>
          <w:sz w:val="22"/>
          <w:szCs w:val="22"/>
        </w:rPr>
        <w:t xml:space="preserve">Diabetes mellitus continues to present significant challenges in the </w:t>
      </w:r>
      <w:proofErr w:type="gramStart"/>
      <w:r w:rsidRPr="00752F3F">
        <w:rPr>
          <w:rFonts w:asciiTheme="minorBidi" w:hAnsiTheme="minorBidi"/>
          <w:sz w:val="22"/>
          <w:szCs w:val="22"/>
        </w:rPr>
        <w:t>UK</w:t>
      </w:r>
      <w:proofErr w:type="gramEnd"/>
      <w:r w:rsidRPr="00752F3F">
        <w:rPr>
          <w:rFonts w:asciiTheme="minorBidi" w:hAnsiTheme="minorBidi"/>
          <w:sz w:val="22"/>
          <w:szCs w:val="22"/>
        </w:rPr>
        <w:t xml:space="preserve"> and this </w:t>
      </w:r>
      <w:r w:rsidR="00770043">
        <w:rPr>
          <w:rFonts w:asciiTheme="minorBidi" w:hAnsiTheme="minorBidi"/>
          <w:sz w:val="22"/>
          <w:szCs w:val="22"/>
        </w:rPr>
        <w:t>challenge</w:t>
      </w:r>
      <w:r w:rsidRPr="00752F3F">
        <w:rPr>
          <w:rFonts w:asciiTheme="minorBidi" w:hAnsiTheme="minorBidi"/>
          <w:sz w:val="22"/>
          <w:szCs w:val="22"/>
        </w:rPr>
        <w:t xml:space="preserve"> continues to rise due to increasing obesity and sedentary lifestyles. Several factors predispose individuals to the development and worsening of diabetes,</w:t>
      </w:r>
      <w:r w:rsidRPr="00DC585B">
        <w:rPr>
          <w:rFonts w:asciiTheme="minorBidi" w:hAnsiTheme="minorBidi"/>
          <w:sz w:val="22"/>
          <w:szCs w:val="22"/>
        </w:rPr>
        <w:t xml:space="preserve"> </w:t>
      </w:r>
      <w:r w:rsidRPr="00752F3F">
        <w:rPr>
          <w:rFonts w:asciiTheme="minorBidi" w:hAnsiTheme="minorBidi"/>
          <w:sz w:val="22"/>
          <w:szCs w:val="22"/>
        </w:rPr>
        <w:t>including obesity, sedentary lifestyle, poor diet, smoking and ageing. As a result, it is clinically important to understand the physiological regulation of blood glucose levels to inform nursing practice and enhance patient education, especially for self-management. Monitoring tools such as HbA1c blood glucose meters, continuous glucose monitors and urine tests are noted to be effective for obtaining accurate blood sugar levels, enhancing the capacity of nurses to personalise care plans to prevent glycaemic risks in patients. Additionally, lifestyle modifications such as increased physical activity, weight loss, smoking cessation and patient education are important for improving the health outcomes of people with diabetes.</w:t>
      </w:r>
    </w:p>
    <w:p w14:paraId="4908C16D" w14:textId="226351B6" w:rsidR="004E081D" w:rsidRPr="00DC585B" w:rsidRDefault="004E081D" w:rsidP="00DC585B">
      <w:pPr>
        <w:spacing w:line="360" w:lineRule="auto"/>
        <w:jc w:val="both"/>
        <w:rPr>
          <w:rFonts w:asciiTheme="minorBidi" w:hAnsiTheme="minorBidi"/>
          <w:sz w:val="22"/>
          <w:szCs w:val="22"/>
        </w:rPr>
      </w:pPr>
    </w:p>
    <w:p w14:paraId="2175487B" w14:textId="5CA1B735" w:rsidR="00F32E9B" w:rsidRPr="00DC585B" w:rsidRDefault="00F32E9B" w:rsidP="00DC585B">
      <w:pPr>
        <w:numPr>
          <w:ilvl w:val="0"/>
          <w:numId w:val="10"/>
        </w:numPr>
        <w:spacing w:line="360" w:lineRule="auto"/>
        <w:jc w:val="both"/>
        <w:rPr>
          <w:rFonts w:asciiTheme="minorBidi" w:hAnsiTheme="minorBidi"/>
          <w:sz w:val="22"/>
          <w:szCs w:val="22"/>
        </w:rPr>
      </w:pPr>
      <w:r w:rsidRPr="00DC585B">
        <w:rPr>
          <w:rFonts w:asciiTheme="minorBidi" w:hAnsiTheme="minorBidi"/>
          <w:b/>
          <w:bCs/>
          <w:i/>
          <w:iCs/>
          <w:sz w:val="22"/>
          <w:szCs w:val="22"/>
        </w:rPr>
        <w:br w:type="page"/>
      </w:r>
    </w:p>
    <w:p w14:paraId="7F98E044" w14:textId="4A79105B" w:rsidR="008F314C" w:rsidRPr="00DC585B" w:rsidRDefault="0055458F" w:rsidP="00DC585B">
      <w:pPr>
        <w:spacing w:line="360" w:lineRule="auto"/>
        <w:jc w:val="both"/>
        <w:rPr>
          <w:rFonts w:asciiTheme="minorBidi" w:hAnsiTheme="minorBidi"/>
          <w:b/>
          <w:bCs/>
          <w:sz w:val="22"/>
          <w:szCs w:val="22"/>
        </w:rPr>
      </w:pPr>
      <w:r w:rsidRPr="00DC585B">
        <w:rPr>
          <w:rFonts w:asciiTheme="minorBidi" w:hAnsiTheme="minorBidi"/>
          <w:b/>
          <w:bCs/>
          <w:sz w:val="22"/>
          <w:szCs w:val="22"/>
        </w:rPr>
        <w:lastRenderedPageBreak/>
        <w:t>References</w:t>
      </w:r>
    </w:p>
    <w:p w14:paraId="5E867BFC"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Ahmad, M., Kahwaji, C.I. and Wolberg, A. (2023). </w:t>
      </w:r>
      <w:r w:rsidRPr="00DC585B">
        <w:rPr>
          <w:rFonts w:asciiTheme="minorBidi" w:hAnsiTheme="minorBidi"/>
          <w:i/>
          <w:iCs/>
          <w:sz w:val="22"/>
          <w:szCs w:val="22"/>
        </w:rPr>
        <w:t>Biochemistry, Electron Transport Chain</w:t>
      </w:r>
      <w:r w:rsidRPr="00DC585B">
        <w:rPr>
          <w:rFonts w:asciiTheme="minorBidi" w:hAnsiTheme="minorBidi"/>
          <w:sz w:val="22"/>
          <w:szCs w:val="22"/>
        </w:rPr>
        <w:t xml:space="preserve">. [online] PubMed. Available at: </w:t>
      </w:r>
      <w:hyperlink r:id="rId9" w:history="1">
        <w:r w:rsidRPr="00DC585B">
          <w:rPr>
            <w:rStyle w:val="Hyperlink"/>
            <w:rFonts w:asciiTheme="minorBidi" w:hAnsiTheme="minorBidi"/>
            <w:sz w:val="22"/>
            <w:szCs w:val="22"/>
          </w:rPr>
          <w:t>https://www.ncbi.nlm.nih.gov/books/NBK526105/</w:t>
        </w:r>
      </w:hyperlink>
      <w:r w:rsidRPr="00DC585B">
        <w:rPr>
          <w:rFonts w:asciiTheme="minorBidi" w:hAnsiTheme="minorBidi"/>
          <w:sz w:val="22"/>
          <w:szCs w:val="22"/>
        </w:rPr>
        <w:t xml:space="preserve"> (Accessed 9th October 2025)</w:t>
      </w:r>
    </w:p>
    <w:p w14:paraId="684F5467" w14:textId="77777777" w:rsidR="00770043" w:rsidRPr="00DC585B" w:rsidRDefault="00770043" w:rsidP="00DC585B">
      <w:pPr>
        <w:spacing w:line="360" w:lineRule="auto"/>
        <w:jc w:val="both"/>
        <w:rPr>
          <w:rFonts w:asciiTheme="minorBidi" w:hAnsiTheme="minorBidi"/>
          <w:sz w:val="22"/>
          <w:szCs w:val="22"/>
        </w:rPr>
      </w:pPr>
      <w:proofErr w:type="spellStart"/>
      <w:r w:rsidRPr="006F1144">
        <w:rPr>
          <w:rFonts w:asciiTheme="minorBidi" w:hAnsiTheme="minorBidi"/>
          <w:sz w:val="22"/>
          <w:szCs w:val="22"/>
        </w:rPr>
        <w:t>Alnima</w:t>
      </w:r>
      <w:proofErr w:type="spellEnd"/>
      <w:r w:rsidRPr="006F1144">
        <w:rPr>
          <w:rFonts w:asciiTheme="minorBidi" w:hAnsiTheme="minorBidi"/>
          <w:sz w:val="22"/>
          <w:szCs w:val="22"/>
        </w:rPr>
        <w:t xml:space="preserve">, </w:t>
      </w:r>
      <w:r w:rsidRPr="00DC585B">
        <w:rPr>
          <w:rFonts w:asciiTheme="minorBidi" w:hAnsiTheme="minorBidi"/>
          <w:sz w:val="22"/>
          <w:szCs w:val="22"/>
        </w:rPr>
        <w:t xml:space="preserve">T., </w:t>
      </w:r>
      <w:r w:rsidRPr="006F1144">
        <w:rPr>
          <w:rFonts w:asciiTheme="minorBidi" w:hAnsiTheme="minorBidi"/>
          <w:sz w:val="22"/>
          <w:szCs w:val="22"/>
        </w:rPr>
        <w:t xml:space="preserve">Meijer, R.I., Henri, </w:t>
      </w:r>
      <w:proofErr w:type="spellStart"/>
      <w:r w:rsidRPr="006F1144">
        <w:rPr>
          <w:rFonts w:asciiTheme="minorBidi" w:hAnsiTheme="minorBidi"/>
          <w:sz w:val="22"/>
          <w:szCs w:val="22"/>
        </w:rPr>
        <w:t>Warlé</w:t>
      </w:r>
      <w:proofErr w:type="spellEnd"/>
      <w:r w:rsidRPr="006F1144">
        <w:rPr>
          <w:rFonts w:asciiTheme="minorBidi" w:hAnsiTheme="minorBidi"/>
          <w:sz w:val="22"/>
          <w:szCs w:val="22"/>
        </w:rPr>
        <w:t>, M.C. and Hugo Ten Cate (2023). Diabetes- versus smoking-related thrombo-inflammation in peripheral artery disease. </w:t>
      </w:r>
      <w:r w:rsidRPr="006F1144">
        <w:rPr>
          <w:rFonts w:asciiTheme="minorBidi" w:hAnsiTheme="minorBidi"/>
          <w:i/>
          <w:iCs/>
          <w:sz w:val="22"/>
          <w:szCs w:val="22"/>
        </w:rPr>
        <w:t>Cardiovascular Diabetology</w:t>
      </w:r>
      <w:r w:rsidRPr="006F1144">
        <w:rPr>
          <w:rFonts w:asciiTheme="minorBidi" w:hAnsiTheme="minorBidi"/>
          <w:sz w:val="22"/>
          <w:szCs w:val="22"/>
        </w:rPr>
        <w:t xml:space="preserve">, 22(1). </w:t>
      </w:r>
      <w:r w:rsidRPr="00DC585B">
        <w:rPr>
          <w:rFonts w:asciiTheme="minorBidi" w:hAnsiTheme="minorBidi"/>
          <w:sz w:val="22"/>
          <w:szCs w:val="22"/>
        </w:rPr>
        <w:t>Available at</w:t>
      </w:r>
      <w:r w:rsidRPr="006F1144">
        <w:rPr>
          <w:rFonts w:asciiTheme="minorBidi" w:hAnsiTheme="minorBidi"/>
          <w:sz w:val="22"/>
          <w:szCs w:val="22"/>
        </w:rPr>
        <w:t>:</w:t>
      </w:r>
      <w:r w:rsidRPr="00DC585B">
        <w:rPr>
          <w:rFonts w:asciiTheme="minorBidi" w:hAnsiTheme="minorBidi"/>
          <w:sz w:val="22"/>
          <w:szCs w:val="22"/>
        </w:rPr>
        <w:t xml:space="preserve"> </w:t>
      </w:r>
      <w:hyperlink r:id="rId10" w:history="1">
        <w:r w:rsidRPr="006F1144">
          <w:rPr>
            <w:rStyle w:val="Hyperlink"/>
            <w:rFonts w:asciiTheme="minorBidi" w:hAnsiTheme="minorBidi"/>
            <w:sz w:val="22"/>
            <w:szCs w:val="22"/>
          </w:rPr>
          <w:t>https://doi.org/10.1186/s12933-023-01990-6</w:t>
        </w:r>
      </w:hyperlink>
      <w:r w:rsidRPr="00DC585B">
        <w:rPr>
          <w:rFonts w:asciiTheme="minorBidi" w:hAnsiTheme="minorBidi"/>
          <w:sz w:val="22"/>
          <w:szCs w:val="22"/>
        </w:rPr>
        <w:t xml:space="preserve"> (Accessed 10th October 2025)</w:t>
      </w:r>
    </w:p>
    <w:p w14:paraId="4665D5CC"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American Diabetes Association Professional Practice Committee. (2022). Addendum. 11. Chronic Kidney Disease and Risk Management: Standards of Medical Care in Diabetes–2022: Diabetes Care 2022;45(Suppl. 1</w:t>
      </w:r>
      <w:proofErr w:type="gramStart"/>
      <w:r w:rsidRPr="00DC585B">
        <w:rPr>
          <w:rFonts w:asciiTheme="minorBidi" w:hAnsiTheme="minorBidi"/>
          <w:sz w:val="22"/>
          <w:szCs w:val="22"/>
        </w:rPr>
        <w:t>):S</w:t>
      </w:r>
      <w:proofErr w:type="gramEnd"/>
      <w:r w:rsidRPr="00DC585B">
        <w:rPr>
          <w:rFonts w:asciiTheme="minorBidi" w:hAnsiTheme="minorBidi"/>
          <w:sz w:val="22"/>
          <w:szCs w:val="22"/>
        </w:rPr>
        <w:t>175–S184. (2022). </w:t>
      </w:r>
      <w:r w:rsidRPr="00DC585B">
        <w:rPr>
          <w:rFonts w:asciiTheme="minorBidi" w:hAnsiTheme="minorBidi"/>
          <w:i/>
          <w:iCs/>
          <w:sz w:val="22"/>
          <w:szCs w:val="22"/>
        </w:rPr>
        <w:t>Diabetes Care</w:t>
      </w:r>
      <w:r w:rsidRPr="00DC585B">
        <w:rPr>
          <w:rFonts w:asciiTheme="minorBidi" w:hAnsiTheme="minorBidi"/>
          <w:sz w:val="22"/>
          <w:szCs w:val="22"/>
        </w:rPr>
        <w:t xml:space="preserve">. Available at: </w:t>
      </w:r>
      <w:hyperlink r:id="rId11" w:history="1">
        <w:r w:rsidRPr="00DC585B">
          <w:rPr>
            <w:rStyle w:val="Hyperlink"/>
            <w:rFonts w:asciiTheme="minorBidi" w:hAnsiTheme="minorBidi"/>
            <w:sz w:val="22"/>
            <w:szCs w:val="22"/>
          </w:rPr>
          <w:t>https://doi.org/10.2337/dc22-ad08a</w:t>
        </w:r>
      </w:hyperlink>
      <w:r w:rsidRPr="00DC585B">
        <w:rPr>
          <w:rFonts w:asciiTheme="minorBidi" w:hAnsiTheme="minorBidi"/>
          <w:sz w:val="22"/>
          <w:szCs w:val="22"/>
        </w:rPr>
        <w:t xml:space="preserve"> (Accessed 9th October 2025)</w:t>
      </w:r>
    </w:p>
    <w:p w14:paraId="4BC7DFE8"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 xml:space="preserve">Antar, S.A., Ashour, N.A., </w:t>
      </w:r>
      <w:proofErr w:type="spellStart"/>
      <w:r w:rsidRPr="00DC585B">
        <w:rPr>
          <w:rFonts w:asciiTheme="minorBidi" w:hAnsiTheme="minorBidi"/>
          <w:sz w:val="22"/>
          <w:szCs w:val="22"/>
        </w:rPr>
        <w:t>Sharaky</w:t>
      </w:r>
      <w:proofErr w:type="spellEnd"/>
      <w:r w:rsidRPr="00DC585B">
        <w:rPr>
          <w:rFonts w:asciiTheme="minorBidi" w:hAnsiTheme="minorBidi"/>
          <w:sz w:val="22"/>
          <w:szCs w:val="22"/>
        </w:rPr>
        <w:t xml:space="preserve">, M., Khattab, M., Ashour, N.A., Zaid, R.T., Roh, E.J., </w:t>
      </w:r>
      <w:proofErr w:type="spellStart"/>
      <w:r w:rsidRPr="00DC585B">
        <w:rPr>
          <w:rFonts w:asciiTheme="minorBidi" w:hAnsiTheme="minorBidi"/>
          <w:sz w:val="22"/>
          <w:szCs w:val="22"/>
        </w:rPr>
        <w:t>Elkamhawy</w:t>
      </w:r>
      <w:proofErr w:type="spellEnd"/>
      <w:r w:rsidRPr="00DC585B">
        <w:rPr>
          <w:rFonts w:asciiTheme="minorBidi" w:hAnsiTheme="minorBidi"/>
          <w:sz w:val="22"/>
          <w:szCs w:val="22"/>
        </w:rPr>
        <w:t>, A. and Al-</w:t>
      </w:r>
      <w:proofErr w:type="spellStart"/>
      <w:r w:rsidRPr="00DC585B">
        <w:rPr>
          <w:rFonts w:asciiTheme="minorBidi" w:hAnsiTheme="minorBidi"/>
          <w:sz w:val="22"/>
          <w:szCs w:val="22"/>
        </w:rPr>
        <w:t>Karmalawy</w:t>
      </w:r>
      <w:proofErr w:type="spellEnd"/>
      <w:r w:rsidRPr="00DC585B">
        <w:rPr>
          <w:rFonts w:asciiTheme="minorBidi" w:hAnsiTheme="minorBidi"/>
          <w:sz w:val="22"/>
          <w:szCs w:val="22"/>
        </w:rPr>
        <w:t>, A.A. (2023). Diabetes mellitus: Classification, mediators, and complications; A gate to identify potential targets for the development of new effective treatments. </w:t>
      </w:r>
      <w:r w:rsidRPr="00DC585B">
        <w:rPr>
          <w:rFonts w:asciiTheme="minorBidi" w:hAnsiTheme="minorBidi"/>
          <w:i/>
          <w:iCs/>
          <w:sz w:val="22"/>
          <w:szCs w:val="22"/>
        </w:rPr>
        <w:t>Biomedicine &amp; Pharmacotherapy</w:t>
      </w:r>
      <w:r w:rsidRPr="00DC585B">
        <w:rPr>
          <w:rFonts w:asciiTheme="minorBidi" w:hAnsiTheme="minorBidi"/>
          <w:sz w:val="22"/>
          <w:szCs w:val="22"/>
        </w:rPr>
        <w:t xml:space="preserve">, [online] 168, p.115734. Available at: </w:t>
      </w:r>
      <w:hyperlink r:id="rId12" w:history="1">
        <w:r w:rsidRPr="00DC585B">
          <w:rPr>
            <w:rStyle w:val="Hyperlink"/>
            <w:rFonts w:asciiTheme="minorBidi" w:hAnsiTheme="minorBidi"/>
            <w:sz w:val="22"/>
            <w:szCs w:val="22"/>
          </w:rPr>
          <w:t>https://doi.org/10.1016/j.biopha.2023.115734</w:t>
        </w:r>
      </w:hyperlink>
      <w:r w:rsidRPr="00DC585B">
        <w:rPr>
          <w:rFonts w:asciiTheme="minorBidi" w:hAnsiTheme="minorBidi"/>
          <w:sz w:val="22"/>
          <w:szCs w:val="22"/>
        </w:rPr>
        <w:t xml:space="preserve"> (Accessed 8th October 2025)</w:t>
      </w:r>
    </w:p>
    <w:p w14:paraId="4DE5973B"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Bhattad, P. and Pacifico, L. (2022). Empowering patients: Promoting Patient Education and Health Literacy. </w:t>
      </w:r>
      <w:r w:rsidRPr="00DC585B">
        <w:rPr>
          <w:rFonts w:asciiTheme="minorBidi" w:hAnsiTheme="minorBidi"/>
          <w:i/>
          <w:iCs/>
          <w:sz w:val="22"/>
          <w:szCs w:val="22"/>
        </w:rPr>
        <w:t>Cureus</w:t>
      </w:r>
      <w:r w:rsidRPr="00DC585B">
        <w:rPr>
          <w:rFonts w:asciiTheme="minorBidi" w:hAnsiTheme="minorBidi"/>
          <w:sz w:val="22"/>
          <w:szCs w:val="22"/>
        </w:rPr>
        <w:t xml:space="preserve">, [online] 14(7). Available at: </w:t>
      </w:r>
      <w:hyperlink r:id="rId13" w:history="1">
        <w:r w:rsidRPr="00DC585B">
          <w:rPr>
            <w:rStyle w:val="Hyperlink"/>
            <w:rFonts w:asciiTheme="minorBidi" w:hAnsiTheme="minorBidi"/>
            <w:sz w:val="22"/>
            <w:szCs w:val="22"/>
          </w:rPr>
          <w:t>https://doi.org/10.7759/cureus.27336</w:t>
        </w:r>
      </w:hyperlink>
      <w:r w:rsidRPr="00DC585B">
        <w:rPr>
          <w:rFonts w:asciiTheme="minorBidi" w:hAnsiTheme="minorBidi"/>
          <w:sz w:val="22"/>
          <w:szCs w:val="22"/>
        </w:rPr>
        <w:t xml:space="preserve"> (Accessed 9th October 2025)</w:t>
      </w:r>
    </w:p>
    <w:p w14:paraId="7BE78500"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Cerf, M.E. (2013). Beta Cell Dysfunction and Insulin Resistance. </w:t>
      </w:r>
      <w:r w:rsidRPr="00DC585B">
        <w:rPr>
          <w:rFonts w:asciiTheme="minorBidi" w:hAnsiTheme="minorBidi"/>
          <w:i/>
          <w:iCs/>
          <w:sz w:val="22"/>
          <w:szCs w:val="22"/>
        </w:rPr>
        <w:t>Frontiers in Endocrinology</w:t>
      </w:r>
      <w:r w:rsidRPr="00DC585B">
        <w:rPr>
          <w:rFonts w:asciiTheme="minorBidi" w:hAnsiTheme="minorBidi"/>
          <w:sz w:val="22"/>
          <w:szCs w:val="22"/>
        </w:rPr>
        <w:t xml:space="preserve">, 4(37). Available at: </w:t>
      </w:r>
      <w:hyperlink r:id="rId14" w:history="1">
        <w:r w:rsidRPr="00DC585B">
          <w:rPr>
            <w:rStyle w:val="Hyperlink"/>
            <w:rFonts w:asciiTheme="minorBidi" w:hAnsiTheme="minorBidi"/>
            <w:sz w:val="22"/>
            <w:szCs w:val="22"/>
          </w:rPr>
          <w:t>https://doi.org/10.3389/fendo.2013.00037</w:t>
        </w:r>
      </w:hyperlink>
      <w:r w:rsidRPr="00DC585B">
        <w:rPr>
          <w:rFonts w:asciiTheme="minorBidi" w:hAnsiTheme="minorBidi"/>
          <w:sz w:val="22"/>
          <w:szCs w:val="22"/>
        </w:rPr>
        <w:t xml:space="preserve"> (Accessed 9th October 2025)</w:t>
      </w:r>
    </w:p>
    <w:p w14:paraId="7BE657A5"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 xml:space="preserve">Chaudhry, R. and </w:t>
      </w:r>
      <w:proofErr w:type="spellStart"/>
      <w:r w:rsidRPr="00DC585B">
        <w:rPr>
          <w:rFonts w:asciiTheme="minorBidi" w:hAnsiTheme="minorBidi"/>
          <w:sz w:val="22"/>
          <w:szCs w:val="22"/>
        </w:rPr>
        <w:t>Varacallo</w:t>
      </w:r>
      <w:proofErr w:type="spellEnd"/>
      <w:r w:rsidRPr="00DC585B">
        <w:rPr>
          <w:rFonts w:asciiTheme="minorBidi" w:hAnsiTheme="minorBidi"/>
          <w:sz w:val="22"/>
          <w:szCs w:val="22"/>
        </w:rPr>
        <w:t>, M. (2023). </w:t>
      </w:r>
      <w:r w:rsidRPr="00DC585B">
        <w:rPr>
          <w:rFonts w:asciiTheme="minorBidi" w:hAnsiTheme="minorBidi"/>
          <w:i/>
          <w:iCs/>
          <w:sz w:val="22"/>
          <w:szCs w:val="22"/>
        </w:rPr>
        <w:t>Biochemistry, glycolysis</w:t>
      </w:r>
      <w:r w:rsidRPr="00DC585B">
        <w:rPr>
          <w:rFonts w:asciiTheme="minorBidi" w:hAnsiTheme="minorBidi"/>
          <w:sz w:val="22"/>
          <w:szCs w:val="22"/>
        </w:rPr>
        <w:t xml:space="preserve">. [online] National Library of Medicine. Available at: </w:t>
      </w:r>
      <w:hyperlink r:id="rId15" w:history="1">
        <w:r w:rsidRPr="00DC585B">
          <w:rPr>
            <w:rStyle w:val="Hyperlink"/>
            <w:rFonts w:asciiTheme="minorBidi" w:hAnsiTheme="minorBidi"/>
            <w:sz w:val="22"/>
            <w:szCs w:val="22"/>
          </w:rPr>
          <w:t>https://www.ncbi.nlm.nih.gov/books/NBK482303/</w:t>
        </w:r>
      </w:hyperlink>
      <w:r w:rsidRPr="00DC585B">
        <w:rPr>
          <w:rFonts w:asciiTheme="minorBidi" w:hAnsiTheme="minorBidi"/>
          <w:sz w:val="22"/>
          <w:szCs w:val="22"/>
        </w:rPr>
        <w:t xml:space="preserve"> (Accessed 9th October 2025)</w:t>
      </w:r>
    </w:p>
    <w:p w14:paraId="4EBD3E84" w14:textId="77777777" w:rsidR="00770043" w:rsidRPr="00DC585B" w:rsidRDefault="00770043" w:rsidP="00DC585B">
      <w:pPr>
        <w:spacing w:line="360" w:lineRule="auto"/>
        <w:jc w:val="both"/>
        <w:rPr>
          <w:rFonts w:asciiTheme="minorBidi" w:hAnsiTheme="minorBidi"/>
          <w:sz w:val="22"/>
          <w:szCs w:val="22"/>
        </w:rPr>
      </w:pPr>
      <w:r w:rsidRPr="009D2F47">
        <w:rPr>
          <w:rFonts w:asciiTheme="minorBidi" w:hAnsiTheme="minorBidi"/>
          <w:sz w:val="22"/>
          <w:szCs w:val="22"/>
        </w:rPr>
        <w:t xml:space="preserve">Colberg, S.R., Sigal, R.J., </w:t>
      </w:r>
      <w:proofErr w:type="spellStart"/>
      <w:r w:rsidRPr="009D2F47">
        <w:rPr>
          <w:rFonts w:asciiTheme="minorBidi" w:hAnsiTheme="minorBidi"/>
          <w:sz w:val="22"/>
          <w:szCs w:val="22"/>
        </w:rPr>
        <w:t>Fernhall</w:t>
      </w:r>
      <w:proofErr w:type="spellEnd"/>
      <w:r w:rsidRPr="009D2F47">
        <w:rPr>
          <w:rFonts w:asciiTheme="minorBidi" w:hAnsiTheme="minorBidi"/>
          <w:sz w:val="22"/>
          <w:szCs w:val="22"/>
        </w:rPr>
        <w:t xml:space="preserve">, B., </w:t>
      </w:r>
      <w:proofErr w:type="spellStart"/>
      <w:r w:rsidRPr="009D2F47">
        <w:rPr>
          <w:rFonts w:asciiTheme="minorBidi" w:hAnsiTheme="minorBidi"/>
          <w:sz w:val="22"/>
          <w:szCs w:val="22"/>
        </w:rPr>
        <w:t>Regensteiner</w:t>
      </w:r>
      <w:proofErr w:type="spellEnd"/>
      <w:r w:rsidRPr="009D2F47">
        <w:rPr>
          <w:rFonts w:asciiTheme="minorBidi" w:hAnsiTheme="minorBidi"/>
          <w:sz w:val="22"/>
          <w:szCs w:val="22"/>
        </w:rPr>
        <w:t xml:space="preserve">, J.G., </w:t>
      </w:r>
      <w:proofErr w:type="spellStart"/>
      <w:r w:rsidRPr="009D2F47">
        <w:rPr>
          <w:rFonts w:asciiTheme="minorBidi" w:hAnsiTheme="minorBidi"/>
          <w:sz w:val="22"/>
          <w:szCs w:val="22"/>
        </w:rPr>
        <w:t>Blissmer</w:t>
      </w:r>
      <w:proofErr w:type="spellEnd"/>
      <w:r w:rsidRPr="009D2F47">
        <w:rPr>
          <w:rFonts w:asciiTheme="minorBidi" w:hAnsiTheme="minorBidi"/>
          <w:sz w:val="22"/>
          <w:szCs w:val="22"/>
        </w:rPr>
        <w:t>, B.J., Rubin, R.R., Chasan-Taber, L., Albright, A.L. and Braun, B. (2010). Exercise and Type 2 Diabetes: The American College of Sports Medicine and the American Diabetes Association: joint position statement. </w:t>
      </w:r>
      <w:r w:rsidRPr="009D2F47">
        <w:rPr>
          <w:rFonts w:asciiTheme="minorBidi" w:hAnsiTheme="minorBidi"/>
          <w:i/>
          <w:iCs/>
          <w:sz w:val="22"/>
          <w:szCs w:val="22"/>
        </w:rPr>
        <w:t>Diabetes Care</w:t>
      </w:r>
      <w:r w:rsidRPr="009D2F47">
        <w:rPr>
          <w:rFonts w:asciiTheme="minorBidi" w:hAnsiTheme="minorBidi"/>
          <w:sz w:val="22"/>
          <w:szCs w:val="22"/>
        </w:rPr>
        <w:t xml:space="preserve">, 33(12), pp.147–167. </w:t>
      </w:r>
      <w:r w:rsidRPr="00DC585B">
        <w:rPr>
          <w:rFonts w:asciiTheme="minorBidi" w:hAnsiTheme="minorBidi"/>
          <w:sz w:val="22"/>
          <w:szCs w:val="22"/>
        </w:rPr>
        <w:t>Available at</w:t>
      </w:r>
      <w:r w:rsidRPr="009D2F47">
        <w:rPr>
          <w:rFonts w:asciiTheme="minorBidi" w:hAnsiTheme="minorBidi"/>
          <w:sz w:val="22"/>
          <w:szCs w:val="22"/>
        </w:rPr>
        <w:t>:</w:t>
      </w:r>
      <w:r w:rsidRPr="00DC585B">
        <w:rPr>
          <w:rFonts w:asciiTheme="minorBidi" w:hAnsiTheme="minorBidi"/>
          <w:sz w:val="22"/>
          <w:szCs w:val="22"/>
        </w:rPr>
        <w:t xml:space="preserve"> </w:t>
      </w:r>
      <w:hyperlink r:id="rId16" w:history="1">
        <w:r w:rsidRPr="009D2F47">
          <w:rPr>
            <w:rStyle w:val="Hyperlink"/>
            <w:rFonts w:asciiTheme="minorBidi" w:hAnsiTheme="minorBidi"/>
            <w:sz w:val="22"/>
            <w:szCs w:val="22"/>
          </w:rPr>
          <w:t>https://doi.org/10.2337/dc10-9990</w:t>
        </w:r>
      </w:hyperlink>
      <w:r w:rsidRPr="00DC585B">
        <w:rPr>
          <w:rFonts w:asciiTheme="minorBidi" w:hAnsiTheme="minorBidi"/>
          <w:sz w:val="22"/>
          <w:szCs w:val="22"/>
        </w:rPr>
        <w:t xml:space="preserve"> (Accessed 10th October 2025)</w:t>
      </w:r>
    </w:p>
    <w:p w14:paraId="4D14253E" w14:textId="77777777" w:rsidR="00770043" w:rsidRPr="00DC585B" w:rsidRDefault="00770043" w:rsidP="00DC585B">
      <w:pPr>
        <w:spacing w:line="360" w:lineRule="auto"/>
        <w:jc w:val="both"/>
        <w:rPr>
          <w:rFonts w:asciiTheme="minorBidi" w:hAnsiTheme="minorBidi"/>
          <w:sz w:val="22"/>
          <w:szCs w:val="22"/>
        </w:rPr>
      </w:pPr>
      <w:r w:rsidRPr="00733B4F">
        <w:rPr>
          <w:rFonts w:asciiTheme="minorBidi" w:hAnsiTheme="minorBidi"/>
          <w:sz w:val="22"/>
          <w:szCs w:val="22"/>
        </w:rPr>
        <w:t>Crandall, J.P., Knowler, W.C., Kahn, S.E., Marrero, D., Florez, J.C., Bray, G.A., Haffner, S.M., Hoskin, M. and Nathan, D.M. (2008). The prevention of type 2 diabetes. </w:t>
      </w:r>
      <w:r w:rsidRPr="00733B4F">
        <w:rPr>
          <w:rFonts w:asciiTheme="minorBidi" w:hAnsiTheme="minorBidi"/>
          <w:i/>
          <w:iCs/>
          <w:sz w:val="22"/>
          <w:szCs w:val="22"/>
        </w:rPr>
        <w:t xml:space="preserve">Nature Clinical </w:t>
      </w:r>
      <w:r w:rsidRPr="00733B4F">
        <w:rPr>
          <w:rFonts w:asciiTheme="minorBidi" w:hAnsiTheme="minorBidi"/>
          <w:i/>
          <w:iCs/>
          <w:sz w:val="22"/>
          <w:szCs w:val="22"/>
        </w:rPr>
        <w:lastRenderedPageBreak/>
        <w:t>Practice Endocrinology &amp; Metabolism</w:t>
      </w:r>
      <w:r w:rsidRPr="00733B4F">
        <w:rPr>
          <w:rFonts w:asciiTheme="minorBidi" w:hAnsiTheme="minorBidi"/>
          <w:sz w:val="22"/>
          <w:szCs w:val="22"/>
        </w:rPr>
        <w:t xml:space="preserve">, [online] 4(7), pp.382–393. </w:t>
      </w:r>
      <w:r w:rsidRPr="00DC585B">
        <w:rPr>
          <w:rFonts w:asciiTheme="minorBidi" w:hAnsiTheme="minorBidi"/>
          <w:sz w:val="22"/>
          <w:szCs w:val="22"/>
        </w:rPr>
        <w:t>Available at</w:t>
      </w:r>
      <w:r w:rsidRPr="00733B4F">
        <w:rPr>
          <w:rFonts w:asciiTheme="minorBidi" w:hAnsiTheme="minorBidi"/>
          <w:sz w:val="22"/>
          <w:szCs w:val="22"/>
        </w:rPr>
        <w:t>:</w:t>
      </w:r>
      <w:r w:rsidRPr="00DC585B">
        <w:rPr>
          <w:rFonts w:asciiTheme="minorBidi" w:hAnsiTheme="minorBidi"/>
          <w:sz w:val="22"/>
          <w:szCs w:val="22"/>
        </w:rPr>
        <w:t xml:space="preserve"> </w:t>
      </w:r>
      <w:hyperlink r:id="rId17" w:history="1">
        <w:r w:rsidRPr="00733B4F">
          <w:rPr>
            <w:rStyle w:val="Hyperlink"/>
            <w:rFonts w:asciiTheme="minorBidi" w:hAnsiTheme="minorBidi"/>
            <w:sz w:val="22"/>
            <w:szCs w:val="22"/>
          </w:rPr>
          <w:t>https://doi.org/10.1038/ncpendmet0843</w:t>
        </w:r>
      </w:hyperlink>
      <w:r w:rsidRPr="00DC585B">
        <w:rPr>
          <w:rFonts w:asciiTheme="minorBidi" w:hAnsiTheme="minorBidi"/>
          <w:sz w:val="22"/>
          <w:szCs w:val="22"/>
        </w:rPr>
        <w:t xml:space="preserve"> (Accessed 10th October 2025)</w:t>
      </w:r>
    </w:p>
    <w:p w14:paraId="18E5ACD1"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Deshpande, O.A. and Mohiuddin, S.S. (2023). </w:t>
      </w:r>
      <w:r w:rsidRPr="00DC585B">
        <w:rPr>
          <w:rFonts w:asciiTheme="minorBidi" w:hAnsiTheme="minorBidi"/>
          <w:i/>
          <w:iCs/>
          <w:sz w:val="22"/>
          <w:szCs w:val="22"/>
        </w:rPr>
        <w:t xml:space="preserve">Biochemistry, Oxidative </w:t>
      </w:r>
      <w:proofErr w:type="spellStart"/>
      <w:r w:rsidRPr="00DC585B">
        <w:rPr>
          <w:rFonts w:asciiTheme="minorBidi" w:hAnsiTheme="minorBidi"/>
          <w:i/>
          <w:iCs/>
          <w:sz w:val="22"/>
          <w:szCs w:val="22"/>
        </w:rPr>
        <w:t>Phophorylation</w:t>
      </w:r>
      <w:proofErr w:type="spellEnd"/>
      <w:r w:rsidRPr="00DC585B">
        <w:rPr>
          <w:rFonts w:asciiTheme="minorBidi" w:hAnsiTheme="minorBidi"/>
          <w:sz w:val="22"/>
          <w:szCs w:val="22"/>
        </w:rPr>
        <w:t xml:space="preserve">. [online] PubMed. Available at: </w:t>
      </w:r>
      <w:hyperlink r:id="rId18" w:history="1">
        <w:r w:rsidRPr="00DC585B">
          <w:rPr>
            <w:rStyle w:val="Hyperlink"/>
            <w:rFonts w:asciiTheme="minorBidi" w:hAnsiTheme="minorBidi"/>
            <w:sz w:val="22"/>
            <w:szCs w:val="22"/>
          </w:rPr>
          <w:t>https://www.ncbi.nlm.nih.gov/books/NBK553192/</w:t>
        </w:r>
      </w:hyperlink>
      <w:r w:rsidRPr="00DC585B">
        <w:rPr>
          <w:rFonts w:asciiTheme="minorBidi" w:hAnsiTheme="minorBidi"/>
          <w:sz w:val="22"/>
          <w:szCs w:val="22"/>
        </w:rPr>
        <w:t xml:space="preserve"> (Accessed 9th October 2025)</w:t>
      </w:r>
    </w:p>
    <w:p w14:paraId="3E2399FA"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 xml:space="preserve">ElSayed, N.A., Aleppo, G., </w:t>
      </w:r>
      <w:proofErr w:type="spellStart"/>
      <w:r w:rsidRPr="00DC585B">
        <w:rPr>
          <w:rFonts w:asciiTheme="minorBidi" w:hAnsiTheme="minorBidi"/>
          <w:sz w:val="22"/>
          <w:szCs w:val="22"/>
        </w:rPr>
        <w:t>Aroda</w:t>
      </w:r>
      <w:proofErr w:type="spellEnd"/>
      <w:r w:rsidRPr="00DC585B">
        <w:rPr>
          <w:rFonts w:asciiTheme="minorBidi" w:hAnsiTheme="minorBidi"/>
          <w:sz w:val="22"/>
          <w:szCs w:val="22"/>
        </w:rPr>
        <w:t xml:space="preserve">, V.R., </w:t>
      </w:r>
      <w:proofErr w:type="spellStart"/>
      <w:r w:rsidRPr="00DC585B">
        <w:rPr>
          <w:rFonts w:asciiTheme="minorBidi" w:hAnsiTheme="minorBidi"/>
          <w:sz w:val="22"/>
          <w:szCs w:val="22"/>
        </w:rPr>
        <w:t>Bannuru</w:t>
      </w:r>
      <w:proofErr w:type="spellEnd"/>
      <w:r w:rsidRPr="00DC585B">
        <w:rPr>
          <w:rFonts w:asciiTheme="minorBidi" w:hAnsiTheme="minorBidi"/>
          <w:sz w:val="22"/>
          <w:szCs w:val="22"/>
        </w:rPr>
        <w:t xml:space="preserve">, R.R., Brown, F.M., Bruemmer, D., Collins, B.S., Hilliard, M.E., Isaacs, D., Johnson, E.L., Kahan, S., </w:t>
      </w:r>
      <w:proofErr w:type="spellStart"/>
      <w:r w:rsidRPr="00DC585B">
        <w:rPr>
          <w:rFonts w:asciiTheme="minorBidi" w:hAnsiTheme="minorBidi"/>
          <w:sz w:val="22"/>
          <w:szCs w:val="22"/>
        </w:rPr>
        <w:t>Khunti</w:t>
      </w:r>
      <w:proofErr w:type="spellEnd"/>
      <w:r w:rsidRPr="00DC585B">
        <w:rPr>
          <w:rFonts w:asciiTheme="minorBidi" w:hAnsiTheme="minorBidi"/>
          <w:sz w:val="22"/>
          <w:szCs w:val="22"/>
        </w:rPr>
        <w:t>, K., Leon, J., Lyons, S.K., Perry, M.L., Prahalad, P., Pratley, R.E., Seley, J.J., Stanton, R.C. and Gabbay, R.A. (2022). Classification and diagnosis of diabetes: Standards of care in diabetes. </w:t>
      </w:r>
      <w:r w:rsidRPr="00DC585B">
        <w:rPr>
          <w:rFonts w:asciiTheme="minorBidi" w:hAnsiTheme="minorBidi"/>
          <w:i/>
          <w:iCs/>
          <w:sz w:val="22"/>
          <w:szCs w:val="22"/>
        </w:rPr>
        <w:t>Diabetes Care</w:t>
      </w:r>
      <w:r w:rsidRPr="00DC585B">
        <w:rPr>
          <w:rFonts w:asciiTheme="minorBidi" w:hAnsiTheme="minorBidi"/>
          <w:sz w:val="22"/>
          <w:szCs w:val="22"/>
        </w:rPr>
        <w:t xml:space="preserve">, [online] 46(Supplement_1), </w:t>
      </w:r>
      <w:proofErr w:type="gramStart"/>
      <w:r w:rsidRPr="00DC585B">
        <w:rPr>
          <w:rFonts w:asciiTheme="minorBidi" w:hAnsiTheme="minorBidi"/>
          <w:sz w:val="22"/>
          <w:szCs w:val="22"/>
        </w:rPr>
        <w:t>pp.S</w:t>
      </w:r>
      <w:proofErr w:type="gramEnd"/>
      <w:r w:rsidRPr="00DC585B">
        <w:rPr>
          <w:rFonts w:asciiTheme="minorBidi" w:hAnsiTheme="minorBidi"/>
          <w:sz w:val="22"/>
          <w:szCs w:val="22"/>
        </w:rPr>
        <w:t xml:space="preserve">19–S40. Available at: </w:t>
      </w:r>
      <w:hyperlink r:id="rId19" w:history="1">
        <w:r w:rsidRPr="00DC585B">
          <w:rPr>
            <w:rStyle w:val="Hyperlink"/>
            <w:rFonts w:asciiTheme="minorBidi" w:hAnsiTheme="minorBidi"/>
            <w:sz w:val="22"/>
            <w:szCs w:val="22"/>
          </w:rPr>
          <w:t>https://doi.org/10.2337/dc23-s002</w:t>
        </w:r>
      </w:hyperlink>
      <w:r w:rsidRPr="00DC585B">
        <w:rPr>
          <w:rFonts w:asciiTheme="minorBidi" w:hAnsiTheme="minorBidi"/>
          <w:sz w:val="22"/>
          <w:szCs w:val="22"/>
        </w:rPr>
        <w:t xml:space="preserve"> (Accessed 8th October 2025)</w:t>
      </w:r>
    </w:p>
    <w:p w14:paraId="76D6F3AB"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 xml:space="preserve">Ewunetu, M., Belay, B.M., Abere, Y., Melkamu, B., </w:t>
      </w:r>
      <w:proofErr w:type="spellStart"/>
      <w:r w:rsidRPr="00DC585B">
        <w:rPr>
          <w:rFonts w:asciiTheme="minorBidi" w:hAnsiTheme="minorBidi"/>
          <w:sz w:val="22"/>
          <w:szCs w:val="22"/>
        </w:rPr>
        <w:t>Eshetie</w:t>
      </w:r>
      <w:proofErr w:type="spellEnd"/>
      <w:r w:rsidRPr="00DC585B">
        <w:rPr>
          <w:rFonts w:asciiTheme="minorBidi" w:hAnsiTheme="minorBidi"/>
          <w:sz w:val="22"/>
          <w:szCs w:val="22"/>
        </w:rPr>
        <w:t xml:space="preserve">, Y. and Dires, T. (2025). Home </w:t>
      </w:r>
      <w:proofErr w:type="spellStart"/>
      <w:r w:rsidRPr="00DC585B">
        <w:rPr>
          <w:rFonts w:asciiTheme="minorBidi" w:hAnsiTheme="minorBidi"/>
          <w:sz w:val="22"/>
          <w:szCs w:val="22"/>
        </w:rPr>
        <w:t>self monitoring</w:t>
      </w:r>
      <w:proofErr w:type="spellEnd"/>
      <w:r w:rsidRPr="00DC585B">
        <w:rPr>
          <w:rFonts w:asciiTheme="minorBidi" w:hAnsiTheme="minorBidi"/>
          <w:sz w:val="22"/>
          <w:szCs w:val="22"/>
        </w:rPr>
        <w:t xml:space="preserve"> of blood glucose using a glucometer and its determinants among diabetes mellitus. </w:t>
      </w:r>
      <w:r w:rsidRPr="00DC585B">
        <w:rPr>
          <w:rFonts w:asciiTheme="minorBidi" w:hAnsiTheme="minorBidi"/>
          <w:i/>
          <w:iCs/>
          <w:sz w:val="22"/>
          <w:szCs w:val="22"/>
        </w:rPr>
        <w:t>Scientific Reports</w:t>
      </w:r>
      <w:r w:rsidRPr="00DC585B">
        <w:rPr>
          <w:rFonts w:asciiTheme="minorBidi" w:hAnsiTheme="minorBidi"/>
          <w:sz w:val="22"/>
          <w:szCs w:val="22"/>
        </w:rPr>
        <w:t xml:space="preserve">, 15(1). Available at: </w:t>
      </w:r>
      <w:hyperlink r:id="rId20" w:history="1">
        <w:r w:rsidRPr="00DC585B">
          <w:rPr>
            <w:rStyle w:val="Hyperlink"/>
            <w:rFonts w:asciiTheme="minorBidi" w:hAnsiTheme="minorBidi"/>
            <w:sz w:val="22"/>
            <w:szCs w:val="22"/>
          </w:rPr>
          <w:t>https://doi.org/10.1038/s41598-025-02196-4</w:t>
        </w:r>
      </w:hyperlink>
      <w:r w:rsidRPr="00DC585B">
        <w:rPr>
          <w:rFonts w:asciiTheme="minorBidi" w:hAnsiTheme="minorBidi"/>
          <w:sz w:val="22"/>
          <w:szCs w:val="22"/>
        </w:rPr>
        <w:t xml:space="preserve"> (Accessed 9th October 2025)</w:t>
      </w:r>
    </w:p>
    <w:p w14:paraId="2F4EDDE2"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Eyth, E., Zubair, M. and Naik, R. (2023). </w:t>
      </w:r>
      <w:proofErr w:type="spellStart"/>
      <w:r w:rsidRPr="00DC585B">
        <w:rPr>
          <w:rFonts w:asciiTheme="minorBidi" w:hAnsiTheme="minorBidi"/>
          <w:i/>
          <w:iCs/>
          <w:sz w:val="22"/>
          <w:szCs w:val="22"/>
        </w:rPr>
        <w:t>Hemoglobin</w:t>
      </w:r>
      <w:proofErr w:type="spellEnd"/>
      <w:r w:rsidRPr="00DC585B">
        <w:rPr>
          <w:rFonts w:asciiTheme="minorBidi" w:hAnsiTheme="minorBidi"/>
          <w:i/>
          <w:iCs/>
          <w:sz w:val="22"/>
          <w:szCs w:val="22"/>
        </w:rPr>
        <w:t xml:space="preserve"> A1C</w:t>
      </w:r>
      <w:r w:rsidRPr="00DC585B">
        <w:rPr>
          <w:rFonts w:asciiTheme="minorBidi" w:hAnsiTheme="minorBidi"/>
          <w:sz w:val="22"/>
          <w:szCs w:val="22"/>
        </w:rPr>
        <w:t xml:space="preserve">. [online] PubMed. Available at: </w:t>
      </w:r>
      <w:hyperlink r:id="rId21" w:history="1">
        <w:r w:rsidRPr="00DC585B">
          <w:rPr>
            <w:rStyle w:val="Hyperlink"/>
            <w:rFonts w:asciiTheme="minorBidi" w:hAnsiTheme="minorBidi"/>
            <w:sz w:val="22"/>
            <w:szCs w:val="22"/>
          </w:rPr>
          <w:t>https://www.ncbi.nlm.nih.gov/books/NBK549816/</w:t>
        </w:r>
      </w:hyperlink>
      <w:r w:rsidRPr="00DC585B">
        <w:rPr>
          <w:rFonts w:asciiTheme="minorBidi" w:hAnsiTheme="minorBidi"/>
          <w:sz w:val="22"/>
          <w:szCs w:val="22"/>
        </w:rPr>
        <w:t xml:space="preserve"> (Accessed 9th October 2025)</w:t>
      </w:r>
    </w:p>
    <w:p w14:paraId="7FA2FD31" w14:textId="77777777" w:rsidR="00770043" w:rsidRPr="00DC585B" w:rsidRDefault="00770043" w:rsidP="00DC585B">
      <w:pPr>
        <w:spacing w:line="360" w:lineRule="auto"/>
        <w:jc w:val="both"/>
        <w:rPr>
          <w:rFonts w:asciiTheme="minorBidi" w:hAnsiTheme="minorBidi"/>
          <w:sz w:val="22"/>
          <w:szCs w:val="22"/>
        </w:rPr>
      </w:pPr>
      <w:r w:rsidRPr="007A39DD">
        <w:rPr>
          <w:rFonts w:asciiTheme="minorBidi" w:hAnsiTheme="minorBidi"/>
          <w:sz w:val="22"/>
          <w:szCs w:val="22"/>
        </w:rPr>
        <w:t xml:space="preserve">Feldman, A.L., Griffin, S.J., Ahern, A.L., Long, G.H., </w:t>
      </w:r>
      <w:proofErr w:type="spellStart"/>
      <w:r w:rsidRPr="007A39DD">
        <w:rPr>
          <w:rFonts w:asciiTheme="minorBidi" w:hAnsiTheme="minorBidi"/>
          <w:sz w:val="22"/>
          <w:szCs w:val="22"/>
        </w:rPr>
        <w:t>Weinehall</w:t>
      </w:r>
      <w:proofErr w:type="spellEnd"/>
      <w:r w:rsidRPr="007A39DD">
        <w:rPr>
          <w:rFonts w:asciiTheme="minorBidi" w:hAnsiTheme="minorBidi"/>
          <w:sz w:val="22"/>
          <w:szCs w:val="22"/>
        </w:rPr>
        <w:t xml:space="preserve">, L., </w:t>
      </w:r>
      <w:proofErr w:type="spellStart"/>
      <w:r w:rsidRPr="007A39DD">
        <w:rPr>
          <w:rFonts w:asciiTheme="minorBidi" w:hAnsiTheme="minorBidi"/>
          <w:sz w:val="22"/>
          <w:szCs w:val="22"/>
        </w:rPr>
        <w:t>Fhärm</w:t>
      </w:r>
      <w:proofErr w:type="spellEnd"/>
      <w:r w:rsidRPr="007A39DD">
        <w:rPr>
          <w:rFonts w:asciiTheme="minorBidi" w:hAnsiTheme="minorBidi"/>
          <w:sz w:val="22"/>
          <w:szCs w:val="22"/>
        </w:rPr>
        <w:t>, E., Norberg, M. and Wennberg, P. (2017). Impact of weight maintenance and loss on diabetes risk and burden: a population-based study in 33,184 participants. </w:t>
      </w:r>
      <w:r w:rsidRPr="007A39DD">
        <w:rPr>
          <w:rFonts w:asciiTheme="minorBidi" w:hAnsiTheme="minorBidi"/>
          <w:i/>
          <w:iCs/>
          <w:sz w:val="22"/>
          <w:szCs w:val="22"/>
        </w:rPr>
        <w:t>BMC Public Health</w:t>
      </w:r>
      <w:r w:rsidRPr="007A39DD">
        <w:rPr>
          <w:rFonts w:asciiTheme="minorBidi" w:hAnsiTheme="minorBidi"/>
          <w:sz w:val="22"/>
          <w:szCs w:val="22"/>
        </w:rPr>
        <w:t xml:space="preserve">, 17(1). </w:t>
      </w:r>
      <w:r w:rsidRPr="00DC585B">
        <w:rPr>
          <w:rFonts w:asciiTheme="minorBidi" w:hAnsiTheme="minorBidi"/>
          <w:sz w:val="22"/>
          <w:szCs w:val="22"/>
        </w:rPr>
        <w:t>Available at</w:t>
      </w:r>
      <w:r w:rsidRPr="007A39DD">
        <w:rPr>
          <w:rFonts w:asciiTheme="minorBidi" w:hAnsiTheme="minorBidi"/>
          <w:sz w:val="22"/>
          <w:szCs w:val="22"/>
        </w:rPr>
        <w:t>:</w:t>
      </w:r>
      <w:r w:rsidRPr="00DC585B">
        <w:rPr>
          <w:rFonts w:asciiTheme="minorBidi" w:hAnsiTheme="minorBidi"/>
          <w:sz w:val="22"/>
          <w:szCs w:val="22"/>
        </w:rPr>
        <w:t xml:space="preserve"> </w:t>
      </w:r>
      <w:hyperlink r:id="rId22" w:history="1">
        <w:r w:rsidRPr="007A39DD">
          <w:rPr>
            <w:rStyle w:val="Hyperlink"/>
            <w:rFonts w:asciiTheme="minorBidi" w:hAnsiTheme="minorBidi"/>
            <w:sz w:val="22"/>
            <w:szCs w:val="22"/>
          </w:rPr>
          <w:t>https://doi.org/10.1186/s12889-017-4081-6</w:t>
        </w:r>
      </w:hyperlink>
      <w:r w:rsidRPr="00DC585B">
        <w:rPr>
          <w:rFonts w:asciiTheme="minorBidi" w:hAnsiTheme="minorBidi"/>
          <w:sz w:val="22"/>
          <w:szCs w:val="22"/>
        </w:rPr>
        <w:t xml:space="preserve"> (Accessed 10th October 2025)</w:t>
      </w:r>
    </w:p>
    <w:p w14:paraId="2AD835B1"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Freeman, A.M. and Pennings, N. (2023). </w:t>
      </w:r>
      <w:r w:rsidRPr="00DC585B">
        <w:rPr>
          <w:rFonts w:asciiTheme="minorBidi" w:hAnsiTheme="minorBidi"/>
          <w:i/>
          <w:iCs/>
          <w:sz w:val="22"/>
          <w:szCs w:val="22"/>
        </w:rPr>
        <w:t>Insulin Resistance</w:t>
      </w:r>
      <w:r w:rsidRPr="00DC585B">
        <w:rPr>
          <w:rFonts w:asciiTheme="minorBidi" w:hAnsiTheme="minorBidi"/>
          <w:sz w:val="22"/>
          <w:szCs w:val="22"/>
        </w:rPr>
        <w:t xml:space="preserve">. [online] nih.gov. Available at: </w:t>
      </w:r>
      <w:hyperlink r:id="rId23" w:history="1">
        <w:r w:rsidRPr="00DC585B">
          <w:rPr>
            <w:rStyle w:val="Hyperlink"/>
            <w:rFonts w:asciiTheme="minorBidi" w:hAnsiTheme="minorBidi"/>
            <w:sz w:val="22"/>
            <w:szCs w:val="22"/>
          </w:rPr>
          <w:t>https://www.ncbi.nlm.nih.gov/books/NBK507839/</w:t>
        </w:r>
      </w:hyperlink>
      <w:r w:rsidRPr="00DC585B">
        <w:rPr>
          <w:rFonts w:asciiTheme="minorBidi" w:hAnsiTheme="minorBidi"/>
          <w:sz w:val="22"/>
          <w:szCs w:val="22"/>
        </w:rPr>
        <w:t xml:space="preserve"> (Accessed 9th October 2025)</w:t>
      </w:r>
    </w:p>
    <w:p w14:paraId="43908890"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 xml:space="preserve">Galicia-Garcia, U., Benito-Vicente, A., </w:t>
      </w:r>
      <w:proofErr w:type="spellStart"/>
      <w:r w:rsidRPr="00DC585B">
        <w:rPr>
          <w:rFonts w:asciiTheme="minorBidi" w:hAnsiTheme="minorBidi"/>
          <w:sz w:val="22"/>
          <w:szCs w:val="22"/>
        </w:rPr>
        <w:t>Jebari</w:t>
      </w:r>
      <w:proofErr w:type="spellEnd"/>
      <w:r w:rsidRPr="00DC585B">
        <w:rPr>
          <w:rFonts w:asciiTheme="minorBidi" w:hAnsiTheme="minorBidi"/>
          <w:sz w:val="22"/>
          <w:szCs w:val="22"/>
        </w:rPr>
        <w:t>, S., Larrea-</w:t>
      </w:r>
      <w:proofErr w:type="spellStart"/>
      <w:r w:rsidRPr="00DC585B">
        <w:rPr>
          <w:rFonts w:asciiTheme="minorBidi" w:hAnsiTheme="minorBidi"/>
          <w:sz w:val="22"/>
          <w:szCs w:val="22"/>
        </w:rPr>
        <w:t>Sebal</w:t>
      </w:r>
      <w:proofErr w:type="spellEnd"/>
      <w:r w:rsidRPr="00DC585B">
        <w:rPr>
          <w:rFonts w:asciiTheme="minorBidi" w:hAnsiTheme="minorBidi"/>
          <w:sz w:val="22"/>
          <w:szCs w:val="22"/>
        </w:rPr>
        <w:t>, A., Siddiqi, H., Uribe, K.B., Ostolaza, H. and Martin, C. (2020). Pathophysiology of type 2 diabetes mellitus. </w:t>
      </w:r>
      <w:r w:rsidRPr="00DC585B">
        <w:rPr>
          <w:rFonts w:asciiTheme="minorBidi" w:hAnsiTheme="minorBidi"/>
          <w:i/>
          <w:iCs/>
          <w:sz w:val="22"/>
          <w:szCs w:val="22"/>
        </w:rPr>
        <w:t>International Journal of Molecular Sciences</w:t>
      </w:r>
      <w:r w:rsidRPr="00DC585B">
        <w:rPr>
          <w:rFonts w:asciiTheme="minorBidi" w:hAnsiTheme="minorBidi"/>
          <w:sz w:val="22"/>
          <w:szCs w:val="22"/>
        </w:rPr>
        <w:t xml:space="preserve">, [online] 21(17), pp.1–34. Available at: </w:t>
      </w:r>
      <w:hyperlink r:id="rId24" w:history="1">
        <w:r w:rsidRPr="00DC585B">
          <w:rPr>
            <w:rStyle w:val="Hyperlink"/>
            <w:rFonts w:asciiTheme="minorBidi" w:hAnsiTheme="minorBidi"/>
            <w:sz w:val="22"/>
            <w:szCs w:val="22"/>
          </w:rPr>
          <w:t>https://pmc.ncbi.nlm.nih.gov/articles/PMC7503727/</w:t>
        </w:r>
      </w:hyperlink>
      <w:r w:rsidRPr="00DC585B">
        <w:rPr>
          <w:rFonts w:asciiTheme="minorBidi" w:hAnsiTheme="minorBidi"/>
          <w:sz w:val="22"/>
          <w:szCs w:val="22"/>
        </w:rPr>
        <w:t xml:space="preserve"> (Accessed 9th October 2025)</w:t>
      </w:r>
    </w:p>
    <w:p w14:paraId="1AD3DE2C" w14:textId="77777777" w:rsidR="00770043" w:rsidRPr="00DC585B" w:rsidRDefault="00770043" w:rsidP="00DC585B">
      <w:pPr>
        <w:spacing w:line="360" w:lineRule="auto"/>
        <w:jc w:val="both"/>
        <w:rPr>
          <w:rFonts w:asciiTheme="minorBidi" w:hAnsiTheme="minorBidi"/>
          <w:sz w:val="22"/>
          <w:szCs w:val="22"/>
        </w:rPr>
      </w:pPr>
      <w:proofErr w:type="spellStart"/>
      <w:r w:rsidRPr="00DC585B">
        <w:rPr>
          <w:rFonts w:asciiTheme="minorBidi" w:hAnsiTheme="minorBidi"/>
          <w:sz w:val="22"/>
          <w:szCs w:val="22"/>
        </w:rPr>
        <w:t>Giacca</w:t>
      </w:r>
      <w:proofErr w:type="spellEnd"/>
      <w:r w:rsidRPr="00DC585B">
        <w:rPr>
          <w:rFonts w:asciiTheme="minorBidi" w:hAnsiTheme="minorBidi"/>
          <w:sz w:val="22"/>
          <w:szCs w:val="22"/>
        </w:rPr>
        <w:t>, A., Xiao, C., Oprescu, A. I., Carpentier, A. C. and Lewis G. F. (2011). Lipid-induced Pancreatic β-cell Dysfunction: Focus on </w:t>
      </w:r>
      <w:r w:rsidRPr="00DC585B">
        <w:rPr>
          <w:rFonts w:asciiTheme="minorBidi" w:hAnsiTheme="minorBidi"/>
          <w:i/>
          <w:iCs/>
          <w:sz w:val="22"/>
          <w:szCs w:val="22"/>
        </w:rPr>
        <w:t>In Vivo</w:t>
      </w:r>
      <w:r w:rsidRPr="00DC585B">
        <w:rPr>
          <w:rFonts w:asciiTheme="minorBidi" w:hAnsiTheme="minorBidi"/>
          <w:sz w:val="22"/>
          <w:szCs w:val="22"/>
        </w:rPr>
        <w:t> Studies. </w:t>
      </w:r>
      <w:r w:rsidRPr="00DC585B">
        <w:rPr>
          <w:rFonts w:asciiTheme="minorBidi" w:hAnsiTheme="minorBidi"/>
          <w:i/>
          <w:iCs/>
          <w:sz w:val="22"/>
          <w:szCs w:val="22"/>
        </w:rPr>
        <w:t>Am. J. Physiology-Endocrinology Metabolism</w:t>
      </w:r>
      <w:r w:rsidRPr="00DC585B">
        <w:rPr>
          <w:rFonts w:asciiTheme="minorBidi" w:hAnsiTheme="minorBidi"/>
          <w:sz w:val="22"/>
          <w:szCs w:val="22"/>
        </w:rPr>
        <w:t xml:space="preserve"> 300, E255–E262. Available at: </w:t>
      </w:r>
      <w:hyperlink r:id="rId25" w:history="1">
        <w:r w:rsidRPr="00DC585B">
          <w:rPr>
            <w:rStyle w:val="Hyperlink"/>
            <w:rFonts w:asciiTheme="minorBidi" w:hAnsiTheme="minorBidi"/>
            <w:sz w:val="22"/>
            <w:szCs w:val="22"/>
          </w:rPr>
          <w:t>https://pubmed.ncbi.nlm.nih.gov/21119027/</w:t>
        </w:r>
      </w:hyperlink>
      <w:r w:rsidRPr="00DC585B">
        <w:rPr>
          <w:rFonts w:asciiTheme="minorBidi" w:hAnsiTheme="minorBidi"/>
          <w:sz w:val="22"/>
          <w:szCs w:val="22"/>
        </w:rPr>
        <w:t xml:space="preserve"> (Accessed 9th October 2025)</w:t>
      </w:r>
    </w:p>
    <w:p w14:paraId="4CFEFA00"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Hædersdal, S., Lund, A., Knop, F.K. and Vilsbøll, T. (2018). The Role of Glucagon in the Pathophysiology and Treatment of Type 2 Diabetes. </w:t>
      </w:r>
      <w:r w:rsidRPr="00DC585B">
        <w:rPr>
          <w:rFonts w:asciiTheme="minorBidi" w:hAnsiTheme="minorBidi"/>
          <w:i/>
          <w:iCs/>
          <w:sz w:val="22"/>
          <w:szCs w:val="22"/>
        </w:rPr>
        <w:t>Mayo Clinic Proceedings</w:t>
      </w:r>
      <w:r w:rsidRPr="00DC585B">
        <w:rPr>
          <w:rFonts w:asciiTheme="minorBidi" w:hAnsiTheme="minorBidi"/>
          <w:sz w:val="22"/>
          <w:szCs w:val="22"/>
        </w:rPr>
        <w:t xml:space="preserve">, [online] 93(2), </w:t>
      </w:r>
      <w:r w:rsidRPr="00DC585B">
        <w:rPr>
          <w:rFonts w:asciiTheme="minorBidi" w:hAnsiTheme="minorBidi"/>
          <w:sz w:val="22"/>
          <w:szCs w:val="22"/>
        </w:rPr>
        <w:lastRenderedPageBreak/>
        <w:t xml:space="preserve">pp.217–239. Available at: </w:t>
      </w:r>
      <w:hyperlink r:id="rId26" w:history="1">
        <w:r w:rsidRPr="00DC585B">
          <w:rPr>
            <w:rStyle w:val="Hyperlink"/>
            <w:rFonts w:asciiTheme="minorBidi" w:hAnsiTheme="minorBidi"/>
            <w:sz w:val="22"/>
            <w:szCs w:val="22"/>
          </w:rPr>
          <w:t>https://doi.org/10.1016/j.mayocp.2017.12.003</w:t>
        </w:r>
      </w:hyperlink>
      <w:r w:rsidRPr="00DC585B">
        <w:rPr>
          <w:rFonts w:asciiTheme="minorBidi" w:hAnsiTheme="minorBidi"/>
          <w:sz w:val="22"/>
          <w:szCs w:val="22"/>
        </w:rPr>
        <w:t xml:space="preserve"> (Accessed 8th October 2025)</w:t>
      </w:r>
    </w:p>
    <w:p w14:paraId="6CC9BECB" w14:textId="77777777" w:rsidR="00770043" w:rsidRPr="00DC585B" w:rsidRDefault="00770043" w:rsidP="00DC585B">
      <w:pPr>
        <w:spacing w:line="360" w:lineRule="auto"/>
        <w:jc w:val="both"/>
        <w:rPr>
          <w:rFonts w:asciiTheme="minorBidi" w:hAnsiTheme="minorBidi"/>
          <w:sz w:val="22"/>
          <w:szCs w:val="22"/>
        </w:rPr>
      </w:pPr>
      <w:r w:rsidRPr="00B85D9C">
        <w:rPr>
          <w:rFonts w:asciiTheme="minorBidi" w:hAnsiTheme="minorBidi"/>
          <w:sz w:val="22"/>
          <w:szCs w:val="22"/>
        </w:rPr>
        <w:t xml:space="preserve">Hatami, N., Malekpour, M.-R., </w:t>
      </w:r>
      <w:proofErr w:type="spellStart"/>
      <w:r w:rsidRPr="00B85D9C">
        <w:rPr>
          <w:rFonts w:asciiTheme="minorBidi" w:hAnsiTheme="minorBidi"/>
          <w:sz w:val="22"/>
          <w:szCs w:val="22"/>
        </w:rPr>
        <w:t>Farzadfar</w:t>
      </w:r>
      <w:proofErr w:type="spellEnd"/>
      <w:r w:rsidRPr="00B85D9C">
        <w:rPr>
          <w:rFonts w:asciiTheme="minorBidi" w:hAnsiTheme="minorBidi"/>
          <w:sz w:val="22"/>
          <w:szCs w:val="22"/>
        </w:rPr>
        <w:t>, F., Seyedifar, M. and Soleymani, F. (2023). Utilization patterns of cardiovascular medications in patients with diabetes mellitus; a retrospective cross-sectional study, 2013-17. </w:t>
      </w:r>
      <w:r w:rsidRPr="00B85D9C">
        <w:rPr>
          <w:rFonts w:asciiTheme="minorBidi" w:hAnsiTheme="minorBidi"/>
          <w:i/>
          <w:iCs/>
          <w:sz w:val="22"/>
          <w:szCs w:val="22"/>
        </w:rPr>
        <w:t>DARU Journal of Pharmaceutical Sciences</w:t>
      </w:r>
      <w:r w:rsidRPr="00B85D9C">
        <w:rPr>
          <w:rFonts w:asciiTheme="minorBidi" w:hAnsiTheme="minorBidi"/>
          <w:sz w:val="22"/>
          <w:szCs w:val="22"/>
        </w:rPr>
        <w:t xml:space="preserve">, [online] 31(2), pp.259–266. </w:t>
      </w:r>
      <w:r w:rsidRPr="00DC585B">
        <w:rPr>
          <w:rFonts w:asciiTheme="minorBidi" w:hAnsiTheme="minorBidi"/>
          <w:sz w:val="22"/>
          <w:szCs w:val="22"/>
        </w:rPr>
        <w:t>Available at</w:t>
      </w:r>
      <w:r w:rsidRPr="00B85D9C">
        <w:rPr>
          <w:rFonts w:asciiTheme="minorBidi" w:hAnsiTheme="minorBidi"/>
          <w:sz w:val="22"/>
          <w:szCs w:val="22"/>
        </w:rPr>
        <w:t>:</w:t>
      </w:r>
      <w:r w:rsidRPr="00DC585B">
        <w:rPr>
          <w:rFonts w:asciiTheme="minorBidi" w:hAnsiTheme="minorBidi"/>
          <w:sz w:val="22"/>
          <w:szCs w:val="22"/>
        </w:rPr>
        <w:t xml:space="preserve"> </w:t>
      </w:r>
      <w:hyperlink r:id="rId27" w:history="1">
        <w:r w:rsidRPr="00B85D9C">
          <w:rPr>
            <w:rStyle w:val="Hyperlink"/>
            <w:rFonts w:asciiTheme="minorBidi" w:hAnsiTheme="minorBidi"/>
            <w:sz w:val="22"/>
            <w:szCs w:val="22"/>
          </w:rPr>
          <w:t>https://doi.org/10.1007/s40199-023-00481-z</w:t>
        </w:r>
      </w:hyperlink>
      <w:r w:rsidRPr="00DC585B">
        <w:rPr>
          <w:rFonts w:asciiTheme="minorBidi" w:hAnsiTheme="minorBidi"/>
          <w:sz w:val="22"/>
          <w:szCs w:val="22"/>
        </w:rPr>
        <w:t xml:space="preserve"> (Accessed 10th October 2025)</w:t>
      </w:r>
    </w:p>
    <w:p w14:paraId="12A96810"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 xml:space="preserve">Ismail, L., </w:t>
      </w:r>
      <w:proofErr w:type="spellStart"/>
      <w:r w:rsidRPr="00DC585B">
        <w:rPr>
          <w:rFonts w:asciiTheme="minorBidi" w:hAnsiTheme="minorBidi"/>
          <w:sz w:val="22"/>
          <w:szCs w:val="22"/>
        </w:rPr>
        <w:t>Materwala</w:t>
      </w:r>
      <w:proofErr w:type="spellEnd"/>
      <w:r w:rsidRPr="00DC585B">
        <w:rPr>
          <w:rFonts w:asciiTheme="minorBidi" w:hAnsiTheme="minorBidi"/>
          <w:sz w:val="22"/>
          <w:szCs w:val="22"/>
        </w:rPr>
        <w:t xml:space="preserve">, H. and </w:t>
      </w:r>
      <w:proofErr w:type="spellStart"/>
      <w:r w:rsidRPr="00DC585B">
        <w:rPr>
          <w:rFonts w:asciiTheme="minorBidi" w:hAnsiTheme="minorBidi"/>
          <w:sz w:val="22"/>
          <w:szCs w:val="22"/>
        </w:rPr>
        <w:t>Kaabi</w:t>
      </w:r>
      <w:proofErr w:type="spellEnd"/>
      <w:r w:rsidRPr="00DC585B">
        <w:rPr>
          <w:rFonts w:asciiTheme="minorBidi" w:hAnsiTheme="minorBidi"/>
          <w:sz w:val="22"/>
          <w:szCs w:val="22"/>
        </w:rPr>
        <w:t>, J.A. (2021). Association of Risk Factors with Type 2 Diabetes: A Systematic Review. </w:t>
      </w:r>
      <w:r w:rsidRPr="00DC585B">
        <w:rPr>
          <w:rFonts w:asciiTheme="minorBidi" w:hAnsiTheme="minorBidi"/>
          <w:i/>
          <w:iCs/>
          <w:sz w:val="22"/>
          <w:szCs w:val="22"/>
        </w:rPr>
        <w:t>Computational and Structural Biotechnology Journal</w:t>
      </w:r>
      <w:r w:rsidRPr="00DC585B">
        <w:rPr>
          <w:rFonts w:asciiTheme="minorBidi" w:hAnsiTheme="minorBidi"/>
          <w:sz w:val="22"/>
          <w:szCs w:val="22"/>
        </w:rPr>
        <w:t xml:space="preserve">, [online] 19(19), pp.1759–1785. Available at: </w:t>
      </w:r>
      <w:hyperlink r:id="rId28" w:history="1">
        <w:r w:rsidRPr="00DC585B">
          <w:rPr>
            <w:rStyle w:val="Hyperlink"/>
            <w:rFonts w:asciiTheme="minorBidi" w:hAnsiTheme="minorBidi"/>
            <w:sz w:val="22"/>
            <w:szCs w:val="22"/>
          </w:rPr>
          <w:t>https://doi.org/10.1016/j.csbj.2021.03.003</w:t>
        </w:r>
      </w:hyperlink>
      <w:r w:rsidRPr="00DC585B">
        <w:rPr>
          <w:rFonts w:asciiTheme="minorBidi" w:hAnsiTheme="minorBidi"/>
          <w:sz w:val="22"/>
          <w:szCs w:val="22"/>
        </w:rPr>
        <w:t xml:space="preserve"> (Accessed 8th October 2025)</w:t>
      </w:r>
    </w:p>
    <w:p w14:paraId="0809DA19" w14:textId="77777777" w:rsidR="00770043" w:rsidRPr="00DC585B" w:rsidRDefault="00770043" w:rsidP="00DC585B">
      <w:pPr>
        <w:spacing w:line="360" w:lineRule="auto"/>
        <w:jc w:val="both"/>
        <w:rPr>
          <w:rFonts w:asciiTheme="minorBidi" w:hAnsiTheme="minorBidi"/>
          <w:sz w:val="22"/>
          <w:szCs w:val="22"/>
        </w:rPr>
      </w:pPr>
      <w:r w:rsidRPr="007A39DD">
        <w:rPr>
          <w:rFonts w:asciiTheme="minorBidi" w:hAnsiTheme="minorBidi"/>
          <w:sz w:val="22"/>
          <w:szCs w:val="22"/>
        </w:rPr>
        <w:t xml:space="preserve">Kosaka, K., Noda, M. and </w:t>
      </w:r>
      <w:proofErr w:type="spellStart"/>
      <w:r w:rsidRPr="007A39DD">
        <w:rPr>
          <w:rFonts w:asciiTheme="minorBidi" w:hAnsiTheme="minorBidi"/>
          <w:sz w:val="22"/>
          <w:szCs w:val="22"/>
        </w:rPr>
        <w:t>Kuzuya</w:t>
      </w:r>
      <w:proofErr w:type="spellEnd"/>
      <w:r w:rsidRPr="007A39DD">
        <w:rPr>
          <w:rFonts w:asciiTheme="minorBidi" w:hAnsiTheme="minorBidi"/>
          <w:sz w:val="22"/>
          <w:szCs w:val="22"/>
        </w:rPr>
        <w:t>, T. (2005). Prevention of type 2 diabetes by lifestyle intervention: a Japanese trial in IGT males. </w:t>
      </w:r>
      <w:r w:rsidRPr="007A39DD">
        <w:rPr>
          <w:rFonts w:asciiTheme="minorBidi" w:hAnsiTheme="minorBidi"/>
          <w:i/>
          <w:iCs/>
          <w:sz w:val="22"/>
          <w:szCs w:val="22"/>
        </w:rPr>
        <w:t>Diabetes Research and Clinical Practice</w:t>
      </w:r>
      <w:r w:rsidRPr="007A39DD">
        <w:rPr>
          <w:rFonts w:asciiTheme="minorBidi" w:hAnsiTheme="minorBidi"/>
          <w:sz w:val="22"/>
          <w:szCs w:val="22"/>
        </w:rPr>
        <w:t xml:space="preserve">, 67(2), pp.152–162. </w:t>
      </w:r>
      <w:r w:rsidRPr="00DC585B">
        <w:rPr>
          <w:rFonts w:asciiTheme="minorBidi" w:hAnsiTheme="minorBidi"/>
          <w:sz w:val="22"/>
          <w:szCs w:val="22"/>
        </w:rPr>
        <w:t>Available at</w:t>
      </w:r>
      <w:r w:rsidRPr="007A39DD">
        <w:rPr>
          <w:rFonts w:asciiTheme="minorBidi" w:hAnsiTheme="minorBidi"/>
          <w:sz w:val="22"/>
          <w:szCs w:val="22"/>
        </w:rPr>
        <w:t>:</w:t>
      </w:r>
      <w:r w:rsidRPr="00DC585B">
        <w:rPr>
          <w:rFonts w:asciiTheme="minorBidi" w:hAnsiTheme="minorBidi"/>
          <w:sz w:val="22"/>
          <w:szCs w:val="22"/>
        </w:rPr>
        <w:t xml:space="preserve"> </w:t>
      </w:r>
      <w:hyperlink r:id="rId29" w:history="1">
        <w:r w:rsidRPr="007A39DD">
          <w:rPr>
            <w:rStyle w:val="Hyperlink"/>
            <w:rFonts w:asciiTheme="minorBidi" w:hAnsiTheme="minorBidi"/>
            <w:sz w:val="22"/>
            <w:szCs w:val="22"/>
          </w:rPr>
          <w:t>https://doi.org/10.1016/j.diabres.2004.06.010</w:t>
        </w:r>
      </w:hyperlink>
      <w:r w:rsidRPr="00DC585B">
        <w:rPr>
          <w:rFonts w:asciiTheme="minorBidi" w:hAnsiTheme="minorBidi"/>
          <w:sz w:val="22"/>
          <w:szCs w:val="22"/>
        </w:rPr>
        <w:t xml:space="preserve"> (Accessed 10th October 2025)</w:t>
      </w:r>
    </w:p>
    <w:p w14:paraId="7D00B1F7"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Lucier, J. and Weinstock, R.S. (2024). </w:t>
      </w:r>
      <w:r w:rsidRPr="00DC585B">
        <w:rPr>
          <w:rFonts w:asciiTheme="minorBidi" w:hAnsiTheme="minorBidi"/>
          <w:i/>
          <w:iCs/>
          <w:sz w:val="22"/>
          <w:szCs w:val="22"/>
        </w:rPr>
        <w:t>Diabetes Mellitus Type 1</w:t>
      </w:r>
      <w:r w:rsidRPr="00DC585B">
        <w:rPr>
          <w:rFonts w:asciiTheme="minorBidi" w:hAnsiTheme="minorBidi"/>
          <w:sz w:val="22"/>
          <w:szCs w:val="22"/>
        </w:rPr>
        <w:t xml:space="preserve">. [online] Nih.gov. Available at: </w:t>
      </w:r>
      <w:hyperlink r:id="rId30" w:history="1">
        <w:r w:rsidRPr="00DC585B">
          <w:rPr>
            <w:rStyle w:val="Hyperlink"/>
            <w:rFonts w:asciiTheme="minorBidi" w:hAnsiTheme="minorBidi"/>
            <w:sz w:val="22"/>
            <w:szCs w:val="22"/>
          </w:rPr>
          <w:t>https://www.ncbi.nlm.nih.gov/books/NBK507713/</w:t>
        </w:r>
      </w:hyperlink>
      <w:r w:rsidRPr="00DC585B">
        <w:rPr>
          <w:rFonts w:asciiTheme="minorBidi" w:hAnsiTheme="minorBidi"/>
          <w:sz w:val="22"/>
          <w:szCs w:val="22"/>
        </w:rPr>
        <w:t xml:space="preserve"> (Accessed 8th October 2025)</w:t>
      </w:r>
    </w:p>
    <w:p w14:paraId="1EB85C79" w14:textId="77777777" w:rsidR="00770043" w:rsidRPr="00DC585B" w:rsidRDefault="00770043" w:rsidP="00DC585B">
      <w:pPr>
        <w:spacing w:line="360" w:lineRule="auto"/>
        <w:jc w:val="both"/>
        <w:rPr>
          <w:rFonts w:asciiTheme="minorBidi" w:hAnsiTheme="minorBidi"/>
          <w:sz w:val="22"/>
          <w:szCs w:val="22"/>
        </w:rPr>
      </w:pPr>
      <w:r w:rsidRPr="00D85C5B">
        <w:rPr>
          <w:rFonts w:asciiTheme="minorBidi" w:hAnsiTheme="minorBidi"/>
          <w:sz w:val="22"/>
          <w:szCs w:val="22"/>
        </w:rPr>
        <w:t>Maina, P.M., Pienaar, M. and Reid, M. (2023). Self-management practices for preventing complications of type II diabetes mellitus in low and middle-income countries: A scoping review. </w:t>
      </w:r>
      <w:r w:rsidRPr="00D85C5B">
        <w:rPr>
          <w:rFonts w:asciiTheme="minorBidi" w:hAnsiTheme="minorBidi"/>
          <w:i/>
          <w:iCs/>
          <w:sz w:val="22"/>
          <w:szCs w:val="22"/>
        </w:rPr>
        <w:t>International Journal of Nursing Studies Advances</w:t>
      </w:r>
      <w:r w:rsidRPr="00D85C5B">
        <w:rPr>
          <w:rFonts w:asciiTheme="minorBidi" w:hAnsiTheme="minorBidi"/>
          <w:sz w:val="22"/>
          <w:szCs w:val="22"/>
        </w:rPr>
        <w:t xml:space="preserve">, [online] 5, p.100136. </w:t>
      </w:r>
      <w:r w:rsidRPr="00DC585B">
        <w:rPr>
          <w:rFonts w:asciiTheme="minorBidi" w:hAnsiTheme="minorBidi"/>
          <w:sz w:val="22"/>
          <w:szCs w:val="22"/>
        </w:rPr>
        <w:t>Available at</w:t>
      </w:r>
      <w:r w:rsidRPr="00D85C5B">
        <w:rPr>
          <w:rFonts w:asciiTheme="minorBidi" w:hAnsiTheme="minorBidi"/>
          <w:sz w:val="22"/>
          <w:szCs w:val="22"/>
        </w:rPr>
        <w:t>:</w:t>
      </w:r>
      <w:r w:rsidRPr="00DC585B">
        <w:rPr>
          <w:rFonts w:asciiTheme="minorBidi" w:hAnsiTheme="minorBidi"/>
          <w:sz w:val="22"/>
          <w:szCs w:val="22"/>
        </w:rPr>
        <w:t xml:space="preserve"> </w:t>
      </w:r>
      <w:hyperlink r:id="rId31" w:history="1">
        <w:r w:rsidRPr="00D85C5B">
          <w:rPr>
            <w:rStyle w:val="Hyperlink"/>
            <w:rFonts w:asciiTheme="minorBidi" w:hAnsiTheme="minorBidi"/>
            <w:sz w:val="22"/>
            <w:szCs w:val="22"/>
          </w:rPr>
          <w:t>https://doi.org/10.1016/j.ijnsa.2023.100136</w:t>
        </w:r>
      </w:hyperlink>
      <w:r w:rsidRPr="00DC585B">
        <w:rPr>
          <w:rFonts w:asciiTheme="minorBidi" w:hAnsiTheme="minorBidi"/>
          <w:sz w:val="22"/>
          <w:szCs w:val="22"/>
        </w:rPr>
        <w:t xml:space="preserve"> (Accessed 10th October 2025)</w:t>
      </w:r>
    </w:p>
    <w:p w14:paraId="21C05EA8"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Mathew, T.K., Tadi, P. and Zubair, M. (2023). </w:t>
      </w:r>
      <w:r w:rsidRPr="00DC585B">
        <w:rPr>
          <w:rFonts w:asciiTheme="minorBidi" w:hAnsiTheme="minorBidi"/>
          <w:i/>
          <w:iCs/>
          <w:sz w:val="22"/>
          <w:szCs w:val="22"/>
        </w:rPr>
        <w:t>Blood Glucose Monitoring</w:t>
      </w:r>
      <w:r w:rsidRPr="00DC585B">
        <w:rPr>
          <w:rFonts w:asciiTheme="minorBidi" w:hAnsiTheme="minorBidi"/>
          <w:sz w:val="22"/>
          <w:szCs w:val="22"/>
        </w:rPr>
        <w:t xml:space="preserve">. [online] National Library of Medicine. Available at: </w:t>
      </w:r>
      <w:hyperlink r:id="rId32" w:history="1">
        <w:r w:rsidRPr="00DC585B">
          <w:rPr>
            <w:rStyle w:val="Hyperlink"/>
            <w:rFonts w:asciiTheme="minorBidi" w:hAnsiTheme="minorBidi"/>
            <w:sz w:val="22"/>
            <w:szCs w:val="22"/>
          </w:rPr>
          <w:t>https://www.ncbi.nlm.nih.gov/books/NBK555976/</w:t>
        </w:r>
      </w:hyperlink>
      <w:r w:rsidRPr="00DC585B">
        <w:rPr>
          <w:rFonts w:asciiTheme="minorBidi" w:hAnsiTheme="minorBidi"/>
          <w:sz w:val="22"/>
          <w:szCs w:val="22"/>
        </w:rPr>
        <w:t xml:space="preserve"> (Accessed 9th October 2025)</w:t>
      </w:r>
    </w:p>
    <w:p w14:paraId="6BFC1E8E"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 xml:space="preserve">Melkonian, E.A. and </w:t>
      </w:r>
      <w:proofErr w:type="spellStart"/>
      <w:r w:rsidRPr="00DC585B">
        <w:rPr>
          <w:rFonts w:asciiTheme="minorBidi" w:hAnsiTheme="minorBidi"/>
          <w:sz w:val="22"/>
          <w:szCs w:val="22"/>
        </w:rPr>
        <w:t>Schury</w:t>
      </w:r>
      <w:proofErr w:type="spellEnd"/>
      <w:r w:rsidRPr="00DC585B">
        <w:rPr>
          <w:rFonts w:asciiTheme="minorBidi" w:hAnsiTheme="minorBidi"/>
          <w:sz w:val="22"/>
          <w:szCs w:val="22"/>
        </w:rPr>
        <w:t>, M.P. (2023). </w:t>
      </w:r>
      <w:r w:rsidRPr="00DC585B">
        <w:rPr>
          <w:rFonts w:asciiTheme="minorBidi" w:hAnsiTheme="minorBidi"/>
          <w:i/>
          <w:iCs/>
          <w:sz w:val="22"/>
          <w:szCs w:val="22"/>
        </w:rPr>
        <w:t>Biochemistry, anaerobic glycolysis</w:t>
      </w:r>
      <w:r w:rsidRPr="00DC585B">
        <w:rPr>
          <w:rFonts w:asciiTheme="minorBidi" w:hAnsiTheme="minorBidi"/>
          <w:sz w:val="22"/>
          <w:szCs w:val="22"/>
        </w:rPr>
        <w:t xml:space="preserve">. [online] National Library of Medicine. Available at: </w:t>
      </w:r>
      <w:hyperlink r:id="rId33" w:history="1">
        <w:r w:rsidRPr="00DC585B">
          <w:rPr>
            <w:rStyle w:val="Hyperlink"/>
            <w:rFonts w:asciiTheme="minorBidi" w:hAnsiTheme="minorBidi"/>
            <w:sz w:val="22"/>
            <w:szCs w:val="22"/>
          </w:rPr>
          <w:t>https://www.ncbi.nlm.nih.gov/books/NBK546695/</w:t>
        </w:r>
      </w:hyperlink>
      <w:r w:rsidRPr="00DC585B">
        <w:rPr>
          <w:rFonts w:asciiTheme="minorBidi" w:hAnsiTheme="minorBidi"/>
          <w:sz w:val="22"/>
          <w:szCs w:val="22"/>
        </w:rPr>
        <w:t xml:space="preserve"> (Accessed 9th October 2025)</w:t>
      </w:r>
    </w:p>
    <w:p w14:paraId="422D3163"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 xml:space="preserve">Mouri, M. and </w:t>
      </w:r>
      <w:proofErr w:type="spellStart"/>
      <w:r w:rsidRPr="00DC585B">
        <w:rPr>
          <w:rFonts w:asciiTheme="minorBidi" w:hAnsiTheme="minorBidi"/>
          <w:sz w:val="22"/>
          <w:szCs w:val="22"/>
        </w:rPr>
        <w:t>Badireddy</w:t>
      </w:r>
      <w:proofErr w:type="spellEnd"/>
      <w:r w:rsidRPr="00DC585B">
        <w:rPr>
          <w:rFonts w:asciiTheme="minorBidi" w:hAnsiTheme="minorBidi"/>
          <w:sz w:val="22"/>
          <w:szCs w:val="22"/>
        </w:rPr>
        <w:t>, M. (2023). </w:t>
      </w:r>
      <w:proofErr w:type="spellStart"/>
      <w:r w:rsidRPr="00DC585B">
        <w:rPr>
          <w:rFonts w:asciiTheme="minorBidi" w:hAnsiTheme="minorBidi"/>
          <w:i/>
          <w:iCs/>
          <w:sz w:val="22"/>
          <w:szCs w:val="22"/>
        </w:rPr>
        <w:t>Hyperglycemia</w:t>
      </w:r>
      <w:proofErr w:type="spellEnd"/>
      <w:r w:rsidRPr="00DC585B">
        <w:rPr>
          <w:rFonts w:asciiTheme="minorBidi" w:hAnsiTheme="minorBidi"/>
          <w:sz w:val="22"/>
          <w:szCs w:val="22"/>
        </w:rPr>
        <w:t xml:space="preserve">. [online] National Library of Medicine. Available at: </w:t>
      </w:r>
      <w:hyperlink r:id="rId34" w:history="1">
        <w:r w:rsidRPr="00DC585B">
          <w:rPr>
            <w:rStyle w:val="Hyperlink"/>
            <w:rFonts w:asciiTheme="minorBidi" w:hAnsiTheme="minorBidi"/>
            <w:sz w:val="22"/>
            <w:szCs w:val="22"/>
          </w:rPr>
          <w:t>https://www.ncbi.nlm.nih.gov/books/NBK430900/</w:t>
        </w:r>
      </w:hyperlink>
      <w:r w:rsidRPr="00DC585B">
        <w:rPr>
          <w:rFonts w:asciiTheme="minorBidi" w:hAnsiTheme="minorBidi"/>
          <w:sz w:val="22"/>
          <w:szCs w:val="22"/>
        </w:rPr>
        <w:t xml:space="preserve"> (Accessed 9th October 2025)</w:t>
      </w:r>
    </w:p>
    <w:p w14:paraId="5ACC69EC"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NHS England. (2024a). </w:t>
      </w:r>
      <w:r w:rsidRPr="00DC585B">
        <w:rPr>
          <w:rFonts w:asciiTheme="minorBidi" w:hAnsiTheme="minorBidi"/>
          <w:i/>
          <w:iCs/>
          <w:sz w:val="22"/>
          <w:szCs w:val="22"/>
        </w:rPr>
        <w:t>NHS England» Millions of people have diabetes, but how much do you know about it?</w:t>
      </w:r>
      <w:r w:rsidRPr="00DC585B">
        <w:rPr>
          <w:rFonts w:asciiTheme="minorBidi" w:hAnsiTheme="minorBidi"/>
          <w:sz w:val="22"/>
          <w:szCs w:val="22"/>
        </w:rPr>
        <w:t xml:space="preserve"> [online] England.nhs.uk. Available at: </w:t>
      </w:r>
      <w:hyperlink r:id="rId35" w:history="1">
        <w:r w:rsidRPr="00DC585B">
          <w:rPr>
            <w:rStyle w:val="Hyperlink"/>
            <w:rFonts w:asciiTheme="minorBidi" w:hAnsiTheme="minorBidi"/>
            <w:sz w:val="22"/>
            <w:szCs w:val="22"/>
          </w:rPr>
          <w:t>https://www.england.nhs.uk/blog/millions-of-people-have-diabetes-but-how-much-do-you-know-about-it/</w:t>
        </w:r>
      </w:hyperlink>
      <w:r w:rsidRPr="00DC585B">
        <w:rPr>
          <w:rFonts w:asciiTheme="minorBidi" w:hAnsiTheme="minorBidi"/>
          <w:sz w:val="22"/>
          <w:szCs w:val="22"/>
        </w:rPr>
        <w:t xml:space="preserve"> (Accessed 8th October 2025)</w:t>
      </w:r>
    </w:p>
    <w:p w14:paraId="6F085D18"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lastRenderedPageBreak/>
        <w:t>NHS England. (2024b). </w:t>
      </w:r>
      <w:r w:rsidRPr="00DC585B">
        <w:rPr>
          <w:rFonts w:asciiTheme="minorBidi" w:hAnsiTheme="minorBidi"/>
          <w:i/>
          <w:iCs/>
          <w:sz w:val="22"/>
          <w:szCs w:val="22"/>
        </w:rPr>
        <w:t>NHS Identifies over Half a Million More People at Risk of Type 2 Diabetes in a Year</w:t>
      </w:r>
      <w:r w:rsidRPr="00DC585B">
        <w:rPr>
          <w:rFonts w:asciiTheme="minorBidi" w:hAnsiTheme="minorBidi"/>
          <w:sz w:val="22"/>
          <w:szCs w:val="22"/>
        </w:rPr>
        <w:t xml:space="preserve">. [online] www.england.nhs.uk. Available at: </w:t>
      </w:r>
      <w:hyperlink r:id="rId36" w:history="1">
        <w:r w:rsidRPr="00DC585B">
          <w:rPr>
            <w:rStyle w:val="Hyperlink"/>
            <w:rFonts w:asciiTheme="minorBidi" w:hAnsiTheme="minorBidi"/>
            <w:sz w:val="22"/>
            <w:szCs w:val="22"/>
          </w:rPr>
          <w:t>https://www.england.nhs.uk/2024/06/nhs-identifies-over-half-a-million-more-people-at-risk-of-type-2-diabetes-in-a-year/</w:t>
        </w:r>
      </w:hyperlink>
      <w:r w:rsidRPr="00DC585B">
        <w:rPr>
          <w:rFonts w:asciiTheme="minorBidi" w:hAnsiTheme="minorBidi"/>
          <w:sz w:val="22"/>
          <w:szCs w:val="22"/>
        </w:rPr>
        <w:t xml:space="preserve"> (Accessed 8th October 2025)</w:t>
      </w:r>
    </w:p>
    <w:p w14:paraId="2EE8642C"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NICE. (2023). </w:t>
      </w:r>
      <w:r w:rsidRPr="00DC585B">
        <w:rPr>
          <w:rFonts w:asciiTheme="minorBidi" w:hAnsiTheme="minorBidi"/>
          <w:i/>
          <w:iCs/>
          <w:sz w:val="22"/>
          <w:szCs w:val="22"/>
        </w:rPr>
        <w:t>Quality Statement 4: Continuous Glucose Monitoring for Adults Who Use Insulin and Need Help Monitoring Their Blood Glucose | Type 2 Diabetes in Adults | Quality Standards | NICE</w:t>
      </w:r>
      <w:r w:rsidRPr="00DC585B">
        <w:rPr>
          <w:rFonts w:asciiTheme="minorBidi" w:hAnsiTheme="minorBidi"/>
          <w:sz w:val="22"/>
          <w:szCs w:val="22"/>
        </w:rPr>
        <w:t xml:space="preserve">. [online] www.nice.org.uk. Available at: </w:t>
      </w:r>
      <w:hyperlink r:id="rId37" w:history="1">
        <w:r w:rsidRPr="00DC585B">
          <w:rPr>
            <w:rStyle w:val="Hyperlink"/>
            <w:rFonts w:asciiTheme="minorBidi" w:hAnsiTheme="minorBidi"/>
            <w:sz w:val="22"/>
            <w:szCs w:val="22"/>
          </w:rPr>
          <w:t>https://www.nice.org.uk/guidance/qs209/chapter/Quality-statement-4-Continuous-glucose-monitoring-for-adults-who-use-insulin-and-need-help-monitoring-their-blood-glucose</w:t>
        </w:r>
      </w:hyperlink>
      <w:r w:rsidRPr="00DC585B">
        <w:rPr>
          <w:rFonts w:asciiTheme="minorBidi" w:hAnsiTheme="minorBidi"/>
          <w:sz w:val="22"/>
          <w:szCs w:val="22"/>
        </w:rPr>
        <w:t xml:space="preserve"> (Accessed 9th October 2025)</w:t>
      </w:r>
    </w:p>
    <w:p w14:paraId="2457A89A" w14:textId="77777777" w:rsidR="00770043" w:rsidRPr="00DC585B" w:rsidRDefault="00770043" w:rsidP="00DC585B">
      <w:pPr>
        <w:spacing w:line="360" w:lineRule="auto"/>
        <w:jc w:val="both"/>
        <w:rPr>
          <w:rFonts w:asciiTheme="minorBidi" w:hAnsiTheme="minorBidi"/>
          <w:sz w:val="22"/>
          <w:szCs w:val="22"/>
        </w:rPr>
      </w:pPr>
      <w:r w:rsidRPr="00040E0C">
        <w:rPr>
          <w:rFonts w:asciiTheme="minorBidi" w:hAnsiTheme="minorBidi"/>
          <w:sz w:val="22"/>
          <w:szCs w:val="22"/>
        </w:rPr>
        <w:t>Patel, R. and Keyes, D. (2024). </w:t>
      </w:r>
      <w:r w:rsidRPr="00040E0C">
        <w:rPr>
          <w:rFonts w:asciiTheme="minorBidi" w:hAnsiTheme="minorBidi"/>
          <w:i/>
          <w:iCs/>
          <w:sz w:val="22"/>
          <w:szCs w:val="22"/>
        </w:rPr>
        <w:t>Lifestyle Modification for Diabetes and Heart Disease Prevention</w:t>
      </w:r>
      <w:r w:rsidRPr="00040E0C">
        <w:rPr>
          <w:rFonts w:asciiTheme="minorBidi" w:hAnsiTheme="minorBidi"/>
          <w:sz w:val="22"/>
          <w:szCs w:val="22"/>
        </w:rPr>
        <w:t xml:space="preserve">. [online] PubMed. Available at: </w:t>
      </w:r>
      <w:hyperlink r:id="rId38" w:history="1">
        <w:r w:rsidRPr="00040E0C">
          <w:rPr>
            <w:rStyle w:val="Hyperlink"/>
            <w:rFonts w:asciiTheme="minorBidi" w:hAnsiTheme="minorBidi"/>
            <w:sz w:val="22"/>
            <w:szCs w:val="22"/>
          </w:rPr>
          <w:t>https://www.ncbi.nlm.nih.gov/books/NBK585052/</w:t>
        </w:r>
      </w:hyperlink>
      <w:r w:rsidRPr="00DC585B">
        <w:rPr>
          <w:rFonts w:asciiTheme="minorBidi" w:hAnsiTheme="minorBidi"/>
          <w:sz w:val="22"/>
          <w:szCs w:val="22"/>
        </w:rPr>
        <w:t xml:space="preserve"> (Accessed 10th October 2025)</w:t>
      </w:r>
    </w:p>
    <w:p w14:paraId="51EBF3C3"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Pleus, S., Freckmann, G., Schauer, S., Heinemann, L., Ziegler, R., Ji, L., Mohan, V., Calliari, L.E. and Hinzmann, R. (2022). Self-Monitoring of Blood Glucose as an Integral Part in the Management of People with Type 2 Diabetes Mellitus. </w:t>
      </w:r>
      <w:r w:rsidRPr="00DC585B">
        <w:rPr>
          <w:rFonts w:asciiTheme="minorBidi" w:hAnsiTheme="minorBidi"/>
          <w:i/>
          <w:iCs/>
          <w:sz w:val="22"/>
          <w:szCs w:val="22"/>
        </w:rPr>
        <w:t>Diabetes Therapy</w:t>
      </w:r>
      <w:r w:rsidRPr="00DC585B">
        <w:rPr>
          <w:rFonts w:asciiTheme="minorBidi" w:hAnsiTheme="minorBidi"/>
          <w:sz w:val="22"/>
          <w:szCs w:val="22"/>
        </w:rPr>
        <w:t xml:space="preserve">, 13(5), pp.829–846. Available at: </w:t>
      </w:r>
      <w:hyperlink r:id="rId39" w:history="1">
        <w:r w:rsidRPr="00DC585B">
          <w:rPr>
            <w:rStyle w:val="Hyperlink"/>
            <w:rFonts w:asciiTheme="minorBidi" w:hAnsiTheme="minorBidi"/>
            <w:sz w:val="22"/>
            <w:szCs w:val="22"/>
          </w:rPr>
          <w:t>https://doi.org/10.1007/s13300-022-01254-8</w:t>
        </w:r>
      </w:hyperlink>
      <w:r w:rsidRPr="00DC585B">
        <w:rPr>
          <w:rFonts w:asciiTheme="minorBidi" w:hAnsiTheme="minorBidi"/>
          <w:sz w:val="22"/>
          <w:szCs w:val="22"/>
        </w:rPr>
        <w:t xml:space="preserve"> (Accessed 9th October 2025)</w:t>
      </w:r>
    </w:p>
    <w:p w14:paraId="63F3552E"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 xml:space="preserve">Poznyak, A., </w:t>
      </w:r>
      <w:proofErr w:type="spellStart"/>
      <w:r w:rsidRPr="00DC585B">
        <w:rPr>
          <w:rFonts w:asciiTheme="minorBidi" w:hAnsiTheme="minorBidi"/>
          <w:sz w:val="22"/>
          <w:szCs w:val="22"/>
        </w:rPr>
        <w:t>Grechko</w:t>
      </w:r>
      <w:proofErr w:type="spellEnd"/>
      <w:r w:rsidRPr="00DC585B">
        <w:rPr>
          <w:rFonts w:asciiTheme="minorBidi" w:hAnsiTheme="minorBidi"/>
          <w:sz w:val="22"/>
          <w:szCs w:val="22"/>
        </w:rPr>
        <w:t xml:space="preserve">, A. V., Poggio, P., </w:t>
      </w:r>
      <w:proofErr w:type="spellStart"/>
      <w:r w:rsidRPr="00DC585B">
        <w:rPr>
          <w:rFonts w:asciiTheme="minorBidi" w:hAnsiTheme="minorBidi"/>
          <w:sz w:val="22"/>
          <w:szCs w:val="22"/>
        </w:rPr>
        <w:t>Myasoedova</w:t>
      </w:r>
      <w:proofErr w:type="spellEnd"/>
      <w:r w:rsidRPr="00DC585B">
        <w:rPr>
          <w:rFonts w:asciiTheme="minorBidi" w:hAnsiTheme="minorBidi"/>
          <w:sz w:val="22"/>
          <w:szCs w:val="22"/>
        </w:rPr>
        <w:t xml:space="preserve">, V. A., Alfieri, V., &amp; Orekhov, A. N. (2020). The Diabetes Mellitus–Atherosclerosis Connection: </w:t>
      </w:r>
      <w:proofErr w:type="gramStart"/>
      <w:r w:rsidRPr="00DC585B">
        <w:rPr>
          <w:rFonts w:asciiTheme="minorBidi" w:hAnsiTheme="minorBidi"/>
          <w:sz w:val="22"/>
          <w:szCs w:val="22"/>
        </w:rPr>
        <w:t>the</w:t>
      </w:r>
      <w:proofErr w:type="gramEnd"/>
      <w:r w:rsidRPr="00DC585B">
        <w:rPr>
          <w:rFonts w:asciiTheme="minorBidi" w:hAnsiTheme="minorBidi"/>
          <w:sz w:val="22"/>
          <w:szCs w:val="22"/>
        </w:rPr>
        <w:t xml:space="preserve"> Role of Lipid and Glucose Metabolism and Chronic Inflammation. </w:t>
      </w:r>
      <w:r w:rsidRPr="00DC585B">
        <w:rPr>
          <w:rFonts w:asciiTheme="minorBidi" w:hAnsiTheme="minorBidi"/>
          <w:i/>
          <w:iCs/>
          <w:sz w:val="22"/>
          <w:szCs w:val="22"/>
        </w:rPr>
        <w:t>International Journal of Molecular Sciences</w:t>
      </w:r>
      <w:r w:rsidRPr="00DC585B">
        <w:rPr>
          <w:rFonts w:asciiTheme="minorBidi" w:hAnsiTheme="minorBidi"/>
          <w:sz w:val="22"/>
          <w:szCs w:val="22"/>
        </w:rPr>
        <w:t>, </w:t>
      </w:r>
      <w:r w:rsidRPr="00DC585B">
        <w:rPr>
          <w:rFonts w:asciiTheme="minorBidi" w:hAnsiTheme="minorBidi"/>
          <w:i/>
          <w:iCs/>
          <w:sz w:val="22"/>
          <w:szCs w:val="22"/>
        </w:rPr>
        <w:t>21</w:t>
      </w:r>
      <w:r w:rsidRPr="00DC585B">
        <w:rPr>
          <w:rFonts w:asciiTheme="minorBidi" w:hAnsiTheme="minorBidi"/>
          <w:sz w:val="22"/>
          <w:szCs w:val="22"/>
        </w:rPr>
        <w:t xml:space="preserve">(5). National Library of Medicine. Available at: </w:t>
      </w:r>
      <w:hyperlink r:id="rId40" w:history="1">
        <w:r w:rsidRPr="00DC585B">
          <w:rPr>
            <w:rStyle w:val="Hyperlink"/>
            <w:rFonts w:asciiTheme="minorBidi" w:hAnsiTheme="minorBidi"/>
            <w:sz w:val="22"/>
            <w:szCs w:val="22"/>
          </w:rPr>
          <w:t>https://doi.org/10.3390/ijms21051835</w:t>
        </w:r>
      </w:hyperlink>
      <w:r w:rsidRPr="00DC585B">
        <w:rPr>
          <w:rFonts w:asciiTheme="minorBidi" w:hAnsiTheme="minorBidi"/>
          <w:sz w:val="22"/>
          <w:szCs w:val="22"/>
        </w:rPr>
        <w:t xml:space="preserve"> (Accessed 8th October 2025)</w:t>
      </w:r>
    </w:p>
    <w:p w14:paraId="0917C1A5"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Public Health England. (2018). </w:t>
      </w:r>
      <w:r w:rsidRPr="00DC585B">
        <w:rPr>
          <w:rFonts w:asciiTheme="minorBidi" w:hAnsiTheme="minorBidi"/>
          <w:i/>
          <w:iCs/>
          <w:sz w:val="22"/>
          <w:szCs w:val="22"/>
        </w:rPr>
        <w:t>Health matters: Preventing Type 2 Diabetes</w:t>
      </w:r>
      <w:r w:rsidRPr="00DC585B">
        <w:rPr>
          <w:rFonts w:asciiTheme="minorBidi" w:hAnsiTheme="minorBidi"/>
          <w:sz w:val="22"/>
          <w:szCs w:val="22"/>
        </w:rPr>
        <w:t xml:space="preserve">. [online] GOV.UK. Available at: </w:t>
      </w:r>
      <w:hyperlink r:id="rId41" w:history="1">
        <w:r w:rsidRPr="00DC585B">
          <w:rPr>
            <w:rStyle w:val="Hyperlink"/>
            <w:rFonts w:asciiTheme="minorBidi" w:hAnsiTheme="minorBidi"/>
            <w:sz w:val="22"/>
            <w:szCs w:val="22"/>
          </w:rPr>
          <w:t>https://www.gov.uk/government/publications/health-matters-preventing-type-2-diabetes/health-matters-preventing-type-2-diabetes</w:t>
        </w:r>
      </w:hyperlink>
      <w:r w:rsidRPr="00DC585B">
        <w:rPr>
          <w:rFonts w:asciiTheme="minorBidi" w:hAnsiTheme="minorBidi"/>
          <w:sz w:val="22"/>
          <w:szCs w:val="22"/>
        </w:rPr>
        <w:t xml:space="preserve"> (Accessed 8th October 2025)</w:t>
      </w:r>
    </w:p>
    <w:p w14:paraId="6F6C9B0C"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Rhodes, C.E. and Varacallo, M. (2022). </w:t>
      </w:r>
      <w:r w:rsidRPr="00DC585B">
        <w:rPr>
          <w:rFonts w:asciiTheme="minorBidi" w:hAnsiTheme="minorBidi"/>
          <w:i/>
          <w:iCs/>
          <w:sz w:val="22"/>
          <w:szCs w:val="22"/>
        </w:rPr>
        <w:t>Physiology, oxygen transport</w:t>
      </w:r>
      <w:r w:rsidRPr="00DC585B">
        <w:rPr>
          <w:rFonts w:asciiTheme="minorBidi" w:hAnsiTheme="minorBidi"/>
          <w:sz w:val="22"/>
          <w:szCs w:val="22"/>
        </w:rPr>
        <w:t xml:space="preserve">. [online] PubMed. Available at: </w:t>
      </w:r>
      <w:hyperlink r:id="rId42" w:history="1">
        <w:r w:rsidRPr="00DC585B">
          <w:rPr>
            <w:rStyle w:val="Hyperlink"/>
            <w:rFonts w:asciiTheme="minorBidi" w:hAnsiTheme="minorBidi"/>
            <w:sz w:val="22"/>
            <w:szCs w:val="22"/>
          </w:rPr>
          <w:t>https://www.ncbi.nlm.nih.gov/books/NBK538336/</w:t>
        </w:r>
      </w:hyperlink>
      <w:r w:rsidRPr="00DC585B">
        <w:rPr>
          <w:rFonts w:asciiTheme="minorBidi" w:hAnsiTheme="minorBidi"/>
          <w:sz w:val="22"/>
          <w:szCs w:val="22"/>
        </w:rPr>
        <w:t xml:space="preserve"> (Accessed 9th October 2025)</w:t>
      </w:r>
    </w:p>
    <w:p w14:paraId="34851FD5"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Roden, M. and Shulman, G.I. (2019). The integrative biology of type 2 diabetes. </w:t>
      </w:r>
      <w:r w:rsidRPr="00DC585B">
        <w:rPr>
          <w:rFonts w:asciiTheme="minorBidi" w:hAnsiTheme="minorBidi"/>
          <w:i/>
          <w:iCs/>
          <w:sz w:val="22"/>
          <w:szCs w:val="22"/>
        </w:rPr>
        <w:t>Nature</w:t>
      </w:r>
      <w:r w:rsidRPr="00DC585B">
        <w:rPr>
          <w:rFonts w:asciiTheme="minorBidi" w:hAnsiTheme="minorBidi"/>
          <w:sz w:val="22"/>
          <w:szCs w:val="22"/>
        </w:rPr>
        <w:t xml:space="preserve">, [online] 576(7785), pp.51–60. Available at: </w:t>
      </w:r>
      <w:hyperlink r:id="rId43" w:history="1">
        <w:r w:rsidRPr="00DC585B">
          <w:rPr>
            <w:rStyle w:val="Hyperlink"/>
            <w:rFonts w:asciiTheme="minorBidi" w:hAnsiTheme="minorBidi"/>
            <w:sz w:val="22"/>
            <w:szCs w:val="22"/>
          </w:rPr>
          <w:t>https://doi.org/10.1038/s41586-019-1797-8</w:t>
        </w:r>
      </w:hyperlink>
      <w:r w:rsidRPr="00DC585B">
        <w:rPr>
          <w:rFonts w:asciiTheme="minorBidi" w:hAnsiTheme="minorBidi"/>
          <w:sz w:val="22"/>
          <w:szCs w:val="22"/>
        </w:rPr>
        <w:t xml:space="preserve"> (Accessed 8th October 2025)</w:t>
      </w:r>
    </w:p>
    <w:p w14:paraId="72230D9C"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 xml:space="preserve">Rossi, M.C., Nicolucci, A., Ozzello, A., Gentile, S., </w:t>
      </w:r>
      <w:proofErr w:type="spellStart"/>
      <w:r w:rsidRPr="00DC585B">
        <w:rPr>
          <w:rFonts w:asciiTheme="minorBidi" w:hAnsiTheme="minorBidi"/>
          <w:sz w:val="22"/>
          <w:szCs w:val="22"/>
        </w:rPr>
        <w:t>Aglialoro</w:t>
      </w:r>
      <w:proofErr w:type="spellEnd"/>
      <w:r w:rsidRPr="00DC585B">
        <w:rPr>
          <w:rFonts w:asciiTheme="minorBidi" w:hAnsiTheme="minorBidi"/>
          <w:sz w:val="22"/>
          <w:szCs w:val="22"/>
        </w:rPr>
        <w:t xml:space="preserve">, A., </w:t>
      </w:r>
      <w:proofErr w:type="spellStart"/>
      <w:r w:rsidRPr="00DC585B">
        <w:rPr>
          <w:rFonts w:asciiTheme="minorBidi" w:hAnsiTheme="minorBidi"/>
          <w:sz w:val="22"/>
          <w:szCs w:val="22"/>
        </w:rPr>
        <w:t>Chiambretti</w:t>
      </w:r>
      <w:proofErr w:type="spellEnd"/>
      <w:r w:rsidRPr="00DC585B">
        <w:rPr>
          <w:rFonts w:asciiTheme="minorBidi" w:hAnsiTheme="minorBidi"/>
          <w:sz w:val="22"/>
          <w:szCs w:val="22"/>
        </w:rPr>
        <w:t xml:space="preserve">, A., Baccetti, F., Gentile, F.M., Romeo, F., Lucisano, G., Giorda, C.B., </w:t>
      </w:r>
      <w:proofErr w:type="spellStart"/>
      <w:r w:rsidRPr="00DC585B">
        <w:rPr>
          <w:rFonts w:asciiTheme="minorBidi" w:hAnsiTheme="minorBidi"/>
          <w:sz w:val="22"/>
          <w:szCs w:val="22"/>
        </w:rPr>
        <w:t>Fornengo</w:t>
      </w:r>
      <w:proofErr w:type="spellEnd"/>
      <w:r w:rsidRPr="00DC585B">
        <w:rPr>
          <w:rFonts w:asciiTheme="minorBidi" w:hAnsiTheme="minorBidi"/>
          <w:sz w:val="22"/>
          <w:szCs w:val="22"/>
        </w:rPr>
        <w:t xml:space="preserve">, R., Nada, E., Ozzello, A., </w:t>
      </w:r>
      <w:proofErr w:type="spellStart"/>
      <w:r w:rsidRPr="00DC585B">
        <w:rPr>
          <w:rFonts w:asciiTheme="minorBidi" w:hAnsiTheme="minorBidi"/>
          <w:sz w:val="22"/>
          <w:szCs w:val="22"/>
        </w:rPr>
        <w:t>Sciangula</w:t>
      </w:r>
      <w:proofErr w:type="spellEnd"/>
      <w:r w:rsidRPr="00DC585B">
        <w:rPr>
          <w:rFonts w:asciiTheme="minorBidi" w:hAnsiTheme="minorBidi"/>
          <w:sz w:val="22"/>
          <w:szCs w:val="22"/>
        </w:rPr>
        <w:t xml:space="preserve">, L., Musacchio, N., Marelli, G., Corsi, A., Baccetti, F. and Paciotti, V. (2019). Impact of severe and symptomatic </w:t>
      </w:r>
      <w:proofErr w:type="spellStart"/>
      <w:r w:rsidRPr="00DC585B">
        <w:rPr>
          <w:rFonts w:asciiTheme="minorBidi" w:hAnsiTheme="minorBidi"/>
          <w:sz w:val="22"/>
          <w:szCs w:val="22"/>
        </w:rPr>
        <w:t>hypoglycemia</w:t>
      </w:r>
      <w:proofErr w:type="spellEnd"/>
      <w:r w:rsidRPr="00DC585B">
        <w:rPr>
          <w:rFonts w:asciiTheme="minorBidi" w:hAnsiTheme="minorBidi"/>
          <w:sz w:val="22"/>
          <w:szCs w:val="22"/>
        </w:rPr>
        <w:t xml:space="preserve"> on quality of life and fear of </w:t>
      </w:r>
      <w:proofErr w:type="spellStart"/>
      <w:r w:rsidRPr="00DC585B">
        <w:rPr>
          <w:rFonts w:asciiTheme="minorBidi" w:hAnsiTheme="minorBidi"/>
          <w:sz w:val="22"/>
          <w:szCs w:val="22"/>
        </w:rPr>
        <w:t>hypoglycemia</w:t>
      </w:r>
      <w:proofErr w:type="spellEnd"/>
      <w:r w:rsidRPr="00DC585B">
        <w:rPr>
          <w:rFonts w:asciiTheme="minorBidi" w:hAnsiTheme="minorBidi"/>
          <w:sz w:val="22"/>
          <w:szCs w:val="22"/>
        </w:rPr>
        <w:t xml:space="preserve"> in type 1 </w:t>
      </w:r>
      <w:r w:rsidRPr="00DC585B">
        <w:rPr>
          <w:rFonts w:asciiTheme="minorBidi" w:hAnsiTheme="minorBidi"/>
          <w:sz w:val="22"/>
          <w:szCs w:val="22"/>
        </w:rPr>
        <w:lastRenderedPageBreak/>
        <w:t>and type 2 diabetes. Results of the Hypos-1 observational study. </w:t>
      </w:r>
      <w:r w:rsidRPr="00DC585B">
        <w:rPr>
          <w:rFonts w:asciiTheme="minorBidi" w:hAnsiTheme="minorBidi"/>
          <w:i/>
          <w:iCs/>
          <w:sz w:val="22"/>
          <w:szCs w:val="22"/>
        </w:rPr>
        <w:t>Nutrition, Metabolism and Cardiovascular Diseases</w:t>
      </w:r>
      <w:r w:rsidRPr="00DC585B">
        <w:rPr>
          <w:rFonts w:asciiTheme="minorBidi" w:hAnsiTheme="minorBidi"/>
          <w:sz w:val="22"/>
          <w:szCs w:val="22"/>
        </w:rPr>
        <w:t xml:space="preserve">, 29(7), pp.736–743. Available at: </w:t>
      </w:r>
      <w:hyperlink r:id="rId44" w:history="1">
        <w:r w:rsidRPr="00DC585B">
          <w:rPr>
            <w:rStyle w:val="Hyperlink"/>
            <w:rFonts w:asciiTheme="minorBidi" w:hAnsiTheme="minorBidi"/>
            <w:sz w:val="22"/>
            <w:szCs w:val="22"/>
          </w:rPr>
          <w:t>https://doi.org/10.1016/j.numecd.2019.04.009</w:t>
        </w:r>
      </w:hyperlink>
      <w:r w:rsidRPr="00DC585B">
        <w:rPr>
          <w:rFonts w:asciiTheme="minorBidi" w:hAnsiTheme="minorBidi"/>
          <w:sz w:val="22"/>
          <w:szCs w:val="22"/>
        </w:rPr>
        <w:t xml:space="preserve"> (Accessed 8th October 2025)</w:t>
      </w:r>
    </w:p>
    <w:p w14:paraId="45CE14B4" w14:textId="77777777" w:rsidR="00770043" w:rsidRPr="00DC585B" w:rsidRDefault="00770043" w:rsidP="00DC585B">
      <w:pPr>
        <w:spacing w:line="360" w:lineRule="auto"/>
        <w:jc w:val="both"/>
        <w:rPr>
          <w:rFonts w:asciiTheme="minorBidi" w:hAnsiTheme="minorBidi"/>
          <w:sz w:val="22"/>
          <w:szCs w:val="22"/>
        </w:rPr>
      </w:pPr>
      <w:r w:rsidRPr="00622A72">
        <w:rPr>
          <w:rFonts w:asciiTheme="minorBidi" w:hAnsiTheme="minorBidi"/>
          <w:sz w:val="22"/>
          <w:szCs w:val="22"/>
        </w:rPr>
        <w:t>Scannell, C., O’Neill, T. and Griffin, A. (2025). The Effectiveness of a Primary Care Diabetes Education and Self</w:t>
      </w:r>
      <w:r w:rsidRPr="00622A72">
        <w:rPr>
          <w:rFonts w:ascii="Cambria Math" w:hAnsi="Cambria Math" w:cs="Cambria Math"/>
          <w:sz w:val="22"/>
          <w:szCs w:val="22"/>
        </w:rPr>
        <w:t>‐</w:t>
      </w:r>
      <w:r w:rsidRPr="00622A72">
        <w:rPr>
          <w:rFonts w:asciiTheme="minorBidi" w:hAnsiTheme="minorBidi"/>
          <w:sz w:val="22"/>
          <w:szCs w:val="22"/>
        </w:rPr>
        <w:t>Management Program in Ireland: A 6</w:t>
      </w:r>
      <w:r w:rsidRPr="00622A72">
        <w:rPr>
          <w:rFonts w:ascii="Cambria Math" w:hAnsi="Cambria Math" w:cs="Cambria Math"/>
          <w:sz w:val="22"/>
          <w:szCs w:val="22"/>
        </w:rPr>
        <w:t>‐</w:t>
      </w:r>
      <w:r w:rsidRPr="00622A72">
        <w:rPr>
          <w:rFonts w:asciiTheme="minorBidi" w:hAnsiTheme="minorBidi"/>
          <w:sz w:val="22"/>
          <w:szCs w:val="22"/>
        </w:rPr>
        <w:t>Month Follow</w:t>
      </w:r>
      <w:r w:rsidRPr="00622A72">
        <w:rPr>
          <w:rFonts w:ascii="Cambria Math" w:hAnsi="Cambria Math" w:cs="Cambria Math"/>
          <w:sz w:val="22"/>
          <w:szCs w:val="22"/>
        </w:rPr>
        <w:t>‐</w:t>
      </w:r>
      <w:r w:rsidRPr="00622A72">
        <w:rPr>
          <w:rFonts w:asciiTheme="minorBidi" w:hAnsiTheme="minorBidi"/>
          <w:sz w:val="22"/>
          <w:szCs w:val="22"/>
        </w:rPr>
        <w:t>Up Study.</w:t>
      </w:r>
      <w:r w:rsidRPr="00622A72">
        <w:rPr>
          <w:rFonts w:ascii="Arial" w:hAnsi="Arial" w:cs="Arial"/>
          <w:sz w:val="22"/>
          <w:szCs w:val="22"/>
        </w:rPr>
        <w:t> </w:t>
      </w:r>
      <w:r w:rsidRPr="00622A72">
        <w:rPr>
          <w:rFonts w:asciiTheme="minorBidi" w:hAnsiTheme="minorBidi"/>
          <w:i/>
          <w:iCs/>
          <w:sz w:val="22"/>
          <w:szCs w:val="22"/>
        </w:rPr>
        <w:t>Endocrinology Diabetes &amp; Metabolism</w:t>
      </w:r>
      <w:r w:rsidRPr="00622A72">
        <w:rPr>
          <w:rFonts w:asciiTheme="minorBidi" w:hAnsiTheme="minorBidi"/>
          <w:sz w:val="22"/>
          <w:szCs w:val="22"/>
        </w:rPr>
        <w:t xml:space="preserve">, [online] 8(2). </w:t>
      </w:r>
      <w:r w:rsidRPr="00DC585B">
        <w:rPr>
          <w:rFonts w:asciiTheme="minorBidi" w:hAnsiTheme="minorBidi"/>
          <w:sz w:val="22"/>
          <w:szCs w:val="22"/>
        </w:rPr>
        <w:t>Available at</w:t>
      </w:r>
      <w:r w:rsidRPr="00622A72">
        <w:rPr>
          <w:rFonts w:asciiTheme="minorBidi" w:hAnsiTheme="minorBidi"/>
          <w:sz w:val="22"/>
          <w:szCs w:val="22"/>
        </w:rPr>
        <w:t>:</w:t>
      </w:r>
      <w:r w:rsidRPr="00DC585B">
        <w:rPr>
          <w:rFonts w:asciiTheme="minorBidi" w:hAnsiTheme="minorBidi"/>
          <w:sz w:val="22"/>
          <w:szCs w:val="22"/>
        </w:rPr>
        <w:t xml:space="preserve"> </w:t>
      </w:r>
      <w:hyperlink r:id="rId45" w:history="1">
        <w:r w:rsidRPr="00622A72">
          <w:rPr>
            <w:rStyle w:val="Hyperlink"/>
            <w:rFonts w:asciiTheme="minorBidi" w:hAnsiTheme="minorBidi"/>
            <w:sz w:val="22"/>
            <w:szCs w:val="22"/>
          </w:rPr>
          <w:t>https://doi.org/10.1002/edm2.70036</w:t>
        </w:r>
      </w:hyperlink>
      <w:r w:rsidRPr="00DC585B">
        <w:rPr>
          <w:rFonts w:asciiTheme="minorBidi" w:hAnsiTheme="minorBidi"/>
          <w:sz w:val="22"/>
          <w:szCs w:val="22"/>
        </w:rPr>
        <w:t xml:space="preserve"> (Accessed 10th October 2025)</w:t>
      </w:r>
    </w:p>
    <w:p w14:paraId="0DFD2120"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Stene, L.C., Norris, J.M. and Rewers, M.J. (2023). </w:t>
      </w:r>
      <w:r w:rsidRPr="00DC585B">
        <w:rPr>
          <w:rFonts w:asciiTheme="minorBidi" w:hAnsiTheme="minorBidi"/>
          <w:i/>
          <w:iCs/>
          <w:sz w:val="22"/>
          <w:szCs w:val="22"/>
        </w:rPr>
        <w:t>Risk Factors for Type 1 Diabetes</w:t>
      </w:r>
      <w:r w:rsidRPr="00DC585B">
        <w:rPr>
          <w:rFonts w:asciiTheme="minorBidi" w:hAnsiTheme="minorBidi"/>
          <w:sz w:val="22"/>
          <w:szCs w:val="22"/>
        </w:rPr>
        <w:t xml:space="preserve">. [online] PubMed. Available at: </w:t>
      </w:r>
      <w:hyperlink r:id="rId46" w:history="1">
        <w:r w:rsidRPr="00DC585B">
          <w:rPr>
            <w:rStyle w:val="Hyperlink"/>
            <w:rFonts w:asciiTheme="minorBidi" w:hAnsiTheme="minorBidi"/>
            <w:sz w:val="22"/>
            <w:szCs w:val="22"/>
          </w:rPr>
          <w:t>https://www.ncbi.nlm.nih.gov/books/NBK597412/</w:t>
        </w:r>
      </w:hyperlink>
      <w:r w:rsidRPr="00DC585B">
        <w:rPr>
          <w:rFonts w:asciiTheme="minorBidi" w:hAnsiTheme="minorBidi"/>
          <w:sz w:val="22"/>
          <w:szCs w:val="22"/>
        </w:rPr>
        <w:t xml:space="preserve"> (Accessed 8th October 2025)</w:t>
      </w:r>
    </w:p>
    <w:p w14:paraId="42EC7309"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 xml:space="preserve">Stumvoll, M., Goldstein, B.J. and van </w:t>
      </w:r>
      <w:proofErr w:type="spellStart"/>
      <w:r w:rsidRPr="00DC585B">
        <w:rPr>
          <w:rFonts w:asciiTheme="minorBidi" w:hAnsiTheme="minorBidi"/>
          <w:sz w:val="22"/>
          <w:szCs w:val="22"/>
        </w:rPr>
        <w:t>Haeften</w:t>
      </w:r>
      <w:proofErr w:type="spellEnd"/>
      <w:r w:rsidRPr="00DC585B">
        <w:rPr>
          <w:rFonts w:asciiTheme="minorBidi" w:hAnsiTheme="minorBidi"/>
          <w:sz w:val="22"/>
          <w:szCs w:val="22"/>
        </w:rPr>
        <w:t>, T.W. (2005). Type 2 diabetes: principles of pathogenesis and therapy. </w:t>
      </w:r>
      <w:r w:rsidRPr="00DC585B">
        <w:rPr>
          <w:rFonts w:asciiTheme="minorBidi" w:hAnsiTheme="minorBidi"/>
          <w:i/>
          <w:iCs/>
          <w:sz w:val="22"/>
          <w:szCs w:val="22"/>
        </w:rPr>
        <w:t>The Lancet</w:t>
      </w:r>
      <w:r w:rsidRPr="00DC585B">
        <w:rPr>
          <w:rFonts w:asciiTheme="minorBidi" w:hAnsiTheme="minorBidi"/>
          <w:sz w:val="22"/>
          <w:szCs w:val="22"/>
        </w:rPr>
        <w:t xml:space="preserve">, 365(9467), pp.1333–1346. Available at: </w:t>
      </w:r>
      <w:hyperlink r:id="rId47" w:history="1">
        <w:r w:rsidRPr="00DC585B">
          <w:rPr>
            <w:rStyle w:val="Hyperlink"/>
            <w:rFonts w:asciiTheme="minorBidi" w:hAnsiTheme="minorBidi"/>
            <w:sz w:val="22"/>
            <w:szCs w:val="22"/>
          </w:rPr>
          <w:t>https://doi.org/10.1016/s0140-6736(05)61032-x</w:t>
        </w:r>
      </w:hyperlink>
      <w:r w:rsidRPr="00DC585B">
        <w:rPr>
          <w:rFonts w:asciiTheme="minorBidi" w:hAnsiTheme="minorBidi"/>
          <w:sz w:val="22"/>
          <w:szCs w:val="22"/>
        </w:rPr>
        <w:t xml:space="preserve"> (Accessed 8th October 2025)</w:t>
      </w:r>
    </w:p>
    <w:p w14:paraId="0405F2C5"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Tarantino, C. (2022). </w:t>
      </w:r>
      <w:r w:rsidRPr="00DC585B">
        <w:rPr>
          <w:rFonts w:asciiTheme="minorBidi" w:hAnsiTheme="minorBidi"/>
          <w:i/>
          <w:iCs/>
          <w:sz w:val="22"/>
          <w:szCs w:val="22"/>
        </w:rPr>
        <w:t>Cellular respiration: What is it, its purpose, and more</w:t>
      </w:r>
      <w:r w:rsidRPr="00DC585B">
        <w:rPr>
          <w:rFonts w:asciiTheme="minorBidi" w:hAnsiTheme="minorBidi"/>
          <w:sz w:val="22"/>
          <w:szCs w:val="22"/>
        </w:rPr>
        <w:t xml:space="preserve">. [online] Osmosis. Available at: </w:t>
      </w:r>
      <w:hyperlink r:id="rId48" w:history="1">
        <w:r w:rsidRPr="00DC585B">
          <w:rPr>
            <w:rStyle w:val="Hyperlink"/>
            <w:rFonts w:asciiTheme="minorBidi" w:hAnsiTheme="minorBidi"/>
            <w:sz w:val="22"/>
            <w:szCs w:val="22"/>
          </w:rPr>
          <w:t>https://www.osmosis.org/answers/cellular-respiration</w:t>
        </w:r>
      </w:hyperlink>
      <w:r w:rsidRPr="00DC585B">
        <w:rPr>
          <w:rFonts w:asciiTheme="minorBidi" w:hAnsiTheme="minorBidi"/>
          <w:sz w:val="22"/>
          <w:szCs w:val="22"/>
        </w:rPr>
        <w:t xml:space="preserve"> (Accessed 9th October 2025)</w:t>
      </w:r>
    </w:p>
    <w:p w14:paraId="733F2284" w14:textId="77777777" w:rsidR="00770043" w:rsidRPr="00DC585B" w:rsidRDefault="00770043" w:rsidP="00DC585B">
      <w:pPr>
        <w:spacing w:line="360" w:lineRule="auto"/>
        <w:jc w:val="both"/>
        <w:rPr>
          <w:rFonts w:asciiTheme="minorBidi" w:hAnsiTheme="minorBidi"/>
          <w:sz w:val="22"/>
          <w:szCs w:val="22"/>
        </w:rPr>
      </w:pPr>
      <w:proofErr w:type="spellStart"/>
      <w:r w:rsidRPr="00DC585B">
        <w:rPr>
          <w:rFonts w:asciiTheme="minorBidi" w:hAnsiTheme="minorBidi"/>
          <w:sz w:val="22"/>
          <w:szCs w:val="22"/>
        </w:rPr>
        <w:t>Thobari</w:t>
      </w:r>
      <w:proofErr w:type="spellEnd"/>
      <w:r w:rsidRPr="00DC585B">
        <w:rPr>
          <w:rFonts w:asciiTheme="minorBidi" w:hAnsiTheme="minorBidi"/>
          <w:sz w:val="22"/>
          <w:szCs w:val="22"/>
        </w:rPr>
        <w:t xml:space="preserve">, J. (2023). Detection and prevention of hypo and </w:t>
      </w:r>
      <w:proofErr w:type="spellStart"/>
      <w:r w:rsidRPr="00DC585B">
        <w:rPr>
          <w:rFonts w:asciiTheme="minorBidi" w:hAnsiTheme="minorBidi"/>
          <w:sz w:val="22"/>
          <w:szCs w:val="22"/>
        </w:rPr>
        <w:t>hyperglycemia</w:t>
      </w:r>
      <w:proofErr w:type="spellEnd"/>
      <w:r w:rsidRPr="00DC585B">
        <w:rPr>
          <w:rFonts w:asciiTheme="minorBidi" w:hAnsiTheme="minorBidi"/>
          <w:sz w:val="22"/>
          <w:szCs w:val="22"/>
        </w:rPr>
        <w:t>. </w:t>
      </w:r>
      <w:r w:rsidRPr="00DC585B">
        <w:rPr>
          <w:rFonts w:asciiTheme="minorBidi" w:hAnsiTheme="minorBidi"/>
          <w:i/>
          <w:iCs/>
          <w:sz w:val="22"/>
          <w:szCs w:val="22"/>
        </w:rPr>
        <w:t>Diabetes Management</w:t>
      </w:r>
      <w:r w:rsidRPr="00DC585B">
        <w:rPr>
          <w:rFonts w:asciiTheme="minorBidi" w:hAnsiTheme="minorBidi"/>
          <w:sz w:val="22"/>
          <w:szCs w:val="22"/>
        </w:rPr>
        <w:t xml:space="preserve">, [online] 13(2), pp.451–452. Available at: </w:t>
      </w:r>
      <w:hyperlink r:id="rId49" w:history="1">
        <w:r w:rsidRPr="00DC585B">
          <w:rPr>
            <w:rStyle w:val="Hyperlink"/>
            <w:rFonts w:asciiTheme="minorBidi" w:hAnsiTheme="minorBidi"/>
            <w:sz w:val="22"/>
            <w:szCs w:val="22"/>
          </w:rPr>
          <w:t>https://www.openaccessjournals.com/articles/detection-and-prevention-of-hypo-and--hyperglycemia-16178.html</w:t>
        </w:r>
      </w:hyperlink>
      <w:r w:rsidRPr="00DC585B">
        <w:rPr>
          <w:rFonts w:asciiTheme="minorBidi" w:hAnsiTheme="minorBidi"/>
          <w:sz w:val="22"/>
          <w:szCs w:val="22"/>
        </w:rPr>
        <w:t xml:space="preserve"> (Accessed 9th October 2025)</w:t>
      </w:r>
    </w:p>
    <w:p w14:paraId="581C0F92" w14:textId="77777777" w:rsidR="00770043" w:rsidRPr="00DC585B" w:rsidRDefault="00770043" w:rsidP="00DC585B">
      <w:pPr>
        <w:spacing w:line="360" w:lineRule="auto"/>
        <w:jc w:val="both"/>
        <w:rPr>
          <w:rFonts w:asciiTheme="minorBidi" w:hAnsiTheme="minorBidi"/>
          <w:sz w:val="22"/>
          <w:szCs w:val="22"/>
        </w:rPr>
      </w:pPr>
      <w:r w:rsidRPr="00704540">
        <w:rPr>
          <w:rFonts w:asciiTheme="minorBidi" w:hAnsiTheme="minorBidi"/>
          <w:sz w:val="22"/>
          <w:szCs w:val="22"/>
        </w:rPr>
        <w:t>Walicka, M., Arkadiusz Krysiński, Maria, R., Sun, A., Campagna, D., Agostino Di Ciaula, Dugal, T., Kengne, A., Phuong Le Dinh, Misra, A., Riccardo Polosa, Syed Abbas Raza, Russo, C., Sammut, R. and Somasundaram, N. (2024). Influence of quitting smoking on diabetes-related complications: A scoping review with a systematic search strategy. </w:t>
      </w:r>
      <w:r w:rsidRPr="00704540">
        <w:rPr>
          <w:rFonts w:asciiTheme="minorBidi" w:hAnsiTheme="minorBidi"/>
          <w:i/>
          <w:iCs/>
          <w:sz w:val="22"/>
          <w:szCs w:val="22"/>
        </w:rPr>
        <w:t>Diabetes &amp; metabolic syndrome</w:t>
      </w:r>
      <w:r w:rsidRPr="00704540">
        <w:rPr>
          <w:rFonts w:asciiTheme="minorBidi" w:hAnsiTheme="minorBidi"/>
          <w:sz w:val="22"/>
          <w:szCs w:val="22"/>
        </w:rPr>
        <w:t xml:space="preserve">, 18(5), pp.103044–103044. </w:t>
      </w:r>
      <w:r w:rsidRPr="00DC585B">
        <w:rPr>
          <w:rFonts w:asciiTheme="minorBidi" w:hAnsiTheme="minorBidi"/>
          <w:sz w:val="22"/>
          <w:szCs w:val="22"/>
        </w:rPr>
        <w:t>Available at</w:t>
      </w:r>
      <w:r w:rsidRPr="00704540">
        <w:rPr>
          <w:rFonts w:asciiTheme="minorBidi" w:hAnsiTheme="minorBidi"/>
          <w:sz w:val="22"/>
          <w:szCs w:val="22"/>
        </w:rPr>
        <w:t>:</w:t>
      </w:r>
      <w:r w:rsidRPr="00DC585B">
        <w:rPr>
          <w:rFonts w:asciiTheme="minorBidi" w:hAnsiTheme="minorBidi"/>
          <w:sz w:val="22"/>
          <w:szCs w:val="22"/>
        </w:rPr>
        <w:t xml:space="preserve"> </w:t>
      </w:r>
      <w:hyperlink r:id="rId50" w:history="1">
        <w:r w:rsidRPr="00704540">
          <w:rPr>
            <w:rStyle w:val="Hyperlink"/>
            <w:rFonts w:asciiTheme="minorBidi" w:hAnsiTheme="minorBidi"/>
            <w:sz w:val="22"/>
            <w:szCs w:val="22"/>
          </w:rPr>
          <w:t>https://doi.org/10.1016/j.dsx.2024.103044</w:t>
        </w:r>
      </w:hyperlink>
      <w:r w:rsidRPr="00DC585B">
        <w:rPr>
          <w:rFonts w:asciiTheme="minorBidi" w:hAnsiTheme="minorBidi"/>
          <w:sz w:val="22"/>
          <w:szCs w:val="22"/>
        </w:rPr>
        <w:t xml:space="preserve"> (Accessed 10th October 2025)</w:t>
      </w:r>
    </w:p>
    <w:p w14:paraId="478E4A5A"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Wang, C., Geng, B., Cui, Q., Guan, Y. and Yang, J. (2014). Intracellular and extracellular adenosine triphosphate in regulation of insulin secretion from pancreatic β cells (β). </w:t>
      </w:r>
      <w:r w:rsidRPr="00DC585B">
        <w:rPr>
          <w:rFonts w:asciiTheme="minorBidi" w:hAnsiTheme="minorBidi"/>
          <w:i/>
          <w:iCs/>
          <w:sz w:val="22"/>
          <w:szCs w:val="22"/>
        </w:rPr>
        <w:t>Journal of Diabetes</w:t>
      </w:r>
      <w:r w:rsidRPr="00DC585B">
        <w:rPr>
          <w:rFonts w:asciiTheme="minorBidi" w:hAnsiTheme="minorBidi"/>
          <w:sz w:val="22"/>
          <w:szCs w:val="22"/>
        </w:rPr>
        <w:t xml:space="preserve">, [online] 6(2), pp.113–119. Available at: </w:t>
      </w:r>
      <w:hyperlink r:id="rId51" w:history="1">
        <w:r w:rsidRPr="00DC585B">
          <w:rPr>
            <w:rStyle w:val="Hyperlink"/>
            <w:rFonts w:asciiTheme="minorBidi" w:hAnsiTheme="minorBidi"/>
            <w:sz w:val="22"/>
            <w:szCs w:val="22"/>
          </w:rPr>
          <w:t>https://doi.org/10.1111/1753-0407.12098</w:t>
        </w:r>
      </w:hyperlink>
      <w:r w:rsidRPr="00DC585B">
        <w:rPr>
          <w:rFonts w:asciiTheme="minorBidi" w:hAnsiTheme="minorBidi"/>
          <w:sz w:val="22"/>
          <w:szCs w:val="22"/>
        </w:rPr>
        <w:t xml:space="preserve"> (Accessed 9th October 2025)</w:t>
      </w:r>
    </w:p>
    <w:p w14:paraId="38C73144"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 xml:space="preserve">Weinstock, R.S., Aleppo, G., Bailey, T.S., </w:t>
      </w:r>
      <w:proofErr w:type="spellStart"/>
      <w:r w:rsidRPr="00DC585B">
        <w:rPr>
          <w:rFonts w:asciiTheme="minorBidi" w:hAnsiTheme="minorBidi"/>
          <w:sz w:val="22"/>
          <w:szCs w:val="22"/>
        </w:rPr>
        <w:t>Bergenstal</w:t>
      </w:r>
      <w:proofErr w:type="spellEnd"/>
      <w:r w:rsidRPr="00DC585B">
        <w:rPr>
          <w:rFonts w:asciiTheme="minorBidi" w:hAnsiTheme="minorBidi"/>
          <w:sz w:val="22"/>
          <w:szCs w:val="22"/>
        </w:rPr>
        <w:t>, R.M., Fisher, W.A., Greenwood, D.A. and Young, L.A. (2020). </w:t>
      </w:r>
      <w:r w:rsidRPr="00DC585B">
        <w:rPr>
          <w:rFonts w:asciiTheme="minorBidi" w:hAnsiTheme="minorBidi"/>
          <w:i/>
          <w:iCs/>
          <w:sz w:val="22"/>
          <w:szCs w:val="22"/>
        </w:rPr>
        <w:t>The Role of Blood Glucose Monitoring in Diabetes Management</w:t>
      </w:r>
      <w:r w:rsidRPr="00DC585B">
        <w:rPr>
          <w:rFonts w:asciiTheme="minorBidi" w:hAnsiTheme="minorBidi"/>
          <w:sz w:val="22"/>
          <w:szCs w:val="22"/>
        </w:rPr>
        <w:t xml:space="preserve">. </w:t>
      </w:r>
      <w:r w:rsidRPr="00DC585B">
        <w:rPr>
          <w:rFonts w:asciiTheme="minorBidi" w:hAnsiTheme="minorBidi"/>
          <w:sz w:val="22"/>
          <w:szCs w:val="22"/>
        </w:rPr>
        <w:lastRenderedPageBreak/>
        <w:t>[online] </w:t>
      </w:r>
      <w:r w:rsidRPr="00DC585B">
        <w:rPr>
          <w:rFonts w:asciiTheme="minorBidi" w:hAnsiTheme="minorBidi"/>
          <w:i/>
          <w:iCs/>
          <w:sz w:val="22"/>
          <w:szCs w:val="22"/>
        </w:rPr>
        <w:t>PubMed</w:t>
      </w:r>
      <w:r w:rsidRPr="00DC585B">
        <w:rPr>
          <w:rFonts w:asciiTheme="minorBidi" w:hAnsiTheme="minorBidi"/>
          <w:sz w:val="22"/>
          <w:szCs w:val="22"/>
        </w:rPr>
        <w:t xml:space="preserve">. American Diabetes Association. Available at: </w:t>
      </w:r>
      <w:hyperlink r:id="rId52" w:history="1">
        <w:r w:rsidRPr="00DC585B">
          <w:rPr>
            <w:rStyle w:val="Hyperlink"/>
            <w:rFonts w:asciiTheme="minorBidi" w:hAnsiTheme="minorBidi"/>
            <w:sz w:val="22"/>
            <w:szCs w:val="22"/>
          </w:rPr>
          <w:t>https://www.ncbi.nlm.nih.gov/books/NBK566165/</w:t>
        </w:r>
      </w:hyperlink>
      <w:r w:rsidRPr="00DC585B">
        <w:rPr>
          <w:rFonts w:asciiTheme="minorBidi" w:hAnsiTheme="minorBidi"/>
          <w:sz w:val="22"/>
          <w:szCs w:val="22"/>
        </w:rPr>
        <w:t xml:space="preserve"> (Accessed 9th October 2025)</w:t>
      </w:r>
    </w:p>
    <w:p w14:paraId="4CB9DDFC"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Yang, D.-R., Wang, M.-Y., Zhang, C.-L. and Wang, Y. (2024). Endothelial dysfunction in vascular complications of diabetes: a comprehensive review of mechanisms and implications. </w:t>
      </w:r>
      <w:r w:rsidRPr="00DC585B">
        <w:rPr>
          <w:rFonts w:asciiTheme="minorBidi" w:hAnsiTheme="minorBidi"/>
          <w:i/>
          <w:iCs/>
          <w:sz w:val="22"/>
          <w:szCs w:val="22"/>
        </w:rPr>
        <w:t>Frontiers in endocrinology</w:t>
      </w:r>
      <w:r w:rsidRPr="00DC585B">
        <w:rPr>
          <w:rFonts w:asciiTheme="minorBidi" w:hAnsiTheme="minorBidi"/>
          <w:sz w:val="22"/>
          <w:szCs w:val="22"/>
        </w:rPr>
        <w:t xml:space="preserve">, 15. Available at: </w:t>
      </w:r>
      <w:hyperlink r:id="rId53" w:history="1">
        <w:r w:rsidRPr="00DC585B">
          <w:rPr>
            <w:rStyle w:val="Hyperlink"/>
            <w:rFonts w:asciiTheme="minorBidi" w:hAnsiTheme="minorBidi"/>
            <w:sz w:val="22"/>
            <w:szCs w:val="22"/>
          </w:rPr>
          <w:t>https://doi.org/10.3389/fendo.2024.1359255</w:t>
        </w:r>
      </w:hyperlink>
      <w:r w:rsidRPr="00DC585B">
        <w:rPr>
          <w:rFonts w:asciiTheme="minorBidi" w:hAnsiTheme="minorBidi"/>
          <w:sz w:val="22"/>
          <w:szCs w:val="22"/>
        </w:rPr>
        <w:t xml:space="preserve"> (Accessed 9th October 2025)</w:t>
      </w:r>
    </w:p>
    <w:p w14:paraId="1185F60D" w14:textId="77777777" w:rsidR="00770043" w:rsidRPr="00DC585B" w:rsidRDefault="00770043" w:rsidP="00DC585B">
      <w:pPr>
        <w:spacing w:line="360" w:lineRule="auto"/>
        <w:jc w:val="both"/>
        <w:rPr>
          <w:rFonts w:asciiTheme="minorBidi" w:hAnsiTheme="minorBidi"/>
          <w:sz w:val="22"/>
          <w:szCs w:val="22"/>
        </w:rPr>
      </w:pPr>
      <w:r w:rsidRPr="001A48B6">
        <w:rPr>
          <w:rFonts w:asciiTheme="minorBidi" w:hAnsiTheme="minorBidi"/>
          <w:sz w:val="22"/>
          <w:szCs w:val="22"/>
        </w:rPr>
        <w:t>Yang, W., Wu, Y., Chen, Y., Chen, S., Gao, X., Wu, S. and Sun, L. (2024). Different levels of physical activity and risk of developing type 2 diabetes among adults with prediabetes: a population-based cohort study. </w:t>
      </w:r>
      <w:r w:rsidRPr="001A48B6">
        <w:rPr>
          <w:rFonts w:asciiTheme="minorBidi" w:hAnsiTheme="minorBidi"/>
          <w:i/>
          <w:iCs/>
          <w:sz w:val="22"/>
          <w:szCs w:val="22"/>
        </w:rPr>
        <w:t>Nutrition Journal</w:t>
      </w:r>
      <w:r w:rsidRPr="001A48B6">
        <w:rPr>
          <w:rFonts w:asciiTheme="minorBidi" w:hAnsiTheme="minorBidi"/>
          <w:sz w:val="22"/>
          <w:szCs w:val="22"/>
        </w:rPr>
        <w:t xml:space="preserve">, 23(1). </w:t>
      </w:r>
      <w:r w:rsidRPr="00DC585B">
        <w:rPr>
          <w:rFonts w:asciiTheme="minorBidi" w:hAnsiTheme="minorBidi"/>
          <w:sz w:val="22"/>
          <w:szCs w:val="22"/>
        </w:rPr>
        <w:t>Available at</w:t>
      </w:r>
      <w:r w:rsidRPr="001A48B6">
        <w:rPr>
          <w:rFonts w:asciiTheme="minorBidi" w:hAnsiTheme="minorBidi"/>
          <w:sz w:val="22"/>
          <w:szCs w:val="22"/>
        </w:rPr>
        <w:t>:</w:t>
      </w:r>
      <w:r w:rsidRPr="00DC585B">
        <w:rPr>
          <w:rFonts w:asciiTheme="minorBidi" w:hAnsiTheme="minorBidi"/>
          <w:sz w:val="22"/>
          <w:szCs w:val="22"/>
        </w:rPr>
        <w:t xml:space="preserve"> </w:t>
      </w:r>
      <w:hyperlink r:id="rId54" w:history="1">
        <w:r w:rsidRPr="001A48B6">
          <w:rPr>
            <w:rStyle w:val="Hyperlink"/>
            <w:rFonts w:asciiTheme="minorBidi" w:hAnsiTheme="minorBidi"/>
            <w:sz w:val="22"/>
            <w:szCs w:val="22"/>
          </w:rPr>
          <w:t>https://doi.org/10.1186/s12937-024-01013-4</w:t>
        </w:r>
      </w:hyperlink>
      <w:r w:rsidRPr="00DC585B">
        <w:rPr>
          <w:rFonts w:asciiTheme="minorBidi" w:hAnsiTheme="minorBidi"/>
          <w:sz w:val="22"/>
          <w:szCs w:val="22"/>
        </w:rPr>
        <w:t xml:space="preserve"> (Accessed 10th October 2025)</w:t>
      </w:r>
    </w:p>
    <w:p w14:paraId="5B3CFA9B" w14:textId="77777777" w:rsidR="00770043" w:rsidRPr="00DC585B" w:rsidRDefault="00770043" w:rsidP="00DC585B">
      <w:pPr>
        <w:spacing w:line="360" w:lineRule="auto"/>
        <w:jc w:val="both"/>
        <w:rPr>
          <w:rFonts w:asciiTheme="minorBidi" w:hAnsiTheme="minorBidi"/>
          <w:sz w:val="22"/>
          <w:szCs w:val="22"/>
        </w:rPr>
      </w:pPr>
      <w:r w:rsidRPr="006B56A2">
        <w:rPr>
          <w:rFonts w:asciiTheme="minorBidi" w:hAnsiTheme="minorBidi"/>
          <w:sz w:val="22"/>
          <w:szCs w:val="22"/>
        </w:rPr>
        <w:t>Yun, J.-S. and Ko, S.-H. (2021). Current trends in epidemiology of cardiovascular disease and cardiovascular risk management in type 2 diabetes. </w:t>
      </w:r>
      <w:r w:rsidRPr="006B56A2">
        <w:rPr>
          <w:rFonts w:asciiTheme="minorBidi" w:hAnsiTheme="minorBidi"/>
          <w:i/>
          <w:iCs/>
          <w:sz w:val="22"/>
          <w:szCs w:val="22"/>
        </w:rPr>
        <w:t>Metabolism</w:t>
      </w:r>
      <w:r w:rsidRPr="006B56A2">
        <w:rPr>
          <w:rFonts w:asciiTheme="minorBidi" w:hAnsiTheme="minorBidi"/>
          <w:sz w:val="22"/>
          <w:szCs w:val="22"/>
        </w:rPr>
        <w:t xml:space="preserve">, 123, p.154838. </w:t>
      </w:r>
      <w:r w:rsidRPr="00DC585B">
        <w:rPr>
          <w:rFonts w:asciiTheme="minorBidi" w:hAnsiTheme="minorBidi"/>
          <w:sz w:val="22"/>
          <w:szCs w:val="22"/>
        </w:rPr>
        <w:t>Available at</w:t>
      </w:r>
      <w:r w:rsidRPr="006B56A2">
        <w:rPr>
          <w:rFonts w:asciiTheme="minorBidi" w:hAnsiTheme="minorBidi"/>
          <w:sz w:val="22"/>
          <w:szCs w:val="22"/>
        </w:rPr>
        <w:t>:</w:t>
      </w:r>
      <w:r w:rsidRPr="00DC585B">
        <w:rPr>
          <w:rFonts w:asciiTheme="minorBidi" w:hAnsiTheme="minorBidi"/>
          <w:sz w:val="22"/>
          <w:szCs w:val="22"/>
        </w:rPr>
        <w:t xml:space="preserve"> </w:t>
      </w:r>
      <w:hyperlink r:id="rId55" w:history="1">
        <w:r w:rsidRPr="006B56A2">
          <w:rPr>
            <w:rStyle w:val="Hyperlink"/>
            <w:rFonts w:asciiTheme="minorBidi" w:hAnsiTheme="minorBidi"/>
            <w:sz w:val="22"/>
            <w:szCs w:val="22"/>
          </w:rPr>
          <w:t>https://doi.org/10.1016/j.metabol.2021.154838</w:t>
        </w:r>
      </w:hyperlink>
      <w:r w:rsidRPr="00DC585B">
        <w:rPr>
          <w:rFonts w:asciiTheme="minorBidi" w:hAnsiTheme="minorBidi"/>
          <w:sz w:val="22"/>
          <w:szCs w:val="22"/>
        </w:rPr>
        <w:t xml:space="preserve"> (Accessed 10th October 2025)</w:t>
      </w:r>
    </w:p>
    <w:p w14:paraId="4D66FAC1" w14:textId="77777777" w:rsidR="00770043" w:rsidRPr="00DC585B" w:rsidRDefault="00770043" w:rsidP="00DC585B">
      <w:pPr>
        <w:spacing w:line="360" w:lineRule="auto"/>
        <w:jc w:val="both"/>
        <w:rPr>
          <w:rFonts w:asciiTheme="minorBidi" w:hAnsiTheme="minorBidi"/>
          <w:sz w:val="22"/>
          <w:szCs w:val="22"/>
        </w:rPr>
      </w:pPr>
      <w:r w:rsidRPr="00DC585B">
        <w:rPr>
          <w:rFonts w:asciiTheme="minorBidi" w:hAnsiTheme="minorBidi"/>
          <w:sz w:val="22"/>
          <w:szCs w:val="22"/>
        </w:rPr>
        <w:t>Zheng, Y., Ley, S.H. and Hu, F.B. (2018). Global Aetiology and Epidemiology of Type 2 Diabetes Mellitus and Its Complications. </w:t>
      </w:r>
      <w:r w:rsidRPr="00DC585B">
        <w:rPr>
          <w:rFonts w:asciiTheme="minorBidi" w:hAnsiTheme="minorBidi"/>
          <w:i/>
          <w:iCs/>
          <w:sz w:val="22"/>
          <w:szCs w:val="22"/>
        </w:rPr>
        <w:t>Nature Reviews Endocrinology</w:t>
      </w:r>
      <w:r w:rsidRPr="00DC585B">
        <w:rPr>
          <w:rFonts w:asciiTheme="minorBidi" w:hAnsiTheme="minorBidi"/>
          <w:sz w:val="22"/>
          <w:szCs w:val="22"/>
        </w:rPr>
        <w:t xml:space="preserve">, 14(2), pp.88–98. Available at: </w:t>
      </w:r>
      <w:hyperlink r:id="rId56" w:history="1">
        <w:r w:rsidRPr="00DC585B">
          <w:rPr>
            <w:rStyle w:val="Hyperlink"/>
            <w:rFonts w:asciiTheme="minorBidi" w:hAnsiTheme="minorBidi"/>
            <w:sz w:val="22"/>
            <w:szCs w:val="22"/>
          </w:rPr>
          <w:t>https://doi.org/10.1038/nrendo.2017.151</w:t>
        </w:r>
      </w:hyperlink>
      <w:r w:rsidRPr="00DC585B">
        <w:rPr>
          <w:rFonts w:asciiTheme="minorBidi" w:hAnsiTheme="minorBidi"/>
          <w:sz w:val="22"/>
          <w:szCs w:val="22"/>
        </w:rPr>
        <w:t xml:space="preserve"> (Accessed 9th October 2025)</w:t>
      </w:r>
    </w:p>
    <w:p w14:paraId="1824DDB1" w14:textId="77777777" w:rsidR="00622A72" w:rsidRPr="00DC585B" w:rsidRDefault="00622A72" w:rsidP="00DC585B">
      <w:pPr>
        <w:spacing w:line="360" w:lineRule="auto"/>
        <w:jc w:val="both"/>
        <w:rPr>
          <w:rFonts w:asciiTheme="minorBidi" w:hAnsiTheme="minorBidi"/>
          <w:sz w:val="22"/>
          <w:szCs w:val="22"/>
        </w:rPr>
      </w:pPr>
    </w:p>
    <w:sectPr w:rsidR="00622A72" w:rsidRPr="00DC58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29F427" w14:textId="77777777" w:rsidR="00EA3F7E" w:rsidRDefault="00EA3F7E" w:rsidP="004E4348">
      <w:pPr>
        <w:spacing w:after="0" w:line="240" w:lineRule="auto"/>
      </w:pPr>
      <w:r>
        <w:separator/>
      </w:r>
    </w:p>
  </w:endnote>
  <w:endnote w:type="continuationSeparator" w:id="0">
    <w:p w14:paraId="68E5B897" w14:textId="77777777" w:rsidR="00EA3F7E" w:rsidRDefault="00EA3F7E" w:rsidP="004E43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09A879" w14:textId="77777777" w:rsidR="00EA3F7E" w:rsidRDefault="00EA3F7E" w:rsidP="004E4348">
      <w:pPr>
        <w:spacing w:after="0" w:line="240" w:lineRule="auto"/>
      </w:pPr>
      <w:r>
        <w:separator/>
      </w:r>
    </w:p>
  </w:footnote>
  <w:footnote w:type="continuationSeparator" w:id="0">
    <w:p w14:paraId="19497477" w14:textId="77777777" w:rsidR="00EA3F7E" w:rsidRDefault="00EA3F7E" w:rsidP="004E43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280469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BB7E5B7"/>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5AD75F5"/>
    <w:multiLevelType w:val="multilevel"/>
    <w:tmpl w:val="05504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D1CCC4"/>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13211FAF"/>
    <w:multiLevelType w:val="hybridMultilevel"/>
    <w:tmpl w:val="10DAC058"/>
    <w:lvl w:ilvl="0" w:tplc="96F01174">
      <w:start w:val="1"/>
      <w:numFmt w:val="lowerRoman"/>
      <w:lvlText w:val="%1."/>
      <w:lvlJc w:val="left"/>
      <w:pPr>
        <w:ind w:left="1080" w:hanging="72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143D185A"/>
    <w:multiLevelType w:val="multilevel"/>
    <w:tmpl w:val="DC38E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5E0496"/>
    <w:multiLevelType w:val="multilevel"/>
    <w:tmpl w:val="39CA646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275E7D5C"/>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2D7F2B81"/>
    <w:multiLevelType w:val="multilevel"/>
    <w:tmpl w:val="7986A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4416AC"/>
    <w:multiLevelType w:val="multilevel"/>
    <w:tmpl w:val="F2FAF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444246"/>
    <w:multiLevelType w:val="multilevel"/>
    <w:tmpl w:val="690C7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F61821"/>
    <w:multiLevelType w:val="multilevel"/>
    <w:tmpl w:val="AB3CA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8528AF"/>
    <w:multiLevelType w:val="multilevel"/>
    <w:tmpl w:val="D3809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0835936">
    <w:abstractNumId w:val="3"/>
  </w:num>
  <w:num w:numId="2" w16cid:durableId="1390106753">
    <w:abstractNumId w:val="7"/>
  </w:num>
  <w:num w:numId="3" w16cid:durableId="367147772">
    <w:abstractNumId w:val="1"/>
  </w:num>
  <w:num w:numId="4" w16cid:durableId="462888396">
    <w:abstractNumId w:val="0"/>
  </w:num>
  <w:num w:numId="5" w16cid:durableId="937101655">
    <w:abstractNumId w:val="8"/>
  </w:num>
  <w:num w:numId="6" w16cid:durableId="2073575780">
    <w:abstractNumId w:val="2"/>
  </w:num>
  <w:num w:numId="7" w16cid:durableId="733351388">
    <w:abstractNumId w:val="11"/>
  </w:num>
  <w:num w:numId="8" w16cid:durableId="657268564">
    <w:abstractNumId w:val="12"/>
  </w:num>
  <w:num w:numId="9" w16cid:durableId="428694909">
    <w:abstractNumId w:val="5"/>
  </w:num>
  <w:num w:numId="10" w16cid:durableId="861669350">
    <w:abstractNumId w:val="10"/>
  </w:num>
  <w:num w:numId="11" w16cid:durableId="646978772">
    <w:abstractNumId w:val="9"/>
  </w:num>
  <w:num w:numId="12" w16cid:durableId="1442604586">
    <w:abstractNumId w:val="6"/>
  </w:num>
  <w:num w:numId="13" w16cid:durableId="18398100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14C"/>
    <w:rsid w:val="00016ECE"/>
    <w:rsid w:val="0003133F"/>
    <w:rsid w:val="00040E0C"/>
    <w:rsid w:val="00051A33"/>
    <w:rsid w:val="00071FD2"/>
    <w:rsid w:val="00077524"/>
    <w:rsid w:val="00077C5C"/>
    <w:rsid w:val="00083982"/>
    <w:rsid w:val="00097697"/>
    <w:rsid w:val="000C4DF8"/>
    <w:rsid w:val="000D4C65"/>
    <w:rsid w:val="000D4DAD"/>
    <w:rsid w:val="00114933"/>
    <w:rsid w:val="00133399"/>
    <w:rsid w:val="001674B1"/>
    <w:rsid w:val="00191BDA"/>
    <w:rsid w:val="00193EAD"/>
    <w:rsid w:val="001A48B6"/>
    <w:rsid w:val="001E1CE4"/>
    <w:rsid w:val="001E5E5B"/>
    <w:rsid w:val="00216BEC"/>
    <w:rsid w:val="00221F17"/>
    <w:rsid w:val="00227519"/>
    <w:rsid w:val="0023481D"/>
    <w:rsid w:val="00237F61"/>
    <w:rsid w:val="00284689"/>
    <w:rsid w:val="00297B6E"/>
    <w:rsid w:val="002A67B0"/>
    <w:rsid w:val="002A761A"/>
    <w:rsid w:val="002D500F"/>
    <w:rsid w:val="003055A8"/>
    <w:rsid w:val="0031670F"/>
    <w:rsid w:val="00336F59"/>
    <w:rsid w:val="00340270"/>
    <w:rsid w:val="0034085D"/>
    <w:rsid w:val="003525D6"/>
    <w:rsid w:val="00361A7E"/>
    <w:rsid w:val="00376898"/>
    <w:rsid w:val="003C671D"/>
    <w:rsid w:val="003D1267"/>
    <w:rsid w:val="003D1335"/>
    <w:rsid w:val="003E40C0"/>
    <w:rsid w:val="003E46EF"/>
    <w:rsid w:val="003F68EC"/>
    <w:rsid w:val="00400C31"/>
    <w:rsid w:val="00406006"/>
    <w:rsid w:val="004251DA"/>
    <w:rsid w:val="00426DE3"/>
    <w:rsid w:val="004872CF"/>
    <w:rsid w:val="00494265"/>
    <w:rsid w:val="004A1003"/>
    <w:rsid w:val="004A6D93"/>
    <w:rsid w:val="004C107A"/>
    <w:rsid w:val="004C621C"/>
    <w:rsid w:val="004C6574"/>
    <w:rsid w:val="004E081D"/>
    <w:rsid w:val="004E4348"/>
    <w:rsid w:val="004F3EB9"/>
    <w:rsid w:val="004F5A49"/>
    <w:rsid w:val="004F6C11"/>
    <w:rsid w:val="0055458F"/>
    <w:rsid w:val="005945D8"/>
    <w:rsid w:val="00596CE5"/>
    <w:rsid w:val="005A0F27"/>
    <w:rsid w:val="005A4338"/>
    <w:rsid w:val="0060033E"/>
    <w:rsid w:val="006103F2"/>
    <w:rsid w:val="00612592"/>
    <w:rsid w:val="00617CD8"/>
    <w:rsid w:val="00622A72"/>
    <w:rsid w:val="00642060"/>
    <w:rsid w:val="006B56A2"/>
    <w:rsid w:val="006E57CA"/>
    <w:rsid w:val="006F1144"/>
    <w:rsid w:val="00704540"/>
    <w:rsid w:val="007133BB"/>
    <w:rsid w:val="0072500A"/>
    <w:rsid w:val="00726D59"/>
    <w:rsid w:val="00733B4F"/>
    <w:rsid w:val="00747CFB"/>
    <w:rsid w:val="00752F3F"/>
    <w:rsid w:val="007550C0"/>
    <w:rsid w:val="00762AD8"/>
    <w:rsid w:val="00770043"/>
    <w:rsid w:val="00770CF7"/>
    <w:rsid w:val="00783477"/>
    <w:rsid w:val="007A1469"/>
    <w:rsid w:val="007A39DD"/>
    <w:rsid w:val="007E7EB6"/>
    <w:rsid w:val="007F6991"/>
    <w:rsid w:val="0080782D"/>
    <w:rsid w:val="008229AA"/>
    <w:rsid w:val="0083631F"/>
    <w:rsid w:val="008524BC"/>
    <w:rsid w:val="00865BC9"/>
    <w:rsid w:val="008E2BCD"/>
    <w:rsid w:val="008E53AC"/>
    <w:rsid w:val="008F314C"/>
    <w:rsid w:val="008F4333"/>
    <w:rsid w:val="00955B76"/>
    <w:rsid w:val="009600A3"/>
    <w:rsid w:val="009733C7"/>
    <w:rsid w:val="00974CAD"/>
    <w:rsid w:val="00977C9E"/>
    <w:rsid w:val="00980363"/>
    <w:rsid w:val="009A187D"/>
    <w:rsid w:val="009B2968"/>
    <w:rsid w:val="009C2367"/>
    <w:rsid w:val="009C4D2F"/>
    <w:rsid w:val="009C6327"/>
    <w:rsid w:val="009C6B25"/>
    <w:rsid w:val="009D1CE1"/>
    <w:rsid w:val="009D2F47"/>
    <w:rsid w:val="00A07CF1"/>
    <w:rsid w:val="00A35B13"/>
    <w:rsid w:val="00A575A5"/>
    <w:rsid w:val="00AD01E6"/>
    <w:rsid w:val="00AF1B11"/>
    <w:rsid w:val="00AF5749"/>
    <w:rsid w:val="00B5093D"/>
    <w:rsid w:val="00B7407E"/>
    <w:rsid w:val="00B812D5"/>
    <w:rsid w:val="00B85D9C"/>
    <w:rsid w:val="00B96281"/>
    <w:rsid w:val="00BC1B6C"/>
    <w:rsid w:val="00BE6353"/>
    <w:rsid w:val="00BF793B"/>
    <w:rsid w:val="00C41F10"/>
    <w:rsid w:val="00C428D5"/>
    <w:rsid w:val="00C92E27"/>
    <w:rsid w:val="00CA57E1"/>
    <w:rsid w:val="00CB635D"/>
    <w:rsid w:val="00CB6AC9"/>
    <w:rsid w:val="00CC54DB"/>
    <w:rsid w:val="00D13EAD"/>
    <w:rsid w:val="00D33B03"/>
    <w:rsid w:val="00D73777"/>
    <w:rsid w:val="00D85C5B"/>
    <w:rsid w:val="00D9153F"/>
    <w:rsid w:val="00D95C28"/>
    <w:rsid w:val="00DB1AF0"/>
    <w:rsid w:val="00DC136D"/>
    <w:rsid w:val="00DC585B"/>
    <w:rsid w:val="00DD4436"/>
    <w:rsid w:val="00DE035F"/>
    <w:rsid w:val="00DE68E9"/>
    <w:rsid w:val="00DF2A4F"/>
    <w:rsid w:val="00E116B9"/>
    <w:rsid w:val="00E23CE6"/>
    <w:rsid w:val="00E378A0"/>
    <w:rsid w:val="00E673D3"/>
    <w:rsid w:val="00E76315"/>
    <w:rsid w:val="00E77F7C"/>
    <w:rsid w:val="00E975E2"/>
    <w:rsid w:val="00EA3F7E"/>
    <w:rsid w:val="00F00ED6"/>
    <w:rsid w:val="00F11FD9"/>
    <w:rsid w:val="00F32E9B"/>
    <w:rsid w:val="00F3530F"/>
    <w:rsid w:val="00F777A2"/>
    <w:rsid w:val="00F90619"/>
    <w:rsid w:val="00FA2250"/>
    <w:rsid w:val="00FF7A5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B1C7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A5A"/>
  </w:style>
  <w:style w:type="paragraph" w:styleId="Heading1">
    <w:name w:val="heading 1"/>
    <w:basedOn w:val="Normal"/>
    <w:next w:val="Normal"/>
    <w:link w:val="Heading1Char"/>
    <w:uiPriority w:val="9"/>
    <w:qFormat/>
    <w:rsid w:val="008F31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31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31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31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31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31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31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31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31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14C"/>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8F314C"/>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8F314C"/>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8F314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8F314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8F314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F314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F314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F314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F31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314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F31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314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F314C"/>
    <w:pPr>
      <w:spacing w:before="160"/>
      <w:jc w:val="center"/>
    </w:pPr>
    <w:rPr>
      <w:i/>
      <w:iCs/>
      <w:color w:val="404040" w:themeColor="text1" w:themeTint="BF"/>
    </w:rPr>
  </w:style>
  <w:style w:type="character" w:customStyle="1" w:styleId="QuoteChar">
    <w:name w:val="Quote Char"/>
    <w:basedOn w:val="DefaultParagraphFont"/>
    <w:link w:val="Quote"/>
    <w:uiPriority w:val="29"/>
    <w:rsid w:val="008F314C"/>
    <w:rPr>
      <w:i/>
      <w:iCs/>
      <w:color w:val="404040" w:themeColor="text1" w:themeTint="BF"/>
      <w:lang w:val="en-GB"/>
    </w:rPr>
  </w:style>
  <w:style w:type="paragraph" w:styleId="ListParagraph">
    <w:name w:val="List Paragraph"/>
    <w:basedOn w:val="Normal"/>
    <w:uiPriority w:val="34"/>
    <w:qFormat/>
    <w:rsid w:val="008F314C"/>
    <w:pPr>
      <w:ind w:left="720"/>
      <w:contextualSpacing/>
    </w:pPr>
  </w:style>
  <w:style w:type="character" w:styleId="IntenseEmphasis">
    <w:name w:val="Intense Emphasis"/>
    <w:basedOn w:val="DefaultParagraphFont"/>
    <w:uiPriority w:val="21"/>
    <w:qFormat/>
    <w:rsid w:val="008F314C"/>
    <w:rPr>
      <w:i/>
      <w:iCs/>
      <w:color w:val="0F4761" w:themeColor="accent1" w:themeShade="BF"/>
    </w:rPr>
  </w:style>
  <w:style w:type="paragraph" w:styleId="IntenseQuote">
    <w:name w:val="Intense Quote"/>
    <w:basedOn w:val="Normal"/>
    <w:next w:val="Normal"/>
    <w:link w:val="IntenseQuoteChar"/>
    <w:uiPriority w:val="30"/>
    <w:qFormat/>
    <w:rsid w:val="008F31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314C"/>
    <w:rPr>
      <w:i/>
      <w:iCs/>
      <w:color w:val="0F4761" w:themeColor="accent1" w:themeShade="BF"/>
      <w:lang w:val="en-GB"/>
    </w:rPr>
  </w:style>
  <w:style w:type="character" w:styleId="IntenseReference">
    <w:name w:val="Intense Reference"/>
    <w:basedOn w:val="DefaultParagraphFont"/>
    <w:uiPriority w:val="32"/>
    <w:qFormat/>
    <w:rsid w:val="008F314C"/>
    <w:rPr>
      <w:b/>
      <w:bCs/>
      <w:smallCaps/>
      <w:color w:val="0F4761" w:themeColor="accent1" w:themeShade="BF"/>
      <w:spacing w:val="5"/>
    </w:rPr>
  </w:style>
  <w:style w:type="paragraph" w:customStyle="1" w:styleId="Default">
    <w:name w:val="Default"/>
    <w:rsid w:val="008F314C"/>
    <w:pPr>
      <w:autoSpaceDE w:val="0"/>
      <w:autoSpaceDN w:val="0"/>
      <w:adjustRightInd w:val="0"/>
      <w:spacing w:after="0" w:line="240" w:lineRule="auto"/>
    </w:pPr>
    <w:rPr>
      <w:rFonts w:ascii="Arial" w:hAnsi="Arial" w:cs="Arial"/>
      <w:color w:val="000000"/>
      <w:kern w:val="0"/>
    </w:rPr>
  </w:style>
  <w:style w:type="character" w:styleId="Hyperlink">
    <w:name w:val="Hyperlink"/>
    <w:basedOn w:val="DefaultParagraphFont"/>
    <w:uiPriority w:val="99"/>
    <w:unhideWhenUsed/>
    <w:rsid w:val="003E46EF"/>
    <w:rPr>
      <w:color w:val="467886" w:themeColor="hyperlink"/>
      <w:u w:val="single"/>
    </w:rPr>
  </w:style>
  <w:style w:type="character" w:styleId="UnresolvedMention">
    <w:name w:val="Unresolved Mention"/>
    <w:basedOn w:val="DefaultParagraphFont"/>
    <w:uiPriority w:val="99"/>
    <w:semiHidden/>
    <w:unhideWhenUsed/>
    <w:rsid w:val="003E46EF"/>
    <w:rPr>
      <w:color w:val="605E5C"/>
      <w:shd w:val="clear" w:color="auto" w:fill="E1DFDD"/>
    </w:rPr>
  </w:style>
  <w:style w:type="paragraph" w:styleId="Header">
    <w:name w:val="header"/>
    <w:basedOn w:val="Normal"/>
    <w:link w:val="HeaderChar"/>
    <w:uiPriority w:val="99"/>
    <w:unhideWhenUsed/>
    <w:rsid w:val="004E43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348"/>
    <w:rPr>
      <w:lang w:val="en-GB"/>
    </w:rPr>
  </w:style>
  <w:style w:type="paragraph" w:styleId="Footer">
    <w:name w:val="footer"/>
    <w:basedOn w:val="Normal"/>
    <w:link w:val="FooterChar"/>
    <w:uiPriority w:val="99"/>
    <w:unhideWhenUsed/>
    <w:rsid w:val="004E43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34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383049">
      <w:bodyDiv w:val="1"/>
      <w:marLeft w:val="0"/>
      <w:marRight w:val="0"/>
      <w:marTop w:val="0"/>
      <w:marBottom w:val="0"/>
      <w:divBdr>
        <w:top w:val="none" w:sz="0" w:space="0" w:color="auto"/>
        <w:left w:val="none" w:sz="0" w:space="0" w:color="auto"/>
        <w:bottom w:val="none" w:sz="0" w:space="0" w:color="auto"/>
        <w:right w:val="none" w:sz="0" w:space="0" w:color="auto"/>
      </w:divBdr>
    </w:div>
    <w:div w:id="85074599">
      <w:bodyDiv w:val="1"/>
      <w:marLeft w:val="0"/>
      <w:marRight w:val="0"/>
      <w:marTop w:val="0"/>
      <w:marBottom w:val="0"/>
      <w:divBdr>
        <w:top w:val="none" w:sz="0" w:space="0" w:color="auto"/>
        <w:left w:val="none" w:sz="0" w:space="0" w:color="auto"/>
        <w:bottom w:val="none" w:sz="0" w:space="0" w:color="auto"/>
        <w:right w:val="none" w:sz="0" w:space="0" w:color="auto"/>
      </w:divBdr>
    </w:div>
    <w:div w:id="106507616">
      <w:bodyDiv w:val="1"/>
      <w:marLeft w:val="0"/>
      <w:marRight w:val="0"/>
      <w:marTop w:val="0"/>
      <w:marBottom w:val="0"/>
      <w:divBdr>
        <w:top w:val="none" w:sz="0" w:space="0" w:color="auto"/>
        <w:left w:val="none" w:sz="0" w:space="0" w:color="auto"/>
        <w:bottom w:val="none" w:sz="0" w:space="0" w:color="auto"/>
        <w:right w:val="none" w:sz="0" w:space="0" w:color="auto"/>
      </w:divBdr>
    </w:div>
    <w:div w:id="113838269">
      <w:bodyDiv w:val="1"/>
      <w:marLeft w:val="0"/>
      <w:marRight w:val="0"/>
      <w:marTop w:val="0"/>
      <w:marBottom w:val="0"/>
      <w:divBdr>
        <w:top w:val="none" w:sz="0" w:space="0" w:color="auto"/>
        <w:left w:val="none" w:sz="0" w:space="0" w:color="auto"/>
        <w:bottom w:val="none" w:sz="0" w:space="0" w:color="auto"/>
        <w:right w:val="none" w:sz="0" w:space="0" w:color="auto"/>
      </w:divBdr>
    </w:div>
    <w:div w:id="118837100">
      <w:bodyDiv w:val="1"/>
      <w:marLeft w:val="0"/>
      <w:marRight w:val="0"/>
      <w:marTop w:val="0"/>
      <w:marBottom w:val="0"/>
      <w:divBdr>
        <w:top w:val="none" w:sz="0" w:space="0" w:color="auto"/>
        <w:left w:val="none" w:sz="0" w:space="0" w:color="auto"/>
        <w:bottom w:val="none" w:sz="0" w:space="0" w:color="auto"/>
        <w:right w:val="none" w:sz="0" w:space="0" w:color="auto"/>
      </w:divBdr>
    </w:div>
    <w:div w:id="157692235">
      <w:bodyDiv w:val="1"/>
      <w:marLeft w:val="0"/>
      <w:marRight w:val="0"/>
      <w:marTop w:val="0"/>
      <w:marBottom w:val="0"/>
      <w:divBdr>
        <w:top w:val="none" w:sz="0" w:space="0" w:color="auto"/>
        <w:left w:val="none" w:sz="0" w:space="0" w:color="auto"/>
        <w:bottom w:val="none" w:sz="0" w:space="0" w:color="auto"/>
        <w:right w:val="none" w:sz="0" w:space="0" w:color="auto"/>
      </w:divBdr>
    </w:div>
    <w:div w:id="160463081">
      <w:bodyDiv w:val="1"/>
      <w:marLeft w:val="0"/>
      <w:marRight w:val="0"/>
      <w:marTop w:val="0"/>
      <w:marBottom w:val="0"/>
      <w:divBdr>
        <w:top w:val="none" w:sz="0" w:space="0" w:color="auto"/>
        <w:left w:val="none" w:sz="0" w:space="0" w:color="auto"/>
        <w:bottom w:val="none" w:sz="0" w:space="0" w:color="auto"/>
        <w:right w:val="none" w:sz="0" w:space="0" w:color="auto"/>
      </w:divBdr>
    </w:div>
    <w:div w:id="160893005">
      <w:bodyDiv w:val="1"/>
      <w:marLeft w:val="0"/>
      <w:marRight w:val="0"/>
      <w:marTop w:val="0"/>
      <w:marBottom w:val="0"/>
      <w:divBdr>
        <w:top w:val="none" w:sz="0" w:space="0" w:color="auto"/>
        <w:left w:val="none" w:sz="0" w:space="0" w:color="auto"/>
        <w:bottom w:val="none" w:sz="0" w:space="0" w:color="auto"/>
        <w:right w:val="none" w:sz="0" w:space="0" w:color="auto"/>
      </w:divBdr>
    </w:div>
    <w:div w:id="193159755">
      <w:bodyDiv w:val="1"/>
      <w:marLeft w:val="0"/>
      <w:marRight w:val="0"/>
      <w:marTop w:val="0"/>
      <w:marBottom w:val="0"/>
      <w:divBdr>
        <w:top w:val="none" w:sz="0" w:space="0" w:color="auto"/>
        <w:left w:val="none" w:sz="0" w:space="0" w:color="auto"/>
        <w:bottom w:val="none" w:sz="0" w:space="0" w:color="auto"/>
        <w:right w:val="none" w:sz="0" w:space="0" w:color="auto"/>
      </w:divBdr>
    </w:div>
    <w:div w:id="205797707">
      <w:bodyDiv w:val="1"/>
      <w:marLeft w:val="0"/>
      <w:marRight w:val="0"/>
      <w:marTop w:val="0"/>
      <w:marBottom w:val="0"/>
      <w:divBdr>
        <w:top w:val="none" w:sz="0" w:space="0" w:color="auto"/>
        <w:left w:val="none" w:sz="0" w:space="0" w:color="auto"/>
        <w:bottom w:val="none" w:sz="0" w:space="0" w:color="auto"/>
        <w:right w:val="none" w:sz="0" w:space="0" w:color="auto"/>
      </w:divBdr>
    </w:div>
    <w:div w:id="224411690">
      <w:bodyDiv w:val="1"/>
      <w:marLeft w:val="0"/>
      <w:marRight w:val="0"/>
      <w:marTop w:val="0"/>
      <w:marBottom w:val="0"/>
      <w:divBdr>
        <w:top w:val="none" w:sz="0" w:space="0" w:color="auto"/>
        <w:left w:val="none" w:sz="0" w:space="0" w:color="auto"/>
        <w:bottom w:val="none" w:sz="0" w:space="0" w:color="auto"/>
        <w:right w:val="none" w:sz="0" w:space="0" w:color="auto"/>
      </w:divBdr>
    </w:div>
    <w:div w:id="227806068">
      <w:bodyDiv w:val="1"/>
      <w:marLeft w:val="0"/>
      <w:marRight w:val="0"/>
      <w:marTop w:val="0"/>
      <w:marBottom w:val="0"/>
      <w:divBdr>
        <w:top w:val="none" w:sz="0" w:space="0" w:color="auto"/>
        <w:left w:val="none" w:sz="0" w:space="0" w:color="auto"/>
        <w:bottom w:val="none" w:sz="0" w:space="0" w:color="auto"/>
        <w:right w:val="none" w:sz="0" w:space="0" w:color="auto"/>
      </w:divBdr>
    </w:div>
    <w:div w:id="276255795">
      <w:bodyDiv w:val="1"/>
      <w:marLeft w:val="0"/>
      <w:marRight w:val="0"/>
      <w:marTop w:val="0"/>
      <w:marBottom w:val="0"/>
      <w:divBdr>
        <w:top w:val="none" w:sz="0" w:space="0" w:color="auto"/>
        <w:left w:val="none" w:sz="0" w:space="0" w:color="auto"/>
        <w:bottom w:val="none" w:sz="0" w:space="0" w:color="auto"/>
        <w:right w:val="none" w:sz="0" w:space="0" w:color="auto"/>
      </w:divBdr>
    </w:div>
    <w:div w:id="278226043">
      <w:bodyDiv w:val="1"/>
      <w:marLeft w:val="0"/>
      <w:marRight w:val="0"/>
      <w:marTop w:val="0"/>
      <w:marBottom w:val="0"/>
      <w:divBdr>
        <w:top w:val="none" w:sz="0" w:space="0" w:color="auto"/>
        <w:left w:val="none" w:sz="0" w:space="0" w:color="auto"/>
        <w:bottom w:val="none" w:sz="0" w:space="0" w:color="auto"/>
        <w:right w:val="none" w:sz="0" w:space="0" w:color="auto"/>
      </w:divBdr>
    </w:div>
    <w:div w:id="305478681">
      <w:bodyDiv w:val="1"/>
      <w:marLeft w:val="0"/>
      <w:marRight w:val="0"/>
      <w:marTop w:val="0"/>
      <w:marBottom w:val="0"/>
      <w:divBdr>
        <w:top w:val="none" w:sz="0" w:space="0" w:color="auto"/>
        <w:left w:val="none" w:sz="0" w:space="0" w:color="auto"/>
        <w:bottom w:val="none" w:sz="0" w:space="0" w:color="auto"/>
        <w:right w:val="none" w:sz="0" w:space="0" w:color="auto"/>
      </w:divBdr>
    </w:div>
    <w:div w:id="340552782">
      <w:bodyDiv w:val="1"/>
      <w:marLeft w:val="0"/>
      <w:marRight w:val="0"/>
      <w:marTop w:val="0"/>
      <w:marBottom w:val="0"/>
      <w:divBdr>
        <w:top w:val="none" w:sz="0" w:space="0" w:color="auto"/>
        <w:left w:val="none" w:sz="0" w:space="0" w:color="auto"/>
        <w:bottom w:val="none" w:sz="0" w:space="0" w:color="auto"/>
        <w:right w:val="none" w:sz="0" w:space="0" w:color="auto"/>
      </w:divBdr>
    </w:div>
    <w:div w:id="343363934">
      <w:bodyDiv w:val="1"/>
      <w:marLeft w:val="0"/>
      <w:marRight w:val="0"/>
      <w:marTop w:val="0"/>
      <w:marBottom w:val="0"/>
      <w:divBdr>
        <w:top w:val="none" w:sz="0" w:space="0" w:color="auto"/>
        <w:left w:val="none" w:sz="0" w:space="0" w:color="auto"/>
        <w:bottom w:val="none" w:sz="0" w:space="0" w:color="auto"/>
        <w:right w:val="none" w:sz="0" w:space="0" w:color="auto"/>
      </w:divBdr>
    </w:div>
    <w:div w:id="366873528">
      <w:bodyDiv w:val="1"/>
      <w:marLeft w:val="0"/>
      <w:marRight w:val="0"/>
      <w:marTop w:val="0"/>
      <w:marBottom w:val="0"/>
      <w:divBdr>
        <w:top w:val="none" w:sz="0" w:space="0" w:color="auto"/>
        <w:left w:val="none" w:sz="0" w:space="0" w:color="auto"/>
        <w:bottom w:val="none" w:sz="0" w:space="0" w:color="auto"/>
        <w:right w:val="none" w:sz="0" w:space="0" w:color="auto"/>
      </w:divBdr>
    </w:div>
    <w:div w:id="374892330">
      <w:bodyDiv w:val="1"/>
      <w:marLeft w:val="0"/>
      <w:marRight w:val="0"/>
      <w:marTop w:val="0"/>
      <w:marBottom w:val="0"/>
      <w:divBdr>
        <w:top w:val="none" w:sz="0" w:space="0" w:color="auto"/>
        <w:left w:val="none" w:sz="0" w:space="0" w:color="auto"/>
        <w:bottom w:val="none" w:sz="0" w:space="0" w:color="auto"/>
        <w:right w:val="none" w:sz="0" w:space="0" w:color="auto"/>
      </w:divBdr>
    </w:div>
    <w:div w:id="378361236">
      <w:bodyDiv w:val="1"/>
      <w:marLeft w:val="0"/>
      <w:marRight w:val="0"/>
      <w:marTop w:val="0"/>
      <w:marBottom w:val="0"/>
      <w:divBdr>
        <w:top w:val="none" w:sz="0" w:space="0" w:color="auto"/>
        <w:left w:val="none" w:sz="0" w:space="0" w:color="auto"/>
        <w:bottom w:val="none" w:sz="0" w:space="0" w:color="auto"/>
        <w:right w:val="none" w:sz="0" w:space="0" w:color="auto"/>
      </w:divBdr>
    </w:div>
    <w:div w:id="400103245">
      <w:bodyDiv w:val="1"/>
      <w:marLeft w:val="0"/>
      <w:marRight w:val="0"/>
      <w:marTop w:val="0"/>
      <w:marBottom w:val="0"/>
      <w:divBdr>
        <w:top w:val="none" w:sz="0" w:space="0" w:color="auto"/>
        <w:left w:val="none" w:sz="0" w:space="0" w:color="auto"/>
        <w:bottom w:val="none" w:sz="0" w:space="0" w:color="auto"/>
        <w:right w:val="none" w:sz="0" w:space="0" w:color="auto"/>
      </w:divBdr>
    </w:div>
    <w:div w:id="415900676">
      <w:bodyDiv w:val="1"/>
      <w:marLeft w:val="0"/>
      <w:marRight w:val="0"/>
      <w:marTop w:val="0"/>
      <w:marBottom w:val="0"/>
      <w:divBdr>
        <w:top w:val="none" w:sz="0" w:space="0" w:color="auto"/>
        <w:left w:val="none" w:sz="0" w:space="0" w:color="auto"/>
        <w:bottom w:val="none" w:sz="0" w:space="0" w:color="auto"/>
        <w:right w:val="none" w:sz="0" w:space="0" w:color="auto"/>
      </w:divBdr>
    </w:div>
    <w:div w:id="418984200">
      <w:bodyDiv w:val="1"/>
      <w:marLeft w:val="0"/>
      <w:marRight w:val="0"/>
      <w:marTop w:val="0"/>
      <w:marBottom w:val="0"/>
      <w:divBdr>
        <w:top w:val="none" w:sz="0" w:space="0" w:color="auto"/>
        <w:left w:val="none" w:sz="0" w:space="0" w:color="auto"/>
        <w:bottom w:val="none" w:sz="0" w:space="0" w:color="auto"/>
        <w:right w:val="none" w:sz="0" w:space="0" w:color="auto"/>
      </w:divBdr>
    </w:div>
    <w:div w:id="430779443">
      <w:bodyDiv w:val="1"/>
      <w:marLeft w:val="0"/>
      <w:marRight w:val="0"/>
      <w:marTop w:val="0"/>
      <w:marBottom w:val="0"/>
      <w:divBdr>
        <w:top w:val="none" w:sz="0" w:space="0" w:color="auto"/>
        <w:left w:val="none" w:sz="0" w:space="0" w:color="auto"/>
        <w:bottom w:val="none" w:sz="0" w:space="0" w:color="auto"/>
        <w:right w:val="none" w:sz="0" w:space="0" w:color="auto"/>
      </w:divBdr>
    </w:div>
    <w:div w:id="438140842">
      <w:bodyDiv w:val="1"/>
      <w:marLeft w:val="0"/>
      <w:marRight w:val="0"/>
      <w:marTop w:val="0"/>
      <w:marBottom w:val="0"/>
      <w:divBdr>
        <w:top w:val="none" w:sz="0" w:space="0" w:color="auto"/>
        <w:left w:val="none" w:sz="0" w:space="0" w:color="auto"/>
        <w:bottom w:val="none" w:sz="0" w:space="0" w:color="auto"/>
        <w:right w:val="none" w:sz="0" w:space="0" w:color="auto"/>
      </w:divBdr>
    </w:div>
    <w:div w:id="441456323">
      <w:bodyDiv w:val="1"/>
      <w:marLeft w:val="0"/>
      <w:marRight w:val="0"/>
      <w:marTop w:val="0"/>
      <w:marBottom w:val="0"/>
      <w:divBdr>
        <w:top w:val="none" w:sz="0" w:space="0" w:color="auto"/>
        <w:left w:val="none" w:sz="0" w:space="0" w:color="auto"/>
        <w:bottom w:val="none" w:sz="0" w:space="0" w:color="auto"/>
        <w:right w:val="none" w:sz="0" w:space="0" w:color="auto"/>
      </w:divBdr>
    </w:div>
    <w:div w:id="442962107">
      <w:bodyDiv w:val="1"/>
      <w:marLeft w:val="0"/>
      <w:marRight w:val="0"/>
      <w:marTop w:val="0"/>
      <w:marBottom w:val="0"/>
      <w:divBdr>
        <w:top w:val="none" w:sz="0" w:space="0" w:color="auto"/>
        <w:left w:val="none" w:sz="0" w:space="0" w:color="auto"/>
        <w:bottom w:val="none" w:sz="0" w:space="0" w:color="auto"/>
        <w:right w:val="none" w:sz="0" w:space="0" w:color="auto"/>
      </w:divBdr>
    </w:div>
    <w:div w:id="451437215">
      <w:bodyDiv w:val="1"/>
      <w:marLeft w:val="0"/>
      <w:marRight w:val="0"/>
      <w:marTop w:val="0"/>
      <w:marBottom w:val="0"/>
      <w:divBdr>
        <w:top w:val="none" w:sz="0" w:space="0" w:color="auto"/>
        <w:left w:val="none" w:sz="0" w:space="0" w:color="auto"/>
        <w:bottom w:val="none" w:sz="0" w:space="0" w:color="auto"/>
        <w:right w:val="none" w:sz="0" w:space="0" w:color="auto"/>
      </w:divBdr>
    </w:div>
    <w:div w:id="457837459">
      <w:bodyDiv w:val="1"/>
      <w:marLeft w:val="0"/>
      <w:marRight w:val="0"/>
      <w:marTop w:val="0"/>
      <w:marBottom w:val="0"/>
      <w:divBdr>
        <w:top w:val="none" w:sz="0" w:space="0" w:color="auto"/>
        <w:left w:val="none" w:sz="0" w:space="0" w:color="auto"/>
        <w:bottom w:val="none" w:sz="0" w:space="0" w:color="auto"/>
        <w:right w:val="none" w:sz="0" w:space="0" w:color="auto"/>
      </w:divBdr>
    </w:div>
    <w:div w:id="457837675">
      <w:bodyDiv w:val="1"/>
      <w:marLeft w:val="0"/>
      <w:marRight w:val="0"/>
      <w:marTop w:val="0"/>
      <w:marBottom w:val="0"/>
      <w:divBdr>
        <w:top w:val="none" w:sz="0" w:space="0" w:color="auto"/>
        <w:left w:val="none" w:sz="0" w:space="0" w:color="auto"/>
        <w:bottom w:val="none" w:sz="0" w:space="0" w:color="auto"/>
        <w:right w:val="none" w:sz="0" w:space="0" w:color="auto"/>
      </w:divBdr>
    </w:div>
    <w:div w:id="466050458">
      <w:bodyDiv w:val="1"/>
      <w:marLeft w:val="0"/>
      <w:marRight w:val="0"/>
      <w:marTop w:val="0"/>
      <w:marBottom w:val="0"/>
      <w:divBdr>
        <w:top w:val="none" w:sz="0" w:space="0" w:color="auto"/>
        <w:left w:val="none" w:sz="0" w:space="0" w:color="auto"/>
        <w:bottom w:val="none" w:sz="0" w:space="0" w:color="auto"/>
        <w:right w:val="none" w:sz="0" w:space="0" w:color="auto"/>
      </w:divBdr>
    </w:div>
    <w:div w:id="531655634">
      <w:bodyDiv w:val="1"/>
      <w:marLeft w:val="0"/>
      <w:marRight w:val="0"/>
      <w:marTop w:val="0"/>
      <w:marBottom w:val="0"/>
      <w:divBdr>
        <w:top w:val="none" w:sz="0" w:space="0" w:color="auto"/>
        <w:left w:val="none" w:sz="0" w:space="0" w:color="auto"/>
        <w:bottom w:val="none" w:sz="0" w:space="0" w:color="auto"/>
        <w:right w:val="none" w:sz="0" w:space="0" w:color="auto"/>
      </w:divBdr>
    </w:div>
    <w:div w:id="539131895">
      <w:bodyDiv w:val="1"/>
      <w:marLeft w:val="0"/>
      <w:marRight w:val="0"/>
      <w:marTop w:val="0"/>
      <w:marBottom w:val="0"/>
      <w:divBdr>
        <w:top w:val="none" w:sz="0" w:space="0" w:color="auto"/>
        <w:left w:val="none" w:sz="0" w:space="0" w:color="auto"/>
        <w:bottom w:val="none" w:sz="0" w:space="0" w:color="auto"/>
        <w:right w:val="none" w:sz="0" w:space="0" w:color="auto"/>
      </w:divBdr>
    </w:div>
    <w:div w:id="605622975">
      <w:bodyDiv w:val="1"/>
      <w:marLeft w:val="0"/>
      <w:marRight w:val="0"/>
      <w:marTop w:val="0"/>
      <w:marBottom w:val="0"/>
      <w:divBdr>
        <w:top w:val="none" w:sz="0" w:space="0" w:color="auto"/>
        <w:left w:val="none" w:sz="0" w:space="0" w:color="auto"/>
        <w:bottom w:val="none" w:sz="0" w:space="0" w:color="auto"/>
        <w:right w:val="none" w:sz="0" w:space="0" w:color="auto"/>
      </w:divBdr>
    </w:div>
    <w:div w:id="621305597">
      <w:bodyDiv w:val="1"/>
      <w:marLeft w:val="0"/>
      <w:marRight w:val="0"/>
      <w:marTop w:val="0"/>
      <w:marBottom w:val="0"/>
      <w:divBdr>
        <w:top w:val="none" w:sz="0" w:space="0" w:color="auto"/>
        <w:left w:val="none" w:sz="0" w:space="0" w:color="auto"/>
        <w:bottom w:val="none" w:sz="0" w:space="0" w:color="auto"/>
        <w:right w:val="none" w:sz="0" w:space="0" w:color="auto"/>
      </w:divBdr>
    </w:div>
    <w:div w:id="641345721">
      <w:bodyDiv w:val="1"/>
      <w:marLeft w:val="0"/>
      <w:marRight w:val="0"/>
      <w:marTop w:val="0"/>
      <w:marBottom w:val="0"/>
      <w:divBdr>
        <w:top w:val="none" w:sz="0" w:space="0" w:color="auto"/>
        <w:left w:val="none" w:sz="0" w:space="0" w:color="auto"/>
        <w:bottom w:val="none" w:sz="0" w:space="0" w:color="auto"/>
        <w:right w:val="none" w:sz="0" w:space="0" w:color="auto"/>
      </w:divBdr>
    </w:div>
    <w:div w:id="641733809">
      <w:bodyDiv w:val="1"/>
      <w:marLeft w:val="0"/>
      <w:marRight w:val="0"/>
      <w:marTop w:val="0"/>
      <w:marBottom w:val="0"/>
      <w:divBdr>
        <w:top w:val="none" w:sz="0" w:space="0" w:color="auto"/>
        <w:left w:val="none" w:sz="0" w:space="0" w:color="auto"/>
        <w:bottom w:val="none" w:sz="0" w:space="0" w:color="auto"/>
        <w:right w:val="none" w:sz="0" w:space="0" w:color="auto"/>
      </w:divBdr>
    </w:div>
    <w:div w:id="643703220">
      <w:bodyDiv w:val="1"/>
      <w:marLeft w:val="0"/>
      <w:marRight w:val="0"/>
      <w:marTop w:val="0"/>
      <w:marBottom w:val="0"/>
      <w:divBdr>
        <w:top w:val="none" w:sz="0" w:space="0" w:color="auto"/>
        <w:left w:val="none" w:sz="0" w:space="0" w:color="auto"/>
        <w:bottom w:val="none" w:sz="0" w:space="0" w:color="auto"/>
        <w:right w:val="none" w:sz="0" w:space="0" w:color="auto"/>
      </w:divBdr>
    </w:div>
    <w:div w:id="644314184">
      <w:bodyDiv w:val="1"/>
      <w:marLeft w:val="0"/>
      <w:marRight w:val="0"/>
      <w:marTop w:val="0"/>
      <w:marBottom w:val="0"/>
      <w:divBdr>
        <w:top w:val="none" w:sz="0" w:space="0" w:color="auto"/>
        <w:left w:val="none" w:sz="0" w:space="0" w:color="auto"/>
        <w:bottom w:val="none" w:sz="0" w:space="0" w:color="auto"/>
        <w:right w:val="none" w:sz="0" w:space="0" w:color="auto"/>
      </w:divBdr>
    </w:div>
    <w:div w:id="647129261">
      <w:bodyDiv w:val="1"/>
      <w:marLeft w:val="0"/>
      <w:marRight w:val="0"/>
      <w:marTop w:val="0"/>
      <w:marBottom w:val="0"/>
      <w:divBdr>
        <w:top w:val="none" w:sz="0" w:space="0" w:color="auto"/>
        <w:left w:val="none" w:sz="0" w:space="0" w:color="auto"/>
        <w:bottom w:val="none" w:sz="0" w:space="0" w:color="auto"/>
        <w:right w:val="none" w:sz="0" w:space="0" w:color="auto"/>
      </w:divBdr>
    </w:div>
    <w:div w:id="684524110">
      <w:bodyDiv w:val="1"/>
      <w:marLeft w:val="0"/>
      <w:marRight w:val="0"/>
      <w:marTop w:val="0"/>
      <w:marBottom w:val="0"/>
      <w:divBdr>
        <w:top w:val="none" w:sz="0" w:space="0" w:color="auto"/>
        <w:left w:val="none" w:sz="0" w:space="0" w:color="auto"/>
        <w:bottom w:val="none" w:sz="0" w:space="0" w:color="auto"/>
        <w:right w:val="none" w:sz="0" w:space="0" w:color="auto"/>
      </w:divBdr>
    </w:div>
    <w:div w:id="685525065">
      <w:bodyDiv w:val="1"/>
      <w:marLeft w:val="0"/>
      <w:marRight w:val="0"/>
      <w:marTop w:val="0"/>
      <w:marBottom w:val="0"/>
      <w:divBdr>
        <w:top w:val="none" w:sz="0" w:space="0" w:color="auto"/>
        <w:left w:val="none" w:sz="0" w:space="0" w:color="auto"/>
        <w:bottom w:val="none" w:sz="0" w:space="0" w:color="auto"/>
        <w:right w:val="none" w:sz="0" w:space="0" w:color="auto"/>
      </w:divBdr>
    </w:div>
    <w:div w:id="699669305">
      <w:bodyDiv w:val="1"/>
      <w:marLeft w:val="0"/>
      <w:marRight w:val="0"/>
      <w:marTop w:val="0"/>
      <w:marBottom w:val="0"/>
      <w:divBdr>
        <w:top w:val="none" w:sz="0" w:space="0" w:color="auto"/>
        <w:left w:val="none" w:sz="0" w:space="0" w:color="auto"/>
        <w:bottom w:val="none" w:sz="0" w:space="0" w:color="auto"/>
        <w:right w:val="none" w:sz="0" w:space="0" w:color="auto"/>
      </w:divBdr>
    </w:div>
    <w:div w:id="713654078">
      <w:bodyDiv w:val="1"/>
      <w:marLeft w:val="0"/>
      <w:marRight w:val="0"/>
      <w:marTop w:val="0"/>
      <w:marBottom w:val="0"/>
      <w:divBdr>
        <w:top w:val="none" w:sz="0" w:space="0" w:color="auto"/>
        <w:left w:val="none" w:sz="0" w:space="0" w:color="auto"/>
        <w:bottom w:val="none" w:sz="0" w:space="0" w:color="auto"/>
        <w:right w:val="none" w:sz="0" w:space="0" w:color="auto"/>
      </w:divBdr>
    </w:div>
    <w:div w:id="747775000">
      <w:bodyDiv w:val="1"/>
      <w:marLeft w:val="0"/>
      <w:marRight w:val="0"/>
      <w:marTop w:val="0"/>
      <w:marBottom w:val="0"/>
      <w:divBdr>
        <w:top w:val="none" w:sz="0" w:space="0" w:color="auto"/>
        <w:left w:val="none" w:sz="0" w:space="0" w:color="auto"/>
        <w:bottom w:val="none" w:sz="0" w:space="0" w:color="auto"/>
        <w:right w:val="none" w:sz="0" w:space="0" w:color="auto"/>
      </w:divBdr>
    </w:div>
    <w:div w:id="751243753">
      <w:bodyDiv w:val="1"/>
      <w:marLeft w:val="0"/>
      <w:marRight w:val="0"/>
      <w:marTop w:val="0"/>
      <w:marBottom w:val="0"/>
      <w:divBdr>
        <w:top w:val="none" w:sz="0" w:space="0" w:color="auto"/>
        <w:left w:val="none" w:sz="0" w:space="0" w:color="auto"/>
        <w:bottom w:val="none" w:sz="0" w:space="0" w:color="auto"/>
        <w:right w:val="none" w:sz="0" w:space="0" w:color="auto"/>
      </w:divBdr>
    </w:div>
    <w:div w:id="752094512">
      <w:bodyDiv w:val="1"/>
      <w:marLeft w:val="0"/>
      <w:marRight w:val="0"/>
      <w:marTop w:val="0"/>
      <w:marBottom w:val="0"/>
      <w:divBdr>
        <w:top w:val="none" w:sz="0" w:space="0" w:color="auto"/>
        <w:left w:val="none" w:sz="0" w:space="0" w:color="auto"/>
        <w:bottom w:val="none" w:sz="0" w:space="0" w:color="auto"/>
        <w:right w:val="none" w:sz="0" w:space="0" w:color="auto"/>
      </w:divBdr>
    </w:div>
    <w:div w:id="765225214">
      <w:bodyDiv w:val="1"/>
      <w:marLeft w:val="0"/>
      <w:marRight w:val="0"/>
      <w:marTop w:val="0"/>
      <w:marBottom w:val="0"/>
      <w:divBdr>
        <w:top w:val="none" w:sz="0" w:space="0" w:color="auto"/>
        <w:left w:val="none" w:sz="0" w:space="0" w:color="auto"/>
        <w:bottom w:val="none" w:sz="0" w:space="0" w:color="auto"/>
        <w:right w:val="none" w:sz="0" w:space="0" w:color="auto"/>
      </w:divBdr>
    </w:div>
    <w:div w:id="767312651">
      <w:bodyDiv w:val="1"/>
      <w:marLeft w:val="0"/>
      <w:marRight w:val="0"/>
      <w:marTop w:val="0"/>
      <w:marBottom w:val="0"/>
      <w:divBdr>
        <w:top w:val="none" w:sz="0" w:space="0" w:color="auto"/>
        <w:left w:val="none" w:sz="0" w:space="0" w:color="auto"/>
        <w:bottom w:val="none" w:sz="0" w:space="0" w:color="auto"/>
        <w:right w:val="none" w:sz="0" w:space="0" w:color="auto"/>
      </w:divBdr>
    </w:div>
    <w:div w:id="768238944">
      <w:bodyDiv w:val="1"/>
      <w:marLeft w:val="0"/>
      <w:marRight w:val="0"/>
      <w:marTop w:val="0"/>
      <w:marBottom w:val="0"/>
      <w:divBdr>
        <w:top w:val="none" w:sz="0" w:space="0" w:color="auto"/>
        <w:left w:val="none" w:sz="0" w:space="0" w:color="auto"/>
        <w:bottom w:val="none" w:sz="0" w:space="0" w:color="auto"/>
        <w:right w:val="none" w:sz="0" w:space="0" w:color="auto"/>
      </w:divBdr>
    </w:div>
    <w:div w:id="878592449">
      <w:bodyDiv w:val="1"/>
      <w:marLeft w:val="0"/>
      <w:marRight w:val="0"/>
      <w:marTop w:val="0"/>
      <w:marBottom w:val="0"/>
      <w:divBdr>
        <w:top w:val="none" w:sz="0" w:space="0" w:color="auto"/>
        <w:left w:val="none" w:sz="0" w:space="0" w:color="auto"/>
        <w:bottom w:val="none" w:sz="0" w:space="0" w:color="auto"/>
        <w:right w:val="none" w:sz="0" w:space="0" w:color="auto"/>
      </w:divBdr>
    </w:div>
    <w:div w:id="888802739">
      <w:bodyDiv w:val="1"/>
      <w:marLeft w:val="0"/>
      <w:marRight w:val="0"/>
      <w:marTop w:val="0"/>
      <w:marBottom w:val="0"/>
      <w:divBdr>
        <w:top w:val="none" w:sz="0" w:space="0" w:color="auto"/>
        <w:left w:val="none" w:sz="0" w:space="0" w:color="auto"/>
        <w:bottom w:val="none" w:sz="0" w:space="0" w:color="auto"/>
        <w:right w:val="none" w:sz="0" w:space="0" w:color="auto"/>
      </w:divBdr>
    </w:div>
    <w:div w:id="895706641">
      <w:bodyDiv w:val="1"/>
      <w:marLeft w:val="0"/>
      <w:marRight w:val="0"/>
      <w:marTop w:val="0"/>
      <w:marBottom w:val="0"/>
      <w:divBdr>
        <w:top w:val="none" w:sz="0" w:space="0" w:color="auto"/>
        <w:left w:val="none" w:sz="0" w:space="0" w:color="auto"/>
        <w:bottom w:val="none" w:sz="0" w:space="0" w:color="auto"/>
        <w:right w:val="none" w:sz="0" w:space="0" w:color="auto"/>
      </w:divBdr>
    </w:div>
    <w:div w:id="896360961">
      <w:bodyDiv w:val="1"/>
      <w:marLeft w:val="0"/>
      <w:marRight w:val="0"/>
      <w:marTop w:val="0"/>
      <w:marBottom w:val="0"/>
      <w:divBdr>
        <w:top w:val="none" w:sz="0" w:space="0" w:color="auto"/>
        <w:left w:val="none" w:sz="0" w:space="0" w:color="auto"/>
        <w:bottom w:val="none" w:sz="0" w:space="0" w:color="auto"/>
        <w:right w:val="none" w:sz="0" w:space="0" w:color="auto"/>
      </w:divBdr>
    </w:div>
    <w:div w:id="910233388">
      <w:bodyDiv w:val="1"/>
      <w:marLeft w:val="0"/>
      <w:marRight w:val="0"/>
      <w:marTop w:val="0"/>
      <w:marBottom w:val="0"/>
      <w:divBdr>
        <w:top w:val="none" w:sz="0" w:space="0" w:color="auto"/>
        <w:left w:val="none" w:sz="0" w:space="0" w:color="auto"/>
        <w:bottom w:val="none" w:sz="0" w:space="0" w:color="auto"/>
        <w:right w:val="none" w:sz="0" w:space="0" w:color="auto"/>
      </w:divBdr>
    </w:div>
    <w:div w:id="913902096">
      <w:bodyDiv w:val="1"/>
      <w:marLeft w:val="0"/>
      <w:marRight w:val="0"/>
      <w:marTop w:val="0"/>
      <w:marBottom w:val="0"/>
      <w:divBdr>
        <w:top w:val="none" w:sz="0" w:space="0" w:color="auto"/>
        <w:left w:val="none" w:sz="0" w:space="0" w:color="auto"/>
        <w:bottom w:val="none" w:sz="0" w:space="0" w:color="auto"/>
        <w:right w:val="none" w:sz="0" w:space="0" w:color="auto"/>
      </w:divBdr>
    </w:div>
    <w:div w:id="931815720">
      <w:bodyDiv w:val="1"/>
      <w:marLeft w:val="0"/>
      <w:marRight w:val="0"/>
      <w:marTop w:val="0"/>
      <w:marBottom w:val="0"/>
      <w:divBdr>
        <w:top w:val="none" w:sz="0" w:space="0" w:color="auto"/>
        <w:left w:val="none" w:sz="0" w:space="0" w:color="auto"/>
        <w:bottom w:val="none" w:sz="0" w:space="0" w:color="auto"/>
        <w:right w:val="none" w:sz="0" w:space="0" w:color="auto"/>
      </w:divBdr>
    </w:div>
    <w:div w:id="932856777">
      <w:bodyDiv w:val="1"/>
      <w:marLeft w:val="0"/>
      <w:marRight w:val="0"/>
      <w:marTop w:val="0"/>
      <w:marBottom w:val="0"/>
      <w:divBdr>
        <w:top w:val="none" w:sz="0" w:space="0" w:color="auto"/>
        <w:left w:val="none" w:sz="0" w:space="0" w:color="auto"/>
        <w:bottom w:val="none" w:sz="0" w:space="0" w:color="auto"/>
        <w:right w:val="none" w:sz="0" w:space="0" w:color="auto"/>
      </w:divBdr>
    </w:div>
    <w:div w:id="950278957">
      <w:bodyDiv w:val="1"/>
      <w:marLeft w:val="0"/>
      <w:marRight w:val="0"/>
      <w:marTop w:val="0"/>
      <w:marBottom w:val="0"/>
      <w:divBdr>
        <w:top w:val="none" w:sz="0" w:space="0" w:color="auto"/>
        <w:left w:val="none" w:sz="0" w:space="0" w:color="auto"/>
        <w:bottom w:val="none" w:sz="0" w:space="0" w:color="auto"/>
        <w:right w:val="none" w:sz="0" w:space="0" w:color="auto"/>
      </w:divBdr>
    </w:div>
    <w:div w:id="1016152981">
      <w:bodyDiv w:val="1"/>
      <w:marLeft w:val="0"/>
      <w:marRight w:val="0"/>
      <w:marTop w:val="0"/>
      <w:marBottom w:val="0"/>
      <w:divBdr>
        <w:top w:val="none" w:sz="0" w:space="0" w:color="auto"/>
        <w:left w:val="none" w:sz="0" w:space="0" w:color="auto"/>
        <w:bottom w:val="none" w:sz="0" w:space="0" w:color="auto"/>
        <w:right w:val="none" w:sz="0" w:space="0" w:color="auto"/>
      </w:divBdr>
    </w:div>
    <w:div w:id="1032655968">
      <w:bodyDiv w:val="1"/>
      <w:marLeft w:val="0"/>
      <w:marRight w:val="0"/>
      <w:marTop w:val="0"/>
      <w:marBottom w:val="0"/>
      <w:divBdr>
        <w:top w:val="none" w:sz="0" w:space="0" w:color="auto"/>
        <w:left w:val="none" w:sz="0" w:space="0" w:color="auto"/>
        <w:bottom w:val="none" w:sz="0" w:space="0" w:color="auto"/>
        <w:right w:val="none" w:sz="0" w:space="0" w:color="auto"/>
      </w:divBdr>
    </w:div>
    <w:div w:id="1055659131">
      <w:bodyDiv w:val="1"/>
      <w:marLeft w:val="0"/>
      <w:marRight w:val="0"/>
      <w:marTop w:val="0"/>
      <w:marBottom w:val="0"/>
      <w:divBdr>
        <w:top w:val="none" w:sz="0" w:space="0" w:color="auto"/>
        <w:left w:val="none" w:sz="0" w:space="0" w:color="auto"/>
        <w:bottom w:val="none" w:sz="0" w:space="0" w:color="auto"/>
        <w:right w:val="none" w:sz="0" w:space="0" w:color="auto"/>
      </w:divBdr>
    </w:div>
    <w:div w:id="1059938671">
      <w:bodyDiv w:val="1"/>
      <w:marLeft w:val="0"/>
      <w:marRight w:val="0"/>
      <w:marTop w:val="0"/>
      <w:marBottom w:val="0"/>
      <w:divBdr>
        <w:top w:val="none" w:sz="0" w:space="0" w:color="auto"/>
        <w:left w:val="none" w:sz="0" w:space="0" w:color="auto"/>
        <w:bottom w:val="none" w:sz="0" w:space="0" w:color="auto"/>
        <w:right w:val="none" w:sz="0" w:space="0" w:color="auto"/>
      </w:divBdr>
    </w:div>
    <w:div w:id="1064989938">
      <w:bodyDiv w:val="1"/>
      <w:marLeft w:val="0"/>
      <w:marRight w:val="0"/>
      <w:marTop w:val="0"/>
      <w:marBottom w:val="0"/>
      <w:divBdr>
        <w:top w:val="none" w:sz="0" w:space="0" w:color="auto"/>
        <w:left w:val="none" w:sz="0" w:space="0" w:color="auto"/>
        <w:bottom w:val="none" w:sz="0" w:space="0" w:color="auto"/>
        <w:right w:val="none" w:sz="0" w:space="0" w:color="auto"/>
      </w:divBdr>
    </w:div>
    <w:div w:id="1090656542">
      <w:bodyDiv w:val="1"/>
      <w:marLeft w:val="0"/>
      <w:marRight w:val="0"/>
      <w:marTop w:val="0"/>
      <w:marBottom w:val="0"/>
      <w:divBdr>
        <w:top w:val="none" w:sz="0" w:space="0" w:color="auto"/>
        <w:left w:val="none" w:sz="0" w:space="0" w:color="auto"/>
        <w:bottom w:val="none" w:sz="0" w:space="0" w:color="auto"/>
        <w:right w:val="none" w:sz="0" w:space="0" w:color="auto"/>
      </w:divBdr>
    </w:div>
    <w:div w:id="1100951549">
      <w:bodyDiv w:val="1"/>
      <w:marLeft w:val="0"/>
      <w:marRight w:val="0"/>
      <w:marTop w:val="0"/>
      <w:marBottom w:val="0"/>
      <w:divBdr>
        <w:top w:val="none" w:sz="0" w:space="0" w:color="auto"/>
        <w:left w:val="none" w:sz="0" w:space="0" w:color="auto"/>
        <w:bottom w:val="none" w:sz="0" w:space="0" w:color="auto"/>
        <w:right w:val="none" w:sz="0" w:space="0" w:color="auto"/>
      </w:divBdr>
    </w:div>
    <w:div w:id="1104227798">
      <w:bodyDiv w:val="1"/>
      <w:marLeft w:val="0"/>
      <w:marRight w:val="0"/>
      <w:marTop w:val="0"/>
      <w:marBottom w:val="0"/>
      <w:divBdr>
        <w:top w:val="none" w:sz="0" w:space="0" w:color="auto"/>
        <w:left w:val="none" w:sz="0" w:space="0" w:color="auto"/>
        <w:bottom w:val="none" w:sz="0" w:space="0" w:color="auto"/>
        <w:right w:val="none" w:sz="0" w:space="0" w:color="auto"/>
      </w:divBdr>
    </w:div>
    <w:div w:id="1110861155">
      <w:bodyDiv w:val="1"/>
      <w:marLeft w:val="0"/>
      <w:marRight w:val="0"/>
      <w:marTop w:val="0"/>
      <w:marBottom w:val="0"/>
      <w:divBdr>
        <w:top w:val="none" w:sz="0" w:space="0" w:color="auto"/>
        <w:left w:val="none" w:sz="0" w:space="0" w:color="auto"/>
        <w:bottom w:val="none" w:sz="0" w:space="0" w:color="auto"/>
        <w:right w:val="none" w:sz="0" w:space="0" w:color="auto"/>
      </w:divBdr>
    </w:div>
    <w:div w:id="1111509128">
      <w:bodyDiv w:val="1"/>
      <w:marLeft w:val="0"/>
      <w:marRight w:val="0"/>
      <w:marTop w:val="0"/>
      <w:marBottom w:val="0"/>
      <w:divBdr>
        <w:top w:val="none" w:sz="0" w:space="0" w:color="auto"/>
        <w:left w:val="none" w:sz="0" w:space="0" w:color="auto"/>
        <w:bottom w:val="none" w:sz="0" w:space="0" w:color="auto"/>
        <w:right w:val="none" w:sz="0" w:space="0" w:color="auto"/>
      </w:divBdr>
    </w:div>
    <w:div w:id="1113746412">
      <w:bodyDiv w:val="1"/>
      <w:marLeft w:val="0"/>
      <w:marRight w:val="0"/>
      <w:marTop w:val="0"/>
      <w:marBottom w:val="0"/>
      <w:divBdr>
        <w:top w:val="none" w:sz="0" w:space="0" w:color="auto"/>
        <w:left w:val="none" w:sz="0" w:space="0" w:color="auto"/>
        <w:bottom w:val="none" w:sz="0" w:space="0" w:color="auto"/>
        <w:right w:val="none" w:sz="0" w:space="0" w:color="auto"/>
      </w:divBdr>
    </w:div>
    <w:div w:id="1115514710">
      <w:bodyDiv w:val="1"/>
      <w:marLeft w:val="0"/>
      <w:marRight w:val="0"/>
      <w:marTop w:val="0"/>
      <w:marBottom w:val="0"/>
      <w:divBdr>
        <w:top w:val="none" w:sz="0" w:space="0" w:color="auto"/>
        <w:left w:val="none" w:sz="0" w:space="0" w:color="auto"/>
        <w:bottom w:val="none" w:sz="0" w:space="0" w:color="auto"/>
        <w:right w:val="none" w:sz="0" w:space="0" w:color="auto"/>
      </w:divBdr>
    </w:div>
    <w:div w:id="1135219982">
      <w:bodyDiv w:val="1"/>
      <w:marLeft w:val="0"/>
      <w:marRight w:val="0"/>
      <w:marTop w:val="0"/>
      <w:marBottom w:val="0"/>
      <w:divBdr>
        <w:top w:val="none" w:sz="0" w:space="0" w:color="auto"/>
        <w:left w:val="none" w:sz="0" w:space="0" w:color="auto"/>
        <w:bottom w:val="none" w:sz="0" w:space="0" w:color="auto"/>
        <w:right w:val="none" w:sz="0" w:space="0" w:color="auto"/>
      </w:divBdr>
    </w:div>
    <w:div w:id="1136531575">
      <w:bodyDiv w:val="1"/>
      <w:marLeft w:val="0"/>
      <w:marRight w:val="0"/>
      <w:marTop w:val="0"/>
      <w:marBottom w:val="0"/>
      <w:divBdr>
        <w:top w:val="none" w:sz="0" w:space="0" w:color="auto"/>
        <w:left w:val="none" w:sz="0" w:space="0" w:color="auto"/>
        <w:bottom w:val="none" w:sz="0" w:space="0" w:color="auto"/>
        <w:right w:val="none" w:sz="0" w:space="0" w:color="auto"/>
      </w:divBdr>
    </w:div>
    <w:div w:id="1143501248">
      <w:bodyDiv w:val="1"/>
      <w:marLeft w:val="0"/>
      <w:marRight w:val="0"/>
      <w:marTop w:val="0"/>
      <w:marBottom w:val="0"/>
      <w:divBdr>
        <w:top w:val="none" w:sz="0" w:space="0" w:color="auto"/>
        <w:left w:val="none" w:sz="0" w:space="0" w:color="auto"/>
        <w:bottom w:val="none" w:sz="0" w:space="0" w:color="auto"/>
        <w:right w:val="none" w:sz="0" w:space="0" w:color="auto"/>
      </w:divBdr>
    </w:div>
    <w:div w:id="1182818577">
      <w:bodyDiv w:val="1"/>
      <w:marLeft w:val="0"/>
      <w:marRight w:val="0"/>
      <w:marTop w:val="0"/>
      <w:marBottom w:val="0"/>
      <w:divBdr>
        <w:top w:val="none" w:sz="0" w:space="0" w:color="auto"/>
        <w:left w:val="none" w:sz="0" w:space="0" w:color="auto"/>
        <w:bottom w:val="none" w:sz="0" w:space="0" w:color="auto"/>
        <w:right w:val="none" w:sz="0" w:space="0" w:color="auto"/>
      </w:divBdr>
    </w:div>
    <w:div w:id="1182861524">
      <w:bodyDiv w:val="1"/>
      <w:marLeft w:val="0"/>
      <w:marRight w:val="0"/>
      <w:marTop w:val="0"/>
      <w:marBottom w:val="0"/>
      <w:divBdr>
        <w:top w:val="none" w:sz="0" w:space="0" w:color="auto"/>
        <w:left w:val="none" w:sz="0" w:space="0" w:color="auto"/>
        <w:bottom w:val="none" w:sz="0" w:space="0" w:color="auto"/>
        <w:right w:val="none" w:sz="0" w:space="0" w:color="auto"/>
      </w:divBdr>
    </w:div>
    <w:div w:id="1197622605">
      <w:bodyDiv w:val="1"/>
      <w:marLeft w:val="0"/>
      <w:marRight w:val="0"/>
      <w:marTop w:val="0"/>
      <w:marBottom w:val="0"/>
      <w:divBdr>
        <w:top w:val="none" w:sz="0" w:space="0" w:color="auto"/>
        <w:left w:val="none" w:sz="0" w:space="0" w:color="auto"/>
        <w:bottom w:val="none" w:sz="0" w:space="0" w:color="auto"/>
        <w:right w:val="none" w:sz="0" w:space="0" w:color="auto"/>
      </w:divBdr>
    </w:div>
    <w:div w:id="1202016308">
      <w:bodyDiv w:val="1"/>
      <w:marLeft w:val="0"/>
      <w:marRight w:val="0"/>
      <w:marTop w:val="0"/>
      <w:marBottom w:val="0"/>
      <w:divBdr>
        <w:top w:val="none" w:sz="0" w:space="0" w:color="auto"/>
        <w:left w:val="none" w:sz="0" w:space="0" w:color="auto"/>
        <w:bottom w:val="none" w:sz="0" w:space="0" w:color="auto"/>
        <w:right w:val="none" w:sz="0" w:space="0" w:color="auto"/>
      </w:divBdr>
    </w:div>
    <w:div w:id="1211920061">
      <w:bodyDiv w:val="1"/>
      <w:marLeft w:val="0"/>
      <w:marRight w:val="0"/>
      <w:marTop w:val="0"/>
      <w:marBottom w:val="0"/>
      <w:divBdr>
        <w:top w:val="none" w:sz="0" w:space="0" w:color="auto"/>
        <w:left w:val="none" w:sz="0" w:space="0" w:color="auto"/>
        <w:bottom w:val="none" w:sz="0" w:space="0" w:color="auto"/>
        <w:right w:val="none" w:sz="0" w:space="0" w:color="auto"/>
      </w:divBdr>
    </w:div>
    <w:div w:id="1222449804">
      <w:bodyDiv w:val="1"/>
      <w:marLeft w:val="0"/>
      <w:marRight w:val="0"/>
      <w:marTop w:val="0"/>
      <w:marBottom w:val="0"/>
      <w:divBdr>
        <w:top w:val="none" w:sz="0" w:space="0" w:color="auto"/>
        <w:left w:val="none" w:sz="0" w:space="0" w:color="auto"/>
        <w:bottom w:val="none" w:sz="0" w:space="0" w:color="auto"/>
        <w:right w:val="none" w:sz="0" w:space="0" w:color="auto"/>
      </w:divBdr>
    </w:div>
    <w:div w:id="1222904125">
      <w:bodyDiv w:val="1"/>
      <w:marLeft w:val="0"/>
      <w:marRight w:val="0"/>
      <w:marTop w:val="0"/>
      <w:marBottom w:val="0"/>
      <w:divBdr>
        <w:top w:val="none" w:sz="0" w:space="0" w:color="auto"/>
        <w:left w:val="none" w:sz="0" w:space="0" w:color="auto"/>
        <w:bottom w:val="none" w:sz="0" w:space="0" w:color="auto"/>
        <w:right w:val="none" w:sz="0" w:space="0" w:color="auto"/>
      </w:divBdr>
    </w:div>
    <w:div w:id="1227763765">
      <w:bodyDiv w:val="1"/>
      <w:marLeft w:val="0"/>
      <w:marRight w:val="0"/>
      <w:marTop w:val="0"/>
      <w:marBottom w:val="0"/>
      <w:divBdr>
        <w:top w:val="none" w:sz="0" w:space="0" w:color="auto"/>
        <w:left w:val="none" w:sz="0" w:space="0" w:color="auto"/>
        <w:bottom w:val="none" w:sz="0" w:space="0" w:color="auto"/>
        <w:right w:val="none" w:sz="0" w:space="0" w:color="auto"/>
      </w:divBdr>
    </w:div>
    <w:div w:id="1245916604">
      <w:bodyDiv w:val="1"/>
      <w:marLeft w:val="0"/>
      <w:marRight w:val="0"/>
      <w:marTop w:val="0"/>
      <w:marBottom w:val="0"/>
      <w:divBdr>
        <w:top w:val="none" w:sz="0" w:space="0" w:color="auto"/>
        <w:left w:val="none" w:sz="0" w:space="0" w:color="auto"/>
        <w:bottom w:val="none" w:sz="0" w:space="0" w:color="auto"/>
        <w:right w:val="none" w:sz="0" w:space="0" w:color="auto"/>
      </w:divBdr>
    </w:div>
    <w:div w:id="1266691979">
      <w:bodyDiv w:val="1"/>
      <w:marLeft w:val="0"/>
      <w:marRight w:val="0"/>
      <w:marTop w:val="0"/>
      <w:marBottom w:val="0"/>
      <w:divBdr>
        <w:top w:val="none" w:sz="0" w:space="0" w:color="auto"/>
        <w:left w:val="none" w:sz="0" w:space="0" w:color="auto"/>
        <w:bottom w:val="none" w:sz="0" w:space="0" w:color="auto"/>
        <w:right w:val="none" w:sz="0" w:space="0" w:color="auto"/>
      </w:divBdr>
    </w:div>
    <w:div w:id="1268391777">
      <w:bodyDiv w:val="1"/>
      <w:marLeft w:val="0"/>
      <w:marRight w:val="0"/>
      <w:marTop w:val="0"/>
      <w:marBottom w:val="0"/>
      <w:divBdr>
        <w:top w:val="none" w:sz="0" w:space="0" w:color="auto"/>
        <w:left w:val="none" w:sz="0" w:space="0" w:color="auto"/>
        <w:bottom w:val="none" w:sz="0" w:space="0" w:color="auto"/>
        <w:right w:val="none" w:sz="0" w:space="0" w:color="auto"/>
      </w:divBdr>
    </w:div>
    <w:div w:id="1293053741">
      <w:bodyDiv w:val="1"/>
      <w:marLeft w:val="0"/>
      <w:marRight w:val="0"/>
      <w:marTop w:val="0"/>
      <w:marBottom w:val="0"/>
      <w:divBdr>
        <w:top w:val="none" w:sz="0" w:space="0" w:color="auto"/>
        <w:left w:val="none" w:sz="0" w:space="0" w:color="auto"/>
        <w:bottom w:val="none" w:sz="0" w:space="0" w:color="auto"/>
        <w:right w:val="none" w:sz="0" w:space="0" w:color="auto"/>
      </w:divBdr>
    </w:div>
    <w:div w:id="1306546778">
      <w:bodyDiv w:val="1"/>
      <w:marLeft w:val="0"/>
      <w:marRight w:val="0"/>
      <w:marTop w:val="0"/>
      <w:marBottom w:val="0"/>
      <w:divBdr>
        <w:top w:val="none" w:sz="0" w:space="0" w:color="auto"/>
        <w:left w:val="none" w:sz="0" w:space="0" w:color="auto"/>
        <w:bottom w:val="none" w:sz="0" w:space="0" w:color="auto"/>
        <w:right w:val="none" w:sz="0" w:space="0" w:color="auto"/>
      </w:divBdr>
    </w:div>
    <w:div w:id="1321083980">
      <w:bodyDiv w:val="1"/>
      <w:marLeft w:val="0"/>
      <w:marRight w:val="0"/>
      <w:marTop w:val="0"/>
      <w:marBottom w:val="0"/>
      <w:divBdr>
        <w:top w:val="none" w:sz="0" w:space="0" w:color="auto"/>
        <w:left w:val="none" w:sz="0" w:space="0" w:color="auto"/>
        <w:bottom w:val="none" w:sz="0" w:space="0" w:color="auto"/>
        <w:right w:val="none" w:sz="0" w:space="0" w:color="auto"/>
      </w:divBdr>
    </w:div>
    <w:div w:id="1323967094">
      <w:bodyDiv w:val="1"/>
      <w:marLeft w:val="0"/>
      <w:marRight w:val="0"/>
      <w:marTop w:val="0"/>
      <w:marBottom w:val="0"/>
      <w:divBdr>
        <w:top w:val="none" w:sz="0" w:space="0" w:color="auto"/>
        <w:left w:val="none" w:sz="0" w:space="0" w:color="auto"/>
        <w:bottom w:val="none" w:sz="0" w:space="0" w:color="auto"/>
        <w:right w:val="none" w:sz="0" w:space="0" w:color="auto"/>
      </w:divBdr>
    </w:div>
    <w:div w:id="1331979824">
      <w:bodyDiv w:val="1"/>
      <w:marLeft w:val="0"/>
      <w:marRight w:val="0"/>
      <w:marTop w:val="0"/>
      <w:marBottom w:val="0"/>
      <w:divBdr>
        <w:top w:val="none" w:sz="0" w:space="0" w:color="auto"/>
        <w:left w:val="none" w:sz="0" w:space="0" w:color="auto"/>
        <w:bottom w:val="none" w:sz="0" w:space="0" w:color="auto"/>
        <w:right w:val="none" w:sz="0" w:space="0" w:color="auto"/>
      </w:divBdr>
    </w:div>
    <w:div w:id="1340549626">
      <w:bodyDiv w:val="1"/>
      <w:marLeft w:val="0"/>
      <w:marRight w:val="0"/>
      <w:marTop w:val="0"/>
      <w:marBottom w:val="0"/>
      <w:divBdr>
        <w:top w:val="none" w:sz="0" w:space="0" w:color="auto"/>
        <w:left w:val="none" w:sz="0" w:space="0" w:color="auto"/>
        <w:bottom w:val="none" w:sz="0" w:space="0" w:color="auto"/>
        <w:right w:val="none" w:sz="0" w:space="0" w:color="auto"/>
      </w:divBdr>
    </w:div>
    <w:div w:id="1345134520">
      <w:bodyDiv w:val="1"/>
      <w:marLeft w:val="0"/>
      <w:marRight w:val="0"/>
      <w:marTop w:val="0"/>
      <w:marBottom w:val="0"/>
      <w:divBdr>
        <w:top w:val="none" w:sz="0" w:space="0" w:color="auto"/>
        <w:left w:val="none" w:sz="0" w:space="0" w:color="auto"/>
        <w:bottom w:val="none" w:sz="0" w:space="0" w:color="auto"/>
        <w:right w:val="none" w:sz="0" w:space="0" w:color="auto"/>
      </w:divBdr>
    </w:div>
    <w:div w:id="1369574815">
      <w:bodyDiv w:val="1"/>
      <w:marLeft w:val="0"/>
      <w:marRight w:val="0"/>
      <w:marTop w:val="0"/>
      <w:marBottom w:val="0"/>
      <w:divBdr>
        <w:top w:val="none" w:sz="0" w:space="0" w:color="auto"/>
        <w:left w:val="none" w:sz="0" w:space="0" w:color="auto"/>
        <w:bottom w:val="none" w:sz="0" w:space="0" w:color="auto"/>
        <w:right w:val="none" w:sz="0" w:space="0" w:color="auto"/>
      </w:divBdr>
    </w:div>
    <w:div w:id="1373385740">
      <w:bodyDiv w:val="1"/>
      <w:marLeft w:val="0"/>
      <w:marRight w:val="0"/>
      <w:marTop w:val="0"/>
      <w:marBottom w:val="0"/>
      <w:divBdr>
        <w:top w:val="none" w:sz="0" w:space="0" w:color="auto"/>
        <w:left w:val="none" w:sz="0" w:space="0" w:color="auto"/>
        <w:bottom w:val="none" w:sz="0" w:space="0" w:color="auto"/>
        <w:right w:val="none" w:sz="0" w:space="0" w:color="auto"/>
      </w:divBdr>
    </w:div>
    <w:div w:id="1393969676">
      <w:bodyDiv w:val="1"/>
      <w:marLeft w:val="0"/>
      <w:marRight w:val="0"/>
      <w:marTop w:val="0"/>
      <w:marBottom w:val="0"/>
      <w:divBdr>
        <w:top w:val="none" w:sz="0" w:space="0" w:color="auto"/>
        <w:left w:val="none" w:sz="0" w:space="0" w:color="auto"/>
        <w:bottom w:val="none" w:sz="0" w:space="0" w:color="auto"/>
        <w:right w:val="none" w:sz="0" w:space="0" w:color="auto"/>
      </w:divBdr>
    </w:div>
    <w:div w:id="1399018403">
      <w:bodyDiv w:val="1"/>
      <w:marLeft w:val="0"/>
      <w:marRight w:val="0"/>
      <w:marTop w:val="0"/>
      <w:marBottom w:val="0"/>
      <w:divBdr>
        <w:top w:val="none" w:sz="0" w:space="0" w:color="auto"/>
        <w:left w:val="none" w:sz="0" w:space="0" w:color="auto"/>
        <w:bottom w:val="none" w:sz="0" w:space="0" w:color="auto"/>
        <w:right w:val="none" w:sz="0" w:space="0" w:color="auto"/>
      </w:divBdr>
    </w:div>
    <w:div w:id="1409306265">
      <w:bodyDiv w:val="1"/>
      <w:marLeft w:val="0"/>
      <w:marRight w:val="0"/>
      <w:marTop w:val="0"/>
      <w:marBottom w:val="0"/>
      <w:divBdr>
        <w:top w:val="none" w:sz="0" w:space="0" w:color="auto"/>
        <w:left w:val="none" w:sz="0" w:space="0" w:color="auto"/>
        <w:bottom w:val="none" w:sz="0" w:space="0" w:color="auto"/>
        <w:right w:val="none" w:sz="0" w:space="0" w:color="auto"/>
      </w:divBdr>
    </w:div>
    <w:div w:id="1418942552">
      <w:bodyDiv w:val="1"/>
      <w:marLeft w:val="0"/>
      <w:marRight w:val="0"/>
      <w:marTop w:val="0"/>
      <w:marBottom w:val="0"/>
      <w:divBdr>
        <w:top w:val="none" w:sz="0" w:space="0" w:color="auto"/>
        <w:left w:val="none" w:sz="0" w:space="0" w:color="auto"/>
        <w:bottom w:val="none" w:sz="0" w:space="0" w:color="auto"/>
        <w:right w:val="none" w:sz="0" w:space="0" w:color="auto"/>
      </w:divBdr>
    </w:div>
    <w:div w:id="1429737252">
      <w:bodyDiv w:val="1"/>
      <w:marLeft w:val="0"/>
      <w:marRight w:val="0"/>
      <w:marTop w:val="0"/>
      <w:marBottom w:val="0"/>
      <w:divBdr>
        <w:top w:val="none" w:sz="0" w:space="0" w:color="auto"/>
        <w:left w:val="none" w:sz="0" w:space="0" w:color="auto"/>
        <w:bottom w:val="none" w:sz="0" w:space="0" w:color="auto"/>
        <w:right w:val="none" w:sz="0" w:space="0" w:color="auto"/>
      </w:divBdr>
    </w:div>
    <w:div w:id="1458375282">
      <w:bodyDiv w:val="1"/>
      <w:marLeft w:val="0"/>
      <w:marRight w:val="0"/>
      <w:marTop w:val="0"/>
      <w:marBottom w:val="0"/>
      <w:divBdr>
        <w:top w:val="none" w:sz="0" w:space="0" w:color="auto"/>
        <w:left w:val="none" w:sz="0" w:space="0" w:color="auto"/>
        <w:bottom w:val="none" w:sz="0" w:space="0" w:color="auto"/>
        <w:right w:val="none" w:sz="0" w:space="0" w:color="auto"/>
      </w:divBdr>
    </w:div>
    <w:div w:id="1459375430">
      <w:bodyDiv w:val="1"/>
      <w:marLeft w:val="0"/>
      <w:marRight w:val="0"/>
      <w:marTop w:val="0"/>
      <w:marBottom w:val="0"/>
      <w:divBdr>
        <w:top w:val="none" w:sz="0" w:space="0" w:color="auto"/>
        <w:left w:val="none" w:sz="0" w:space="0" w:color="auto"/>
        <w:bottom w:val="none" w:sz="0" w:space="0" w:color="auto"/>
        <w:right w:val="none" w:sz="0" w:space="0" w:color="auto"/>
      </w:divBdr>
    </w:div>
    <w:div w:id="1518424472">
      <w:bodyDiv w:val="1"/>
      <w:marLeft w:val="0"/>
      <w:marRight w:val="0"/>
      <w:marTop w:val="0"/>
      <w:marBottom w:val="0"/>
      <w:divBdr>
        <w:top w:val="none" w:sz="0" w:space="0" w:color="auto"/>
        <w:left w:val="none" w:sz="0" w:space="0" w:color="auto"/>
        <w:bottom w:val="none" w:sz="0" w:space="0" w:color="auto"/>
        <w:right w:val="none" w:sz="0" w:space="0" w:color="auto"/>
      </w:divBdr>
    </w:div>
    <w:div w:id="1526362589">
      <w:bodyDiv w:val="1"/>
      <w:marLeft w:val="0"/>
      <w:marRight w:val="0"/>
      <w:marTop w:val="0"/>
      <w:marBottom w:val="0"/>
      <w:divBdr>
        <w:top w:val="none" w:sz="0" w:space="0" w:color="auto"/>
        <w:left w:val="none" w:sz="0" w:space="0" w:color="auto"/>
        <w:bottom w:val="none" w:sz="0" w:space="0" w:color="auto"/>
        <w:right w:val="none" w:sz="0" w:space="0" w:color="auto"/>
      </w:divBdr>
    </w:div>
    <w:div w:id="1550337712">
      <w:bodyDiv w:val="1"/>
      <w:marLeft w:val="0"/>
      <w:marRight w:val="0"/>
      <w:marTop w:val="0"/>
      <w:marBottom w:val="0"/>
      <w:divBdr>
        <w:top w:val="none" w:sz="0" w:space="0" w:color="auto"/>
        <w:left w:val="none" w:sz="0" w:space="0" w:color="auto"/>
        <w:bottom w:val="none" w:sz="0" w:space="0" w:color="auto"/>
        <w:right w:val="none" w:sz="0" w:space="0" w:color="auto"/>
      </w:divBdr>
    </w:div>
    <w:div w:id="1559823524">
      <w:bodyDiv w:val="1"/>
      <w:marLeft w:val="0"/>
      <w:marRight w:val="0"/>
      <w:marTop w:val="0"/>
      <w:marBottom w:val="0"/>
      <w:divBdr>
        <w:top w:val="none" w:sz="0" w:space="0" w:color="auto"/>
        <w:left w:val="none" w:sz="0" w:space="0" w:color="auto"/>
        <w:bottom w:val="none" w:sz="0" w:space="0" w:color="auto"/>
        <w:right w:val="none" w:sz="0" w:space="0" w:color="auto"/>
      </w:divBdr>
    </w:div>
    <w:div w:id="1574773028">
      <w:bodyDiv w:val="1"/>
      <w:marLeft w:val="0"/>
      <w:marRight w:val="0"/>
      <w:marTop w:val="0"/>
      <w:marBottom w:val="0"/>
      <w:divBdr>
        <w:top w:val="none" w:sz="0" w:space="0" w:color="auto"/>
        <w:left w:val="none" w:sz="0" w:space="0" w:color="auto"/>
        <w:bottom w:val="none" w:sz="0" w:space="0" w:color="auto"/>
        <w:right w:val="none" w:sz="0" w:space="0" w:color="auto"/>
      </w:divBdr>
    </w:div>
    <w:div w:id="1587030885">
      <w:bodyDiv w:val="1"/>
      <w:marLeft w:val="0"/>
      <w:marRight w:val="0"/>
      <w:marTop w:val="0"/>
      <w:marBottom w:val="0"/>
      <w:divBdr>
        <w:top w:val="none" w:sz="0" w:space="0" w:color="auto"/>
        <w:left w:val="none" w:sz="0" w:space="0" w:color="auto"/>
        <w:bottom w:val="none" w:sz="0" w:space="0" w:color="auto"/>
        <w:right w:val="none" w:sz="0" w:space="0" w:color="auto"/>
      </w:divBdr>
    </w:div>
    <w:div w:id="1652295519">
      <w:bodyDiv w:val="1"/>
      <w:marLeft w:val="0"/>
      <w:marRight w:val="0"/>
      <w:marTop w:val="0"/>
      <w:marBottom w:val="0"/>
      <w:divBdr>
        <w:top w:val="none" w:sz="0" w:space="0" w:color="auto"/>
        <w:left w:val="none" w:sz="0" w:space="0" w:color="auto"/>
        <w:bottom w:val="none" w:sz="0" w:space="0" w:color="auto"/>
        <w:right w:val="none" w:sz="0" w:space="0" w:color="auto"/>
      </w:divBdr>
    </w:div>
    <w:div w:id="1660035629">
      <w:bodyDiv w:val="1"/>
      <w:marLeft w:val="0"/>
      <w:marRight w:val="0"/>
      <w:marTop w:val="0"/>
      <w:marBottom w:val="0"/>
      <w:divBdr>
        <w:top w:val="none" w:sz="0" w:space="0" w:color="auto"/>
        <w:left w:val="none" w:sz="0" w:space="0" w:color="auto"/>
        <w:bottom w:val="none" w:sz="0" w:space="0" w:color="auto"/>
        <w:right w:val="none" w:sz="0" w:space="0" w:color="auto"/>
      </w:divBdr>
    </w:div>
    <w:div w:id="1728261637">
      <w:bodyDiv w:val="1"/>
      <w:marLeft w:val="0"/>
      <w:marRight w:val="0"/>
      <w:marTop w:val="0"/>
      <w:marBottom w:val="0"/>
      <w:divBdr>
        <w:top w:val="none" w:sz="0" w:space="0" w:color="auto"/>
        <w:left w:val="none" w:sz="0" w:space="0" w:color="auto"/>
        <w:bottom w:val="none" w:sz="0" w:space="0" w:color="auto"/>
        <w:right w:val="none" w:sz="0" w:space="0" w:color="auto"/>
      </w:divBdr>
    </w:div>
    <w:div w:id="1764376840">
      <w:bodyDiv w:val="1"/>
      <w:marLeft w:val="0"/>
      <w:marRight w:val="0"/>
      <w:marTop w:val="0"/>
      <w:marBottom w:val="0"/>
      <w:divBdr>
        <w:top w:val="none" w:sz="0" w:space="0" w:color="auto"/>
        <w:left w:val="none" w:sz="0" w:space="0" w:color="auto"/>
        <w:bottom w:val="none" w:sz="0" w:space="0" w:color="auto"/>
        <w:right w:val="none" w:sz="0" w:space="0" w:color="auto"/>
      </w:divBdr>
    </w:div>
    <w:div w:id="1765304104">
      <w:bodyDiv w:val="1"/>
      <w:marLeft w:val="0"/>
      <w:marRight w:val="0"/>
      <w:marTop w:val="0"/>
      <w:marBottom w:val="0"/>
      <w:divBdr>
        <w:top w:val="none" w:sz="0" w:space="0" w:color="auto"/>
        <w:left w:val="none" w:sz="0" w:space="0" w:color="auto"/>
        <w:bottom w:val="none" w:sz="0" w:space="0" w:color="auto"/>
        <w:right w:val="none" w:sz="0" w:space="0" w:color="auto"/>
      </w:divBdr>
    </w:div>
    <w:div w:id="1809585085">
      <w:bodyDiv w:val="1"/>
      <w:marLeft w:val="0"/>
      <w:marRight w:val="0"/>
      <w:marTop w:val="0"/>
      <w:marBottom w:val="0"/>
      <w:divBdr>
        <w:top w:val="none" w:sz="0" w:space="0" w:color="auto"/>
        <w:left w:val="none" w:sz="0" w:space="0" w:color="auto"/>
        <w:bottom w:val="none" w:sz="0" w:space="0" w:color="auto"/>
        <w:right w:val="none" w:sz="0" w:space="0" w:color="auto"/>
      </w:divBdr>
    </w:div>
    <w:div w:id="1829634622">
      <w:bodyDiv w:val="1"/>
      <w:marLeft w:val="0"/>
      <w:marRight w:val="0"/>
      <w:marTop w:val="0"/>
      <w:marBottom w:val="0"/>
      <w:divBdr>
        <w:top w:val="none" w:sz="0" w:space="0" w:color="auto"/>
        <w:left w:val="none" w:sz="0" w:space="0" w:color="auto"/>
        <w:bottom w:val="none" w:sz="0" w:space="0" w:color="auto"/>
        <w:right w:val="none" w:sz="0" w:space="0" w:color="auto"/>
      </w:divBdr>
    </w:div>
    <w:div w:id="1836450908">
      <w:bodyDiv w:val="1"/>
      <w:marLeft w:val="0"/>
      <w:marRight w:val="0"/>
      <w:marTop w:val="0"/>
      <w:marBottom w:val="0"/>
      <w:divBdr>
        <w:top w:val="none" w:sz="0" w:space="0" w:color="auto"/>
        <w:left w:val="none" w:sz="0" w:space="0" w:color="auto"/>
        <w:bottom w:val="none" w:sz="0" w:space="0" w:color="auto"/>
        <w:right w:val="none" w:sz="0" w:space="0" w:color="auto"/>
      </w:divBdr>
    </w:div>
    <w:div w:id="1836648520">
      <w:bodyDiv w:val="1"/>
      <w:marLeft w:val="0"/>
      <w:marRight w:val="0"/>
      <w:marTop w:val="0"/>
      <w:marBottom w:val="0"/>
      <w:divBdr>
        <w:top w:val="none" w:sz="0" w:space="0" w:color="auto"/>
        <w:left w:val="none" w:sz="0" w:space="0" w:color="auto"/>
        <w:bottom w:val="none" w:sz="0" w:space="0" w:color="auto"/>
        <w:right w:val="none" w:sz="0" w:space="0" w:color="auto"/>
      </w:divBdr>
    </w:div>
    <w:div w:id="1843424776">
      <w:bodyDiv w:val="1"/>
      <w:marLeft w:val="0"/>
      <w:marRight w:val="0"/>
      <w:marTop w:val="0"/>
      <w:marBottom w:val="0"/>
      <w:divBdr>
        <w:top w:val="none" w:sz="0" w:space="0" w:color="auto"/>
        <w:left w:val="none" w:sz="0" w:space="0" w:color="auto"/>
        <w:bottom w:val="none" w:sz="0" w:space="0" w:color="auto"/>
        <w:right w:val="none" w:sz="0" w:space="0" w:color="auto"/>
      </w:divBdr>
    </w:div>
    <w:div w:id="1852910251">
      <w:bodyDiv w:val="1"/>
      <w:marLeft w:val="0"/>
      <w:marRight w:val="0"/>
      <w:marTop w:val="0"/>
      <w:marBottom w:val="0"/>
      <w:divBdr>
        <w:top w:val="none" w:sz="0" w:space="0" w:color="auto"/>
        <w:left w:val="none" w:sz="0" w:space="0" w:color="auto"/>
        <w:bottom w:val="none" w:sz="0" w:space="0" w:color="auto"/>
        <w:right w:val="none" w:sz="0" w:space="0" w:color="auto"/>
      </w:divBdr>
    </w:div>
    <w:div w:id="1911885053">
      <w:bodyDiv w:val="1"/>
      <w:marLeft w:val="0"/>
      <w:marRight w:val="0"/>
      <w:marTop w:val="0"/>
      <w:marBottom w:val="0"/>
      <w:divBdr>
        <w:top w:val="none" w:sz="0" w:space="0" w:color="auto"/>
        <w:left w:val="none" w:sz="0" w:space="0" w:color="auto"/>
        <w:bottom w:val="none" w:sz="0" w:space="0" w:color="auto"/>
        <w:right w:val="none" w:sz="0" w:space="0" w:color="auto"/>
      </w:divBdr>
    </w:div>
    <w:div w:id="1915554787">
      <w:bodyDiv w:val="1"/>
      <w:marLeft w:val="0"/>
      <w:marRight w:val="0"/>
      <w:marTop w:val="0"/>
      <w:marBottom w:val="0"/>
      <w:divBdr>
        <w:top w:val="none" w:sz="0" w:space="0" w:color="auto"/>
        <w:left w:val="none" w:sz="0" w:space="0" w:color="auto"/>
        <w:bottom w:val="none" w:sz="0" w:space="0" w:color="auto"/>
        <w:right w:val="none" w:sz="0" w:space="0" w:color="auto"/>
      </w:divBdr>
    </w:div>
    <w:div w:id="1921868427">
      <w:bodyDiv w:val="1"/>
      <w:marLeft w:val="0"/>
      <w:marRight w:val="0"/>
      <w:marTop w:val="0"/>
      <w:marBottom w:val="0"/>
      <w:divBdr>
        <w:top w:val="none" w:sz="0" w:space="0" w:color="auto"/>
        <w:left w:val="none" w:sz="0" w:space="0" w:color="auto"/>
        <w:bottom w:val="none" w:sz="0" w:space="0" w:color="auto"/>
        <w:right w:val="none" w:sz="0" w:space="0" w:color="auto"/>
      </w:divBdr>
    </w:div>
    <w:div w:id="1932661842">
      <w:bodyDiv w:val="1"/>
      <w:marLeft w:val="0"/>
      <w:marRight w:val="0"/>
      <w:marTop w:val="0"/>
      <w:marBottom w:val="0"/>
      <w:divBdr>
        <w:top w:val="none" w:sz="0" w:space="0" w:color="auto"/>
        <w:left w:val="none" w:sz="0" w:space="0" w:color="auto"/>
        <w:bottom w:val="none" w:sz="0" w:space="0" w:color="auto"/>
        <w:right w:val="none" w:sz="0" w:space="0" w:color="auto"/>
      </w:divBdr>
    </w:div>
    <w:div w:id="1936550713">
      <w:bodyDiv w:val="1"/>
      <w:marLeft w:val="0"/>
      <w:marRight w:val="0"/>
      <w:marTop w:val="0"/>
      <w:marBottom w:val="0"/>
      <w:divBdr>
        <w:top w:val="none" w:sz="0" w:space="0" w:color="auto"/>
        <w:left w:val="none" w:sz="0" w:space="0" w:color="auto"/>
        <w:bottom w:val="none" w:sz="0" w:space="0" w:color="auto"/>
        <w:right w:val="none" w:sz="0" w:space="0" w:color="auto"/>
      </w:divBdr>
    </w:div>
    <w:div w:id="1939024270">
      <w:bodyDiv w:val="1"/>
      <w:marLeft w:val="0"/>
      <w:marRight w:val="0"/>
      <w:marTop w:val="0"/>
      <w:marBottom w:val="0"/>
      <w:divBdr>
        <w:top w:val="none" w:sz="0" w:space="0" w:color="auto"/>
        <w:left w:val="none" w:sz="0" w:space="0" w:color="auto"/>
        <w:bottom w:val="none" w:sz="0" w:space="0" w:color="auto"/>
        <w:right w:val="none" w:sz="0" w:space="0" w:color="auto"/>
      </w:divBdr>
    </w:div>
    <w:div w:id="1990013916">
      <w:bodyDiv w:val="1"/>
      <w:marLeft w:val="0"/>
      <w:marRight w:val="0"/>
      <w:marTop w:val="0"/>
      <w:marBottom w:val="0"/>
      <w:divBdr>
        <w:top w:val="none" w:sz="0" w:space="0" w:color="auto"/>
        <w:left w:val="none" w:sz="0" w:space="0" w:color="auto"/>
        <w:bottom w:val="none" w:sz="0" w:space="0" w:color="auto"/>
        <w:right w:val="none" w:sz="0" w:space="0" w:color="auto"/>
      </w:divBdr>
    </w:div>
    <w:div w:id="1991055747">
      <w:bodyDiv w:val="1"/>
      <w:marLeft w:val="0"/>
      <w:marRight w:val="0"/>
      <w:marTop w:val="0"/>
      <w:marBottom w:val="0"/>
      <w:divBdr>
        <w:top w:val="none" w:sz="0" w:space="0" w:color="auto"/>
        <w:left w:val="none" w:sz="0" w:space="0" w:color="auto"/>
        <w:bottom w:val="none" w:sz="0" w:space="0" w:color="auto"/>
        <w:right w:val="none" w:sz="0" w:space="0" w:color="auto"/>
      </w:divBdr>
    </w:div>
    <w:div w:id="2000233991">
      <w:bodyDiv w:val="1"/>
      <w:marLeft w:val="0"/>
      <w:marRight w:val="0"/>
      <w:marTop w:val="0"/>
      <w:marBottom w:val="0"/>
      <w:divBdr>
        <w:top w:val="none" w:sz="0" w:space="0" w:color="auto"/>
        <w:left w:val="none" w:sz="0" w:space="0" w:color="auto"/>
        <w:bottom w:val="none" w:sz="0" w:space="0" w:color="auto"/>
        <w:right w:val="none" w:sz="0" w:space="0" w:color="auto"/>
      </w:divBdr>
    </w:div>
    <w:div w:id="2023050060">
      <w:bodyDiv w:val="1"/>
      <w:marLeft w:val="0"/>
      <w:marRight w:val="0"/>
      <w:marTop w:val="0"/>
      <w:marBottom w:val="0"/>
      <w:divBdr>
        <w:top w:val="none" w:sz="0" w:space="0" w:color="auto"/>
        <w:left w:val="none" w:sz="0" w:space="0" w:color="auto"/>
        <w:bottom w:val="none" w:sz="0" w:space="0" w:color="auto"/>
        <w:right w:val="none" w:sz="0" w:space="0" w:color="auto"/>
      </w:divBdr>
    </w:div>
    <w:div w:id="2033147042">
      <w:bodyDiv w:val="1"/>
      <w:marLeft w:val="0"/>
      <w:marRight w:val="0"/>
      <w:marTop w:val="0"/>
      <w:marBottom w:val="0"/>
      <w:divBdr>
        <w:top w:val="none" w:sz="0" w:space="0" w:color="auto"/>
        <w:left w:val="none" w:sz="0" w:space="0" w:color="auto"/>
        <w:bottom w:val="none" w:sz="0" w:space="0" w:color="auto"/>
        <w:right w:val="none" w:sz="0" w:space="0" w:color="auto"/>
      </w:divBdr>
    </w:div>
    <w:div w:id="2035155999">
      <w:bodyDiv w:val="1"/>
      <w:marLeft w:val="0"/>
      <w:marRight w:val="0"/>
      <w:marTop w:val="0"/>
      <w:marBottom w:val="0"/>
      <w:divBdr>
        <w:top w:val="none" w:sz="0" w:space="0" w:color="auto"/>
        <w:left w:val="none" w:sz="0" w:space="0" w:color="auto"/>
        <w:bottom w:val="none" w:sz="0" w:space="0" w:color="auto"/>
        <w:right w:val="none" w:sz="0" w:space="0" w:color="auto"/>
      </w:divBdr>
    </w:div>
    <w:div w:id="2056536546">
      <w:bodyDiv w:val="1"/>
      <w:marLeft w:val="0"/>
      <w:marRight w:val="0"/>
      <w:marTop w:val="0"/>
      <w:marBottom w:val="0"/>
      <w:divBdr>
        <w:top w:val="none" w:sz="0" w:space="0" w:color="auto"/>
        <w:left w:val="none" w:sz="0" w:space="0" w:color="auto"/>
        <w:bottom w:val="none" w:sz="0" w:space="0" w:color="auto"/>
        <w:right w:val="none" w:sz="0" w:space="0" w:color="auto"/>
      </w:divBdr>
    </w:div>
    <w:div w:id="2057582377">
      <w:bodyDiv w:val="1"/>
      <w:marLeft w:val="0"/>
      <w:marRight w:val="0"/>
      <w:marTop w:val="0"/>
      <w:marBottom w:val="0"/>
      <w:divBdr>
        <w:top w:val="none" w:sz="0" w:space="0" w:color="auto"/>
        <w:left w:val="none" w:sz="0" w:space="0" w:color="auto"/>
        <w:bottom w:val="none" w:sz="0" w:space="0" w:color="auto"/>
        <w:right w:val="none" w:sz="0" w:space="0" w:color="auto"/>
      </w:divBdr>
    </w:div>
    <w:div w:id="2063283353">
      <w:bodyDiv w:val="1"/>
      <w:marLeft w:val="0"/>
      <w:marRight w:val="0"/>
      <w:marTop w:val="0"/>
      <w:marBottom w:val="0"/>
      <w:divBdr>
        <w:top w:val="none" w:sz="0" w:space="0" w:color="auto"/>
        <w:left w:val="none" w:sz="0" w:space="0" w:color="auto"/>
        <w:bottom w:val="none" w:sz="0" w:space="0" w:color="auto"/>
        <w:right w:val="none" w:sz="0" w:space="0" w:color="auto"/>
      </w:divBdr>
    </w:div>
    <w:div w:id="2102136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7759/cureus.27336" TargetMode="External"/><Relationship Id="rId18" Type="http://schemas.openxmlformats.org/officeDocument/2006/relationships/hyperlink" Target="https://www.ncbi.nlm.nih.gov/books/NBK553192/" TargetMode="External"/><Relationship Id="rId26" Type="http://schemas.openxmlformats.org/officeDocument/2006/relationships/hyperlink" Target="https://doi.org/10.1016/j.mayocp.2017.12.003" TargetMode="External"/><Relationship Id="rId39" Type="http://schemas.openxmlformats.org/officeDocument/2006/relationships/hyperlink" Target="https://doi.org/10.1007/s13300-022-01254-8" TargetMode="External"/><Relationship Id="rId21" Type="http://schemas.openxmlformats.org/officeDocument/2006/relationships/hyperlink" Target="https://www.ncbi.nlm.nih.gov/books/NBK549816/" TargetMode="External"/><Relationship Id="rId34" Type="http://schemas.openxmlformats.org/officeDocument/2006/relationships/hyperlink" Target="https://www.ncbi.nlm.nih.gov/books/NBK430900/" TargetMode="External"/><Relationship Id="rId42" Type="http://schemas.openxmlformats.org/officeDocument/2006/relationships/hyperlink" Target="https://www.ncbi.nlm.nih.gov/books/NBK538336/" TargetMode="External"/><Relationship Id="rId47" Type="http://schemas.openxmlformats.org/officeDocument/2006/relationships/hyperlink" Target="https://doi.org/10.1016/s0140-6736(05)61032-x" TargetMode="External"/><Relationship Id="rId50" Type="http://schemas.openxmlformats.org/officeDocument/2006/relationships/hyperlink" Target="https://doi.org/10.1016/j.dsx.2024.103044" TargetMode="External"/><Relationship Id="rId55" Type="http://schemas.openxmlformats.org/officeDocument/2006/relationships/hyperlink" Target="https://doi.org/10.1016/j.metabol.2021.154838"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2337/dc10-9990" TargetMode="External"/><Relationship Id="rId29" Type="http://schemas.openxmlformats.org/officeDocument/2006/relationships/hyperlink" Target="https://doi.org/10.1016/j.diabres.2004.06.010" TargetMode="External"/><Relationship Id="rId11" Type="http://schemas.openxmlformats.org/officeDocument/2006/relationships/hyperlink" Target="https://doi.org/10.2337/dc22-ad08a" TargetMode="External"/><Relationship Id="rId24" Type="http://schemas.openxmlformats.org/officeDocument/2006/relationships/hyperlink" Target="https://pmc.ncbi.nlm.nih.gov/articles/PMC7503727/" TargetMode="External"/><Relationship Id="rId32" Type="http://schemas.openxmlformats.org/officeDocument/2006/relationships/hyperlink" Target="https://www.ncbi.nlm.nih.gov/books/NBK555976/" TargetMode="External"/><Relationship Id="rId37" Type="http://schemas.openxmlformats.org/officeDocument/2006/relationships/hyperlink" Target="https://www.nice.org.uk/guidance/qs209/chapter/Quality-statement-4-Continuous-glucose-monitoring-for-adults-who-use-insulin-and-need-help-monitoring-their-blood-glucose" TargetMode="External"/><Relationship Id="rId40" Type="http://schemas.openxmlformats.org/officeDocument/2006/relationships/hyperlink" Target="https://doi.org/10.3390/ijms21051835" TargetMode="External"/><Relationship Id="rId45" Type="http://schemas.openxmlformats.org/officeDocument/2006/relationships/hyperlink" Target="https://doi.org/10.1002/edm2.70036" TargetMode="External"/><Relationship Id="rId53" Type="http://schemas.openxmlformats.org/officeDocument/2006/relationships/hyperlink" Target="https://doi.org/10.3389/fendo.2024.1359255"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doi.org/10.2337/dc23-s002" TargetMode="External"/><Relationship Id="rId4" Type="http://schemas.openxmlformats.org/officeDocument/2006/relationships/webSettings" Target="webSettings.xml"/><Relationship Id="rId9" Type="http://schemas.openxmlformats.org/officeDocument/2006/relationships/hyperlink" Target="https://www.ncbi.nlm.nih.gov/books/NBK526105/" TargetMode="External"/><Relationship Id="rId14" Type="http://schemas.openxmlformats.org/officeDocument/2006/relationships/hyperlink" Target="https://doi.org/10.3389/fendo.2013.00037" TargetMode="External"/><Relationship Id="rId22" Type="http://schemas.openxmlformats.org/officeDocument/2006/relationships/hyperlink" Target="https://doi.org/10.1186/s12889-017-4081-6" TargetMode="External"/><Relationship Id="rId27" Type="http://schemas.openxmlformats.org/officeDocument/2006/relationships/hyperlink" Target="https://doi.org/10.1007/s40199-023-00481-z" TargetMode="External"/><Relationship Id="rId30" Type="http://schemas.openxmlformats.org/officeDocument/2006/relationships/hyperlink" Target="https://www.ncbi.nlm.nih.gov/books/NBK507713/" TargetMode="External"/><Relationship Id="rId35" Type="http://schemas.openxmlformats.org/officeDocument/2006/relationships/hyperlink" Target="https://www.england.nhs.uk/blog/millions-of-people-have-diabetes-but-how-much-do-you-know-about-it/" TargetMode="External"/><Relationship Id="rId43" Type="http://schemas.openxmlformats.org/officeDocument/2006/relationships/hyperlink" Target="https://doi.org/10.1038/s41586-019-1797-8" TargetMode="External"/><Relationship Id="rId48" Type="http://schemas.openxmlformats.org/officeDocument/2006/relationships/hyperlink" Target="https://www.osmosis.org/answers/cellular-respiration" TargetMode="External"/><Relationship Id="rId56" Type="http://schemas.openxmlformats.org/officeDocument/2006/relationships/hyperlink" Target="https://doi.org/10.1038/nrendo.2017.151" TargetMode="External"/><Relationship Id="rId8" Type="http://schemas.openxmlformats.org/officeDocument/2006/relationships/image" Target="media/image2.jpeg"/><Relationship Id="rId51" Type="http://schemas.openxmlformats.org/officeDocument/2006/relationships/hyperlink" Target="https://doi.org/10.1111/1753-0407.12098" TargetMode="External"/><Relationship Id="rId3" Type="http://schemas.openxmlformats.org/officeDocument/2006/relationships/settings" Target="settings.xml"/><Relationship Id="rId12" Type="http://schemas.openxmlformats.org/officeDocument/2006/relationships/hyperlink" Target="https://doi.org/10.1016/j.biopha.2023.115734" TargetMode="External"/><Relationship Id="rId17" Type="http://schemas.openxmlformats.org/officeDocument/2006/relationships/hyperlink" Target="https://doi.org/10.1038/ncpendmet0843" TargetMode="External"/><Relationship Id="rId25" Type="http://schemas.openxmlformats.org/officeDocument/2006/relationships/hyperlink" Target="https://pubmed.ncbi.nlm.nih.gov/21119027/" TargetMode="External"/><Relationship Id="rId33" Type="http://schemas.openxmlformats.org/officeDocument/2006/relationships/hyperlink" Target="https://www.ncbi.nlm.nih.gov/books/NBK546695/" TargetMode="External"/><Relationship Id="rId38" Type="http://schemas.openxmlformats.org/officeDocument/2006/relationships/hyperlink" Target="https://www.ncbi.nlm.nih.gov/books/NBK585052/" TargetMode="External"/><Relationship Id="rId46" Type="http://schemas.openxmlformats.org/officeDocument/2006/relationships/hyperlink" Target="https://www.ncbi.nlm.nih.gov/books/NBK597412/" TargetMode="External"/><Relationship Id="rId20" Type="http://schemas.openxmlformats.org/officeDocument/2006/relationships/hyperlink" Target="https://doi.org/10.1038/s41598-025-02196-4" TargetMode="External"/><Relationship Id="rId41" Type="http://schemas.openxmlformats.org/officeDocument/2006/relationships/hyperlink" Target="https://www.gov.uk/government/publications/health-matters-preventing-type-2-diabetes/health-matters-preventing-type-2-diabetes" TargetMode="External"/><Relationship Id="rId54" Type="http://schemas.openxmlformats.org/officeDocument/2006/relationships/hyperlink" Target="https://doi.org/10.1186/s12937-024-01013-4"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ncbi.nlm.nih.gov/books/NBK482303/" TargetMode="External"/><Relationship Id="rId23" Type="http://schemas.openxmlformats.org/officeDocument/2006/relationships/hyperlink" Target="https://www.ncbi.nlm.nih.gov/books/NBK507839/" TargetMode="External"/><Relationship Id="rId28" Type="http://schemas.openxmlformats.org/officeDocument/2006/relationships/hyperlink" Target="https://doi.org/10.1016/j.csbj.2021.03.003" TargetMode="External"/><Relationship Id="rId36" Type="http://schemas.openxmlformats.org/officeDocument/2006/relationships/hyperlink" Target="https://www.england.nhs.uk/2024/06/nhs-identifies-over-half-a-million-more-people-at-risk-of-type-2-diabetes-in-a-year/" TargetMode="External"/><Relationship Id="rId49" Type="http://schemas.openxmlformats.org/officeDocument/2006/relationships/hyperlink" Target="https://www.openaccessjournals.com/articles/detection-and-prevention-of-hypo-and--hyperglycemia-16178.html" TargetMode="External"/><Relationship Id="rId57" Type="http://schemas.openxmlformats.org/officeDocument/2006/relationships/fontTable" Target="fontTable.xml"/><Relationship Id="rId10" Type="http://schemas.openxmlformats.org/officeDocument/2006/relationships/hyperlink" Target="https://doi.org/10.1186/s12933-023-01990-6" TargetMode="External"/><Relationship Id="rId31" Type="http://schemas.openxmlformats.org/officeDocument/2006/relationships/hyperlink" Target="https://doi.org/10.1016/j.ijnsa.2023.100136" TargetMode="External"/><Relationship Id="rId44" Type="http://schemas.openxmlformats.org/officeDocument/2006/relationships/hyperlink" Target="https://doi.org/10.1016/j.numecd.2019.04.009" TargetMode="External"/><Relationship Id="rId52" Type="http://schemas.openxmlformats.org/officeDocument/2006/relationships/hyperlink" Target="https://www.ncbi.nlm.nih.gov/books/NBK5661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4768</Words>
  <Characters>27180</Characters>
  <Application>Microsoft Office Word</Application>
  <DocSecurity>0</DocSecurity>
  <Lines>226</Lines>
  <Paragraphs>63</Paragraphs>
  <ScaleCrop>false</ScaleCrop>
  <Company/>
  <LinksUpToDate>false</LinksUpToDate>
  <CharactersWithSpaces>31885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2025-11-04T13:19:00Z</dcterms:created>
  <dcterms:modified xsi:type="dcterms:W3CDTF">2025-11-04T13:19:00Z</dcterms:modified>
</cp:coreProperties>
</file>