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rPr>
        <w:id w:val="-1426732575"/>
        <w:docPartObj>
          <w:docPartGallery w:val="Cover Pages"/>
          <w:docPartUnique/>
        </w:docPartObj>
      </w:sdtPr>
      <w:sdtEndPr/>
      <w:sdtContent>
        <w:p w14:paraId="642083F6" w14:textId="4DCD3BC5" w:rsidR="005110EE" w:rsidRDefault="00010419">
          <w:pPr>
            <w:pStyle w:val="NoSpacing"/>
          </w:pPr>
          <w:r>
            <w:rPr>
              <w:noProof/>
            </w:rPr>
            <w:pict w14:anchorId="53CFC2A3">
              <v:group id="Group 1"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style="mso-next-textbox:#Pentagon 4"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27T00:00:00Z">
                            <w:dateFormat w:val="M/d/yyyy"/>
                            <w:lid w:val="en-US"/>
                            <w:storeMappedDataAs w:val="dateTime"/>
                            <w:calendar w:val="gregorian"/>
                          </w:date>
                        </w:sdtPr>
                        <w:sdtEndPr/>
                        <w:sdtContent>
                          <w:p w14:paraId="412F6644" w14:textId="2F1624A0" w:rsidR="005110EE" w:rsidRDefault="006257BE" w:rsidP="005110EE">
                            <w:pPr>
                              <w:pStyle w:val="NoSpacing"/>
                              <w:jc w:val="center"/>
                              <w:rPr>
                                <w:color w:val="FFFFFF" w:themeColor="background1"/>
                                <w:sz w:val="28"/>
                                <w:szCs w:val="28"/>
                              </w:rPr>
                            </w:pPr>
                            <w:r>
                              <w:rPr>
                                <w:color w:val="FFFFFF" w:themeColor="background1"/>
                                <w:sz w:val="28"/>
                                <w:szCs w:val="28"/>
                              </w:rPr>
                              <w:t>27/11/2023</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431A381">
              <v:shapetype id="_x0000_t202" coordsize="21600,21600" o:spt="202" path="m,l,21600r21600,l21600,xe">
                <v:stroke joinstyle="miter"/>
                <v:path gradientshapeok="t" o:connecttype="rect"/>
              </v:shapetype>
              <v:shape id="Text Box 2" o:spid="_x0000_s1027"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4A0FCBF" w14:textId="5807BDC2" w:rsidR="005110EE" w:rsidRDefault="0001041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D0A7C">
                            <w:rPr>
                              <w:color w:val="4472C4" w:themeColor="accent1"/>
                              <w:sz w:val="26"/>
                              <w:szCs w:val="26"/>
                            </w:rPr>
                            <w:t>Matthews, Sean</w:t>
                          </w:r>
                        </w:sdtContent>
                      </w:sdt>
                    </w:p>
                    <w:p w14:paraId="4F0CFDCF" w14:textId="3DEF4B09" w:rsidR="005110EE" w:rsidRDefault="00010419">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110EE">
                            <w:rPr>
                              <w:caps/>
                              <w:color w:val="595959" w:themeColor="text1" w:themeTint="A6"/>
                              <w:sz w:val="20"/>
                              <w:szCs w:val="20"/>
                            </w:rPr>
                            <w:t>student number 2131768</w:t>
                          </w:r>
                        </w:sdtContent>
                      </w:sdt>
                    </w:p>
                  </w:txbxContent>
                </v:textbox>
                <w10:wrap anchorx="page" anchory="page"/>
              </v:shape>
            </w:pict>
          </w:r>
          <w:r>
            <w:rPr>
              <w:noProof/>
            </w:rPr>
            <w:pict w14:anchorId="4D79D399">
              <v:shape id="Text Box 3"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6F4863C" w14:textId="70724001" w:rsidR="005110EE" w:rsidRDefault="0001041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732808">
                            <w:rPr>
                              <w:rFonts w:asciiTheme="majorHAnsi" w:eastAsiaTheme="majorEastAsia" w:hAnsiTheme="majorHAnsi" w:cstheme="majorBidi"/>
                              <w:color w:val="262626" w:themeColor="text1" w:themeTint="D9"/>
                              <w:sz w:val="56"/>
                              <w:szCs w:val="56"/>
                            </w:rPr>
                            <w:t xml:space="preserve">     </w:t>
                          </w:r>
                        </w:sdtContent>
                      </w:sdt>
                    </w:p>
                    <w:p w14:paraId="4DCEA1A9" w14:textId="1B7AB849" w:rsidR="005110EE" w:rsidRDefault="0001041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110EE">
                            <w:rPr>
                              <w:color w:val="404040" w:themeColor="text1" w:themeTint="BF"/>
                              <w:sz w:val="36"/>
                              <w:szCs w:val="36"/>
                            </w:rPr>
                            <w:t xml:space="preserve">     </w:t>
                          </w:r>
                        </w:sdtContent>
                      </w:sdt>
                    </w:p>
                  </w:txbxContent>
                </v:textbox>
                <w10:wrap anchorx="page" anchory="page"/>
              </v:shape>
            </w:pict>
          </w:r>
        </w:p>
        <w:p w14:paraId="5AA0A35E" w14:textId="735AC821" w:rsidR="005110EE" w:rsidRDefault="00467E06">
          <w:r>
            <w:rPr>
              <w:noProof/>
            </w:rPr>
            <w:pict w14:anchorId="3563BA3A">
              <v:shape id="_x0000_s1058" type="#_x0000_t202" style="position:absolute;margin-left:43.25pt;margin-top:142.85pt;width:365.1pt;height:50.05pt;z-index:251663360;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style="mso-next-textbox:#_x0000_s1058">
                  <w:txbxContent>
                    <w:p w14:paraId="6B01DED3" w14:textId="7FC3A322" w:rsidR="00467E06" w:rsidRPr="00003874" w:rsidRDefault="00003874">
                      <w:pPr>
                        <w:rPr>
                          <w:rFonts w:asciiTheme="majorHAnsi" w:hAnsiTheme="majorHAnsi" w:cstheme="majorHAnsi"/>
                          <w:sz w:val="44"/>
                          <w:szCs w:val="44"/>
                        </w:rPr>
                      </w:pPr>
                      <w:r w:rsidRPr="00003874">
                        <w:rPr>
                          <w:rFonts w:asciiTheme="majorHAnsi" w:hAnsiTheme="majorHAnsi" w:cstheme="majorHAnsi"/>
                          <w:sz w:val="44"/>
                          <w:szCs w:val="44"/>
                        </w:rPr>
                        <w:t xml:space="preserve">ACADEMIC ASSIGNMENTS </w:t>
                      </w:r>
                    </w:p>
                  </w:txbxContent>
                </v:textbox>
                <w10:wrap type="square"/>
              </v:shape>
            </w:pict>
          </w:r>
          <w:r w:rsidR="005110EE">
            <w:br w:type="page"/>
          </w:r>
        </w:p>
      </w:sdtContent>
    </w:sdt>
    <w:p w14:paraId="1F0EAAF0" w14:textId="7331C933" w:rsidR="005D1438" w:rsidRDefault="005110EE">
      <w:r>
        <w:lastRenderedPageBreak/>
        <w:t xml:space="preserve">TASK 1 </w:t>
      </w:r>
      <w:r w:rsidR="00141169">
        <w:t xml:space="preserve">- </w:t>
      </w:r>
      <w:r w:rsidR="00141169" w:rsidRPr="00141169">
        <w:t>examining the role of the police, mainly the organisational culture, in creating an inclusive and diverse workforce within the force</w:t>
      </w:r>
    </w:p>
    <w:p w14:paraId="2BB025CA" w14:textId="77777777" w:rsidR="00141169" w:rsidRDefault="00141169" w:rsidP="005110EE">
      <w:pPr>
        <w:spacing w:line="360" w:lineRule="auto"/>
      </w:pPr>
    </w:p>
    <w:p w14:paraId="0BAD4707" w14:textId="5800A469" w:rsidR="005110EE" w:rsidRDefault="005110EE" w:rsidP="005110EE">
      <w:pPr>
        <w:spacing w:line="360" w:lineRule="auto"/>
      </w:pPr>
      <w:r>
        <w:t xml:space="preserve">For this task, I will be examining the role of the police, mainly the organisational culture, in creating an inclusive and diverse workforce within the force. </w:t>
      </w:r>
    </w:p>
    <w:p w14:paraId="08DC2953" w14:textId="77777777" w:rsidR="005110EE" w:rsidRDefault="005110EE" w:rsidP="005110EE">
      <w:pPr>
        <w:spacing w:line="360" w:lineRule="auto"/>
      </w:pPr>
      <w:r>
        <w:t xml:space="preserve">Firstly, look at why it is essential to have a diverse workforce. Diversity and inclusion are integral to everyone's continuing professional development within policing. The police service police by consent, and it is essential for police to be representative of the communities they serve and support. There are many tangible benefits to policing, including (the College of Policing 17 November 2020) </w:t>
      </w:r>
    </w:p>
    <w:p w14:paraId="4260B3C4" w14:textId="77777777" w:rsidR="005110EE" w:rsidRDefault="005110EE" w:rsidP="005110EE">
      <w:pPr>
        <w:spacing w:line="360" w:lineRule="auto"/>
      </w:pPr>
      <w:r>
        <w:t>Several studies have analysed the role of organisational culture in creating an inclusive and diverse workforce within policing. For instance, a study conducted by Chan and Mak (2019) found that the culture of the police service can significantly impact the recruitment and retention of diverse members.</w:t>
      </w:r>
    </w:p>
    <w:p w14:paraId="4E6A320F" w14:textId="77777777" w:rsidR="005110EE" w:rsidRDefault="005110EE" w:rsidP="005110EE">
      <w:pPr>
        <w:spacing w:line="360" w:lineRule="auto"/>
      </w:pPr>
      <w:r>
        <w:t>Moreover, as the police service has a vast and diverse range of communities, it is often beneficial. By being open and inclusive, the police can identify with and understand the communities, their service helping reduce crime and stop minority communities from being exploited.</w:t>
      </w:r>
    </w:p>
    <w:p w14:paraId="7707B7D9" w14:textId="77777777" w:rsidR="005110EE" w:rsidRDefault="005110EE" w:rsidP="005110EE">
      <w:pPr>
        <w:spacing w:line="360" w:lineRule="auto"/>
      </w:pPr>
      <w:r>
        <w:t>This is important as not every community the police deal with is open and happy to engage with the police, and this can lead to the community having different feelings towards the police and becoming less likely to speak with them, whether it is through how the police have engaged with them or through their own beliefs in the police. (Peter, K. (2017)</w:t>
      </w:r>
    </w:p>
    <w:p w14:paraId="38D8B4BC" w14:textId="6D2980A7" w:rsidR="005110EE" w:rsidRDefault="005110EE" w:rsidP="005110EE">
      <w:pPr>
        <w:spacing w:line="360" w:lineRule="auto"/>
      </w:pPr>
      <w:r>
        <w:t>Some police forces use an equality plan to outline how they plan to create a more inclusive and diverse workforce and which communities they feel are underrepresented. For example, South Wales police have an equality plan which has a time scale as the force wishes to improve their Diversity and inclusion by 2023. The equality plan looks at communities such as neurodiversity, which includes Dyslexia, Dyspraxia and Autism. The equality plan further explains the reason behind this.</w:t>
      </w:r>
    </w:p>
    <w:p w14:paraId="7C53A1F5" w14:textId="36BB26EF" w:rsidR="005110EE" w:rsidRDefault="005110EE" w:rsidP="005110EE">
      <w:pPr>
        <w:spacing w:line="360" w:lineRule="auto"/>
      </w:pPr>
      <w:r w:rsidRPr="005110EE">
        <w:rPr>
          <w:i/>
          <w:iCs/>
        </w:rPr>
        <w:t xml:space="preserve">''Officers and staff interacting with people and need to be able to recognise their condition and know how to make reasonable adjustments, </w:t>
      </w:r>
      <w:r w:rsidR="004B3EE1" w:rsidRPr="005110EE">
        <w:rPr>
          <w:i/>
          <w:iCs/>
        </w:rPr>
        <w:t>e.g.,</w:t>
      </w:r>
      <w:r w:rsidRPr="005110EE">
        <w:rPr>
          <w:i/>
          <w:iCs/>
        </w:rPr>
        <w:t xml:space="preserve"> when taking calls, dealing with incidents, in custody, when taking statements, and when identifying vulnerability</w:t>
      </w:r>
      <w:r>
        <w:t>.''(Police and Crime Commissioner South Wales. (2019)</w:t>
      </w:r>
    </w:p>
    <w:p w14:paraId="59D44FFB" w14:textId="77777777" w:rsidR="005110EE" w:rsidRDefault="005110EE" w:rsidP="005110EE">
      <w:pPr>
        <w:spacing w:line="360" w:lineRule="auto"/>
      </w:pPr>
      <w:r>
        <w:lastRenderedPageBreak/>
        <w:t xml:space="preserve">Moreover, by having staff with different neurodiversity and having the proper support in place, staff members within the organisation will feel more appreciated and, as stated in the equality plan, be able to service the community better, along with improving inclusion within the force. </w:t>
      </w:r>
    </w:p>
    <w:p w14:paraId="3159D69F" w14:textId="6C397C01" w:rsidR="005110EE" w:rsidRDefault="005110EE" w:rsidP="005110EE">
      <w:pPr>
        <w:spacing w:line="360" w:lineRule="auto"/>
      </w:pPr>
      <w:r>
        <w:t>The force itself would be able to service the communities better. People with learning difficulties may need to be made aware of how to contact the police and need more confidence. As victims, they may not understand the process of how to ask for help, report crimes to the police or understand the full extent of supportive engagement that can take place when police become involved. (Police and Crime Commissioner South Wales. 2021). JOINT EQUALITY PLAN 2021-2025</w:t>
      </w:r>
    </w:p>
    <w:p w14:paraId="6978CD38" w14:textId="74571D95" w:rsidR="005110EE" w:rsidRDefault="005110EE" w:rsidP="005110EE">
      <w:pPr>
        <w:spacing w:line="360" w:lineRule="auto"/>
      </w:pPr>
      <w:r>
        <w:t xml:space="preserve">Furthermore, the UK police forces also examine how the different leaders, from frontline leaders to the senior management team, create an inclusive and diverse workforce within the force. The College of Policing lays out how the different levels of management can support a more inclusive and diverse workforce. </w:t>
      </w:r>
    </w:p>
    <w:p w14:paraId="5A65C6B1" w14:textId="2B5AE1C9" w:rsidR="005110EE" w:rsidRDefault="005110EE" w:rsidP="005110EE">
      <w:pPr>
        <w:spacing w:line="360" w:lineRule="auto"/>
      </w:pPr>
      <w:r>
        <w:t xml:space="preserve">One of the action points for frontline leaders is educating themselves and their teams about the experience of minority groups and, along with championing equality, </w:t>
      </w:r>
      <w:r w:rsidR="006D0A7C">
        <w:t>Diversity,</w:t>
      </w:r>
      <w:r>
        <w:t xml:space="preserve"> and inclusion, always challenging discriminatory behaviour of any kind. (College of Policing. (2022)</w:t>
      </w:r>
    </w:p>
    <w:p w14:paraId="141CD97A" w14:textId="4D16DAA2" w:rsidR="005110EE" w:rsidRDefault="005110EE" w:rsidP="005110EE">
      <w:pPr>
        <w:spacing w:line="360" w:lineRule="auto"/>
      </w:pPr>
      <w:r>
        <w:t>This is important to frontline officers and leaders as they have the most contact with the communities they serve and are, at times, the first officers the community will see and engage with. So, officers and staff must understand how to engage with these communities when dealing with them. Moreover, this allows for the different police forces to work together when recruiting.</w:t>
      </w:r>
    </w:p>
    <w:p w14:paraId="0EE8787F" w14:textId="77777777" w:rsidR="005110EE" w:rsidRDefault="005110EE" w:rsidP="005110EE">
      <w:pPr>
        <w:spacing w:line="360" w:lineRule="auto"/>
      </w:pPr>
      <w:r>
        <w:t>with the independent Office of police conduct taking an insight into the different officers and their recruitment</w:t>
      </w:r>
    </w:p>
    <w:p w14:paraId="0A65CA5F" w14:textId="24DA4684" w:rsidR="005110EE" w:rsidRDefault="005110EE" w:rsidP="005110EE">
      <w:r>
        <w:t xml:space="preserve"> </w:t>
      </w:r>
      <w:r w:rsidRPr="005110EE">
        <w:rPr>
          <w:i/>
          <w:iCs/>
        </w:rPr>
        <w:t>''If we are not culturally competent ourselves, we cannot play our part in helping the police to build an institution that serves every member of the public and has the confidence of people, regardless of their background</w:t>
      </w:r>
      <w:r>
        <w:t>.''. (Independent Office of police conduct 2022).</w:t>
      </w:r>
    </w:p>
    <w:p w14:paraId="7B07371F" w14:textId="77777777" w:rsidR="005110EE" w:rsidRDefault="005110EE" w:rsidP="005110EE">
      <w:pPr>
        <w:spacing w:line="360" w:lineRule="auto"/>
      </w:pPr>
      <w:r>
        <w:t>With the independent Office of Police, conduct looks at how each force recruits and measures the different types of communities that apply and tries to tackle some of the issues that the force has when recruiting, such as lowering the average turnover for colleagues from Black, Asian and minority ethnic backgrounds and along with a pipeline of diverse talent from protected groups as a result of our positive action initiatives.</w:t>
      </w:r>
    </w:p>
    <w:p w14:paraId="0159A8DD" w14:textId="77777777" w:rsidR="005110EE" w:rsidRDefault="005110EE" w:rsidP="005110EE">
      <w:pPr>
        <w:spacing w:line="360" w:lineRule="auto"/>
      </w:pPr>
      <w:r>
        <w:t>In addition, the number of women, LGBTQ+, disabled, Black, Asian, and minority ethnic colleagues in senior roles (grade 15+) by 2025, compared to 2022, will increase (Independent Office of police conduct. (2022).</w:t>
      </w:r>
    </w:p>
    <w:p w14:paraId="6210AAB1" w14:textId="77777777" w:rsidR="005110EE" w:rsidRDefault="005110EE" w:rsidP="005110EE">
      <w:pPr>
        <w:spacing w:line="360" w:lineRule="auto"/>
      </w:pPr>
      <w:r>
        <w:lastRenderedPageBreak/>
        <w:t>Moreover, these are important to have as it is considerably. It helps the police become further inclusive, which then, in part, shows the community that the police have taken an active approach to recruiting members from the disproportionately represented community, which then will allow the police to engage more affected with those communities. (The Commissioner of Police of the Metropolis, Cressida Dick. (2017).</w:t>
      </w:r>
    </w:p>
    <w:p w14:paraId="732C1144" w14:textId="77777777" w:rsidR="005110EE" w:rsidRDefault="005110EE" w:rsidP="005110EE">
      <w:pPr>
        <w:spacing w:line="360" w:lineRule="auto"/>
      </w:pPr>
      <w:r>
        <w:t xml:space="preserve">This will allow the police to develop a better understanding of how to serve the community and what works best when dealing with them. This may then improve the recruitment of that group, creating a more diverse workforce, which, in theory, should also help in the retention of staff and officers. </w:t>
      </w:r>
    </w:p>
    <w:p w14:paraId="0589C592" w14:textId="77777777" w:rsidR="005110EE" w:rsidRDefault="005110EE" w:rsidP="005110EE">
      <w:pPr>
        <w:spacing w:line="360" w:lineRule="auto"/>
      </w:pPr>
      <w:r>
        <w:t>In conclusion, organisational culture is crucial in creating an inclusive and diverse workforce within policing. It is essential to create a positive and supportive culture that values Diversity and promotes inclusive practices to attract and retain diverse members and ensure that they are included and supported within the organisation.</w:t>
      </w:r>
    </w:p>
    <w:p w14:paraId="116D2C90" w14:textId="77777777" w:rsidR="005110EE" w:rsidRDefault="005110EE" w:rsidP="005110EE"/>
    <w:p w14:paraId="0921633F" w14:textId="24533E78" w:rsidR="005110EE" w:rsidRDefault="005110EE" w:rsidP="005110EE">
      <w:r>
        <w:t>word count 955</w:t>
      </w:r>
    </w:p>
    <w:p w14:paraId="49DFC236" w14:textId="77777777" w:rsidR="005110EE" w:rsidRDefault="005110EE" w:rsidP="005110EE"/>
    <w:p w14:paraId="7C4CD17C" w14:textId="56F7276B" w:rsidR="005110EE" w:rsidRDefault="005110EE" w:rsidP="005110EE">
      <w:r>
        <w:t xml:space="preserve">TASK 2 </w:t>
      </w:r>
      <w:r w:rsidR="005A5145">
        <w:t xml:space="preserve">- </w:t>
      </w:r>
      <w:r w:rsidR="005A5145" w:rsidRPr="005A5145">
        <w:t xml:space="preserve">Response policing – critically evaluate the role of response officers in dealing with critical/major incidents  </w:t>
      </w:r>
    </w:p>
    <w:p w14:paraId="1FE40492" w14:textId="5C574E5C" w:rsidR="005A5145" w:rsidRDefault="005A5145" w:rsidP="005A5145">
      <w:r>
        <w:t xml:space="preserve">For this task, I will be critically </w:t>
      </w:r>
      <w:r w:rsidR="000540DB">
        <w:t>evaluating</w:t>
      </w:r>
      <w:r>
        <w:t xml:space="preserve"> the role of response officers in dealing with critical and Major incidents.</w:t>
      </w:r>
    </w:p>
    <w:p w14:paraId="77C5A90D" w14:textId="77777777" w:rsidR="005A5145" w:rsidRDefault="005A5145" w:rsidP="005A5145">
      <w:r>
        <w:t>Firstly, looking at what a major incident is, the College of Police defines a major incident as.</w:t>
      </w:r>
    </w:p>
    <w:p w14:paraId="34140CC8" w14:textId="7036605D" w:rsidR="005A5145" w:rsidRDefault="005A5145" w:rsidP="005A5145">
      <w:r w:rsidRPr="005A5145">
        <w:rPr>
          <w:i/>
          <w:iCs/>
        </w:rPr>
        <w:t>"A major incident is an event or situation requiring a response under one or more of the emergency services' major incident plans. This will usually include involving large numbers of people, either directly or indirectly.</w:t>
      </w:r>
      <w:r>
        <w:t xml:space="preserve"> ‘(College of Policing 2013)</w:t>
      </w:r>
    </w:p>
    <w:p w14:paraId="75DBB931" w14:textId="77777777" w:rsidR="005A5145" w:rsidRDefault="005A5145" w:rsidP="005A5145">
      <w:r>
        <w:t xml:space="preserve">while the College of Policing Define a Critical incident as </w:t>
      </w:r>
    </w:p>
    <w:p w14:paraId="3AF129A8" w14:textId="2813D960" w:rsidR="005A5145" w:rsidRDefault="005A5145" w:rsidP="005A5145">
      <w:r w:rsidRPr="005A5145">
        <w:rPr>
          <w:i/>
          <w:iCs/>
        </w:rPr>
        <w:t>''A critical incident is any incident where the effectiveness of the police response is likely to have a significant impact on the confidence of the victim, their family and/or the community</w:t>
      </w:r>
      <w:r>
        <w:t>.'' (College of Policing October 2013)</w:t>
      </w:r>
    </w:p>
    <w:p w14:paraId="06DF776B" w14:textId="77777777" w:rsidR="005A5145" w:rsidRDefault="005A5145" w:rsidP="005A5145">
      <w:pPr>
        <w:spacing w:line="360" w:lineRule="auto"/>
      </w:pPr>
      <w:r>
        <w:t>Overall, response officers' roles in dealing with critical and major incidents are critical to the public's safety and well-being. Their ability to respond quickly, make informed decisions, and manage the situation effectively is essential in minimizing damage and ensuring that those affected receive the support they need.</w:t>
      </w:r>
    </w:p>
    <w:p w14:paraId="644E65A5" w14:textId="77777777" w:rsidR="005A5145" w:rsidRDefault="005A5145" w:rsidP="005A5145">
      <w:pPr>
        <w:spacing w:line="360" w:lineRule="auto"/>
      </w:pPr>
      <w:r>
        <w:t>Response officers are more often the first emergency services to the scene of a critical or major incident. They are also the emergency services that will declare the major or critical incident. Response officers at the scene of a major or critical incident will use what is known as.</w:t>
      </w:r>
    </w:p>
    <w:p w14:paraId="0C39B65F" w14:textId="17C8A812" w:rsidR="005A5145" w:rsidRDefault="005A5145" w:rsidP="005A5145">
      <w:pPr>
        <w:spacing w:line="360" w:lineRule="auto"/>
      </w:pPr>
      <w:r>
        <w:lastRenderedPageBreak/>
        <w:t xml:space="preserve">The M/ETHANE model is an established reporting framework that provides a standard structure for responders and their control rooms to share incident information. It is recommended that this format is used for all incidents and be updated as the incident develops. For incidents falling below the major incident threshold, M/ETHANE becomes an ‘ETHANE’ message, which covers all points needed when dealing with </w:t>
      </w:r>
      <w:r w:rsidR="006D0A7C">
        <w:t>a</w:t>
      </w:r>
      <w:r>
        <w:t xml:space="preserve"> critical and Major </w:t>
      </w:r>
      <w:r w:rsidR="006D0A7C">
        <w:t>incident (</w:t>
      </w:r>
      <w:r w:rsidR="000540DB">
        <w:t>JESIP</w:t>
      </w:r>
      <w:r>
        <w:t>. (2014)</w:t>
      </w:r>
    </w:p>
    <w:p w14:paraId="70F5A229" w14:textId="77777777" w:rsidR="005A5145" w:rsidRDefault="005A5145" w:rsidP="005A5145">
      <w:pPr>
        <w:spacing w:line="360" w:lineRule="auto"/>
      </w:pPr>
      <w:r>
        <w:t>The benefit of using M/ETHANE is that it is also used by all other emergency services, which significantly helps the first response officers at the scene and provides a step-by-step guide for dealing with the incident after the information has been passed and it has been declared a critical and major incident.</w:t>
      </w:r>
    </w:p>
    <w:p w14:paraId="2BC34441" w14:textId="7C2106FE" w:rsidR="005A5145" w:rsidRDefault="005A5145" w:rsidP="005A5145">
      <w:pPr>
        <w:spacing w:line="360" w:lineRule="auto"/>
      </w:pPr>
      <w:r>
        <w:t xml:space="preserve">Furthermore, for a </w:t>
      </w:r>
      <w:r w:rsidR="000540DB">
        <w:t>response officer</w:t>
      </w:r>
      <w:r>
        <w:t xml:space="preserve"> at the scene, another advantage of the use of METHANE is how it offers aid when dealing with officers' services and what roles the services provide while at the scene, and this helps clear up any confusion and what roles people are meant to do as.</w:t>
      </w:r>
    </w:p>
    <w:p w14:paraId="0A11430E" w14:textId="77777777" w:rsidR="005A5145" w:rsidRDefault="005A5145" w:rsidP="005A5145">
      <w:pPr>
        <w:spacing w:line="360" w:lineRule="auto"/>
      </w:pPr>
      <w:r>
        <w:t xml:space="preserve">When working in command groups, the principles of JESIP are followed, and it is JESIP aims to ensure the emergency responders are trained and exercised to work together as effectively as possible, at all levels of command in response to major or complex incidents. (Home Office. (2021). </w:t>
      </w:r>
    </w:p>
    <w:p w14:paraId="4525591B" w14:textId="2EF800B6" w:rsidR="005A5145" w:rsidRDefault="005A5145" w:rsidP="005A5145">
      <w:pPr>
        <w:spacing w:line="360" w:lineRule="auto"/>
      </w:pPr>
      <w:r>
        <w:t xml:space="preserve">With this being an excellent advantage for response officers at the scene of a critical and Major incident; </w:t>
      </w:r>
      <w:r w:rsidR="000540DB">
        <w:t>so,</w:t>
      </w:r>
      <w:r>
        <w:t xml:space="preserve"> </w:t>
      </w:r>
      <w:r w:rsidR="006D0A7C">
        <w:t>the</w:t>
      </w:r>
      <w:r>
        <w:t xml:space="preserve"> use of JESIP clearly goes through what is needed when dealing with an incident, including things such as calling out for essential services, </w:t>
      </w:r>
      <w:r w:rsidR="00C07C82">
        <w:t>protection,</w:t>
      </w:r>
      <w:r>
        <w:t xml:space="preserve"> and preservation of the scene The responsibilities of the different organisations dealing with an emergency vary, some are set in statute, and others fill a need. The police will generally coordinate in a major, </w:t>
      </w:r>
      <w:r w:rsidR="00C07C82">
        <w:t>large,</w:t>
      </w:r>
      <w:r>
        <w:t xml:space="preserve"> or complex incident. (Argyll-Bute. 2019) </w:t>
      </w:r>
    </w:p>
    <w:p w14:paraId="34F5D37F" w14:textId="02D1BABE" w:rsidR="005A5145" w:rsidRDefault="005A5145" w:rsidP="005A5145">
      <w:pPr>
        <w:spacing w:line="360" w:lineRule="auto"/>
      </w:pPr>
      <w:r>
        <w:t xml:space="preserve">Moreover, as police are classed as Category 1 responders. For the police, as for other responders, the saving and protection of life is the priority. However, they must also ensure the scene is preserved so as to safeguard evidence for subsequent enquiries and, possibly, criminal proceedings. Once </w:t>
      </w:r>
      <w:r w:rsidR="000540DB">
        <w:t>lifesaving</w:t>
      </w:r>
      <w:r>
        <w:t xml:space="preserve"> is complete, the area will be preserved as a crime scene until it is confirmed otherwise. (Civil Contingencies Secretariat. (2013)</w:t>
      </w:r>
    </w:p>
    <w:p w14:paraId="2F447883" w14:textId="77777777" w:rsidR="005A5145" w:rsidRDefault="005A5145" w:rsidP="005A5145">
      <w:pPr>
        <w:spacing w:line="360" w:lineRule="auto"/>
      </w:pPr>
      <w:r>
        <w:t>Where practical, the police, in consultation with other emergency services and specialists, will establish and maintain cordons at appropriate distances. Cordons are established to facilitate the work of emergency services and other responding agencies in saving lives, protecting the public and property, and caring for survivors.</w:t>
      </w:r>
    </w:p>
    <w:p w14:paraId="7780CBE9" w14:textId="77777777" w:rsidR="005A5145" w:rsidRDefault="005A5145" w:rsidP="005A5145">
      <w:pPr>
        <w:spacing w:line="360" w:lineRule="auto"/>
      </w:pPr>
      <w:r>
        <w:lastRenderedPageBreak/>
        <w:t>Response officers will also need to conduct rapid risk assessments. They must weigh the risks to their own safety against the urgency of the situation and make informed decisions about when to engage and when to wait for backup or specialized support.</w:t>
      </w:r>
    </w:p>
    <w:p w14:paraId="7372E810" w14:textId="77777777" w:rsidR="005A5145" w:rsidRDefault="005A5145" w:rsidP="005A5145">
      <w:pPr>
        <w:spacing w:line="360" w:lineRule="auto"/>
      </w:pPr>
      <w:r>
        <w:t>Nevertheless, after the incident has been dealt with, critical incidents are no longer in order. The aftermath can be highly stressful and traumatic for response officers. The psychological toll of witnessing and responding to horrific events can affect their mental health and performance. Agencies must, therefore, provide adequate support and resources for officers to cope with the emotional and psychological aspects of their role.</w:t>
      </w:r>
    </w:p>
    <w:p w14:paraId="4BFEB920" w14:textId="77777777" w:rsidR="005A5145" w:rsidRDefault="005A5145" w:rsidP="005A5145">
      <w:pPr>
        <w:spacing w:line="360" w:lineRule="auto"/>
      </w:pPr>
      <w:r>
        <w:t>However, 11 forces had no mental health policy at the time of the inspection. It is difficult to assess what guidance is available for operational officers and staff in those forces or to establish whether they are aware of local procedures and health-based places of safety. Twelve forces have policies that either need to be updated or need more information about local practices (His Majesty's Inspectorate of Constabulary and Fire &amp; Rescue Services. (2018)</w:t>
      </w:r>
    </w:p>
    <w:p w14:paraId="52F5523C" w14:textId="77777777" w:rsidR="005A5145" w:rsidRDefault="005A5145" w:rsidP="005A5145">
      <w:pPr>
        <w:spacing w:line="360" w:lineRule="auto"/>
      </w:pPr>
      <w:r>
        <w:t>This shows that a reasonable amount of time and resources have been used when it comes to the guidance and teaching on how to deal with a critical and Major incident and how to work alongside other front-line services and local authorities. However, things start to fall short in the aftermath of the incidents and the well-being of the responder after the incident has ended. (LONDON RESILIENCE PARTNERSHIP. (2021).</w:t>
      </w:r>
    </w:p>
    <w:p w14:paraId="1D65248E" w14:textId="77777777" w:rsidR="005A5145" w:rsidRDefault="005A5145" w:rsidP="005A5145">
      <w:pPr>
        <w:spacing w:line="360" w:lineRule="auto"/>
      </w:pPr>
      <w:r>
        <w:t>In conclusion, response officers play a crucial role in dealing with critical and major incidents, and their effectiveness can significantly impact the incident's outcome and the community's confidence. However, response officers need more training and support to improve their knowledge, skills, and mental health to manage the incident effectively. Effective communication and coordination between different emergency services are crucial to ensure a coordinated response to critical incidents.</w:t>
      </w:r>
    </w:p>
    <w:p w14:paraId="4C38162E" w14:textId="77777777" w:rsidR="005A5145" w:rsidRDefault="005A5145" w:rsidP="005A5145"/>
    <w:p w14:paraId="3044DC86" w14:textId="1EB7BE33" w:rsidR="005A5145" w:rsidRDefault="005A5145" w:rsidP="005A5145">
      <w:r>
        <w:t>word count 957</w:t>
      </w:r>
    </w:p>
    <w:p w14:paraId="3787DFC0" w14:textId="77777777" w:rsidR="005A5145" w:rsidRDefault="005A5145" w:rsidP="005A5145"/>
    <w:p w14:paraId="70447700" w14:textId="6BCB89C6" w:rsidR="005A5145" w:rsidRDefault="005A5145" w:rsidP="005A5145">
      <w:r>
        <w:t xml:space="preserve">TASK 3- </w:t>
      </w:r>
      <w:r w:rsidRPr="005A5145">
        <w:t>Critically evaluate the use of Covert Human Intelligence Sources and their service in the investigation of serious and organised crime.</w:t>
      </w:r>
    </w:p>
    <w:p w14:paraId="2853B0EC" w14:textId="77777777" w:rsidR="005A5145" w:rsidRDefault="005A5145" w:rsidP="005A5145">
      <w:pPr>
        <w:spacing w:line="360" w:lineRule="auto"/>
      </w:pPr>
      <w:r>
        <w:t>For this task, I will Critically evaluate the use of Covert Human Intelligence Sources and their service in the investigation of serious and organised crime.</w:t>
      </w:r>
    </w:p>
    <w:p w14:paraId="68F2BC12" w14:textId="457603CE" w:rsidR="005A5145" w:rsidRDefault="005A5145" w:rsidP="005A5145">
      <w:pPr>
        <w:spacing w:line="360" w:lineRule="auto"/>
      </w:pPr>
      <w:r>
        <w:lastRenderedPageBreak/>
        <w:t>With a Covert Human Intelligence Source Being a person who covertly provides intelligence to aid and assist investigations and is authorised and governed by the Regulation of Investigatory Powers Act 2000-(His Majesty's Inspectorate of Constabulary and Fire &amp; Rescue Services 25 January 2023)</w:t>
      </w:r>
    </w:p>
    <w:p w14:paraId="227CBE47" w14:textId="6882EFEA" w:rsidR="005A5145" w:rsidRDefault="005A5145" w:rsidP="005A5145">
      <w:pPr>
        <w:spacing w:line="360" w:lineRule="auto"/>
      </w:pPr>
      <w:r>
        <w:t>Covert human intelligence sources (CHIS) have been used for decades to prevent or secure prosecutions of severe crimes, such as terrorism and human trafficking. The Covert Human Intelligence Sources (Criminal Conduct) Act 2021 provided statutory powers to organisations, such as the intelligence agencies and law enforcement bodies, to authorise criminal activity by Covert human intelligence sources to further gain. Intelligence (Sarah, T.  2021)</w:t>
      </w:r>
    </w:p>
    <w:p w14:paraId="593CC005" w14:textId="48647596" w:rsidR="005A5145" w:rsidRDefault="005A5145" w:rsidP="005A5145">
      <w:pPr>
        <w:spacing w:line="360" w:lineRule="auto"/>
      </w:pPr>
      <w:r>
        <w:t>The uses of Covert human intelligence sources are strictly controlled and governed. When it comes to the authorisation of the use of Covert human intelligence sources for an investigation, this is done by the public authorities entitled to authorise the use or conduct of a CHIS, together with the specific purposes for which each public administration may allow the use or behaviour of a CHIS. (Home office. 2000)</w:t>
      </w:r>
    </w:p>
    <w:p w14:paraId="1FCEE1BB" w14:textId="77777777" w:rsidR="005A5145" w:rsidRDefault="005A5145" w:rsidP="005A5145">
      <w:pPr>
        <w:spacing w:line="360" w:lineRule="auto"/>
      </w:pPr>
      <w:r>
        <w:t xml:space="preserve">So, I used a covert human intelligence source from the very start. This source is heavily monitored and regulated, which shows how much effort and resources are involved when a covert human intelligence source is used during an investigation. Furthermore, more than one agency can use a covert human intelligence source for an investigation; they would need the authority of other agencies. </w:t>
      </w:r>
    </w:p>
    <w:p w14:paraId="193CC812" w14:textId="77777777" w:rsidR="005A5145" w:rsidRDefault="005A5145" w:rsidP="005A5145">
      <w:pPr>
        <w:spacing w:line="360" w:lineRule="auto"/>
      </w:pPr>
      <w:r>
        <w:t>Especially when it comes to the Covert human intelligence source needing to commit a criminal offence. Which these actions are also heavily scrutinised and recorded as these actions are allowed to be carried out as part of an investigation if it is deemed and only Authorisations is granted by an experienced and highly trained authorising officer who will ensure that the authorisation has strict parameters</w:t>
      </w:r>
    </w:p>
    <w:p w14:paraId="206FA989" w14:textId="77777777" w:rsidR="005A5145" w:rsidRDefault="005A5145" w:rsidP="005A5145">
      <w:pPr>
        <w:spacing w:line="360" w:lineRule="auto"/>
      </w:pPr>
      <w:r>
        <w:t>Essential to the investigation and will provide evidence or aid in the progression as 2018, CHIS operations led the National Crime Agency to disrupt over 30 threats to life, arrest numerous serious organised criminals, seize over 3000kg of Class A drugs, safeguard over 200 people, and take almost 60 firearms and 4000 rounds of ammunition off the street. (Home Office. (2018)</w:t>
      </w:r>
    </w:p>
    <w:p w14:paraId="73BBC1A8" w14:textId="641F6E2C" w:rsidR="005A5145" w:rsidRDefault="005A5145" w:rsidP="005A5145">
      <w:pPr>
        <w:spacing w:line="360" w:lineRule="auto"/>
      </w:pPr>
      <w:r>
        <w:t>This shows that using covert human intelligence sources is essential to safeguarding victims of crime and can provide a different type of safeguarding compared to conventional victim safeguarding. Nevertheless, this type of safeguarding occurs during an investigation. Using covert human intelligence sources is vital when dealing with serious and organised crime. It offers different means of investigation and tactics, such as creating fake relationships and bonds.</w:t>
      </w:r>
      <w:r w:rsidR="000B0710">
        <w:t xml:space="preserve"> (</w:t>
      </w:r>
      <w:r w:rsidR="000B0710" w:rsidRPr="000B0710">
        <w:t>Crous, C</w:t>
      </w:r>
      <w:r w:rsidR="000B0710">
        <w:t xml:space="preserve"> </w:t>
      </w:r>
      <w:r w:rsidR="000B0710" w:rsidRPr="000B0710">
        <w:t>2011).</w:t>
      </w:r>
    </w:p>
    <w:p w14:paraId="1CF9F803" w14:textId="681B8BDD" w:rsidR="005A5145" w:rsidRDefault="005A5145" w:rsidP="005A5145">
      <w:pPr>
        <w:spacing w:line="360" w:lineRule="auto"/>
      </w:pPr>
      <w:r>
        <w:lastRenderedPageBreak/>
        <w:t xml:space="preserve">The reactive nature of the work of a Covert human intelligence source and the need for a CHIS to maintain cover may make it necessary for a CHIS to engage in conduct that was not envisaged at the time the authorisation was granted. </w:t>
      </w:r>
      <w:r w:rsidR="000540DB">
        <w:t>(The</w:t>
      </w:r>
      <w:r>
        <w:t xml:space="preserve"> Police Service of Scotland 2017)</w:t>
      </w:r>
    </w:p>
    <w:p w14:paraId="3A054E86" w14:textId="5262C28B" w:rsidR="005A5145" w:rsidRDefault="005A5145" w:rsidP="005A5145">
      <w:pPr>
        <w:spacing w:line="360" w:lineRule="auto"/>
      </w:pPr>
      <w:r>
        <w:t>As Covert human intelligence are used to help investigate serious and organised crime, country lines are a huge problem. With in the United Kingdom, The Covert Human Intelligence Sources Act 2021 empowers the police and other authorities throughout the United Kingdom to use children as Covert Human Intelligence Sources and to authorise these children to engage in criminality, with no criminal liability, in return for information. (Raymond, A 2023)</w:t>
      </w:r>
    </w:p>
    <w:p w14:paraId="0581849A" w14:textId="36DD9B08" w:rsidR="005A5145" w:rsidRDefault="005A5145" w:rsidP="005A5145">
      <w:pPr>
        <w:spacing w:line="360" w:lineRule="auto"/>
      </w:pPr>
      <w:r>
        <w:t xml:space="preserve">Which begs the question, is the use of younger Covert human intelligence worth it as with any undercover work, a great deal of risk assessment would be needed to be carried out due to the nature of the work. And even with the all the time put into the risk assessment that this practice puts children at risk of severe physical and emotional harm and that the safeguards for children used in this way were so inadequate </w:t>
      </w:r>
      <w:r w:rsidR="006D0A7C">
        <w:t>Case (</w:t>
      </w:r>
      <w:r w:rsidR="000540DB">
        <w:t>S</w:t>
      </w:r>
      <w:r>
        <w:t xml:space="preserve">, Haines </w:t>
      </w:r>
      <w:r w:rsidR="006D0A7C">
        <w:t>K (</w:t>
      </w:r>
      <w:r>
        <w:t>2018)</w:t>
      </w:r>
    </w:p>
    <w:p w14:paraId="34FBA233" w14:textId="77777777" w:rsidR="005A5145" w:rsidRDefault="005A5145" w:rsidP="005A5145">
      <w:pPr>
        <w:spacing w:line="360" w:lineRule="auto"/>
      </w:pPr>
      <w:r>
        <w:t>So, although using younger Covert human intelligence can seem ideal as they often meet the requirement when organised crime groups start recruitment, a tremendous amount of risk is involved. Although a considerable amount of time is put into the risk assessment, even well-done risk assessments can only account for some things.</w:t>
      </w:r>
    </w:p>
    <w:p w14:paraId="38227A34" w14:textId="51AC10AA" w:rsidR="005A5145" w:rsidRDefault="005A5145" w:rsidP="005A5145">
      <w:pPr>
        <w:spacing w:line="360" w:lineRule="auto"/>
      </w:pPr>
      <w:r>
        <w:t xml:space="preserve">But there is also the chance to obtain crucial evidence when it comes to the investigation of serious and organised crime and also with being able to gather evidence which can be used to help protect victims of crimes and even have the opportunity to prevent a further offence from taken place though the </w:t>
      </w:r>
      <w:r w:rsidR="006D0A7C">
        <w:t>information,</w:t>
      </w:r>
      <w:r>
        <w:t xml:space="preserve"> they are able to </w:t>
      </w:r>
      <w:r w:rsidR="000540DB">
        <w:t>gather (</w:t>
      </w:r>
      <w:r>
        <w:t xml:space="preserve">John, G, James, E. 2022) </w:t>
      </w:r>
    </w:p>
    <w:p w14:paraId="0E947C13" w14:textId="77777777" w:rsidR="005A5145" w:rsidRDefault="005A5145" w:rsidP="005A5145">
      <w:pPr>
        <w:spacing w:line="360" w:lineRule="auto"/>
      </w:pPr>
      <w:r>
        <w:t xml:space="preserve">The risks associated with their use might not always be justified, despite a lack of engagement with professionals who, in many cases, may be able to assist in informing the risk assessment and the duty of care provisions required under the statute for younger people used by the police in this way. </w:t>
      </w:r>
    </w:p>
    <w:p w14:paraId="56BB7B1D" w14:textId="686615D8" w:rsidR="005A5145" w:rsidRDefault="005A5145" w:rsidP="005A5145">
      <w:pPr>
        <w:spacing w:line="360" w:lineRule="auto"/>
      </w:pPr>
      <w:r>
        <w:t>With the welfare of the Covert human intelligence source and safeguarding issues beyond their deployment and authorisation given the highest priority. Demonstrated an absence of negative life outcomes for those whose use had been authorised, which can lead to lifelong effects for that person (Chappell, B 2015)</w:t>
      </w:r>
    </w:p>
    <w:p w14:paraId="4716628C" w14:textId="77777777" w:rsidR="005A5145" w:rsidRDefault="005A5145" w:rsidP="005A5145">
      <w:pPr>
        <w:spacing w:line="360" w:lineRule="auto"/>
      </w:pPr>
      <w:r>
        <w:t xml:space="preserve">Overall, the use of covert human intelligence sources is essential for information gathering in the investigation of serious and organised crime as they offer an inside view of how an organised crime group works and even have the potential to save guard victims. </w:t>
      </w:r>
    </w:p>
    <w:p w14:paraId="6E24B9BC" w14:textId="77777777" w:rsidR="005A5145" w:rsidRDefault="005A5145" w:rsidP="005A5145">
      <w:pPr>
        <w:spacing w:line="360" w:lineRule="auto"/>
      </w:pPr>
      <w:r>
        <w:lastRenderedPageBreak/>
        <w:t xml:space="preserve">In conclusion, using covert human intelligence sources (CHIS) is a complex issue that raises ethical, legal, and human rights concerns. While CHIS can provide important information and help prevent and safeguard victims of serious crimes, their use must be carefully regulated and monitored to ensure that they do not engage in criminal activity and that their actions do not violate individuals' rights and privacy. </w:t>
      </w:r>
    </w:p>
    <w:p w14:paraId="11F658A9" w14:textId="77777777" w:rsidR="005A5145" w:rsidRDefault="005A5145" w:rsidP="005A5145"/>
    <w:p w14:paraId="60253D74" w14:textId="32B40C82" w:rsidR="005A5145" w:rsidRDefault="005A5145" w:rsidP="005A5145">
      <w:r>
        <w:t>word count 997</w:t>
      </w:r>
    </w:p>
    <w:p w14:paraId="5F06E835" w14:textId="77777777" w:rsidR="005A5145" w:rsidRDefault="005A5145" w:rsidP="005A5145"/>
    <w:p w14:paraId="13972982" w14:textId="3AE2A5E8" w:rsidR="00141169" w:rsidRDefault="005A5145" w:rsidP="00141169">
      <w:r>
        <w:t>TASK 4</w:t>
      </w:r>
      <w:r w:rsidR="004B7BD7">
        <w:t xml:space="preserve">- </w:t>
      </w:r>
      <w:r w:rsidR="004B7BD7" w:rsidRPr="004B7BD7">
        <w:t>evaluate the effectiveness of different theories and strategies for addressing antisocial behaviour</w:t>
      </w:r>
    </w:p>
    <w:p w14:paraId="517DB115" w14:textId="77777777" w:rsidR="00141169" w:rsidRDefault="00141169" w:rsidP="00141169">
      <w:pPr>
        <w:spacing w:line="360" w:lineRule="auto"/>
      </w:pPr>
      <w:r>
        <w:t xml:space="preserve">For this task, I will </w:t>
      </w:r>
      <w:bookmarkStart w:id="0" w:name="_Hlk151465423"/>
      <w:r>
        <w:t>evaluate the effectiveness of different theories and strategies for addressing antisocial behaviour</w:t>
      </w:r>
      <w:bookmarkEnd w:id="0"/>
      <w:r>
        <w:t xml:space="preserve"> and how they are used overall.</w:t>
      </w:r>
    </w:p>
    <w:p w14:paraId="299221D3" w14:textId="77777777" w:rsidR="00141169" w:rsidRDefault="00141169" w:rsidP="00141169">
      <w:pPr>
        <w:spacing w:line="360" w:lineRule="auto"/>
      </w:pPr>
      <w:r>
        <w:t>Antisocial behaviour refers to a range of activities that cause harm, alarm, or distress to others, such as public disorder, vandalism, and harassment. One of the crime prevention strategies used to address antisocial behaviour is the Community Safety Partnership model, which involves the collaboration of various agencies, including the police, local authorities, and community groups, to develop and implement prevention measures tailored to the specific needs of the community (Hough, 2005). This model has been found to be effective in reducing some forms of antisocial behaviour, such as youth disorder and street drinking (Casey et al., 2012).</w:t>
      </w:r>
    </w:p>
    <w:p w14:paraId="34BB07CA" w14:textId="07BE833E" w:rsidR="00141169" w:rsidRDefault="00141169" w:rsidP="00141169">
      <w:pPr>
        <w:spacing w:line="360" w:lineRule="auto"/>
      </w:pPr>
      <w:r>
        <w:t xml:space="preserve">One such strategy used to help deal with antisocial behaviour is the Antisocial Behaviour Review process, formerly known as Community Trigger meeting, which allows repeat victims of antisocial behaviour to have a more significant say in how their complaints are handled - allowing those who have made three separate complaints about antisocial behaviour in the last six months to have their cases reviewed. </w:t>
      </w:r>
      <w:r w:rsidR="000540DB">
        <w:t>(West</w:t>
      </w:r>
      <w:r>
        <w:t xml:space="preserve"> Yorkshire Police 2020)</w:t>
      </w:r>
    </w:p>
    <w:p w14:paraId="12439691" w14:textId="77777777" w:rsidR="00141169" w:rsidRDefault="00141169" w:rsidP="00141169">
      <w:pPr>
        <w:spacing w:line="360" w:lineRule="auto"/>
      </w:pPr>
      <w:r>
        <w:t xml:space="preserve">This entails meeting with the victim and reviewing problems such as the type of antisocial behaviour. This strategy offers many different benefits for solving the problem at hand. </w:t>
      </w:r>
    </w:p>
    <w:p w14:paraId="3A2780CC" w14:textId="77777777" w:rsidR="00141169" w:rsidRDefault="00141169" w:rsidP="00141169">
      <w:pPr>
        <w:spacing w:line="360" w:lineRule="auto"/>
      </w:pPr>
      <w:r>
        <w:t xml:space="preserve">Firstly, the aim is to give victims and communities the right to request a review of their case and bring agencies together to take a joined-up, problem-solving approach to finding a solution. This would allow the victim to provide feedback on how other strategies have worked and how they feel the matter should be handled. It would also allow the victim to speak with other services and see how they can aid with the problem and how they can work alongside the police. </w:t>
      </w:r>
    </w:p>
    <w:p w14:paraId="3D348845" w14:textId="5400114A" w:rsidR="00141169" w:rsidRDefault="00141169" w:rsidP="00141169">
      <w:pPr>
        <w:spacing w:line="360" w:lineRule="auto"/>
      </w:pPr>
      <w:r>
        <w:lastRenderedPageBreak/>
        <w:t>Another added benefit of the case review is that it is simple to request a case review, making it easier for the victim to request one and not have to worry about delays in the process or worry about if they are been taken seriously as Agencies, including local authorities, the police, local health teams and registered providers of social housing have a duty to carry out a case review when someone requests one and their case meets a locally defined threshold. (Home Office 2020)</w:t>
      </w:r>
    </w:p>
    <w:p w14:paraId="235C9AEE" w14:textId="77777777" w:rsidR="00141169" w:rsidRDefault="00141169" w:rsidP="00141169">
      <w:pPr>
        <w:spacing w:line="360" w:lineRule="auto"/>
      </w:pPr>
    </w:p>
    <w:p w14:paraId="34F10E14" w14:textId="21A4340D" w:rsidR="00141169" w:rsidRDefault="00141169" w:rsidP="00141169">
      <w:pPr>
        <w:spacing w:line="360" w:lineRule="auto"/>
      </w:pPr>
      <w:r>
        <w:t>However, there are downsides to using a Community Trigger meeting, mainly the resources needed to hold the meeting. As stated above, several agencies will be present during a session and try to arrange a review, which can take time and delay the investigation into the problem. Moreover, investigating where the problems started and where they would finish would help clarify the issue; otherwise, resources would be misplaced or misused. (HOUGH 2005)</w:t>
      </w:r>
    </w:p>
    <w:p w14:paraId="1EB5ED9C" w14:textId="336DAD57" w:rsidR="00141169" w:rsidRDefault="00141169" w:rsidP="00141169">
      <w:pPr>
        <w:spacing w:line="360" w:lineRule="auto"/>
      </w:pPr>
      <w:r>
        <w:t>During the time before and after the review, the victim is considered to be particularly vulnerable, and the relevant bodies should consider whether additional practical and emotional support can be offered to the victim. (AVON AND SUMMERSET POLICE 2020)</w:t>
      </w:r>
    </w:p>
    <w:p w14:paraId="12D8F243" w14:textId="77777777" w:rsidR="00141169" w:rsidRDefault="00141169" w:rsidP="00141169">
      <w:pPr>
        <w:spacing w:line="360" w:lineRule="auto"/>
      </w:pPr>
      <w:r>
        <w:t xml:space="preserve">Mainly in cases in which the threshold for a case review is not met. Although the formal procedures will not be invoked, this provides an opportunity for the relevant bodies to review the case to determine whether more can be done. </w:t>
      </w:r>
    </w:p>
    <w:p w14:paraId="5A5F8D5C" w14:textId="4220B5B2" w:rsidR="00141169" w:rsidRDefault="00141169" w:rsidP="00141169">
      <w:pPr>
        <w:spacing w:line="360" w:lineRule="auto"/>
      </w:pPr>
      <w:r>
        <w:t>This can be seen as a negative from the victim's view as they have felt that not enough was being done to deal with the antisocial behaviour they have been dealing with and needed to have the case reviewed and have other agencies involved to find out then that the case does not meet the threshold to have a Community Trigger meeting hold and that there is not anything more that can be done or that they isn’t any alternative. (Home Office 2013)</w:t>
      </w:r>
    </w:p>
    <w:p w14:paraId="1D454ECC" w14:textId="77777777" w:rsidR="00141169" w:rsidRDefault="00141169" w:rsidP="00141169">
      <w:pPr>
        <w:spacing w:line="360" w:lineRule="auto"/>
      </w:pPr>
      <w:r>
        <w:t>Moving on from the use of Community Trigger meetings, another strategy used to deal with Antisocial behaviour is the use of a Community Protection Notice, known as CPO, which can be used to deal with ongoing problems or nuisances which are having a detrimental effect on the community's quality of life by targeting those responsible. (Home Office. 2023)</w:t>
      </w:r>
    </w:p>
    <w:p w14:paraId="3E55F873" w14:textId="77777777" w:rsidR="00141169" w:rsidRDefault="00141169" w:rsidP="00141169">
      <w:pPr>
        <w:spacing w:line="360" w:lineRule="auto"/>
      </w:pPr>
      <w:r>
        <w:t xml:space="preserve">Local police forces will need sufficient evidence to satisfy themselves that the behaviour in question is genuinely having a detrimental effect on others' quality of life in terms of the nuisance or harm that is being caused to others rather than simply having an effect on their day-to-day lives before they can use a Community Protection Notice. </w:t>
      </w:r>
    </w:p>
    <w:p w14:paraId="5C3E09C9" w14:textId="77777777" w:rsidR="00141169" w:rsidRDefault="00141169" w:rsidP="00141169">
      <w:pPr>
        <w:spacing w:line="360" w:lineRule="auto"/>
      </w:pPr>
      <w:r>
        <w:lastRenderedPageBreak/>
        <w:t>The use of a community protection order does have benefits. For example, it can be issued to people 16 and older, allowing police forces to use a less intrusive method to deal with younger people rather than arresting those who are causing antisocial behaviour in certain places. Moreover, after one has been issued, there is no time limit as to how long a person can be used with one.</w:t>
      </w:r>
    </w:p>
    <w:p w14:paraId="4F01BAE9" w14:textId="77777777" w:rsidR="00141169" w:rsidRDefault="00141169" w:rsidP="00141169">
      <w:pPr>
        <w:spacing w:line="360" w:lineRule="auto"/>
      </w:pPr>
      <w:r>
        <w:t>However, although a community protection order can significantly reduce antisocial behaviour, it can also greatly affect the young person who has the order, as studies have shown that the conditions set in the order can affect the young person due to having much of their freedom been limited such as who they can be with and what areas they are allowed in and at times this can push them further away from society and ensure the chance of criminal behaviour. (FURLONG 2016)</w:t>
      </w:r>
    </w:p>
    <w:p w14:paraId="27166688" w14:textId="2DD63500" w:rsidR="00141169" w:rsidRDefault="00141169" w:rsidP="00141169">
      <w:pPr>
        <w:spacing w:line="360" w:lineRule="auto"/>
      </w:pPr>
      <w:r>
        <w:t xml:space="preserve">Along the police being able to place certain conditions on the community protection order, such as preventing a person from being in a specific area or being at a set time, such as having a curfew and even not being in the same area as other people who have also been given a community protection order. </w:t>
      </w:r>
      <w:r w:rsidR="000540DB">
        <w:t>(Chartered</w:t>
      </w:r>
      <w:r>
        <w:t xml:space="preserve"> Institute of Environmental Health 2014)</w:t>
      </w:r>
    </w:p>
    <w:p w14:paraId="35E3692F" w14:textId="77777777" w:rsidR="00141169" w:rsidRDefault="00141169" w:rsidP="00141169">
      <w:pPr>
        <w:spacing w:line="360" w:lineRule="auto"/>
      </w:pPr>
      <w:r>
        <w:t>The conditions have substantial implications. If they are breached, for example, if the person is found in an area they are not supposed to be in, they are liable to be arrested and then can have the community protection order extended but form. Studies show this only sometimes helps the problem and, at times, can only be a short-term solution. (Sherman et al. 2007)</w:t>
      </w:r>
    </w:p>
    <w:p w14:paraId="6FDB6D1C" w14:textId="77777777" w:rsidR="00141169" w:rsidRDefault="00141169" w:rsidP="00141169">
      <w:pPr>
        <w:spacing w:line="360" w:lineRule="auto"/>
      </w:pPr>
      <w:r>
        <w:t>Overall, while these theories and strategies have been found to be effective in reducing certain forms of antisocial behaviour, they are not a panacea. The effectiveness of these strategies depends heavily on the specific context in which they are used, and further research is needed to evaluate their long-term effectiveness. However, using a joined-up, problem-solving approach to finding a solution, as seen in the CSP model and the Antisocial Behaviour Review process, effectively reduces antisocial behaviour.</w:t>
      </w:r>
    </w:p>
    <w:p w14:paraId="2C1655A7" w14:textId="20A814BB" w:rsidR="00141169" w:rsidRDefault="00141169" w:rsidP="00141169">
      <w:r>
        <w:t>word count 1087</w:t>
      </w:r>
    </w:p>
    <w:p w14:paraId="2DB41FE4" w14:textId="77777777" w:rsidR="005110EE" w:rsidRDefault="005110EE" w:rsidP="005110EE"/>
    <w:p w14:paraId="5DC0A45C" w14:textId="352E1BE2" w:rsidR="005110EE" w:rsidRDefault="005110EE" w:rsidP="005110EE">
      <w:r>
        <w:t xml:space="preserve">Bibliography </w:t>
      </w:r>
    </w:p>
    <w:p w14:paraId="7BEAF6E7" w14:textId="77777777" w:rsidR="00141169" w:rsidRDefault="00141169" w:rsidP="005110EE">
      <w:r>
        <w:t>Afful, I. (2018), "The impact of values, bias, culture and leadership on BME under-representation in the police service", International Journal of Emergency Services, Vol. 7 No. 1, pp. 32-59</w:t>
      </w:r>
    </w:p>
    <w:p w14:paraId="000EF947" w14:textId="7CBECF0D" w:rsidR="00141169" w:rsidRDefault="00141169" w:rsidP="005A5145">
      <w:r>
        <w:t xml:space="preserve">Alison, L., &amp; Crego, </w:t>
      </w:r>
      <w:r w:rsidR="000540DB">
        <w:t>J. (</w:t>
      </w:r>
      <w:r>
        <w:t>2008). Policing critical incidents: Leadership and critical incident management. P67-78</w:t>
      </w:r>
    </w:p>
    <w:p w14:paraId="597DC7EC" w14:textId="77777777" w:rsidR="00141169" w:rsidRDefault="00141169" w:rsidP="005A5145">
      <w:r>
        <w:t>Argyll-Bute. (2019). Roles and responsibilities of emergency responders. [Online]. Argyll-Bute. Available at: https://www.argyll-bute.gov.uk/my-council/civil-emergencies-and-contingencies/roles-and-responsibili [Accessed 13 September 2023].</w:t>
      </w:r>
    </w:p>
    <w:p w14:paraId="496B8C3E" w14:textId="77777777" w:rsidR="00141169" w:rsidRDefault="00141169" w:rsidP="00141169">
      <w:r>
        <w:lastRenderedPageBreak/>
        <w:t>AVON AND SUMMERSET POLICE. (2020). Request an Antisocial Behaviour (ASB) Case Review. [Online]. AVON AND SUMMERSET POLICE. Last Updated: MAY 2023. Available at: https://www.avonandsomerset.police.uk/report/asb-case-review/ [Accessed 12 October 2023].</w:t>
      </w:r>
    </w:p>
    <w:p w14:paraId="3DEFF007" w14:textId="2F32A5E8" w:rsidR="00141169" w:rsidRDefault="00141169" w:rsidP="005A5145">
      <w:r>
        <w:t xml:space="preserve">Brashers, D. </w:t>
      </w:r>
      <w:r w:rsidR="000540DB">
        <w:t>E. (</w:t>
      </w:r>
      <w:r>
        <w:t>2001</w:t>
      </w:r>
      <w:r w:rsidR="006D0A7C">
        <w:t>). Communication</w:t>
      </w:r>
      <w:r>
        <w:t xml:space="preserve"> and uncertainty </w:t>
      </w:r>
      <w:r w:rsidR="00092384">
        <w:t>management. Journal</w:t>
      </w:r>
      <w:r>
        <w:t xml:space="preserve"> of Communication, 51, 477–497.</w:t>
      </w:r>
    </w:p>
    <w:p w14:paraId="38D81DA7" w14:textId="77777777" w:rsidR="00141169" w:rsidRDefault="00141169" w:rsidP="005A5145">
      <w:r>
        <w:t>Case S, Haines K (2018) Transatlantic 'positive youth justice': Coherent movement or disparate critique? Crime Prevention and Community Safety 20(3): 208–222.</w:t>
      </w:r>
    </w:p>
    <w:p w14:paraId="55F652BA" w14:textId="5B9CF8FA" w:rsidR="00141169" w:rsidRDefault="00141169" w:rsidP="005A5145">
      <w:r>
        <w:t xml:space="preserve">Chappell, B. (2015). the use of juvenile covert human intelligence sources (CHIS) in England. Portsmouth: University of Portsmouth. </w:t>
      </w:r>
      <w:r w:rsidR="00100912">
        <w:t>P</w:t>
      </w:r>
      <w:r w:rsidR="000540DB">
        <w:t>p</w:t>
      </w:r>
      <w:r w:rsidR="00100912">
        <w:t xml:space="preserve"> </w:t>
      </w:r>
      <w:r>
        <w:t>40-57.</w:t>
      </w:r>
    </w:p>
    <w:p w14:paraId="65D09936" w14:textId="6F0F2445" w:rsidR="00141169" w:rsidRDefault="00141169" w:rsidP="00141169">
      <w:r>
        <w:t>Chartered Institute of Environmental Health. (2014). Guidance on the use of Community Protection Notices. Professional Practice. 1(1), pp</w:t>
      </w:r>
      <w:r w:rsidR="00395489">
        <w:t>9</w:t>
      </w:r>
      <w:r>
        <w:t>-10. [Online]. Available at: https://www.cieh.org/media/1238/guidance-on-the-use-of-community-protection-notices.pdf [Accessed 16 October 2023]</w:t>
      </w:r>
    </w:p>
    <w:p w14:paraId="0E929F30" w14:textId="77777777" w:rsidR="00141169" w:rsidRDefault="00141169" w:rsidP="005A5145">
      <w:r>
        <w:t>Civil Contingencies Secretariat. (2012). Emergency Response and Recovery. Non-statutory guidance accompanying the Civil Contingencies Act 200. 1(1), pp.p27-37. [Online]. Available at: https://assets.publishing.service.gov.uk/government/uploads/system/uploads/attachment_data/file/2534 [Accessed 13 September 2023].</w:t>
      </w:r>
    </w:p>
    <w:p w14:paraId="29F19D80" w14:textId="42F118DE" w:rsidR="00141169" w:rsidRDefault="00141169" w:rsidP="005110EE">
      <w:r>
        <w:t xml:space="preserve">College of Policing. (2021). Diversity, </w:t>
      </w:r>
      <w:r w:rsidR="006D0A7C">
        <w:t>equality,</w:t>
      </w:r>
      <w:r>
        <w:t xml:space="preserve"> and inclusion strategy 2021-2024. College of Policing. 1(1), pp.p1-10. [Online]. Available at: https://assets.college.police.uk/s3fs-public/2021-10/Diversity-equality-and-inclusion-strategy.pdf [Accessed 20 July 2023].</w:t>
      </w:r>
    </w:p>
    <w:p w14:paraId="3533FFA8" w14:textId="77777777" w:rsidR="00141169" w:rsidRDefault="00141169" w:rsidP="005110EE">
      <w:r>
        <w:t>College of Policing. (2022). Police Race Action Plan Improving policing for Black people. College of Policing. 1(1), pp.p32-40. [Online]. Available at: https://assets.college.police.uk/s3fs-public/Police-Race-Action-Plan.pdf [Accessed 24 July 2023].</w:t>
      </w:r>
    </w:p>
    <w:p w14:paraId="26E3A6CD" w14:textId="77777777" w:rsidR="00141169" w:rsidRDefault="00141169" w:rsidP="005110EE">
      <w:r>
        <w:t>COLVIN, R., 2015. Shared workplace experiences of lesbian and gay police officers in the United Kingdom. Policing, 38(2), pp. 333-349.</w:t>
      </w:r>
    </w:p>
    <w:p w14:paraId="2C644D0D" w14:textId="215857CC" w:rsidR="004B3F65" w:rsidRDefault="004B3F65" w:rsidP="005110EE">
      <w:r w:rsidRPr="004B3F65">
        <w:t xml:space="preserve">Crous, C. (2011). Managing covert human intelligence sources: Lessons for police commanders. Australasian Policing, 3(2), 12–15. </w:t>
      </w:r>
    </w:p>
    <w:p w14:paraId="0682C6FD" w14:textId="77777777" w:rsidR="00141169" w:rsidRDefault="00141169" w:rsidP="005110EE">
      <w:r>
        <w:t>Commission on Race and Ethnic Disparities. (2021). Commission on Race and Ethnic Disparities: The Report. 1 (1), pp. 24- 39. [Online]. Available at: https://assets.publishing.service.gov.uk/government/uploads/system/uploads/attachment_data/file/9745 [Accessed 24 July 2023].</w:t>
      </w:r>
    </w:p>
    <w:p w14:paraId="62189A72" w14:textId="77777777" w:rsidR="00141169" w:rsidRDefault="00141169" w:rsidP="00141169">
      <w:r>
        <w:t>FURLONG. (2016). Routledge Handbook of Youth and Young Adulthood. 2nd ed. New York: Routledge. pp.P237-245.</w:t>
      </w:r>
    </w:p>
    <w:p w14:paraId="64E9ECA4" w14:textId="77777777" w:rsidR="00141169" w:rsidRDefault="00141169" w:rsidP="005A5145">
      <w:r>
        <w:t>His Majesty's Inspectorate of Constabulary and Fire &amp; Rescue Services. (2018). Picking Up the Pieces. Policing and Mental Health. 1(1), pp.p47-52. [Online]. Available at: https://assets-hmicfrs.justiceinspectorates.gov.uk/uploads/policing-and-mental-health-picking-up-the [Accessed 13 September 2023].</w:t>
      </w:r>
    </w:p>
    <w:p w14:paraId="7D2838A0" w14:textId="77777777" w:rsidR="00141169" w:rsidRDefault="00141169" w:rsidP="005A5145">
      <w:r>
        <w:t>His Majesty's Inspectorate of Constabulary and Fire &amp; Rescue Services. (25 January 2023). Covert human intelligence source. [Online]. HMICFRS. Last Updated: 25 January 2023. Available at: https://www.justiceinspectorates.gov.uk/hmicfrs/glossary/covert-human-intelligence-source/ [Accessed 2 August 2023].</w:t>
      </w:r>
    </w:p>
    <w:p w14:paraId="0B11454B" w14:textId="22CEDDED" w:rsidR="00141169" w:rsidRDefault="00141169" w:rsidP="005A5145">
      <w:r>
        <w:lastRenderedPageBreak/>
        <w:t>Home office. (2000). Covert Human Intelligence Sources. Code of Practice. 1(1), p40-52. [Online]. Available at: https://assets.publishing.service.gov.uk/government/uploads/system/uploads/attachment_data/file/5140 [Accessed 2 August 2023</w:t>
      </w:r>
    </w:p>
    <w:p w14:paraId="309C08C4" w14:textId="77777777" w:rsidR="00141169" w:rsidRDefault="00141169" w:rsidP="00141169">
      <w:r>
        <w:t>Home Office. (2013). Summary report on the community trigger trials. Empowering Communities, Protecting Victims. 1(1), pp.p30-38. [Online]. Available at: https://assets.publishing.service.gov.uk/media/5a7c5dcae5274a7ee2566fb3/community-trigger-trials-rep [Accessed 13 October 2023].</w:t>
      </w:r>
    </w:p>
    <w:p w14:paraId="6D091BB8" w14:textId="77777777" w:rsidR="00141169" w:rsidRDefault="00141169" w:rsidP="005A5145">
      <w:r>
        <w:t>Home Office. (2018). Covert Human Intelligence Sources Bill. [Online]. Home Office. Available at: https://www.gov.uk/government/publications/covert-human-intelligence-sources-draft-code-of-practice/ [Accessed 4 August 2023].</w:t>
      </w:r>
    </w:p>
    <w:p w14:paraId="11795DDA" w14:textId="77777777" w:rsidR="00141169" w:rsidRDefault="00141169" w:rsidP="00141169">
      <w:r>
        <w:t>Home Office. (2020). Antisocial behaviour case review. [Online]. GOV.UK. Last Updated: 27 March 2023. Available at: https://www.gov.uk/guidance/anti-social-behaviour-asb-case-review-also-known-as-the-community-trigge [Accessed 12 October 2023</w:t>
      </w:r>
    </w:p>
    <w:p w14:paraId="78123F58" w14:textId="30651562" w:rsidR="00141169" w:rsidRDefault="00141169" w:rsidP="00141169">
      <w:r>
        <w:t>Home Office. (2023). Antisocial Behaviour, Crime and Policing Act 2014: Antisocial behaviour powers. Statutory guidance for frontline professionals. 2(1), p51-60. [Online]. Available at: https://assets.publishing.service.gov.uk/government/uploads/system/uploads/attachment_data/file/1146 [Accessed 13 October 2023].</w:t>
      </w:r>
    </w:p>
    <w:p w14:paraId="6F151A49" w14:textId="382F691F" w:rsidR="00141169" w:rsidRDefault="00141169" w:rsidP="005110EE">
      <w:r>
        <w:t xml:space="preserve">Independent Officer of Police Conduct. (2022). Equality, </w:t>
      </w:r>
      <w:r w:rsidR="006D0A7C">
        <w:t>diversity,</w:t>
      </w:r>
      <w:r>
        <w:t xml:space="preserve"> and inclusion strategy 2022-25. Independent Officer of Police Conduct. 1(1), pp.p2-14. [Online]. Available at: https://www.policeconduct.gov.uk/sites/default/files/Documents/Who-we-are/EDI/EDI_strategy_FINAL.pdf [Accessed 24 July 2023].</w:t>
      </w:r>
    </w:p>
    <w:p w14:paraId="179E6486" w14:textId="77777777" w:rsidR="00141169" w:rsidRDefault="00141169" w:rsidP="005A5145">
      <w:r>
        <w:t>JESIP. (2014). Report and Recommendations. Emergency Services Interoperability Research. 1(1), pp.p10-16. [Online]. Available at: https://www.jesip.org.uk/wp-content/uploads/2022/03/JESIP_Workforce_Survey_2_Full_.pdf [Accessed 13 September 2023].</w:t>
      </w:r>
    </w:p>
    <w:p w14:paraId="328321DA" w14:textId="77777777" w:rsidR="00141169" w:rsidRDefault="00141169" w:rsidP="005A5145">
      <w:r>
        <w:t>JESIP. (2016). JOINT DOCTRINE. The Interoperability Framework. 1(1), pp.p34-40. [Online]. Available at: https://www.jesip.org.uk/uploads/media/pdf/Joint_Doctrine_Draft_Edition_2.docx.pdf [Accessed 13 September 2023].</w:t>
      </w:r>
    </w:p>
    <w:p w14:paraId="6BB6725F" w14:textId="77777777" w:rsidR="00141169" w:rsidRDefault="00141169" w:rsidP="005A5145">
      <w:r>
        <w:t>John, G., James, E. (2022). Authorising Crime: The Covert Human Intelligence Sources. LONDON: The Modern Law Review. pp.P1218-1244.</w:t>
      </w:r>
    </w:p>
    <w:p w14:paraId="514E9FF8" w14:textId="77777777" w:rsidR="00141169" w:rsidRDefault="00141169" w:rsidP="005A5145">
      <w:r>
        <w:t>LONDON RESILIENCE PARTNERSHIP. (2021). Major Incident Principles. London Emergency Services Liaison Panel. 1(1), pp.p58-67. [Online]. Available at: https://www.london.gov.uk/sites/default/files/leslp_mip_v11.5_dec_2021_-_public.pdf [Accessed 30 September 2023].</w:t>
      </w:r>
    </w:p>
    <w:p w14:paraId="505BD7DE" w14:textId="77777777" w:rsidR="00141169" w:rsidRDefault="00141169" w:rsidP="00141169">
      <w:r>
        <w:t>M, HOUGH. (2005). Antisocial behaviour strategies finding a balance. LONDON: ROWNTREE. pp.P25-29.</w:t>
      </w:r>
    </w:p>
    <w:p w14:paraId="6E753344" w14:textId="458E85D7" w:rsidR="00141169" w:rsidRDefault="00141169" w:rsidP="005A5145">
      <w:r>
        <w:t>Manchester Arena inquiry. (2015). The Joint Doctrine. Volume 2: Emergency Response. 2(1</w:t>
      </w:r>
      <w:r w:rsidR="00010419">
        <w:t>), p</w:t>
      </w:r>
      <w:r>
        <w:t>34-38. [Online]. Available at: https://manchesterarenainquiry.org.uk/report-volume-two/part-11-framework-for-emergency-preparedness [Accessed 13 September 2023].</w:t>
      </w:r>
    </w:p>
    <w:p w14:paraId="213CACD1" w14:textId="77777777" w:rsidR="00141169" w:rsidRDefault="00141169" w:rsidP="005110EE">
      <w:r>
        <w:t>Miller, J., &amp; Alexandrou, B. (2016b). The College of Policing stop and search training experiment: An impact evaluation. Report appendices. Ryton-on-Dunsmore: College of Policing.</w:t>
      </w:r>
    </w:p>
    <w:p w14:paraId="2FBEA42B" w14:textId="77777777" w:rsidR="00141169" w:rsidRDefault="00141169" w:rsidP="005110EE">
      <w:r>
        <w:lastRenderedPageBreak/>
        <w:t>Police and Crime Commissioner. (2019). JOINT EQUALITY PLAN 2019-2023. Police and Crime Commissioner. 1(1), pp.p4-18. [Online]. Available at: https://www.southwalescommissioner.org.uk/media/1735/joint_equality_plan_2019-2023_v6.pdf [Accessed 18 July 2023].</w:t>
      </w:r>
    </w:p>
    <w:p w14:paraId="3FACE215" w14:textId="77777777" w:rsidR="00141169" w:rsidRDefault="00141169" w:rsidP="005110EE">
      <w:r>
        <w:t>Police and Crime Commissioner. (2021). JOINT RACE EQUALITY PLAN 2021-2025. Police and Crime Commissioner.. 1(1), pp.p2-12. [Online]. Available at: https://www.south-wales.police.uk/SysSiteAssets/media/downloads/south-wales/about-us/joint-equality- [Accessed 15 July 2023].</w:t>
      </w:r>
    </w:p>
    <w:p w14:paraId="666A1F03" w14:textId="6D66594C" w:rsidR="00141169" w:rsidRDefault="00141169" w:rsidP="005A5145">
      <w:r>
        <w:t xml:space="preserve">Raymond, A. (2023). Children as Covert Human Intelligence Sources: Spies First, Children Second. London: Youth </w:t>
      </w:r>
      <w:r w:rsidR="00010419">
        <w:t>Justice. p</w:t>
      </w:r>
      <w:r>
        <w:t>34-40.</w:t>
      </w:r>
    </w:p>
    <w:p w14:paraId="103498B3" w14:textId="77777777" w:rsidR="00141169" w:rsidRDefault="00141169" w:rsidP="005A5145">
      <w:r>
        <w:t>Sarah, T. (30 September 2021). Covert human intelligence sources: criminal conduct. [Online]. House Of Lords. Available at: https://lordslibrary.parliament.uk/covert-human-intelligence-sources-criminal-conduct/#heading-1 [Accessed 2 August 2023].</w:t>
      </w:r>
    </w:p>
    <w:p w14:paraId="4CD2C000" w14:textId="77777777" w:rsidR="00141169" w:rsidRDefault="00141169" w:rsidP="00141169">
      <w:r>
        <w:t>Sherman, LW, Strang, H, Barnes, G, Bennett, S, Angel, CM, Newbury-Birch, D, Woods, DJ &amp; Gill, CE 2007, Restorative justice: the evidence. The Smith Institute.</w:t>
      </w:r>
    </w:p>
    <w:p w14:paraId="4C1CA9F3" w14:textId="77777777" w:rsidR="00141169" w:rsidRDefault="00141169" w:rsidP="005A5145">
      <w:r>
        <w:t>The College of Policing. (2013). Definitions. [Online]. The College of Policing. Last Updated: 6 August 2018. Available at: https://www.college.police.uk/app/civil-emergencies/disaster-victim-identification/definitions [Accessed 13 September 2023].</w:t>
      </w:r>
    </w:p>
    <w:p w14:paraId="02B0A2FA" w14:textId="3BF226C0" w:rsidR="00141169" w:rsidRDefault="00141169" w:rsidP="005110EE">
      <w:r>
        <w:t>The Commissioner of Police of the Metropolis, Cressida Dick. (2017). Inclusion and Diversity Strategy 2017 – 2021. Metropolitan Police Service. 1(1</w:t>
      </w:r>
      <w:r w:rsidR="00010419">
        <w:t>), p</w:t>
      </w:r>
      <w:r>
        <w:t>3-23. [Online]. Available at: https://www.met.police.uk/SysSiteAssets/foi-media/metropolitan-police/policies/inclusion-strategy-20 [Accessed 21 July 2023].</w:t>
      </w:r>
    </w:p>
    <w:p w14:paraId="4D69002D" w14:textId="77777777" w:rsidR="00141169" w:rsidRDefault="00141169" w:rsidP="005A5145">
      <w:r>
        <w:t>The Police Service of Scotland. (2017). Covert Human Intelligence Sources. Code of Practice. 1(1), pp.p24-36. [Online]. Available at: https://consult.gov.scot/organised-crime-and-police-powers-unit/regulation-of-investigatory-powers-s [Accessed 12 August 2023].</w:t>
      </w:r>
    </w:p>
    <w:p w14:paraId="50389065" w14:textId="77777777" w:rsidR="00141169" w:rsidRDefault="00141169" w:rsidP="00141169">
      <w:r>
        <w:t>West Yorkshire Police. (2020). Antisocial Behaviour Reviews. [Online]. West Yorkshire Police. Last Updated: 18 March 2021. Available at: https://www.westyorkshire.police.uk/advice/anti-social-behaviour/anti-social-behaviour-reviews [Accessed 11 October 2023].</w:t>
      </w:r>
    </w:p>
    <w:sectPr w:rsidR="00141169" w:rsidSect="005110EE">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B0829" w14:textId="77777777" w:rsidR="00141169" w:rsidRDefault="00141169" w:rsidP="00141169">
      <w:pPr>
        <w:spacing w:after="0" w:line="240" w:lineRule="auto"/>
      </w:pPr>
      <w:r>
        <w:separator/>
      </w:r>
    </w:p>
  </w:endnote>
  <w:endnote w:type="continuationSeparator" w:id="0">
    <w:p w14:paraId="705C615D" w14:textId="77777777" w:rsidR="00141169" w:rsidRDefault="00141169" w:rsidP="00141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282847" w14:textId="77777777" w:rsidR="00141169" w:rsidRDefault="001411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F8500" w14:textId="77777777" w:rsidR="00141169" w:rsidRDefault="001411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D99E8" w14:textId="77777777" w:rsidR="00141169" w:rsidRDefault="001411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AD705" w14:textId="77777777" w:rsidR="00141169" w:rsidRDefault="00141169" w:rsidP="00141169">
      <w:pPr>
        <w:spacing w:after="0" w:line="240" w:lineRule="auto"/>
      </w:pPr>
      <w:r>
        <w:separator/>
      </w:r>
    </w:p>
  </w:footnote>
  <w:footnote w:type="continuationSeparator" w:id="0">
    <w:p w14:paraId="470A94BA" w14:textId="77777777" w:rsidR="00141169" w:rsidRDefault="00141169" w:rsidP="00141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FE637" w14:textId="77777777" w:rsidR="00141169" w:rsidRDefault="001411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8992196"/>
      <w:docPartObj>
        <w:docPartGallery w:val="Page Numbers (Top of Page)"/>
        <w:docPartUnique/>
      </w:docPartObj>
    </w:sdtPr>
    <w:sdtEndPr>
      <w:rPr>
        <w:noProof/>
      </w:rPr>
    </w:sdtEndPr>
    <w:sdtContent>
      <w:p w14:paraId="727651D7" w14:textId="54472A62" w:rsidR="00141169" w:rsidRDefault="00141169">
        <w:pPr>
          <w:pStyle w:val="Header"/>
        </w:pPr>
        <w:r>
          <w:fldChar w:fldCharType="begin"/>
        </w:r>
        <w:r>
          <w:instrText xml:space="preserve"> PAGE   \* MERGEFORMAT </w:instrText>
        </w:r>
        <w:r>
          <w:fldChar w:fldCharType="separate"/>
        </w:r>
        <w:r>
          <w:rPr>
            <w:noProof/>
          </w:rPr>
          <w:t>2</w:t>
        </w:r>
        <w:r>
          <w:rPr>
            <w:noProof/>
          </w:rPr>
          <w:fldChar w:fldCharType="end"/>
        </w:r>
      </w:p>
    </w:sdtContent>
  </w:sdt>
  <w:p w14:paraId="6420656F" w14:textId="77777777" w:rsidR="00141169" w:rsidRDefault="001411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1BEBC" w14:textId="77777777" w:rsidR="00141169" w:rsidRDefault="001411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10EE"/>
    <w:rsid w:val="00003874"/>
    <w:rsid w:val="00010419"/>
    <w:rsid w:val="000540DB"/>
    <w:rsid w:val="00092384"/>
    <w:rsid w:val="000B0710"/>
    <w:rsid w:val="00100912"/>
    <w:rsid w:val="00141169"/>
    <w:rsid w:val="00395489"/>
    <w:rsid w:val="00467E06"/>
    <w:rsid w:val="004A52BD"/>
    <w:rsid w:val="004B3EE1"/>
    <w:rsid w:val="004B3F65"/>
    <w:rsid w:val="004B7BD7"/>
    <w:rsid w:val="005110EE"/>
    <w:rsid w:val="0057661A"/>
    <w:rsid w:val="005A5145"/>
    <w:rsid w:val="005D1438"/>
    <w:rsid w:val="006257BE"/>
    <w:rsid w:val="006D0A7C"/>
    <w:rsid w:val="00717D63"/>
    <w:rsid w:val="00732808"/>
    <w:rsid w:val="007D08FB"/>
    <w:rsid w:val="00B01D9C"/>
    <w:rsid w:val="00C07C82"/>
    <w:rsid w:val="00F6382C"/>
    <w:rsid w:val="00F651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5336EF33"/>
  <w15:chartTrackingRefBased/>
  <w15:docId w15:val="{B36BD05A-5C0B-4439-8F33-C1D38051A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10E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5110EE"/>
    <w:rPr>
      <w:rFonts w:eastAsiaTheme="minorEastAsia"/>
      <w:kern w:val="0"/>
      <w:lang w:val="en-US"/>
    </w:rPr>
  </w:style>
  <w:style w:type="paragraph" w:styleId="Header">
    <w:name w:val="header"/>
    <w:basedOn w:val="Normal"/>
    <w:link w:val="HeaderChar"/>
    <w:uiPriority w:val="99"/>
    <w:unhideWhenUsed/>
    <w:rsid w:val="00141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169"/>
  </w:style>
  <w:style w:type="paragraph" w:styleId="Footer">
    <w:name w:val="footer"/>
    <w:basedOn w:val="Normal"/>
    <w:link w:val="FooterChar"/>
    <w:uiPriority w:val="99"/>
    <w:unhideWhenUsed/>
    <w:rsid w:val="00141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1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2023-11-27T00:00:00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5105</Words>
  <Characters>29104</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student number 2131768</Company>
  <LinksUpToDate>false</LinksUpToDate>
  <CharactersWithSpaces>34141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Matthews, Sean</dc:creator>
  <cp:keywords/>
  <dc:description/>
  <cp:lastModifiedBy>Matthews,Sean swp8271</cp:lastModifiedBy>
  <cp:revision>4</cp:revision>
  <dcterms:created xsi:type="dcterms:W3CDTF">2023-11-22T14:17:00Z</dcterms:created>
  <dcterms:modified xsi:type="dcterms:W3CDTF">2023-11-22T14:21:00Z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2023-11-21T13:20:49Z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a6ba1836-3b8d-49a9-a863-ce7a8b3b93ea</vt:lpwstr>
  </property>
  <property fmtid="{D5CDD505-2E9C-101B-9397-08002B2CF9AE}" pid="8" name="MSIP_Label_66cf8fe5-b7b7-4df7-b38d-1c61ac2f6639_ContentBits">
    <vt:lpwstr>0</vt:lpwstr>
  </property>
</Properties>
</file>