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622C" w:rsidRDefault="00FE5F37" w:rsidP="00B57AA0">
      <w:pPr>
        <w:pStyle w:val="awTB00chTitle"/>
        <w:keepNext/>
        <w:spacing w:before="720" w:after="0"/>
        <w:rPr>
          <w:szCs w:val="36"/>
        </w:rPr>
      </w:pPr>
      <w:r>
        <w:rPr>
          <w:sz w:val="44"/>
        </w:rPr>
        <w:t xml:space="preserve">Chapter </w:t>
      </w:r>
      <w:r w:rsidR="00C40BF4">
        <w:rPr>
          <w:sz w:val="44"/>
        </w:rPr>
        <w:t>6</w:t>
      </w:r>
      <w:r>
        <w:rPr>
          <w:sz w:val="32"/>
        </w:rPr>
        <w:br/>
      </w:r>
      <w:r>
        <w:rPr>
          <w:smallCaps/>
          <w:szCs w:val="36"/>
        </w:rPr>
        <w:t>I</w:t>
      </w:r>
      <w:r>
        <w:rPr>
          <w:szCs w:val="36"/>
        </w:rPr>
        <w:t>nternational Parity Conditions</w:t>
      </w:r>
    </w:p>
    <w:p w:rsidR="002C40F9" w:rsidRDefault="002C40F9" w:rsidP="002C40F9">
      <w:pPr>
        <w:rPr>
          <w:rFonts w:ascii="Helvetica" w:eastAsia="Calibri" w:hAnsi="Helvetica"/>
          <w:sz w:val="28"/>
          <w:szCs w:val="28"/>
        </w:rPr>
      </w:pPr>
    </w:p>
    <w:p w:rsidR="002C40F9" w:rsidRPr="0090254E" w:rsidRDefault="002C40F9" w:rsidP="002C40F9">
      <w:pPr>
        <w:rPr>
          <w:rFonts w:ascii="Helvetica" w:eastAsia="Calibri" w:hAnsi="Helvetica"/>
          <w:b/>
          <w:sz w:val="28"/>
          <w:szCs w:val="28"/>
        </w:rPr>
      </w:pP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Learning Objectives</w:t>
      </w:r>
    </w:p>
    <w:p w:rsidR="002C40F9" w:rsidRPr="002C40F9" w:rsidRDefault="002C40F9" w:rsidP="007E6D7B">
      <w:pPr>
        <w:numPr>
          <w:ilvl w:val="0"/>
          <w:numId w:val="30"/>
        </w:numPr>
        <w:spacing w:after="160" w:line="259" w:lineRule="auto"/>
        <w:contextualSpacing/>
        <w:rPr>
          <w:rFonts w:ascii="Times" w:eastAsia="Calibri" w:hAnsi="Times" w:cs="Times"/>
          <w:sz w:val="24"/>
          <w:szCs w:val="24"/>
        </w:rPr>
      </w:pPr>
      <w:r w:rsidRPr="002C40F9">
        <w:rPr>
          <w:rFonts w:ascii="Times" w:eastAsia="Calibri" w:hAnsi="Times" w:cs="Times"/>
          <w:sz w:val="24"/>
          <w:szCs w:val="24"/>
        </w:rPr>
        <w:t>Examine how price levels and price level changes (inflation) in countries determine the exchange rate at which</w:t>
      </w:r>
      <w:r>
        <w:rPr>
          <w:rFonts w:ascii="Times" w:eastAsia="Calibri" w:hAnsi="Times" w:cs="Times"/>
          <w:sz w:val="24"/>
          <w:szCs w:val="24"/>
        </w:rPr>
        <w:t xml:space="preserve"> </w:t>
      </w:r>
      <w:r w:rsidRPr="002C40F9">
        <w:rPr>
          <w:rFonts w:ascii="Times" w:eastAsia="Calibri" w:hAnsi="Times" w:cs="Times"/>
          <w:sz w:val="24"/>
          <w:szCs w:val="24"/>
        </w:rPr>
        <w:t>their currencies are traded.</w:t>
      </w:r>
    </w:p>
    <w:p w:rsidR="002C40F9" w:rsidRPr="002C40F9" w:rsidRDefault="002C40F9" w:rsidP="002C40F9">
      <w:pPr>
        <w:numPr>
          <w:ilvl w:val="0"/>
          <w:numId w:val="30"/>
        </w:numPr>
        <w:spacing w:after="160" w:line="259" w:lineRule="auto"/>
        <w:contextualSpacing/>
        <w:rPr>
          <w:rFonts w:ascii="Times" w:eastAsia="Calibri" w:hAnsi="Times" w:cs="Times"/>
          <w:sz w:val="24"/>
          <w:szCs w:val="24"/>
        </w:rPr>
      </w:pPr>
      <w:r w:rsidRPr="002C40F9">
        <w:rPr>
          <w:rFonts w:ascii="Times" w:eastAsia="Calibri" w:hAnsi="Times" w:cs="Times"/>
          <w:sz w:val="24"/>
          <w:szCs w:val="24"/>
        </w:rPr>
        <w:t>Show how interest rates reflect inflationary forces within each country and currency</w:t>
      </w:r>
    </w:p>
    <w:p w:rsidR="002C40F9" w:rsidRPr="002C40F9" w:rsidRDefault="002C40F9" w:rsidP="008D4A59">
      <w:pPr>
        <w:numPr>
          <w:ilvl w:val="0"/>
          <w:numId w:val="30"/>
        </w:numPr>
        <w:spacing w:after="160" w:line="259" w:lineRule="auto"/>
        <w:contextualSpacing/>
        <w:rPr>
          <w:rFonts w:ascii="Times" w:eastAsia="Calibri" w:hAnsi="Times" w:cs="Times"/>
          <w:sz w:val="24"/>
          <w:szCs w:val="24"/>
        </w:rPr>
      </w:pPr>
      <w:r w:rsidRPr="002C40F9">
        <w:rPr>
          <w:rFonts w:ascii="Times" w:eastAsia="Calibri" w:hAnsi="Times" w:cs="Times"/>
          <w:sz w:val="24"/>
          <w:szCs w:val="24"/>
        </w:rPr>
        <w:t>Explain how forward markets for currencies reflect expectations held by market participants about the future spot</w:t>
      </w:r>
      <w:r>
        <w:rPr>
          <w:rFonts w:ascii="Times" w:eastAsia="Calibri" w:hAnsi="Times" w:cs="Times"/>
          <w:sz w:val="24"/>
          <w:szCs w:val="24"/>
        </w:rPr>
        <w:t xml:space="preserve"> </w:t>
      </w:r>
      <w:r w:rsidRPr="002C40F9">
        <w:rPr>
          <w:rFonts w:ascii="Times" w:eastAsia="Calibri" w:hAnsi="Times" w:cs="Times"/>
          <w:sz w:val="24"/>
          <w:szCs w:val="24"/>
        </w:rPr>
        <w:t>exchange rate</w:t>
      </w:r>
    </w:p>
    <w:p w:rsidR="002C40F9" w:rsidRPr="002C40F9" w:rsidRDefault="002C40F9" w:rsidP="00716883">
      <w:pPr>
        <w:numPr>
          <w:ilvl w:val="0"/>
          <w:numId w:val="30"/>
        </w:numPr>
        <w:spacing w:after="160" w:line="259" w:lineRule="auto"/>
        <w:contextualSpacing/>
        <w:rPr>
          <w:rFonts w:ascii="Times" w:eastAsia="Calibri" w:hAnsi="Times" w:cs="Times"/>
          <w:sz w:val="24"/>
          <w:szCs w:val="24"/>
        </w:rPr>
      </w:pPr>
      <w:r w:rsidRPr="002C40F9">
        <w:rPr>
          <w:rFonts w:ascii="Times" w:eastAsia="Calibri" w:hAnsi="Times" w:cs="Times"/>
          <w:sz w:val="24"/>
          <w:szCs w:val="24"/>
        </w:rPr>
        <w:t>Analyze how, in equilibrium, the spot and forward currency markets are aligned with interest differentials and</w:t>
      </w:r>
      <w:r>
        <w:rPr>
          <w:rFonts w:ascii="Times" w:eastAsia="Calibri" w:hAnsi="Times" w:cs="Times"/>
          <w:sz w:val="24"/>
          <w:szCs w:val="24"/>
        </w:rPr>
        <w:t xml:space="preserve"> </w:t>
      </w:r>
      <w:r w:rsidRPr="002C40F9">
        <w:rPr>
          <w:rFonts w:ascii="Times" w:eastAsia="Calibri" w:hAnsi="Times" w:cs="Times"/>
          <w:sz w:val="24"/>
          <w:szCs w:val="24"/>
        </w:rPr>
        <w:t>differentials in expected inflation</w:t>
      </w:r>
    </w:p>
    <w:p w:rsidR="002C40F9" w:rsidRPr="0090254E" w:rsidRDefault="002C40F9" w:rsidP="002C40F9">
      <w:pPr>
        <w:spacing w:after="160" w:line="259" w:lineRule="auto"/>
        <w:ind w:left="720"/>
        <w:contextualSpacing/>
        <w:rPr>
          <w:rFonts w:ascii="Times" w:eastAsia="Calibri" w:hAnsi="Times" w:cs="Times"/>
          <w:sz w:val="24"/>
          <w:szCs w:val="24"/>
        </w:rPr>
      </w:pPr>
    </w:p>
    <w:p w:rsidR="002C40F9" w:rsidRPr="0090254E" w:rsidRDefault="002C40F9" w:rsidP="002C40F9">
      <w:pPr>
        <w:spacing w:after="160" w:line="259" w:lineRule="auto"/>
        <w:rPr>
          <w:rFonts w:ascii="Calibri" w:eastAsia="Calibri" w:hAnsi="Calibri"/>
          <w:sz w:val="22"/>
          <w:szCs w:val="22"/>
        </w:rPr>
      </w:pP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Chapter Outline</w:t>
      </w:r>
      <w:r w:rsidRPr="0090254E">
        <w:rPr>
          <w:rFonts w:ascii="Calibri" w:eastAsia="Calibri" w:hAnsi="Calibri"/>
          <w:sz w:val="22"/>
          <w:szCs w:val="22"/>
        </w:rPr>
        <w:t xml:space="preserve"> </w:t>
      </w:r>
    </w:p>
    <w:p w:rsidR="002C40F9" w:rsidRDefault="002C40F9" w:rsidP="006E7CB1">
      <w:pPr>
        <w:pStyle w:val="OutlineI"/>
      </w:pPr>
      <w:r>
        <w:t>Prices and Exchange Rates</w:t>
      </w:r>
    </w:p>
    <w:p w:rsidR="002C40F9" w:rsidRDefault="002C40F9" w:rsidP="006E7CB1">
      <w:pPr>
        <w:pStyle w:val="OutlineA"/>
      </w:pPr>
      <w:r>
        <w:t>Purchasing Power Parity and the Law of One Price</w:t>
      </w:r>
    </w:p>
    <w:p w:rsidR="002C40F9" w:rsidRDefault="002C40F9" w:rsidP="006E7CB1">
      <w:pPr>
        <w:pStyle w:val="OutlineA"/>
      </w:pPr>
      <w:r>
        <w:t>Relative Purchasing Power Parity</w:t>
      </w:r>
    </w:p>
    <w:p w:rsidR="002C40F9" w:rsidRDefault="002C40F9" w:rsidP="006E7CB1">
      <w:pPr>
        <w:pStyle w:val="OutlineA"/>
      </w:pPr>
      <w:r>
        <w:t>Empirical Tests of Purchasing Power Parity</w:t>
      </w:r>
    </w:p>
    <w:p w:rsidR="002C40F9" w:rsidRDefault="002C40F9" w:rsidP="006E7CB1">
      <w:pPr>
        <w:pStyle w:val="OutlineA"/>
      </w:pPr>
      <w:r>
        <w:t>Exchange Rate Indices: Real and Nominal</w:t>
      </w:r>
      <w:bookmarkStart w:id="0" w:name="_GoBack"/>
      <w:bookmarkEnd w:id="0"/>
    </w:p>
    <w:p w:rsidR="002C40F9" w:rsidRDefault="002C40F9" w:rsidP="006E7CB1">
      <w:pPr>
        <w:pStyle w:val="OutlineA"/>
      </w:pPr>
      <w:r>
        <w:t>Exchange Rate Pass-Through</w:t>
      </w:r>
    </w:p>
    <w:p w:rsidR="002C40F9" w:rsidRDefault="002C40F9" w:rsidP="006E7CB1">
      <w:pPr>
        <w:pStyle w:val="OutlineI"/>
      </w:pPr>
      <w:r>
        <w:t>Interest Rates and Exchange Rates</w:t>
      </w:r>
    </w:p>
    <w:p w:rsidR="002C40F9" w:rsidRDefault="002C40F9" w:rsidP="006E7CB1">
      <w:pPr>
        <w:pStyle w:val="OutlineA"/>
        <w:numPr>
          <w:ilvl w:val="0"/>
          <w:numId w:val="35"/>
        </w:numPr>
      </w:pPr>
      <w:r>
        <w:t>The Fisher Effect</w:t>
      </w:r>
    </w:p>
    <w:p w:rsidR="002C40F9" w:rsidRDefault="002C40F9" w:rsidP="006E7CB1">
      <w:pPr>
        <w:pStyle w:val="OutlineA"/>
      </w:pPr>
      <w:r>
        <w:t>The International Fisher Effect</w:t>
      </w:r>
    </w:p>
    <w:p w:rsidR="002C40F9" w:rsidRDefault="002C40F9" w:rsidP="006E7CB1">
      <w:pPr>
        <w:pStyle w:val="OutlineA"/>
      </w:pPr>
      <w:r>
        <w:t>The Forward Rate</w:t>
      </w:r>
    </w:p>
    <w:p w:rsidR="002C40F9" w:rsidRDefault="002C40F9" w:rsidP="006E7CB1">
      <w:pPr>
        <w:pStyle w:val="OutlineA"/>
      </w:pPr>
      <w:r>
        <w:t>Interest Rate Parity (IRP)</w:t>
      </w:r>
    </w:p>
    <w:p w:rsidR="002C40F9" w:rsidRDefault="002C40F9" w:rsidP="006E7CB1">
      <w:pPr>
        <w:pStyle w:val="OutlineA"/>
      </w:pPr>
      <w:r>
        <w:t>Covered Interest Arbitrage (CIA)</w:t>
      </w:r>
    </w:p>
    <w:p w:rsidR="00E3604D" w:rsidRDefault="00E3604D" w:rsidP="006E7CB1">
      <w:pPr>
        <w:pStyle w:val="Outlline1"/>
      </w:pPr>
      <w:r>
        <w:t>Rule of Thumb</w:t>
      </w:r>
    </w:p>
    <w:p w:rsidR="002C40F9" w:rsidRDefault="002C40F9" w:rsidP="006E7CB1">
      <w:pPr>
        <w:pStyle w:val="OutlineA"/>
      </w:pPr>
      <w:r>
        <w:t>Uncovered Interest Arbitrage (UIA)</w:t>
      </w:r>
    </w:p>
    <w:p w:rsidR="002C40F9" w:rsidRDefault="002C40F9" w:rsidP="006E7CB1">
      <w:pPr>
        <w:pStyle w:val="OutlineA"/>
      </w:pPr>
      <w:r>
        <w:t xml:space="preserve">Equilibrium </w:t>
      </w:r>
      <w:r w:rsidR="0076633E">
        <w:t>b</w:t>
      </w:r>
      <w:r>
        <w:t>etween Interest Rates and Exchange Rates</w:t>
      </w:r>
    </w:p>
    <w:p w:rsidR="002C40F9" w:rsidRDefault="002C40F9" w:rsidP="006E7CB1">
      <w:pPr>
        <w:pStyle w:val="OutlineI"/>
      </w:pPr>
      <w:r>
        <w:t>Forward Rates as an Unbiased Predictor of the Future Spot Rate</w:t>
      </w:r>
    </w:p>
    <w:p w:rsidR="002C40F9" w:rsidRDefault="002C40F9" w:rsidP="006E7CB1">
      <w:pPr>
        <w:pStyle w:val="OutlineI"/>
      </w:pPr>
      <w:r>
        <w:t>Prices, Interest Rates, and Exchange Rates in Equilibrium</w:t>
      </w:r>
    </w:p>
    <w:p w:rsidR="00E3604D" w:rsidRDefault="00E3604D" w:rsidP="006E7CB1">
      <w:pPr>
        <w:pStyle w:val="OutlineA"/>
        <w:numPr>
          <w:ilvl w:val="0"/>
          <w:numId w:val="36"/>
        </w:numPr>
      </w:pPr>
      <w:r w:rsidRPr="00E3604D">
        <w:t>Relation A</w:t>
      </w:r>
      <w:r>
        <w:t>: Purchasing Power Parity (PPP)</w:t>
      </w:r>
    </w:p>
    <w:p w:rsidR="00E3604D" w:rsidRDefault="00E3604D" w:rsidP="006E7CB1">
      <w:pPr>
        <w:pStyle w:val="OutlineA"/>
      </w:pPr>
      <w:r w:rsidRPr="00E3604D">
        <w:t>Relation B: The Fisher Effect</w:t>
      </w:r>
    </w:p>
    <w:p w:rsidR="00E3604D" w:rsidRDefault="00E3604D" w:rsidP="006E7CB1">
      <w:pPr>
        <w:pStyle w:val="OutlineA"/>
      </w:pPr>
      <w:r w:rsidRPr="00E3604D">
        <w:t>Relation C: International Fisher Effect</w:t>
      </w:r>
    </w:p>
    <w:p w:rsidR="00E3604D" w:rsidRDefault="00E3604D" w:rsidP="006E7CB1">
      <w:pPr>
        <w:pStyle w:val="OutlineA"/>
      </w:pPr>
      <w:r w:rsidRPr="00E3604D">
        <w:t>Relation D: Interest Rate Parity (IRP)</w:t>
      </w:r>
    </w:p>
    <w:p w:rsidR="00E3604D" w:rsidRPr="002C40F9" w:rsidRDefault="00E3604D" w:rsidP="006E7CB1">
      <w:pPr>
        <w:pStyle w:val="OutlineA"/>
      </w:pPr>
      <w:r w:rsidRPr="00E3604D">
        <w:t>Relation E: Forward Rate as an Unbiased Predictor</w:t>
      </w:r>
    </w:p>
    <w:p w:rsidR="002C40F9" w:rsidRPr="002C40F9" w:rsidRDefault="002C40F9" w:rsidP="002C40F9"/>
    <w:p w:rsidR="0095622C" w:rsidRDefault="00FE5F37">
      <w:pPr>
        <w:pStyle w:val="awTB01questionHead"/>
        <w:numPr>
          <w:ilvl w:val="0"/>
          <w:numId w:val="27"/>
        </w:numPr>
        <w:tabs>
          <w:tab w:val="num" w:pos="360"/>
        </w:tabs>
        <w:spacing w:before="0"/>
      </w:pPr>
      <w:r>
        <w:rPr>
          <w:szCs w:val="28"/>
        </w:rPr>
        <w:lastRenderedPageBreak/>
        <w:sym w:font="Wingdings" w:char="F06E"/>
      </w:r>
      <w:r>
        <w:t> </w:t>
      </w:r>
      <w:r>
        <w:t>Questions</w:t>
      </w:r>
    </w:p>
    <w:p w:rsidR="0095622C" w:rsidRDefault="00FE5F37">
      <w:pPr>
        <w:pStyle w:val="MCQList1"/>
        <w:spacing w:before="0"/>
        <w:ind w:left="446" w:hanging="446"/>
      </w:pPr>
      <w:r>
        <w:tab/>
        <w:t>1.</w:t>
      </w:r>
      <w:r>
        <w:tab/>
      </w:r>
      <w:r>
        <w:rPr>
          <w:b/>
        </w:rPr>
        <w:t>Purchasing Power Parity.</w:t>
      </w:r>
      <w:r>
        <w:t xml:space="preserve"> Define the following terms:</w:t>
      </w:r>
    </w:p>
    <w:p w:rsidR="0095622C" w:rsidRDefault="00FE5F37" w:rsidP="006E7CB1">
      <w:pPr>
        <w:pStyle w:val="MCQAnswerBL"/>
        <w:keepNext/>
      </w:pPr>
      <w:r>
        <w:t>a.</w:t>
      </w:r>
      <w:r>
        <w:tab/>
      </w:r>
      <w:r>
        <w:rPr>
          <w:b/>
        </w:rPr>
        <w:t xml:space="preserve">The law of one price. </w:t>
      </w:r>
      <w:r>
        <w:rPr>
          <w:i/>
        </w:rPr>
        <w:t>The law of one price</w:t>
      </w:r>
      <w:r>
        <w:t xml:space="preserve"> states that if identical products or services can be sold in two different countries, and no restrictions exist on the sale or transportation costs of moving the product between the countries, the product’s price should be the same in both countries. Comparing prices across countries requires only </w:t>
      </w:r>
      <w:r w:rsidR="006E7CB1">
        <w:t xml:space="preserve">a conversion from one currency </w:t>
      </w:r>
      <w:r>
        <w:t xml:space="preserve">to the other. For example, </w:t>
      </w:r>
    </w:p>
    <w:p w:rsidR="0095622C" w:rsidRDefault="00FE5F37" w:rsidP="006E7CB1">
      <w:pPr>
        <w:pStyle w:val="MCQAnswerBL"/>
        <w:jc w:val="center"/>
        <w:rPr>
          <w:i/>
        </w:rPr>
      </w:pPr>
      <w:r w:rsidRPr="001474F4">
        <w:rPr>
          <w:i/>
        </w:rPr>
        <w:t>P</w:t>
      </w:r>
      <w:r>
        <w:rPr>
          <w:sz w:val="14"/>
          <w:vertAlign w:val="superscript"/>
        </w:rPr>
        <w:t xml:space="preserve"> </w:t>
      </w:r>
      <w:r>
        <w:rPr>
          <w:vertAlign w:val="superscript"/>
        </w:rPr>
        <w:t>$</w:t>
      </w:r>
      <w:r>
        <w:t xml:space="preserve"> </w:t>
      </w:r>
      <w:r>
        <w:rPr>
          <w:rFonts w:ascii="Symbol" w:hAnsi="Symbol"/>
        </w:rPr>
        <w:sym w:font="Symbol" w:char="F0B4"/>
      </w:r>
      <w:r>
        <w:t xml:space="preserve"> </w:t>
      </w:r>
      <w:r w:rsidRPr="001474F4">
        <w:rPr>
          <w:i/>
        </w:rPr>
        <w:t>S</w:t>
      </w:r>
      <w:r>
        <w:t xml:space="preserve"> </w:t>
      </w:r>
      <w:r>
        <w:rPr>
          <w:rFonts w:ascii="Symbol" w:hAnsi="Symbol"/>
        </w:rPr>
        <w:t></w:t>
      </w:r>
      <w:r>
        <w:t xml:space="preserve"> </w:t>
      </w:r>
      <w:r w:rsidRPr="001474F4">
        <w:rPr>
          <w:i/>
        </w:rPr>
        <w:t>P</w:t>
      </w:r>
      <w:r>
        <w:rPr>
          <w:rFonts w:cs="Times"/>
          <w:vertAlign w:val="superscript"/>
        </w:rPr>
        <w:t xml:space="preserve"> £</w:t>
      </w:r>
    </w:p>
    <w:p w:rsidR="0095622C" w:rsidRDefault="00FE5F37" w:rsidP="006E7CB1">
      <w:pPr>
        <w:pStyle w:val="MCQAnswerBL"/>
      </w:pPr>
      <w:r>
        <w:tab/>
      </w:r>
      <w:proofErr w:type="gramStart"/>
      <w:r>
        <w:rPr>
          <w:spacing w:val="-3"/>
        </w:rPr>
        <w:t>where</w:t>
      </w:r>
      <w:proofErr w:type="gramEnd"/>
      <w:r>
        <w:rPr>
          <w:spacing w:val="-3"/>
        </w:rPr>
        <w:t xml:space="preserve"> the price of the product in U.S. dollars (</w:t>
      </w:r>
      <w:r>
        <w:rPr>
          <w:i/>
          <w:spacing w:val="-3"/>
        </w:rPr>
        <w:t>P</w:t>
      </w:r>
      <w:r>
        <w:rPr>
          <w:i/>
          <w:spacing w:val="-3"/>
          <w:vertAlign w:val="superscript"/>
        </w:rPr>
        <w:t xml:space="preserve"> $ </w:t>
      </w:r>
      <w:r>
        <w:rPr>
          <w:spacing w:val="-3"/>
        </w:rPr>
        <w:t>), multiplied by the spot exchange rate (</w:t>
      </w:r>
      <w:r>
        <w:rPr>
          <w:i/>
          <w:spacing w:val="-3"/>
        </w:rPr>
        <w:t>S</w:t>
      </w:r>
      <w:r>
        <w:rPr>
          <w:spacing w:val="-3"/>
        </w:rPr>
        <w:t>, pounds</w:t>
      </w:r>
      <w:r>
        <w:t xml:space="preserve"> sterling per U.S. dollar), equals the price of the product in British pounds (</w:t>
      </w:r>
      <w:r>
        <w:rPr>
          <w:i/>
        </w:rPr>
        <w:t>P</w:t>
      </w:r>
      <w:r>
        <w:rPr>
          <w:rFonts w:cs="Times"/>
          <w:vertAlign w:val="superscript"/>
        </w:rPr>
        <w:t xml:space="preserve"> £</w:t>
      </w:r>
      <w:r>
        <w:t>).</w:t>
      </w:r>
    </w:p>
    <w:p w:rsidR="0095622C" w:rsidRDefault="00FE5F37" w:rsidP="006E7CB1">
      <w:pPr>
        <w:pStyle w:val="MCQAnswerBL"/>
      </w:pPr>
      <w:proofErr w:type="gramStart"/>
      <w:r>
        <w:t>b.</w:t>
      </w:r>
      <w:r>
        <w:tab/>
      </w:r>
      <w:r>
        <w:rPr>
          <w:b/>
        </w:rPr>
        <w:t>Absolute purchasing power parity</w:t>
      </w:r>
      <w:r>
        <w:rPr>
          <w:b/>
          <w:bCs/>
        </w:rPr>
        <w:t>.</w:t>
      </w:r>
      <w:proofErr w:type="gramEnd"/>
      <w:r>
        <w:t xml:space="preserve"> If the law of one price were true for all goods and services, the </w:t>
      </w:r>
      <w:r>
        <w:rPr>
          <w:i/>
        </w:rPr>
        <w:t>purchasing power parity</w:t>
      </w:r>
      <w:r>
        <w:t xml:space="preserve"> exchange rate </w:t>
      </w:r>
      <w:proofErr w:type="gramStart"/>
      <w:r>
        <w:t>could be found</w:t>
      </w:r>
      <w:proofErr w:type="gramEnd"/>
      <w:r>
        <w:t xml:space="preserve"> from any individual set of prices. By </w:t>
      </w:r>
      <w:r>
        <w:rPr>
          <w:spacing w:val="-2"/>
          <w:szCs w:val="22"/>
        </w:rPr>
        <w:t xml:space="preserve">comparing the prices of identical products denominated in different currencies, one could determine </w:t>
      </w:r>
      <w:r>
        <w:t xml:space="preserve">the “real” or PPP exchange rate </w:t>
      </w:r>
      <w:r w:rsidR="001474F4">
        <w:t xml:space="preserve">that </w:t>
      </w:r>
      <w:r>
        <w:t xml:space="preserve">should exist if markets were efficient. This is the absolute version of the theory of purchasing power parity. </w:t>
      </w:r>
      <w:r>
        <w:rPr>
          <w:i/>
        </w:rPr>
        <w:t>Absolute PPP</w:t>
      </w:r>
      <w:r>
        <w:t xml:space="preserve"> states that the spot exchange rate </w:t>
      </w:r>
      <w:proofErr w:type="gramStart"/>
      <w:r>
        <w:t>is determined</w:t>
      </w:r>
      <w:proofErr w:type="gramEnd"/>
      <w:r>
        <w:t xml:space="preserve"> by the relative prices of similar baskets of goods.</w:t>
      </w:r>
    </w:p>
    <w:p w:rsidR="0095622C" w:rsidRDefault="00FE5F37" w:rsidP="006E7CB1">
      <w:pPr>
        <w:pStyle w:val="MCQAnswerBL"/>
      </w:pPr>
      <w:proofErr w:type="gramStart"/>
      <w:r>
        <w:t>c.</w:t>
      </w:r>
      <w:r>
        <w:tab/>
      </w:r>
      <w:r>
        <w:rPr>
          <w:b/>
        </w:rPr>
        <w:t>Relative purchasing power parity</w:t>
      </w:r>
      <w:r>
        <w:rPr>
          <w:b/>
          <w:bCs/>
        </w:rPr>
        <w:t>.</w:t>
      </w:r>
      <w:proofErr w:type="gramEnd"/>
      <w:r>
        <w:t xml:space="preserve"> If the assumptions of the absolute version of PPP theory</w:t>
      </w:r>
      <w:r w:rsidR="006E7CB1">
        <w:t xml:space="preserve"> </w:t>
      </w:r>
      <w:r>
        <w:t xml:space="preserve">are relaxed a bit more, we observe what is termed </w:t>
      </w:r>
      <w:r>
        <w:rPr>
          <w:i/>
        </w:rPr>
        <w:t>relative purchasing power parity</w:t>
      </w:r>
      <w:r>
        <w:t xml:space="preserve">. This more general idea is that PPP is not particularly helpful in determining what the spot rate is today, but that the relative change in prices between two countries over a </w:t>
      </w:r>
      <w:proofErr w:type="gramStart"/>
      <w:r>
        <w:t>period of time</w:t>
      </w:r>
      <w:proofErr w:type="gramEnd"/>
      <w:r>
        <w:t xml:space="preserve"> determines the change in the exchange rate over that period. More specifically, if the spot exchange rate between two countries starts in equilibrium, any change in the differential rate of inflation between them tends to </w:t>
      </w:r>
      <w:proofErr w:type="gramStart"/>
      <w:r>
        <w:t>be offset</w:t>
      </w:r>
      <w:proofErr w:type="gramEnd"/>
      <w:r>
        <w:t xml:space="preserve"> over the long run by an equal but opposite change in the spot exchange rate.</w:t>
      </w:r>
    </w:p>
    <w:p w:rsidR="0095622C" w:rsidRDefault="00FE5F37">
      <w:pPr>
        <w:pStyle w:val="MCQList1"/>
      </w:pPr>
      <w:r>
        <w:tab/>
      </w:r>
      <w:proofErr w:type="gramStart"/>
      <w:r>
        <w:t>2.</w:t>
      </w:r>
      <w:r>
        <w:tab/>
      </w:r>
      <w:r>
        <w:rPr>
          <w:b/>
        </w:rPr>
        <w:t>Nominal Effective Exchange Rate Index.</w:t>
      </w:r>
      <w:proofErr w:type="gramEnd"/>
      <w:r>
        <w:rPr>
          <w:b/>
        </w:rPr>
        <w:t xml:space="preserve"> </w:t>
      </w:r>
      <w:r>
        <w:t>Explain how a nominal effective exchange rate index</w:t>
      </w:r>
      <w:r>
        <w:br/>
        <w:t>is constructed.</w:t>
      </w:r>
    </w:p>
    <w:p w:rsidR="0095622C" w:rsidRDefault="00FE5F37" w:rsidP="006E7CB1">
      <w:pPr>
        <w:pStyle w:val="MCQAnswer"/>
      </w:pPr>
      <w:r>
        <w:t xml:space="preserve">An exchange rate index is an index that measures the value of a given country’s exchange rate against </w:t>
      </w:r>
      <w:r>
        <w:rPr>
          <w:spacing w:val="-2"/>
          <w:szCs w:val="22"/>
        </w:rPr>
        <w:t xml:space="preserve">all other exchange rates in order to determine if that currency is overvalued or undervalued. A </w:t>
      </w:r>
      <w:r>
        <w:rPr>
          <w:i/>
          <w:spacing w:val="-2"/>
          <w:szCs w:val="22"/>
        </w:rPr>
        <w:t>nominal</w:t>
      </w:r>
      <w:r>
        <w:rPr>
          <w:spacing w:val="-2"/>
          <w:szCs w:val="22"/>
        </w:rPr>
        <w:t xml:space="preserve"> e</w:t>
      </w:r>
      <w:r>
        <w:t xml:space="preserve">ffective exchange rate index is based on a weighted average of actual exchange rates over a period of time. It is unrelated to PPP and simply measures changes in the exchange rate (i.e., currency value) relative to some arbitrary base period. It </w:t>
      </w:r>
      <w:proofErr w:type="gramStart"/>
      <w:r>
        <w:t>is used</w:t>
      </w:r>
      <w:proofErr w:type="gramEnd"/>
      <w:r>
        <w:t xml:space="preserve"> in calculating the real effective exchange rate index.</w:t>
      </w:r>
    </w:p>
    <w:p w:rsidR="0095622C" w:rsidRDefault="00FE5F37">
      <w:pPr>
        <w:pStyle w:val="MCQList1"/>
        <w:rPr>
          <w:b/>
        </w:rPr>
      </w:pPr>
      <w:r>
        <w:tab/>
      </w:r>
      <w:proofErr w:type="gramStart"/>
      <w:r>
        <w:t>3.</w:t>
      </w:r>
      <w:r>
        <w:tab/>
      </w:r>
      <w:r>
        <w:rPr>
          <w:b/>
        </w:rPr>
        <w:t>Real Effective Exchange Rate Index.</w:t>
      </w:r>
      <w:proofErr w:type="gramEnd"/>
      <w:r>
        <w:rPr>
          <w:b/>
        </w:rPr>
        <w:t xml:space="preserve"> </w:t>
      </w:r>
      <w:r>
        <w:t xml:space="preserve">What formula </w:t>
      </w:r>
      <w:proofErr w:type="gramStart"/>
      <w:r>
        <w:t>is used</w:t>
      </w:r>
      <w:proofErr w:type="gramEnd"/>
      <w:r>
        <w:t xml:space="preserve"> to convert a nominal effective exchange rate index into a real effective exchange rate index?</w:t>
      </w:r>
    </w:p>
    <w:p w:rsidR="0095622C" w:rsidRDefault="00FE5F37" w:rsidP="006E7CB1">
      <w:pPr>
        <w:pStyle w:val="MCQAnswer"/>
      </w:pPr>
      <w:r>
        <w:t xml:space="preserve">A </w:t>
      </w:r>
      <w:r>
        <w:rPr>
          <w:i/>
        </w:rPr>
        <w:t>rea</w:t>
      </w:r>
      <w:r>
        <w:rPr>
          <w:i/>
          <w:iCs/>
        </w:rPr>
        <w:t>l</w:t>
      </w:r>
      <w:r>
        <w:t xml:space="preserve"> effective exchange rate index adjusts the nominal effective exchange rate index to reflect differences in inflation. The adjustment </w:t>
      </w:r>
      <w:proofErr w:type="gramStart"/>
      <w:r>
        <w:t>is achieved</w:t>
      </w:r>
      <w:proofErr w:type="gramEnd"/>
      <w:r>
        <w:t xml:space="preserve"> by multiplying the nominal index by the ratio</w:t>
      </w:r>
      <w:r w:rsidR="006E7CB1">
        <w:t xml:space="preserve"> </w:t>
      </w:r>
      <w:r>
        <w:t>of domestic costs to foreign costs. The real index measures deviations from purchasing power parity, and consequently pressures on a country’s current account and foreign exchange rate.</w:t>
      </w:r>
    </w:p>
    <w:p w:rsidR="0095622C" w:rsidRDefault="00FE5F37" w:rsidP="006E7CB1">
      <w:pPr>
        <w:pStyle w:val="MCQAnswer"/>
      </w:pPr>
      <w:r>
        <w:t xml:space="preserve">The real effective exchange rate index for the U.S. dollar, </w:t>
      </w:r>
      <w:r>
        <w:rPr>
          <w:position w:val="-10"/>
        </w:rPr>
        <w:object w:dxaOrig="38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15.5pt" o:ole="">
            <v:imagedata r:id="rId8" o:title=""/>
          </v:shape>
          <o:OLEObject Type="Embed" ProgID="Equation.DSMT4" ShapeID="_x0000_i1025" DrawAspect="Content" ObjectID="_1473480640" r:id="rId9"/>
        </w:object>
      </w:r>
      <w:r>
        <w:t>is found by multiplying the nominal effective exchange rate index,</w:t>
      </w:r>
      <w:r>
        <w:rPr>
          <w:position w:val="-12"/>
        </w:rPr>
        <w:object w:dxaOrig="380" w:dyaOrig="340">
          <v:shape id="_x0000_i1026" type="#_x0000_t75" style="width:18.85pt;height:17.7pt" o:ole="">
            <v:imagedata r:id="rId10" o:title=""/>
          </v:shape>
          <o:OLEObject Type="Embed" ProgID="Equation.DSMT4" ShapeID="_x0000_i1026" DrawAspect="Content" ObjectID="_1473480641" r:id="rId11"/>
        </w:object>
      </w:r>
      <w:r>
        <w:t xml:space="preserve">by the ratio of U.S. dollar costs, </w:t>
      </w:r>
      <w:r>
        <w:rPr>
          <w:i/>
          <w:spacing w:val="20"/>
        </w:rPr>
        <w:t>C</w:t>
      </w:r>
      <w:r>
        <w:rPr>
          <w:vertAlign w:val="superscript"/>
        </w:rPr>
        <w:t>$</w:t>
      </w:r>
      <w:r>
        <w:t xml:space="preserve">, over foreign currency costs, </w:t>
      </w:r>
      <w:r>
        <w:rPr>
          <w:i/>
        </w:rPr>
        <w:t>C</w:t>
      </w:r>
      <w:r>
        <w:rPr>
          <w:i/>
          <w:vertAlign w:val="superscript"/>
        </w:rPr>
        <w:t xml:space="preserve"> FC</w:t>
      </w:r>
      <w:r>
        <w:t>, both in index form:</w:t>
      </w:r>
    </w:p>
    <w:p w:rsidR="00C40BF4" w:rsidRDefault="001833CD" w:rsidP="001833CD">
      <w:pPr>
        <w:pStyle w:val="MCQList1"/>
        <w:keepNext w:val="0"/>
        <w:keepLines w:val="0"/>
        <w:spacing w:before="0" w:line="480" w:lineRule="auto"/>
        <w:ind w:left="446" w:hanging="446"/>
        <w:jc w:val="center"/>
        <w:rPr>
          <w:i/>
          <w:position w:val="-22"/>
        </w:rPr>
      </w:pPr>
      <w:r w:rsidRPr="00621B84">
        <w:rPr>
          <w:position w:val="-22"/>
        </w:rPr>
        <w:object w:dxaOrig="1460" w:dyaOrig="580">
          <v:shape id="_x0000_i1027" type="#_x0000_t75" style="width:1in;height:28.8pt" o:ole="">
            <v:imagedata r:id="rId12" o:title=""/>
          </v:shape>
          <o:OLEObject Type="Embed" ProgID="Equation.DSMT4" ShapeID="_x0000_i1027" DrawAspect="Content" ObjectID="_1473480642" r:id="rId13"/>
        </w:object>
      </w:r>
    </w:p>
    <w:p w:rsidR="0095622C" w:rsidRDefault="00FE5F37">
      <w:pPr>
        <w:pStyle w:val="MCQList1"/>
      </w:pPr>
      <w:r>
        <w:lastRenderedPageBreak/>
        <w:tab/>
      </w:r>
      <w:proofErr w:type="gramStart"/>
      <w:r>
        <w:t>4.</w:t>
      </w:r>
      <w:r>
        <w:tab/>
      </w:r>
      <w:r>
        <w:rPr>
          <w:b/>
        </w:rPr>
        <w:t>Real Effective Exchange Rates: Japan and the United States.</w:t>
      </w:r>
      <w:proofErr w:type="gramEnd"/>
      <w:r>
        <w:rPr>
          <w:b/>
        </w:rPr>
        <w:t xml:space="preserve"> </w:t>
      </w:r>
      <w:r>
        <w:t xml:space="preserve">Exhibit </w:t>
      </w:r>
      <w:r w:rsidR="00F247FA">
        <w:t>6</w:t>
      </w:r>
      <w:r>
        <w:t>.3 compares the real effective exchange rates for the United States and Japan. If the comparative real effective exchange rate was the main determinant, does the United States or Japan have a competitive advantage in exporting? Which of the two has an advantage in importing? Explain why.</w:t>
      </w:r>
    </w:p>
    <w:p w:rsidR="0095622C" w:rsidRDefault="00FE5F37" w:rsidP="006E7CB1">
      <w:pPr>
        <w:pStyle w:val="MCQAnswer"/>
        <w:keepLines w:val="0"/>
        <w:ind w:firstLine="0"/>
      </w:pPr>
      <w:r>
        <w:t xml:space="preserve">Exhibit </w:t>
      </w:r>
      <w:r w:rsidR="00F247FA">
        <w:t>6</w:t>
      </w:r>
      <w:r>
        <w:t xml:space="preserve">.3 shows that the real effective exchange rate of the dollar, yen, and euro have changed over the past three decades and the data lend some support to the concept that PPP may hold over the long </w:t>
      </w:r>
      <w:r>
        <w:rPr>
          <w:spacing w:val="-3"/>
        </w:rPr>
        <w:t>run. The dollar’s index value was substantially above 100 in the 1980s (overvalued), but has remained</w:t>
      </w:r>
      <w:r>
        <w:t xml:space="preserve"> below 100 (undervalued) since the late 1980s (it did rise slightly above 100 briefly in 1995–1996 and again in 2001–2002). The Japanese yen’s real effective rate has remained above 100 for nearly the entire 1980 to 2006 period (overvalued).</w:t>
      </w:r>
    </w:p>
    <w:p w:rsidR="0095622C" w:rsidRDefault="00FE5F37" w:rsidP="006E7CB1">
      <w:pPr>
        <w:pStyle w:val="MCQAnswer"/>
      </w:pPr>
      <w:r>
        <w:t>In theory, a country with an undervalued currency should have a relative advantage in exporting over those countries suffering an overvalued currency. Similarly, an overvalued currency should result in increased purchasing power for imports.</w:t>
      </w:r>
    </w:p>
    <w:p w:rsidR="0095622C" w:rsidRDefault="00FE5F37">
      <w:pPr>
        <w:pStyle w:val="MCQList1"/>
      </w:pPr>
      <w:r>
        <w:tab/>
      </w:r>
      <w:proofErr w:type="gramStart"/>
      <w:r>
        <w:t>5.</w:t>
      </w:r>
      <w:r>
        <w:tab/>
      </w:r>
      <w:r>
        <w:rPr>
          <w:b/>
          <w:spacing w:val="-2"/>
        </w:rPr>
        <w:t>Exchange Rate Pass-Through.</w:t>
      </w:r>
      <w:proofErr w:type="gramEnd"/>
      <w:r>
        <w:rPr>
          <w:b/>
          <w:spacing w:val="-2"/>
        </w:rPr>
        <w:t xml:space="preserve"> </w:t>
      </w:r>
      <w:r>
        <w:rPr>
          <w:spacing w:val="-2"/>
        </w:rPr>
        <w:t xml:space="preserve">Incomplete </w:t>
      </w:r>
      <w:r w:rsidRPr="0076633E">
        <w:rPr>
          <w:spacing w:val="-2"/>
        </w:rPr>
        <w:t>exchange rate pass-through</w:t>
      </w:r>
      <w:r>
        <w:rPr>
          <w:spacing w:val="-2"/>
        </w:rPr>
        <w:t xml:space="preserve"> is one reason that a country’s</w:t>
      </w:r>
      <w:r>
        <w:t xml:space="preserve"> real effective exchange rate can deviate for lengthy periods from its purchasing power equilibrium level of 100. What </w:t>
      </w:r>
      <w:proofErr w:type="gramStart"/>
      <w:r>
        <w:t>is meant</w:t>
      </w:r>
      <w:proofErr w:type="gramEnd"/>
      <w:r>
        <w:t xml:space="preserve"> by the term </w:t>
      </w:r>
      <w:r w:rsidRPr="0076633E">
        <w:t>exchange rate pass-through</w:t>
      </w:r>
      <w:r>
        <w:t>?</w:t>
      </w:r>
    </w:p>
    <w:p w:rsidR="0095622C" w:rsidRDefault="00FE5F37" w:rsidP="006E7CB1">
      <w:pPr>
        <w:pStyle w:val="MCQAnswer"/>
      </w:pPr>
      <w:r>
        <w:rPr>
          <w:i/>
        </w:rPr>
        <w:t>Incomplete exchange rate pass-through</w:t>
      </w:r>
      <w:r>
        <w:t xml:space="preserve"> refers to the degree to which the prices of imported and exported goods change </w:t>
      </w:r>
      <w:proofErr w:type="gramStart"/>
      <w:r>
        <w:t>as a result</w:t>
      </w:r>
      <w:proofErr w:type="gramEnd"/>
      <w:r>
        <w:t xml:space="preserve"> of exchange rate changes. Although PPP implies that all exchange rate changes are passed through by equivalent changes in prices to trading partners, empirical research in the 1980s questioned this long-held assumption. For example, sizeable current account deficits of the United States in the 1980s and 1990s did not respond to changes in the value of the dollar.</w:t>
      </w:r>
    </w:p>
    <w:p w:rsidR="0095622C" w:rsidRDefault="00FE5F37">
      <w:pPr>
        <w:pStyle w:val="MCQList1"/>
      </w:pPr>
      <w:r>
        <w:tab/>
      </w:r>
      <w:proofErr w:type="gramStart"/>
      <w:r>
        <w:t>6.</w:t>
      </w:r>
      <w:r>
        <w:tab/>
      </w:r>
      <w:r>
        <w:rPr>
          <w:b/>
        </w:rPr>
        <w:t>The Fisher Effect.</w:t>
      </w:r>
      <w:proofErr w:type="gramEnd"/>
      <w:r>
        <w:rPr>
          <w:b/>
        </w:rPr>
        <w:t xml:space="preserve"> </w:t>
      </w:r>
      <w:r>
        <w:t xml:space="preserve">Define the </w:t>
      </w:r>
      <w:r w:rsidRPr="0076633E">
        <w:t>Fisher effect.</w:t>
      </w:r>
      <w:r>
        <w:t xml:space="preserve"> To what extent do empirical tests confirm that the </w:t>
      </w:r>
      <w:r w:rsidRPr="0076633E">
        <w:t xml:space="preserve">Fisher effect </w:t>
      </w:r>
      <w:r>
        <w:t>exists in practice?</w:t>
      </w:r>
    </w:p>
    <w:p w:rsidR="0095622C" w:rsidRDefault="00FE5F37" w:rsidP="006E7CB1">
      <w:pPr>
        <w:pStyle w:val="MCQAnswer"/>
      </w:pPr>
      <w:r>
        <w:rPr>
          <w:i/>
        </w:rPr>
        <w:t>The Fisher effect</w:t>
      </w:r>
      <w:r>
        <w:t>, named after economist Irving Fisher, states that nominal interest rates in each country are equal to the required real rate of return plus compensation for expected inflation.</w:t>
      </w:r>
      <w:r w:rsidR="006E7CB1">
        <w:t xml:space="preserve"> </w:t>
      </w:r>
      <w:r>
        <w:t xml:space="preserve">More formally, this is derived from (1 </w:t>
      </w:r>
      <w:r>
        <w:rPr>
          <w:rFonts w:ascii="Symbol" w:hAnsi="Symbol"/>
        </w:rPr>
        <w:t></w:t>
      </w:r>
      <w:r>
        <w:t xml:space="preserve"> </w:t>
      </w:r>
      <w:r>
        <w:rPr>
          <w:i/>
        </w:rPr>
        <w:t>r</w:t>
      </w:r>
      <w:proofErr w:type="gramStart"/>
      <w:r>
        <w:t>)(</w:t>
      </w:r>
      <w:proofErr w:type="gramEnd"/>
      <w:r>
        <w:t xml:space="preserve">1 </w:t>
      </w:r>
      <w:r>
        <w:rPr>
          <w:rFonts w:ascii="Symbol" w:hAnsi="Symbol"/>
        </w:rPr>
        <w:t></w:t>
      </w:r>
      <w:r>
        <w:t xml:space="preserve"> </w:t>
      </w:r>
      <w:r>
        <w:rPr>
          <w:rFonts w:ascii="Symbol" w:hAnsi="Symbol"/>
          <w:i/>
          <w:iCs/>
          <w:szCs w:val="22"/>
        </w:rPr>
        <w:sym w:font="Symbol" w:char="F070"/>
      </w:r>
      <w:r>
        <w:t>) – 1:</w:t>
      </w:r>
    </w:p>
    <w:p w:rsidR="0095622C" w:rsidRDefault="00FE5F37" w:rsidP="006E7CB1">
      <w:pPr>
        <w:pStyle w:val="MCQAnswer"/>
        <w:jc w:val="center"/>
      </w:pPr>
      <w:r>
        <w:rPr>
          <w:position w:val="-6"/>
        </w:rPr>
        <w:object w:dxaOrig="1219" w:dyaOrig="240">
          <v:shape id="_x0000_i1028" type="#_x0000_t75" style="width:59.8pt;height:12.2pt" o:ole="">
            <v:imagedata r:id="rId14" o:title=""/>
          </v:shape>
          <o:OLEObject Type="Embed" ProgID="Equation.DSMT4" ShapeID="_x0000_i1028" DrawAspect="Content" ObjectID="_1473480643" r:id="rId15"/>
        </w:object>
      </w:r>
    </w:p>
    <w:p w:rsidR="0095622C" w:rsidRDefault="00FE5F37" w:rsidP="006E7CB1">
      <w:pPr>
        <w:pStyle w:val="MCQAnswer"/>
      </w:pPr>
      <w:proofErr w:type="gramStart"/>
      <w:r>
        <w:t>where</w:t>
      </w:r>
      <w:proofErr w:type="gramEnd"/>
      <w:r>
        <w:t xml:space="preserve"> </w:t>
      </w:r>
      <w:proofErr w:type="spellStart"/>
      <w:r>
        <w:rPr>
          <w:i/>
          <w:iCs/>
        </w:rPr>
        <w:t>i</w:t>
      </w:r>
      <w:proofErr w:type="spellEnd"/>
      <w:r>
        <w:t xml:space="preserve"> is the nominal rate of interest, </w:t>
      </w:r>
      <w:r>
        <w:rPr>
          <w:i/>
        </w:rPr>
        <w:t>r</w:t>
      </w:r>
      <w:r>
        <w:t xml:space="preserve"> is the real rate of interest, and </w:t>
      </w:r>
      <w:r>
        <w:rPr>
          <w:rFonts w:ascii="Symbol" w:hAnsi="Symbol"/>
          <w:i/>
          <w:iCs/>
          <w:szCs w:val="22"/>
        </w:rPr>
        <w:sym w:font="Symbol" w:char="F070"/>
      </w:r>
      <w:r>
        <w:t xml:space="preserve"> </w:t>
      </w:r>
      <w:r>
        <w:rPr>
          <w:sz w:val="16"/>
        </w:rPr>
        <w:t xml:space="preserve"> </w:t>
      </w:r>
      <w:r>
        <w:t xml:space="preserve">is the expected rate of inflation over the period of time for which funds are to be lent. The final compound term, </w:t>
      </w:r>
      <w:proofErr w:type="gramStart"/>
      <w:r>
        <w:rPr>
          <w:i/>
        </w:rPr>
        <w:t>r</w:t>
      </w:r>
      <w:r>
        <w:t xml:space="preserve"> </w:t>
      </w:r>
      <w:r>
        <w:rPr>
          <w:rFonts w:ascii="Symbol" w:hAnsi="Symbol"/>
          <w:szCs w:val="22"/>
        </w:rPr>
        <w:sym w:font="Symbol" w:char="F0B4"/>
      </w:r>
      <w:proofErr w:type="gramEnd"/>
      <w:r>
        <w:t xml:space="preserve"> </w:t>
      </w:r>
      <w:r>
        <w:rPr>
          <w:rFonts w:ascii="Symbol" w:hAnsi="Symbol"/>
          <w:i/>
          <w:iCs/>
          <w:szCs w:val="22"/>
        </w:rPr>
        <w:sym w:font="Symbol" w:char="F070"/>
      </w:r>
      <w:r>
        <w:t>,</w:t>
      </w:r>
      <w:r w:rsidR="006E7CB1">
        <w:t xml:space="preserve"> </w:t>
      </w:r>
      <w:r>
        <w:t>is frequently dropped from consideration due to its relatively minor value. The Fisher effect then reduces to (approximate form):</w:t>
      </w:r>
    </w:p>
    <w:p w:rsidR="0095622C" w:rsidRDefault="00FE5F37" w:rsidP="006E7CB1">
      <w:pPr>
        <w:pStyle w:val="MCQAnswer"/>
        <w:jc w:val="center"/>
      </w:pPr>
      <w:r>
        <w:rPr>
          <w:position w:val="-6"/>
        </w:rPr>
        <w:object w:dxaOrig="840" w:dyaOrig="260">
          <v:shape id="_x0000_i1029" type="#_x0000_t75" style="width:42.1pt;height:13.3pt" o:ole="">
            <v:imagedata r:id="rId16" o:title=""/>
          </v:shape>
          <o:OLEObject Type="Embed" ProgID="Equation.DSMT4" ShapeID="_x0000_i1029" DrawAspect="Content" ObjectID="_1473480644" r:id="rId17"/>
        </w:object>
      </w:r>
    </w:p>
    <w:p w:rsidR="0095622C" w:rsidRDefault="00FE5F37" w:rsidP="006E7CB1">
      <w:pPr>
        <w:pStyle w:val="MCQAnswer"/>
      </w:pPr>
      <w:proofErr w:type="gramStart"/>
      <w:r>
        <w:t>To empirically test</w:t>
      </w:r>
      <w:proofErr w:type="gramEnd"/>
      <w:r>
        <w:t xml:space="preserve"> the Fisher effect, forecasts of future rates of inflation are needed (not what inflation has been). Predicting the future can be difficult. Empirical tests using </w:t>
      </w:r>
      <w:r>
        <w:rPr>
          <w:i/>
        </w:rPr>
        <w:t>ex-post</w:t>
      </w:r>
      <w:r>
        <w:t xml:space="preserve"> national inflation rates have shown that the Fisher effect usually exists for short-maturity government securities</w:t>
      </w:r>
      <w:r w:rsidR="001474F4">
        <w:t>,</w:t>
      </w:r>
      <w:r>
        <w:t xml:space="preserve"> such as Treasury bills and notes. Comparisons based on longer maturities suffer from the increased financial risk inherent in fluctuations of the market value of the bonds prior to maturity. Comparisons of private sector securities </w:t>
      </w:r>
      <w:proofErr w:type="gramStart"/>
      <w:r>
        <w:t>are influenced</w:t>
      </w:r>
      <w:proofErr w:type="gramEnd"/>
      <w:r>
        <w:t xml:space="preserve"> by unequal creditworthiness of the issuers. All the tests are inconclusive to the extent that recent past rates of inflation are not a correct measure of future expected inflation.</w:t>
      </w:r>
    </w:p>
    <w:p w:rsidR="0095622C" w:rsidRDefault="00FE5F37">
      <w:pPr>
        <w:pStyle w:val="MCQList1"/>
      </w:pPr>
      <w:r>
        <w:lastRenderedPageBreak/>
        <w:tab/>
      </w:r>
      <w:proofErr w:type="gramStart"/>
      <w:r>
        <w:t>7.</w:t>
      </w:r>
      <w:r>
        <w:tab/>
      </w:r>
      <w:r>
        <w:rPr>
          <w:b/>
        </w:rPr>
        <w:t>The International Fisher Effect.</w:t>
      </w:r>
      <w:proofErr w:type="gramEnd"/>
      <w:r>
        <w:rPr>
          <w:b/>
        </w:rPr>
        <w:t xml:space="preserve"> </w:t>
      </w:r>
      <w:r>
        <w:t xml:space="preserve">Define the </w:t>
      </w:r>
      <w:r w:rsidRPr="0076633E">
        <w:t>international Fisher effect</w:t>
      </w:r>
      <w:r>
        <w:t xml:space="preserve">. To what extent do empirical tests confirm that the </w:t>
      </w:r>
      <w:r w:rsidRPr="0076633E">
        <w:t>international Fisher effect</w:t>
      </w:r>
      <w:r>
        <w:t xml:space="preserve"> exists in practice?</w:t>
      </w:r>
    </w:p>
    <w:p w:rsidR="0095622C" w:rsidRDefault="00FE5F37" w:rsidP="006E7CB1">
      <w:pPr>
        <w:pStyle w:val="MCQAnswer"/>
      </w:pPr>
      <w:r>
        <w:t xml:space="preserve">Irving Fisher stated that the real return in different countries should be the same, so that if one country has a higher nominal interest rate, the gain from investing in that currency </w:t>
      </w:r>
      <w:proofErr w:type="gramStart"/>
      <w:r>
        <w:t>will be lost</w:t>
      </w:r>
      <w:proofErr w:type="gramEnd"/>
      <w:r>
        <w:t xml:space="preserve"> by a deterioration of its exchange rate. The relationship between the percentage change in the spot exchange rate over time and the differential between comparable interest rates in different national capital markets is known as the </w:t>
      </w:r>
      <w:r>
        <w:rPr>
          <w:i/>
        </w:rPr>
        <w:t>international Fisher effect</w:t>
      </w:r>
      <w:r>
        <w:t>. “Fisher-open,” as it is often termed, states that the spot exchange rate should change in an equal amount but in the opposite direction to the difference in interest rates between two countries. More formally:</w:t>
      </w:r>
    </w:p>
    <w:p w:rsidR="0095622C" w:rsidRDefault="00FE5F37" w:rsidP="006E7CB1">
      <w:pPr>
        <w:pStyle w:val="MCQAnswer"/>
        <w:jc w:val="center"/>
      </w:pPr>
      <w:r>
        <w:rPr>
          <w:position w:val="-28"/>
        </w:rPr>
        <w:object w:dxaOrig="1980" w:dyaOrig="639">
          <v:shape id="_x0000_i1030" type="#_x0000_t75" style="width:99.7pt;height:32.1pt" o:ole="">
            <v:imagedata r:id="rId18" o:title=""/>
          </v:shape>
          <o:OLEObject Type="Embed" ProgID="Equation.DSMT4" ShapeID="_x0000_i1030" DrawAspect="Content" ObjectID="_1473480645" r:id="rId19"/>
        </w:object>
      </w:r>
    </w:p>
    <w:p w:rsidR="0095622C" w:rsidRDefault="00FE5F37" w:rsidP="006E7CB1">
      <w:pPr>
        <w:pStyle w:val="MCQAnswer"/>
      </w:pPr>
      <w:proofErr w:type="gramStart"/>
      <w:r>
        <w:t>where</w:t>
      </w:r>
      <w:proofErr w:type="gramEnd"/>
      <w:r>
        <w:t xml:space="preserve"> </w:t>
      </w:r>
      <w:proofErr w:type="spellStart"/>
      <w:r>
        <w:rPr>
          <w:i/>
          <w:spacing w:val="20"/>
        </w:rPr>
        <w:t>i</w:t>
      </w:r>
      <w:proofErr w:type="spellEnd"/>
      <w:r>
        <w:rPr>
          <w:vertAlign w:val="superscript"/>
        </w:rPr>
        <w:t>$</w:t>
      </w:r>
      <w:r>
        <w:t xml:space="preserve"> and </w:t>
      </w:r>
      <w:proofErr w:type="spellStart"/>
      <w:r>
        <w:rPr>
          <w:i/>
          <w:spacing w:val="20"/>
        </w:rPr>
        <w:t>i</w:t>
      </w:r>
      <w:proofErr w:type="spellEnd"/>
      <w:r>
        <w:rPr>
          <w:vertAlign w:val="superscript"/>
        </w:rPr>
        <w:t>¥</w:t>
      </w:r>
      <w:r>
        <w:t xml:space="preserve"> are the respective national interest rates, and </w:t>
      </w:r>
      <w:r>
        <w:rPr>
          <w:i/>
        </w:rPr>
        <w:t>S</w:t>
      </w:r>
      <w:r>
        <w:t xml:space="preserve"> is the spot exchange rate using indirect quotes (an indirect quote on the dollar is, for example, ¥/$) at the beginning of the period (</w:t>
      </w:r>
      <w:r>
        <w:rPr>
          <w:i/>
        </w:rPr>
        <w:t>S</w:t>
      </w:r>
      <w:r>
        <w:rPr>
          <w:vertAlign w:val="subscript"/>
        </w:rPr>
        <w:t>1</w:t>
      </w:r>
      <w:r>
        <w:t>) and the end of the period (</w:t>
      </w:r>
      <w:r>
        <w:rPr>
          <w:i/>
        </w:rPr>
        <w:t>S</w:t>
      </w:r>
      <w:r>
        <w:rPr>
          <w:vertAlign w:val="subscript"/>
        </w:rPr>
        <w:t>2</w:t>
      </w:r>
      <w:r>
        <w:t>). This is the approximation form commonly used in industry. The precise formulation is:</w:t>
      </w:r>
    </w:p>
    <w:p w:rsidR="0095622C" w:rsidRDefault="00FE5F37" w:rsidP="006E7CB1">
      <w:pPr>
        <w:pStyle w:val="MCQAnswer"/>
        <w:jc w:val="center"/>
        <w:rPr>
          <w:i/>
        </w:rPr>
      </w:pPr>
      <w:r>
        <w:rPr>
          <w:position w:val="-28"/>
        </w:rPr>
        <w:object w:dxaOrig="1520" w:dyaOrig="639">
          <v:shape id="_x0000_i1031" type="#_x0000_t75" style="width:75.3pt;height:32.1pt" o:ole="">
            <v:imagedata r:id="rId20" o:title=""/>
          </v:shape>
          <o:OLEObject Type="Embed" ProgID="Equation.DSMT4" ShapeID="_x0000_i1031" DrawAspect="Content" ObjectID="_1473480646" r:id="rId21"/>
        </w:object>
      </w:r>
    </w:p>
    <w:p w:rsidR="0095622C" w:rsidRDefault="00FE5F37" w:rsidP="006E7CB1">
      <w:pPr>
        <w:pStyle w:val="MCQAnswer"/>
      </w:pPr>
      <w:r>
        <w:t xml:space="preserve">Empirical tests lend some support to the relationship postulated by the international Fisher effect, although considerable short-run deviations occur. A more serious criticism </w:t>
      </w:r>
      <w:proofErr w:type="gramStart"/>
      <w:r>
        <w:t>has been posed</w:t>
      </w:r>
      <w:proofErr w:type="gramEnd"/>
      <w:r>
        <w:t xml:space="preserve">, however, by recent studies that suggest the existence of a foreign exchange risk premium for most major currencies. </w:t>
      </w:r>
      <w:proofErr w:type="gramStart"/>
      <w:r>
        <w:t>Also</w:t>
      </w:r>
      <w:proofErr w:type="gramEnd"/>
      <w:r>
        <w:t>, speculation in uncovered interest arbitrage creates distortions in currency markets. Thus, the expected change in exchange rates might consistently be more than the difference in interest rates.</w:t>
      </w:r>
    </w:p>
    <w:p w:rsidR="0095622C" w:rsidRDefault="00FE5F37">
      <w:pPr>
        <w:pStyle w:val="MCQList1"/>
      </w:pPr>
      <w:r>
        <w:tab/>
      </w:r>
      <w:proofErr w:type="gramStart"/>
      <w:r>
        <w:t>8.</w:t>
      </w:r>
      <w:r>
        <w:tab/>
      </w:r>
      <w:r>
        <w:rPr>
          <w:b/>
        </w:rPr>
        <w:t>Interest Rate Parity.</w:t>
      </w:r>
      <w:proofErr w:type="gramEnd"/>
      <w:r>
        <w:rPr>
          <w:b/>
        </w:rPr>
        <w:t xml:space="preserve"> </w:t>
      </w:r>
      <w:r>
        <w:t xml:space="preserve">Define </w:t>
      </w:r>
      <w:r>
        <w:rPr>
          <w:i/>
        </w:rPr>
        <w:t xml:space="preserve">interest rate parity. </w:t>
      </w:r>
      <w:r>
        <w:t xml:space="preserve">What is the relationship between </w:t>
      </w:r>
      <w:r w:rsidRPr="0076633E">
        <w:t>interest rate parity</w:t>
      </w:r>
      <w:r>
        <w:rPr>
          <w:i/>
        </w:rPr>
        <w:t xml:space="preserve"> </w:t>
      </w:r>
      <w:r>
        <w:t>and forward rates?</w:t>
      </w:r>
    </w:p>
    <w:p w:rsidR="0095622C" w:rsidRDefault="00FE5F37" w:rsidP="006E7CB1">
      <w:pPr>
        <w:pStyle w:val="MCQAnswer"/>
      </w:pPr>
      <w:r>
        <w:t xml:space="preserve">The theory of interest rate parity (IRP) provides the linkage between the foreign exchange markets and the international money markets. The theory states: </w:t>
      </w:r>
      <w:r>
        <w:rPr>
          <w:i/>
        </w:rPr>
        <w:t>The difference in the national interest rates for securities of similar risk and maturity should be equal to, but opposite in sign to, the forward rate discount or premium for the foreign currency, except for transaction costs.</w:t>
      </w:r>
    </w:p>
    <w:p w:rsidR="0095622C" w:rsidRDefault="00FE5F37" w:rsidP="006E7CB1">
      <w:pPr>
        <w:pStyle w:val="MCQList1"/>
        <w:spacing w:before="240"/>
        <w:ind w:left="446" w:hanging="446"/>
      </w:pPr>
      <w:r>
        <w:tab/>
      </w:r>
      <w:proofErr w:type="gramStart"/>
      <w:r>
        <w:t>9.</w:t>
      </w:r>
      <w:r>
        <w:tab/>
      </w:r>
      <w:r>
        <w:rPr>
          <w:b/>
        </w:rPr>
        <w:t>Covered Interest Arbitrage.</w:t>
      </w:r>
      <w:proofErr w:type="gramEnd"/>
      <w:r>
        <w:rPr>
          <w:b/>
        </w:rPr>
        <w:t xml:space="preserve"> </w:t>
      </w:r>
      <w:r>
        <w:t xml:space="preserve">Define the terms </w:t>
      </w:r>
      <w:r w:rsidRPr="0076633E">
        <w:t>covered interest arbitrage</w:t>
      </w:r>
      <w:r>
        <w:t xml:space="preserve"> and </w:t>
      </w:r>
      <w:r w:rsidRPr="0076633E">
        <w:t>uncovered interest arbitrage</w:t>
      </w:r>
      <w:r>
        <w:t>. What is the difference between these two transactions?</w:t>
      </w:r>
    </w:p>
    <w:p w:rsidR="0095622C" w:rsidRDefault="00FE5F37" w:rsidP="006E7CB1">
      <w:pPr>
        <w:pStyle w:val="MCQAnswer"/>
      </w:pPr>
      <w:r>
        <w:t xml:space="preserve">The spot and forward exchange markets are not constantly in the state of equilibrium described by interest rate parity. When the market is not in equilibrium, the potential for “riskless” or arbitrage profits exists. The arbitrager who recognizes such an imbalance will move to take advantage of the disequilibrium by investing in whichever currency offers the higher return on a covered basis. This </w:t>
      </w:r>
      <w:proofErr w:type="gramStart"/>
      <w:r>
        <w:t>is called</w:t>
      </w:r>
      <w:proofErr w:type="gramEnd"/>
      <w:r>
        <w:t xml:space="preserve"> </w:t>
      </w:r>
      <w:r>
        <w:rPr>
          <w:i/>
        </w:rPr>
        <w:t>covered interest arbitrage</w:t>
      </w:r>
      <w:r>
        <w:t xml:space="preserve"> (CIA). CIA is possible when interest rate parity does not hold. </w:t>
      </w:r>
      <w:proofErr w:type="gramStart"/>
      <w:r>
        <w:t xml:space="preserve">An example of a basic CIA strategy would be to </w:t>
      </w:r>
      <w:r w:rsidR="00CB51C7">
        <w:t>(</w:t>
      </w:r>
      <w:r>
        <w:t xml:space="preserve">1) convert dollars at the current spot into a foreign </w:t>
      </w:r>
      <w:r>
        <w:rPr>
          <w:spacing w:val="-4"/>
        </w:rPr>
        <w:t xml:space="preserve">currency, </w:t>
      </w:r>
      <w:r w:rsidR="00CB51C7">
        <w:rPr>
          <w:spacing w:val="-4"/>
        </w:rPr>
        <w:t>(</w:t>
      </w:r>
      <w:r>
        <w:rPr>
          <w:spacing w:val="-4"/>
        </w:rPr>
        <w:t xml:space="preserve">2) invest the foreign currency in a risk-free investment in the foreign country, </w:t>
      </w:r>
      <w:r w:rsidR="00CB51C7">
        <w:rPr>
          <w:spacing w:val="-4"/>
        </w:rPr>
        <w:t>(</w:t>
      </w:r>
      <w:r>
        <w:rPr>
          <w:spacing w:val="-4"/>
        </w:rPr>
        <w:t>3) simultaneously</w:t>
      </w:r>
      <w:r>
        <w:t xml:space="preserve"> </w:t>
      </w:r>
      <w:r>
        <w:rPr>
          <w:spacing w:val="-3"/>
        </w:rPr>
        <w:t xml:space="preserve">sell the future proceeds of the foreign risk-free investment in the forward market, and finally </w:t>
      </w:r>
      <w:r w:rsidR="00CB51C7">
        <w:rPr>
          <w:spacing w:val="-3"/>
        </w:rPr>
        <w:t>(</w:t>
      </w:r>
      <w:r>
        <w:rPr>
          <w:spacing w:val="-3"/>
        </w:rPr>
        <w:t>4) calculate</w:t>
      </w:r>
      <w:r>
        <w:t xml:space="preserve"> </w:t>
      </w:r>
      <w:r>
        <w:rPr>
          <w:spacing w:val="-2"/>
        </w:rPr>
        <w:t>the opportunity cost of the funds at the U.S. risk-free interest rate.</w:t>
      </w:r>
      <w:proofErr w:type="gramEnd"/>
      <w:r>
        <w:rPr>
          <w:spacing w:val="-2"/>
        </w:rPr>
        <w:t xml:space="preserve"> When done correctly, the difference</w:t>
      </w:r>
      <w:r>
        <w:t xml:space="preserve"> between the revenue in step 2 should exceed the cash-outflows in steps 3 and 4.</w:t>
      </w:r>
    </w:p>
    <w:p w:rsidR="0095622C" w:rsidRDefault="00FE5F37" w:rsidP="006E7CB1">
      <w:pPr>
        <w:pStyle w:val="MCQAnswer"/>
      </w:pPr>
      <w:r>
        <w:t xml:space="preserve">A deviation from covered interest arbitrage is </w:t>
      </w:r>
      <w:r>
        <w:rPr>
          <w:i/>
        </w:rPr>
        <w:t xml:space="preserve">uncovered interest arbitrage </w:t>
      </w:r>
      <w:r>
        <w:t>(UIA), wherein investors borrow in countries and currencies exhibiting relatively low interest rates and convert the proceeds into currencies that offer much higher interest rates. The transaction is “uncovered” because the investor does not sell the higher yielding currency proceeds forward, choosing to remain uncovered and accept the currency risk of exchanging the higher yield currency into the lower yielding currency at the end of the period. Uncovered interest arbitrage is not truly arbitrage</w:t>
      </w:r>
      <w:r w:rsidR="00CB51C7">
        <w:t xml:space="preserve"> because</w:t>
      </w:r>
      <w:r>
        <w:t xml:space="preserve"> it is not a riskless proposition.</w:t>
      </w:r>
    </w:p>
    <w:p w:rsidR="0095622C" w:rsidRDefault="00FE5F37">
      <w:pPr>
        <w:pStyle w:val="MCQList1"/>
      </w:pPr>
      <w:proofErr w:type="gramStart"/>
      <w:r>
        <w:lastRenderedPageBreak/>
        <w:t>10.</w:t>
      </w:r>
      <w:r>
        <w:tab/>
      </w:r>
      <w:r>
        <w:rPr>
          <w:b/>
        </w:rPr>
        <w:t>Forward Rate as an Unbiased Predictor of the Future Spot Rate.</w:t>
      </w:r>
      <w:proofErr w:type="gramEnd"/>
      <w:r>
        <w:rPr>
          <w:b/>
        </w:rPr>
        <w:t xml:space="preserve"> </w:t>
      </w:r>
      <w:r>
        <w:t xml:space="preserve">Some forecasters believe that foreign exchange markets for the major floating currencies are “efficient” and forward exchange rates are </w:t>
      </w:r>
      <w:r w:rsidRPr="0076633E">
        <w:t>unbiased predictors</w:t>
      </w:r>
      <w:r>
        <w:t xml:space="preserve"> of future spot exchange rates. What </w:t>
      </w:r>
      <w:proofErr w:type="gramStart"/>
      <w:r>
        <w:t>is meant by “unbiased predictor” in terms of how the forward rate performs in estimating future spot exchange rates</w:t>
      </w:r>
      <w:proofErr w:type="gramEnd"/>
      <w:r>
        <w:t>?</w:t>
      </w:r>
    </w:p>
    <w:p w:rsidR="0095622C" w:rsidRDefault="00FE5F37" w:rsidP="006E7CB1">
      <w:pPr>
        <w:pStyle w:val="MCQAnswer"/>
      </w:pPr>
      <w:r>
        <w:t xml:space="preserve">An “unbiased predictor” means that the distribution of possible actual spot rates in the future </w:t>
      </w:r>
      <w:proofErr w:type="gramStart"/>
      <w:r>
        <w:t>is centered</w:t>
      </w:r>
      <w:proofErr w:type="gramEnd"/>
      <w:r>
        <w:t xml:space="preserve"> on the forward rate. The fact that it is an unbiased predictor, however, does not mean that the future spot rate will actually be equal to what the forward rate predicts. Unbiased prediction simply means that the forward rate will, on average, overestimate and underestimate the actual future spot rate in equal frequency and degree. The forward rate </w:t>
      </w:r>
      <w:proofErr w:type="gramStart"/>
      <w:r>
        <w:t>may, in fact, never actually equal</w:t>
      </w:r>
      <w:proofErr w:type="gramEnd"/>
      <w:r>
        <w:t xml:space="preserve"> the future spot rate.</w:t>
      </w:r>
    </w:p>
    <w:p w:rsidR="00FE5F37" w:rsidRDefault="00FE5F37" w:rsidP="006E7CB1">
      <w:pPr>
        <w:pStyle w:val="MCQAnswer"/>
        <w:keepLines w:val="0"/>
        <w:ind w:firstLine="0"/>
      </w:pPr>
      <w:r>
        <w:t xml:space="preserve">The rationale for this relationship </w:t>
      </w:r>
      <w:proofErr w:type="gramStart"/>
      <w:r>
        <w:t>is based</w:t>
      </w:r>
      <w:proofErr w:type="gramEnd"/>
      <w:r>
        <w:t xml:space="preserve"> on the hypothesis that the foreign exchange market is reasonably efficient. Market efficiency assumes that </w:t>
      </w:r>
      <w:r w:rsidR="00CB51C7">
        <w:t>(</w:t>
      </w:r>
      <w:r>
        <w:t xml:space="preserve">1) all relevant information </w:t>
      </w:r>
      <w:proofErr w:type="gramStart"/>
      <w:r>
        <w:t>is quickly reflected</w:t>
      </w:r>
      <w:proofErr w:type="gramEnd"/>
      <w:r>
        <w:t xml:space="preserve"> in both the spot and forward exchange markets; </w:t>
      </w:r>
      <w:r w:rsidR="00CB51C7">
        <w:t>(</w:t>
      </w:r>
      <w:r>
        <w:t xml:space="preserve">2) transaction costs are low; and </w:t>
      </w:r>
      <w:r w:rsidR="00CB51C7">
        <w:t>(</w:t>
      </w:r>
      <w:r>
        <w:t xml:space="preserve">3) instruments denominated in different currencies are perfect substitutes for one another. Empirical studies of the efficient foreign exchange market hypothesis have yielded conflicting results. Nevertheless, a consensus is developing that rejects the efficient market hypothesis. It appears that the forward rate is </w:t>
      </w:r>
      <w:proofErr w:type="gramStart"/>
      <w:r>
        <w:t>not an unbiased</w:t>
      </w:r>
      <w:proofErr w:type="gramEnd"/>
      <w:r>
        <w:t xml:space="preserve"> predictor of the future spot rate and that it does pay to use resources to attempt to forecast exchange rates.</w:t>
      </w:r>
    </w:p>
    <w:sectPr w:rsidR="00FE5F37" w:rsidSect="00B57AA0">
      <w:headerReference w:type="even" r:id="rId22"/>
      <w:headerReference w:type="default" r:id="rId23"/>
      <w:footerReference w:type="even" r:id="rId24"/>
      <w:footerReference w:type="default" r:id="rId25"/>
      <w:footerReference w:type="first" r:id="rId26"/>
      <w:pgSz w:w="12240" w:h="15840" w:code="1"/>
      <w:pgMar w:top="1008" w:right="1008" w:bottom="1008" w:left="1800" w:header="1008" w:footer="720" w:gutter="0"/>
      <w:pgNumType w:start="35"/>
      <w:cols w:space="720"/>
      <w:titlePg/>
      <w:docGrid w:linePitch="2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DB4" w:rsidRDefault="00E30DB4">
      <w:r>
        <w:separator/>
      </w:r>
    </w:p>
  </w:endnote>
  <w:endnote w:type="continuationSeparator" w:id="0">
    <w:p w:rsidR="00E30DB4" w:rsidRDefault="00E30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5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22C" w:rsidRDefault="00FE5F37">
    <w:pPr>
      <w:pStyle w:val="Footer"/>
      <w:pBdr>
        <w:top w:val="single" w:sz="4" w:space="1" w:color="auto"/>
      </w:pBdr>
      <w:spacing w:before="360"/>
      <w:jc w:val="center"/>
      <w:rPr>
        <w:rFonts w:ascii="Times" w:hAnsi="Times"/>
        <w:sz w:val="18"/>
      </w:rPr>
    </w:pPr>
    <w:r>
      <w:rPr>
        <w:rFonts w:ascii="Times" w:hAnsi="Times"/>
        <w:sz w:val="18"/>
      </w:rPr>
      <w:t>© 201</w:t>
    </w:r>
    <w:r w:rsidR="001B7AED">
      <w:rPr>
        <w:rFonts w:ascii="Times" w:hAnsi="Times"/>
        <w:sz w:val="18"/>
      </w:rPr>
      <w:t>5</w:t>
    </w:r>
    <w:r>
      <w:rPr>
        <w:rFonts w:ascii="Times" w:hAnsi="Times"/>
        <w:sz w:val="18"/>
      </w:rPr>
      <w:t xml:space="preserve"> Pearson Education, Inc.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22C" w:rsidRDefault="00FE5F37">
    <w:pPr>
      <w:pStyle w:val="Footer"/>
      <w:pBdr>
        <w:top w:val="single" w:sz="4" w:space="1" w:color="auto"/>
      </w:pBdr>
      <w:spacing w:before="360"/>
      <w:jc w:val="center"/>
      <w:rPr>
        <w:rFonts w:ascii="Times" w:hAnsi="Times"/>
        <w:sz w:val="18"/>
      </w:rPr>
    </w:pPr>
    <w:r>
      <w:rPr>
        <w:rFonts w:ascii="Times" w:hAnsi="Times"/>
        <w:sz w:val="18"/>
      </w:rPr>
      <w:t>© 201</w:t>
    </w:r>
    <w:r w:rsidR="001B7AED">
      <w:rPr>
        <w:rFonts w:ascii="Times" w:hAnsi="Times"/>
        <w:sz w:val="18"/>
      </w:rPr>
      <w:t>5</w:t>
    </w:r>
    <w:r>
      <w:rPr>
        <w:rFonts w:ascii="Times" w:hAnsi="Times"/>
        <w:sz w:val="18"/>
      </w:rPr>
      <w:t xml:space="preserve"> Pearson Education, Inc.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22C" w:rsidRDefault="00FE5F37">
    <w:pPr>
      <w:pStyle w:val="Footer"/>
      <w:pBdr>
        <w:top w:val="single" w:sz="4" w:space="1" w:color="auto"/>
      </w:pBdr>
      <w:spacing w:before="360"/>
      <w:jc w:val="center"/>
      <w:rPr>
        <w:rFonts w:ascii="Times" w:hAnsi="Times"/>
        <w:sz w:val="18"/>
      </w:rPr>
    </w:pPr>
    <w:r>
      <w:rPr>
        <w:rFonts w:ascii="Times" w:hAnsi="Times"/>
        <w:sz w:val="18"/>
      </w:rPr>
      <w:t>© 201</w:t>
    </w:r>
    <w:r w:rsidR="001B7AED">
      <w:rPr>
        <w:rFonts w:ascii="Times" w:hAnsi="Times"/>
        <w:sz w:val="18"/>
      </w:rPr>
      <w:t>5</w:t>
    </w:r>
    <w:r>
      <w:rPr>
        <w:rFonts w:ascii="Times" w:hAnsi="Times"/>
        <w:sz w:val="18"/>
      </w:rPr>
      <w:t xml:space="preserve"> Pearson Education, Inc.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DB4" w:rsidRDefault="00E30DB4">
      <w:r>
        <w:separator/>
      </w:r>
    </w:p>
  </w:footnote>
  <w:footnote w:type="continuationSeparator" w:id="0">
    <w:p w:rsidR="00E30DB4" w:rsidRDefault="00E30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22C" w:rsidRDefault="00FE5F37">
    <w:pPr>
      <w:pStyle w:val="VersoHeader"/>
    </w:pPr>
    <w:r>
      <w:rPr>
        <w:rStyle w:val="PageNumber"/>
      </w:rPr>
      <w:fldChar w:fldCharType="begin"/>
    </w:r>
    <w:r>
      <w:rPr>
        <w:rStyle w:val="PageNumber"/>
      </w:rPr>
      <w:instrText xml:space="preserve"> PAGE </w:instrText>
    </w:r>
    <w:r>
      <w:rPr>
        <w:rStyle w:val="PageNumber"/>
      </w:rPr>
      <w:fldChar w:fldCharType="separate"/>
    </w:r>
    <w:r w:rsidR="00B57AA0">
      <w:rPr>
        <w:rStyle w:val="PageNumber"/>
        <w:noProof/>
      </w:rPr>
      <w:t>38</w:t>
    </w:r>
    <w:r>
      <w:rPr>
        <w:rStyle w:val="PageNumber"/>
      </w:rPr>
      <w:fldChar w:fldCharType="end"/>
    </w:r>
    <w:r>
      <w:t> </w:t>
    </w:r>
    <w:r>
      <w:t> </w:t>
    </w:r>
    <w:r>
      <w:t>Moffett</w:t>
    </w:r>
    <w:r>
      <w:rPr>
        <w:rFonts w:cs="Arial"/>
        <w:color w:val="000000"/>
      </w:rPr>
      <w:t>/</w:t>
    </w:r>
    <w:proofErr w:type="spellStart"/>
    <w:r>
      <w:rPr>
        <w:rFonts w:cs="Arial"/>
        <w:color w:val="000000"/>
      </w:rPr>
      <w:t>Stonehill</w:t>
    </w:r>
    <w:proofErr w:type="spellEnd"/>
    <w:r>
      <w:rPr>
        <w:rFonts w:cs="Arial"/>
        <w:color w:val="000000"/>
      </w:rPr>
      <w:t>/</w:t>
    </w:r>
    <w:proofErr w:type="spellStart"/>
    <w:r>
      <w:rPr>
        <w:rFonts w:cs="Arial"/>
        <w:color w:val="000000"/>
      </w:rPr>
      <w:t>Eiteman</w:t>
    </w:r>
    <w:proofErr w:type="spellEnd"/>
    <w:r>
      <w:t> </w:t>
    </w:r>
    <w:r>
      <w:t>•</w:t>
    </w:r>
    <w:r>
      <w:t> </w:t>
    </w:r>
    <w:r>
      <w:rPr>
        <w:i/>
        <w:iCs/>
      </w:rPr>
      <w:t>Fundamentals of Multinational Finance,</w:t>
    </w:r>
    <w:r>
      <w:rPr>
        <w:i/>
      </w:rPr>
      <w:t xml:space="preserve"> </w:t>
    </w:r>
    <w:r>
      <w:t>F</w:t>
    </w:r>
    <w:r w:rsidR="00C40BF4">
      <w:t>if</w:t>
    </w:r>
    <w:r>
      <w:t>th Edition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22C" w:rsidRDefault="00FE5F37">
    <w:pPr>
      <w:pStyle w:val="RectoHeader"/>
    </w:pPr>
    <w:r>
      <w:t xml:space="preserve">Chapter </w:t>
    </w:r>
    <w:r w:rsidR="00C40BF4">
      <w:t>6</w:t>
    </w:r>
    <w:r>
      <w:t> </w:t>
    </w:r>
    <w:r>
      <w:rPr>
        <w:smallCaps/>
        <w:szCs w:val="36"/>
      </w:rPr>
      <w:t>I</w:t>
    </w:r>
    <w:r>
      <w:rPr>
        <w:szCs w:val="36"/>
      </w:rPr>
      <w:t>nternational Parity Conditions</w:t>
    </w:r>
    <w:r>
      <w:t> </w:t>
    </w:r>
    <w:r>
      <w:t> </w:t>
    </w:r>
    <w:r>
      <w:rPr>
        <w:rStyle w:val="PageNumber"/>
      </w:rPr>
      <w:fldChar w:fldCharType="begin"/>
    </w:r>
    <w:r>
      <w:rPr>
        <w:rStyle w:val="PageNumber"/>
      </w:rPr>
      <w:instrText xml:space="preserve"> PAGE </w:instrText>
    </w:r>
    <w:r>
      <w:rPr>
        <w:rStyle w:val="PageNumber"/>
      </w:rPr>
      <w:fldChar w:fldCharType="separate"/>
    </w:r>
    <w:r w:rsidR="00B57AA0">
      <w:rPr>
        <w:rStyle w:val="PageNumber"/>
      </w:rPr>
      <w:t>39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494B07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B4EEAEF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38DA6680"/>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4B2E9DAC"/>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6F8601C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4DC886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5A4AC2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5001EB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E14A06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9EE309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1"/>
    <w:lvl w:ilvl="0">
      <w:start w:val="1"/>
      <w:numFmt w:val="lowerLetter"/>
      <w:suff w:val="nothing"/>
      <w:lvlText w:val="%1."/>
      <w:lvlJc w:val="left"/>
      <w:rPr>
        <w:rFonts w:cs="Times New Roman"/>
      </w:rPr>
    </w:lvl>
  </w:abstractNum>
  <w:abstractNum w:abstractNumId="11">
    <w:nsid w:val="01F666CE"/>
    <w:multiLevelType w:val="hybridMultilevel"/>
    <w:tmpl w:val="C2AE2706"/>
    <w:lvl w:ilvl="0" w:tplc="7CD2096C">
      <w:start w:val="1"/>
      <w:numFmt w:val="upperLetter"/>
      <w:pStyle w:val="OutlineA"/>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nsid w:val="02F81989"/>
    <w:multiLevelType w:val="hybridMultilevel"/>
    <w:tmpl w:val="02D276CE"/>
    <w:lvl w:ilvl="0" w:tplc="5E240388">
      <w:start w:val="1"/>
      <w:numFmt w:val="decimal"/>
      <w:pStyle w:val="Outlline1"/>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3">
    <w:nsid w:val="2F40739D"/>
    <w:multiLevelType w:val="hybridMultilevel"/>
    <w:tmpl w:val="6A548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2201AD"/>
    <w:multiLevelType w:val="hybridMultilevel"/>
    <w:tmpl w:val="EF04107E"/>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55172E"/>
    <w:multiLevelType w:val="multilevel"/>
    <w:tmpl w:val="1136A33C"/>
    <w:lvl w:ilvl="0">
      <w:start w:val="1"/>
      <w:numFmt w:val="none"/>
      <w:pStyle w:val="awTB01questionHead"/>
      <w:suff w:val="nothing"/>
      <w:lvlText w:val="%1"/>
      <w:lvlJc w:val="left"/>
      <w:rPr>
        <w:rFonts w:cs="Times New Roman" w:hint="default"/>
      </w:rPr>
    </w:lvl>
    <w:lvl w:ilvl="1">
      <w:start w:val="1"/>
      <w:numFmt w:val="decimal"/>
      <w:pStyle w:val="MCA"/>
      <w:lvlText w:val="%2."/>
      <w:lvlJc w:val="left"/>
      <w:pPr>
        <w:tabs>
          <w:tab w:val="num" w:pos="547"/>
        </w:tabs>
        <w:ind w:left="547" w:hanging="547"/>
      </w:pPr>
      <w:rPr>
        <w:rFonts w:cs="Times New Roman" w:hint="default"/>
      </w:rPr>
    </w:lvl>
    <w:lvl w:ilvl="2">
      <w:start w:val="1"/>
      <w:numFmt w:val="lowerLetter"/>
      <w:pStyle w:val="awTB03distractor"/>
      <w:lvlText w:val="(%3)"/>
      <w:lvlJc w:val="left"/>
      <w:pPr>
        <w:tabs>
          <w:tab w:val="num" w:pos="907"/>
        </w:tabs>
        <w:ind w:left="907" w:hanging="360"/>
      </w:pPr>
      <w:rPr>
        <w:rFonts w:cs="Times New Roman" w:hint="default"/>
      </w:rPr>
    </w:lvl>
    <w:lvl w:ilvl="3">
      <w:start w:val="1"/>
      <w:numFmt w:val="none"/>
      <w:lvlText w:val="Answer:"/>
      <w:lvlJc w:val="left"/>
      <w:pPr>
        <w:tabs>
          <w:tab w:val="num" w:pos="1987"/>
        </w:tabs>
        <w:ind w:left="1411" w:hanging="864"/>
      </w:pPr>
      <w:rPr>
        <w:rFonts w:ascii="Times New Roman" w:hAnsi="Times New Roman" w:cs="Times New Roman" w:hint="default"/>
        <w:b w:val="0"/>
        <w:i w:val="0"/>
        <w:caps w:val="0"/>
        <w:smallCaps w:val="0"/>
        <w:strike w:val="0"/>
        <w:dstrike w:val="0"/>
        <w:snapToGrid w:val="0"/>
        <w:vanish w:val="0"/>
        <w:spacing w:val="0"/>
        <w:kern w:val="0"/>
        <w:position w:val="0"/>
        <w:u w:val="none"/>
        <w:vertAlign w:val="baseline"/>
      </w:rPr>
    </w:lvl>
    <w:lvl w:ilvl="4">
      <w:start w:val="1"/>
      <w:numFmt w:val="none"/>
      <w:lvlText w:val="(%5)"/>
      <w:lvlJc w:val="left"/>
      <w:pPr>
        <w:tabs>
          <w:tab w:val="num" w:pos="2160"/>
        </w:tabs>
        <w:ind w:left="2160" w:hanging="360"/>
      </w:pPr>
      <w:rPr>
        <w:rFonts w:cs="Times New Roman" w:hint="default"/>
      </w:rPr>
    </w:lvl>
    <w:lvl w:ilvl="5">
      <w:start w:val="1"/>
      <w:numFmt w:val="none"/>
      <w:lvlText w:val="(%6)"/>
      <w:lvlJc w:val="left"/>
      <w:pPr>
        <w:tabs>
          <w:tab w:val="num" w:pos="2520"/>
        </w:tabs>
        <w:ind w:left="2520" w:hanging="360"/>
      </w:pPr>
      <w:rPr>
        <w:rFonts w:cs="Times New Roman" w:hint="default"/>
      </w:rPr>
    </w:lvl>
    <w:lvl w:ilvl="6">
      <w:start w:val="1"/>
      <w:numFmt w:val="none"/>
      <w:lvlText w:val="%7."/>
      <w:lvlJc w:val="left"/>
      <w:pPr>
        <w:tabs>
          <w:tab w:val="num" w:pos="2880"/>
        </w:tabs>
        <w:ind w:left="2880" w:hanging="360"/>
      </w:pPr>
      <w:rPr>
        <w:rFonts w:cs="Times New Roman" w:hint="default"/>
      </w:rPr>
    </w:lvl>
    <w:lvl w:ilvl="7">
      <w:start w:val="1"/>
      <w:numFmt w:val="none"/>
      <w:lvlText w:val="%8."/>
      <w:lvlJc w:val="left"/>
      <w:pPr>
        <w:tabs>
          <w:tab w:val="num" w:pos="3240"/>
        </w:tabs>
        <w:ind w:left="3240" w:hanging="360"/>
      </w:pPr>
      <w:rPr>
        <w:rFonts w:cs="Times New Roman" w:hint="default"/>
      </w:rPr>
    </w:lvl>
    <w:lvl w:ilvl="8">
      <w:start w:val="1"/>
      <w:numFmt w:val="none"/>
      <w:lvlText w:val="%9."/>
      <w:lvlJc w:val="left"/>
      <w:pPr>
        <w:tabs>
          <w:tab w:val="num" w:pos="3600"/>
        </w:tabs>
        <w:ind w:left="3600" w:hanging="360"/>
      </w:pPr>
      <w:rPr>
        <w:rFonts w:cs="Times New Roman" w:hint="default"/>
      </w:rPr>
    </w:lvl>
  </w:abstractNum>
  <w:abstractNum w:abstractNumId="16">
    <w:nsid w:val="70803C3A"/>
    <w:multiLevelType w:val="multilevel"/>
    <w:tmpl w:val="AFB09CF2"/>
    <w:lvl w:ilvl="0">
      <w:start w:val="1"/>
      <w:numFmt w:val="decimal"/>
      <w:lvlText w:val="%1."/>
      <w:lvlJc w:val="left"/>
      <w:pPr>
        <w:tabs>
          <w:tab w:val="num" w:pos="360"/>
        </w:tabs>
      </w:pPr>
      <w:rPr>
        <w:rFonts w:cs="Times New Roman" w:hint="default"/>
      </w:rPr>
    </w:lvl>
    <w:lvl w:ilvl="1">
      <w:start w:val="1"/>
      <w:numFmt w:val="lowerLetter"/>
      <w:lvlText w:val="%2)"/>
      <w:lvlJc w:val="left"/>
      <w:pPr>
        <w:tabs>
          <w:tab w:val="num" w:pos="1080"/>
        </w:tabs>
        <w:ind w:left="720"/>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7">
    <w:nsid w:val="796A1FDB"/>
    <w:multiLevelType w:val="hybridMultilevel"/>
    <w:tmpl w:val="4ED6CA92"/>
    <w:lvl w:ilvl="0" w:tplc="F1C261AE">
      <w:start w:val="1"/>
      <w:numFmt w:val="upperRoman"/>
      <w:pStyle w:val="OutlineI"/>
      <w:lvlText w:val="%1."/>
      <w:lvlJc w:val="righ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9"/>
  </w:num>
  <w:num w:numId="2">
    <w:abstractNumId w:val="9"/>
  </w:num>
  <w:num w:numId="3">
    <w:abstractNumId w:val="9"/>
  </w:num>
  <w:num w:numId="4">
    <w:abstractNumId w:val="16"/>
  </w:num>
  <w:num w:numId="5">
    <w:abstractNumId w:val="9"/>
  </w:num>
  <w:num w:numId="6">
    <w:abstractNumId w:val="15"/>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5"/>
  </w:num>
  <w:num w:numId="18">
    <w:abstractNumId w:val="15"/>
  </w:num>
  <w:num w:numId="19">
    <w:abstractNumId w:val="15"/>
  </w:num>
  <w:num w:numId="20">
    <w:abstractNumId w:val="15"/>
  </w:num>
  <w:num w:numId="21">
    <w:abstractNumId w:val="15"/>
  </w:num>
  <w:num w:numId="22">
    <w:abstractNumId w:val="9"/>
  </w:num>
  <w:num w:numId="23">
    <w:abstractNumId w:val="16"/>
  </w:num>
  <w:num w:numId="24">
    <w:abstractNumId w:val="15"/>
  </w:num>
  <w:num w:numId="25">
    <w:abstractNumId w:val="15"/>
  </w:num>
  <w:num w:numId="26">
    <w:abstractNumId w:val="15"/>
  </w:num>
  <w:num w:numId="27">
    <w:abstractNumId w:val="15"/>
  </w:num>
  <w:num w:numId="28">
    <w:abstractNumId w:val="9"/>
  </w:num>
  <w:num w:numId="29">
    <w:abstractNumId w:val="16"/>
  </w:num>
  <w:num w:numId="30">
    <w:abstractNumId w:val="13"/>
  </w:num>
  <w:num w:numId="31">
    <w:abstractNumId w:val="14"/>
  </w:num>
  <w:num w:numId="32">
    <w:abstractNumId w:val="11"/>
  </w:num>
  <w:num w:numId="33">
    <w:abstractNumId w:val="12"/>
  </w:num>
  <w:num w:numId="34">
    <w:abstractNumId w:val="17"/>
  </w:num>
  <w:num w:numId="35">
    <w:abstractNumId w:val="11"/>
    <w:lvlOverride w:ilvl="0">
      <w:startOverride w:val="1"/>
    </w:lvlOverride>
  </w:num>
  <w:num w:numId="36">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mirrorMargins/>
  <w:proofState w:spelling="clean" w:grammar="clean"/>
  <w:doNotTrackFormatting/>
  <w:defaultTabStop w:val="720"/>
  <w:evenAndOddHeaders/>
  <w:drawingGridHorizontalSpacing w:val="75"/>
  <w:drawingGridVerticalSpacing w:val="102"/>
  <w:displayHorizontalDrawingGridEvery w:val="0"/>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hapterid" w:val="30317"/>
    <w:docVar w:name="projectid" w:val="3143"/>
    <w:docVar w:name="projectname" w:val="BSP_moffett_fund_multintl_fin_im_4e"/>
    <w:docVar w:name="RAP_URL" w:val="http://writerap.pearson.com/pena"/>
    <w:docVar w:name="rapVersion" w:val="2"/>
    <w:docVar w:name="saved" w:val="0"/>
    <w:docVar w:name="templateID" w:val="159"/>
    <w:docVar w:name="templateName" w:val="-- NO TEMPLATE --"/>
    <w:docVar w:name="wrToolbarVersion" w:val="2010/03/17"/>
  </w:docVars>
  <w:rsids>
    <w:rsidRoot w:val="00062EB9"/>
    <w:rsid w:val="00062EB9"/>
    <w:rsid w:val="001474F4"/>
    <w:rsid w:val="001833CD"/>
    <w:rsid w:val="001B7AED"/>
    <w:rsid w:val="00292F3C"/>
    <w:rsid w:val="002C40F9"/>
    <w:rsid w:val="003E2A52"/>
    <w:rsid w:val="0063687C"/>
    <w:rsid w:val="006E7CB1"/>
    <w:rsid w:val="0076633E"/>
    <w:rsid w:val="0095622C"/>
    <w:rsid w:val="00B57AA0"/>
    <w:rsid w:val="00C40BF4"/>
    <w:rsid w:val="00CB51C7"/>
    <w:rsid w:val="00E30DB4"/>
    <w:rsid w:val="00E3604D"/>
    <w:rsid w:val="00F247FA"/>
    <w:rsid w:val="00FE5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ocked/>
    <w:rPr>
      <w:rFonts w:ascii="Cambria" w:hAnsi="Cambria" w:cs="Times New Roman"/>
      <w:b/>
      <w:bCs/>
      <w:kern w:val="32"/>
      <w:sz w:val="32"/>
      <w:szCs w:val="32"/>
    </w:rPr>
  </w:style>
  <w:style w:type="character" w:customStyle="1" w:styleId="Heading2Char">
    <w:name w:val="Heading 2 Char"/>
    <w:basedOn w:val="DefaultParagraphFont"/>
    <w:semiHidden/>
    <w:locked/>
    <w:rPr>
      <w:rFonts w:ascii="Cambria" w:hAnsi="Cambria" w:cs="Times New Roman"/>
      <w:b/>
      <w:bCs/>
      <w:i/>
      <w:iCs/>
      <w:sz w:val="28"/>
      <w:szCs w:val="28"/>
    </w:rPr>
  </w:style>
  <w:style w:type="character" w:customStyle="1" w:styleId="Heading3Char">
    <w:name w:val="Heading 3 Char"/>
    <w:basedOn w:val="DefaultParagraphFont"/>
    <w:semiHidden/>
    <w:locked/>
    <w:rPr>
      <w:rFonts w:ascii="Cambria" w:hAnsi="Cambria" w:cs="Times New Roman"/>
      <w:b/>
      <w:bCs/>
      <w:sz w:val="26"/>
      <w:szCs w:val="26"/>
    </w:rPr>
  </w:style>
  <w:style w:type="character" w:customStyle="1" w:styleId="Heading4Char">
    <w:name w:val="Heading 4 Char"/>
    <w:basedOn w:val="DefaultParagraphFont"/>
    <w:semiHidden/>
    <w:locked/>
    <w:rPr>
      <w:rFonts w:ascii="Calibri" w:hAnsi="Calibri" w:cs="Times New Roman"/>
      <w:b/>
      <w:bCs/>
      <w:sz w:val="28"/>
      <w:szCs w:val="28"/>
    </w:rPr>
  </w:style>
  <w:style w:type="character" w:customStyle="1" w:styleId="Heading5Char">
    <w:name w:val="Heading 5 Char"/>
    <w:basedOn w:val="DefaultParagraphFont"/>
    <w:semiHidden/>
    <w:locked/>
    <w:rPr>
      <w:rFonts w:ascii="Calibri" w:hAnsi="Calibri" w:cs="Times New Roman"/>
      <w:b/>
      <w:bCs/>
      <w:i/>
      <w:iCs/>
      <w:sz w:val="26"/>
      <w:szCs w:val="26"/>
    </w:rPr>
  </w:style>
  <w:style w:type="character" w:customStyle="1" w:styleId="Heading6Char">
    <w:name w:val="Heading 6 Char"/>
    <w:basedOn w:val="DefaultParagraphFont"/>
    <w:semiHidden/>
    <w:locked/>
    <w:rPr>
      <w:rFonts w:ascii="Calibri" w:hAnsi="Calibri" w:cs="Times New Roman"/>
      <w:b/>
      <w:bCs/>
    </w:rPr>
  </w:style>
  <w:style w:type="character" w:customStyle="1" w:styleId="Heading7Char">
    <w:name w:val="Heading 7 Char"/>
    <w:basedOn w:val="DefaultParagraphFont"/>
    <w:semiHidden/>
    <w:locked/>
    <w:rPr>
      <w:rFonts w:ascii="Calibri" w:hAnsi="Calibri" w:cs="Times New Roman"/>
      <w:sz w:val="24"/>
      <w:szCs w:val="24"/>
    </w:rPr>
  </w:style>
  <w:style w:type="character" w:customStyle="1" w:styleId="Heading8Char">
    <w:name w:val="Heading 8 Char"/>
    <w:basedOn w:val="DefaultParagraphFont"/>
    <w:semiHidden/>
    <w:locked/>
    <w:rPr>
      <w:rFonts w:ascii="Calibri" w:hAnsi="Calibri" w:cs="Times New Roman"/>
      <w:i/>
      <w:iCs/>
      <w:sz w:val="24"/>
      <w:szCs w:val="24"/>
    </w:rPr>
  </w:style>
  <w:style w:type="character" w:customStyle="1" w:styleId="Heading9Char">
    <w:name w:val="Heading 9 Char"/>
    <w:basedOn w:val="DefaultParagraphFont"/>
    <w:semiHidden/>
    <w:locked/>
    <w:rPr>
      <w:rFonts w:ascii="Cambria" w:hAnsi="Cambria" w:cs="Times New Roman"/>
    </w:rPr>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26"/>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tabs>
        <w:tab w:val="num" w:pos="547"/>
        <w:tab w:val="left" w:pos="640"/>
      </w:tabs>
      <w:spacing w:before="200" w:after="60"/>
      <w:ind w:left="547" w:hanging="547"/>
      <w:outlineLvl w:val="2"/>
    </w:pPr>
    <w:rPr>
      <w:rFonts w:ascii="Times" w:hAnsi="Times"/>
      <w:sz w:val="22"/>
    </w:rPr>
  </w:style>
  <w:style w:type="paragraph" w:customStyle="1" w:styleId="awTB03distractor">
    <w:name w:val="awTB_03_distractor"/>
    <w:basedOn w:val="Normal"/>
    <w:pPr>
      <w:keepNext/>
      <w:keepLines/>
      <w:numPr>
        <w:ilvl w:val="2"/>
        <w:numId w:val="24"/>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24"/>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character" w:customStyle="1" w:styleId="HeaderChar">
    <w:name w:val="Header Char"/>
    <w:basedOn w:val="DefaultParagraphFont"/>
    <w:semiHidden/>
    <w:locked/>
    <w:rPr>
      <w:rFonts w:cs="Times New Roman"/>
      <w:sz w:val="20"/>
      <w:szCs w:val="20"/>
    </w:rPr>
  </w:style>
  <w:style w:type="paragraph" w:styleId="Footer">
    <w:name w:val="footer"/>
    <w:basedOn w:val="Normal"/>
    <w:semiHidden/>
    <w:pPr>
      <w:tabs>
        <w:tab w:val="center" w:pos="4320"/>
        <w:tab w:val="right" w:pos="8640"/>
      </w:tabs>
    </w:pPr>
  </w:style>
  <w:style w:type="character" w:customStyle="1" w:styleId="FooterChar">
    <w:name w:val="Footer Char"/>
    <w:basedOn w:val="DefaultParagraphFont"/>
    <w:semiHidden/>
    <w:locked/>
    <w:rPr>
      <w:rFonts w:cs="Times New Roman"/>
      <w:sz w:val="20"/>
      <w:szCs w:val="20"/>
    </w:r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character" w:customStyle="1" w:styleId="BodyTextIndentChar">
    <w:name w:val="Body Text Indent Char"/>
    <w:basedOn w:val="DefaultParagraphFont"/>
    <w:semiHidden/>
    <w:locked/>
    <w:rPr>
      <w:rFonts w:cs="Times New Roman"/>
      <w:sz w:val="20"/>
      <w:szCs w:val="20"/>
    </w:rPr>
  </w:style>
  <w:style w:type="paragraph" w:customStyle="1" w:styleId="Problemlist1">
    <w:name w:val="Problem_list1"/>
    <w:basedOn w:val="awTB02question"/>
    <w:pPr>
      <w:tabs>
        <w:tab w:val="clear" w:pos="547"/>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pPr>
      <w:keepLines/>
      <w:tabs>
        <w:tab w:val="left" w:pos="825"/>
      </w:tabs>
      <w:spacing w:after="40"/>
      <w:ind w:left="825" w:hanging="375"/>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character" w:customStyle="1" w:styleId="BodyTextChar">
    <w:name w:val="Body Text Char"/>
    <w:basedOn w:val="DefaultParagraphFont"/>
    <w:semiHidden/>
    <w:locked/>
    <w:rPr>
      <w:rFonts w:cs="Times New Roman"/>
      <w:sz w:val="20"/>
      <w:szCs w:val="20"/>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Web"/>
    <w:pPr>
      <w:keepNext/>
      <w:tabs>
        <w:tab w:val="left" w:pos="3600"/>
        <w:tab w:val="left" w:pos="9000"/>
      </w:tabs>
      <w:spacing w:before="120" w:after="120"/>
      <w:jc w:val="center"/>
    </w:pPr>
    <w:rPr>
      <w:rFonts w:ascii="Times" w:hAnsi="Times"/>
      <w:i/>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character" w:customStyle="1" w:styleId="TitleChar">
    <w:name w:val="Title Char"/>
    <w:basedOn w:val="DefaultParagraphFont"/>
    <w:locked/>
    <w:rPr>
      <w:rFonts w:ascii="Cambria" w:hAnsi="Cambria" w:cs="Times New Roman"/>
      <w:b/>
      <w:bCs/>
      <w:kern w:val="28"/>
      <w:sz w:val="32"/>
      <w:szCs w:val="32"/>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character" w:customStyle="1" w:styleId="BodyTextIndent2Char">
    <w:name w:val="Body Text Indent 2 Char"/>
    <w:basedOn w:val="DefaultParagraphFont"/>
    <w:semiHidden/>
    <w:locked/>
    <w:rPr>
      <w:rFonts w:cs="Times New Roman"/>
      <w:sz w:val="20"/>
      <w:szCs w:val="20"/>
    </w:r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customStyle="1" w:styleId="BodyTextIndent3Char">
    <w:name w:val="Body Text Indent 3 Char"/>
    <w:basedOn w:val="DefaultParagraphFont"/>
    <w:semiHidden/>
    <w:locked/>
    <w:rPr>
      <w:rFonts w:cs="Times New Roman"/>
      <w:sz w:val="16"/>
      <w:szCs w:val="16"/>
    </w:r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character" w:customStyle="1" w:styleId="BalloonTextChar">
    <w:name w:val="Balloon Text Char"/>
    <w:basedOn w:val="DefaultParagraphFont"/>
    <w:semiHidden/>
    <w:locked/>
    <w:rPr>
      <w:rFonts w:cs="Times New Roman"/>
      <w:sz w:val="2"/>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spacing w:before="120"/>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clear" w:pos="825"/>
        <w:tab w:val="left" w:pos="821"/>
        <w:tab w:val="left" w:pos="1200"/>
      </w:tabs>
      <w:ind w:left="1200" w:hanging="754"/>
    </w:pPr>
  </w:style>
  <w:style w:type="character" w:styleId="PlaceholderText">
    <w:name w:val="Placeholder Text"/>
    <w:basedOn w:val="DefaultParagraphFont"/>
    <w:uiPriority w:val="99"/>
    <w:semiHidden/>
    <w:rsid w:val="001833CD"/>
    <w:rPr>
      <w:color w:val="808080"/>
    </w:rPr>
  </w:style>
  <w:style w:type="paragraph" w:customStyle="1" w:styleId="OutlineI">
    <w:name w:val="Outline_I"/>
    <w:basedOn w:val="Normal"/>
    <w:qFormat/>
    <w:rsid w:val="006E7CB1"/>
    <w:pPr>
      <w:numPr>
        <w:numId w:val="34"/>
      </w:numPr>
      <w:spacing w:before="60"/>
      <w:ind w:left="1170"/>
    </w:pPr>
    <w:rPr>
      <w:rFonts w:ascii="Times" w:eastAsiaTheme="minorHAnsi" w:hAnsi="Times" w:cs="Times"/>
      <w:sz w:val="22"/>
      <w:szCs w:val="24"/>
    </w:rPr>
  </w:style>
  <w:style w:type="paragraph" w:customStyle="1" w:styleId="OutlineA">
    <w:name w:val="Outline_A"/>
    <w:basedOn w:val="Normal"/>
    <w:qFormat/>
    <w:rsid w:val="006E7CB1"/>
    <w:pPr>
      <w:numPr>
        <w:numId w:val="32"/>
      </w:numPr>
      <w:spacing w:before="60"/>
      <w:ind w:left="1526"/>
    </w:pPr>
    <w:rPr>
      <w:rFonts w:ascii="Times" w:eastAsiaTheme="minorHAnsi" w:hAnsi="Times" w:cs="Times"/>
      <w:sz w:val="22"/>
      <w:szCs w:val="24"/>
    </w:rPr>
  </w:style>
  <w:style w:type="paragraph" w:customStyle="1" w:styleId="Outlline1">
    <w:name w:val="Outlline_1"/>
    <w:basedOn w:val="Normal"/>
    <w:qFormat/>
    <w:rsid w:val="006E7CB1"/>
    <w:pPr>
      <w:numPr>
        <w:numId w:val="33"/>
      </w:numPr>
      <w:spacing w:before="60"/>
    </w:pPr>
    <w:rPr>
      <w:rFonts w:ascii="Times" w:eastAsiaTheme="minorHAnsi" w:hAnsi="Times" w:cs="Times"/>
      <w:sz w:val="22"/>
      <w:szCs w:val="24"/>
    </w:rPr>
  </w:style>
  <w:style w:type="paragraph" w:customStyle="1" w:styleId="MCQAnswer">
    <w:name w:val="MCQ_Answer"/>
    <w:basedOn w:val="Normal"/>
    <w:qFormat/>
    <w:rsid w:val="006E7CB1"/>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6E7CB1"/>
    <w:pPr>
      <w:spacing w:after="60"/>
      <w:ind w:left="705" w:hanging="259"/>
    </w:pPr>
    <w:rPr>
      <w:rFonts w:ascii="Arial Narrow" w:hAnsi="Arial Narrow"/>
      <w:sz w:val="22"/>
      <w:szCs w:val="24"/>
    </w:rPr>
  </w:style>
  <w:style w:type="paragraph" w:customStyle="1" w:styleId="LearningObjectives">
    <w:name w:val="LearningObjectives"/>
    <w:basedOn w:val="Normal"/>
    <w:qFormat/>
    <w:rsid w:val="006E7CB1"/>
    <w:pPr>
      <w:spacing w:before="120" w:line="259" w:lineRule="auto"/>
      <w:ind w:left="720" w:hanging="360"/>
    </w:pPr>
    <w:rPr>
      <w:rFonts w:ascii="Times" w:eastAsiaTheme="minorHAnsi" w:hAnsi="Times" w:cs="Times"/>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ocked/>
    <w:rPr>
      <w:rFonts w:ascii="Cambria" w:hAnsi="Cambria" w:cs="Times New Roman"/>
      <w:b/>
      <w:bCs/>
      <w:kern w:val="32"/>
      <w:sz w:val="32"/>
      <w:szCs w:val="32"/>
    </w:rPr>
  </w:style>
  <w:style w:type="character" w:customStyle="1" w:styleId="Heading2Char">
    <w:name w:val="Heading 2 Char"/>
    <w:basedOn w:val="DefaultParagraphFont"/>
    <w:semiHidden/>
    <w:locked/>
    <w:rPr>
      <w:rFonts w:ascii="Cambria" w:hAnsi="Cambria" w:cs="Times New Roman"/>
      <w:b/>
      <w:bCs/>
      <w:i/>
      <w:iCs/>
      <w:sz w:val="28"/>
      <w:szCs w:val="28"/>
    </w:rPr>
  </w:style>
  <w:style w:type="character" w:customStyle="1" w:styleId="Heading3Char">
    <w:name w:val="Heading 3 Char"/>
    <w:basedOn w:val="DefaultParagraphFont"/>
    <w:semiHidden/>
    <w:locked/>
    <w:rPr>
      <w:rFonts w:ascii="Cambria" w:hAnsi="Cambria" w:cs="Times New Roman"/>
      <w:b/>
      <w:bCs/>
      <w:sz w:val="26"/>
      <w:szCs w:val="26"/>
    </w:rPr>
  </w:style>
  <w:style w:type="character" w:customStyle="1" w:styleId="Heading4Char">
    <w:name w:val="Heading 4 Char"/>
    <w:basedOn w:val="DefaultParagraphFont"/>
    <w:semiHidden/>
    <w:locked/>
    <w:rPr>
      <w:rFonts w:ascii="Calibri" w:hAnsi="Calibri" w:cs="Times New Roman"/>
      <w:b/>
      <w:bCs/>
      <w:sz w:val="28"/>
      <w:szCs w:val="28"/>
    </w:rPr>
  </w:style>
  <w:style w:type="character" w:customStyle="1" w:styleId="Heading5Char">
    <w:name w:val="Heading 5 Char"/>
    <w:basedOn w:val="DefaultParagraphFont"/>
    <w:semiHidden/>
    <w:locked/>
    <w:rPr>
      <w:rFonts w:ascii="Calibri" w:hAnsi="Calibri" w:cs="Times New Roman"/>
      <w:b/>
      <w:bCs/>
      <w:i/>
      <w:iCs/>
      <w:sz w:val="26"/>
      <w:szCs w:val="26"/>
    </w:rPr>
  </w:style>
  <w:style w:type="character" w:customStyle="1" w:styleId="Heading6Char">
    <w:name w:val="Heading 6 Char"/>
    <w:basedOn w:val="DefaultParagraphFont"/>
    <w:semiHidden/>
    <w:locked/>
    <w:rPr>
      <w:rFonts w:ascii="Calibri" w:hAnsi="Calibri" w:cs="Times New Roman"/>
      <w:b/>
      <w:bCs/>
    </w:rPr>
  </w:style>
  <w:style w:type="character" w:customStyle="1" w:styleId="Heading7Char">
    <w:name w:val="Heading 7 Char"/>
    <w:basedOn w:val="DefaultParagraphFont"/>
    <w:semiHidden/>
    <w:locked/>
    <w:rPr>
      <w:rFonts w:ascii="Calibri" w:hAnsi="Calibri" w:cs="Times New Roman"/>
      <w:sz w:val="24"/>
      <w:szCs w:val="24"/>
    </w:rPr>
  </w:style>
  <w:style w:type="character" w:customStyle="1" w:styleId="Heading8Char">
    <w:name w:val="Heading 8 Char"/>
    <w:basedOn w:val="DefaultParagraphFont"/>
    <w:semiHidden/>
    <w:locked/>
    <w:rPr>
      <w:rFonts w:ascii="Calibri" w:hAnsi="Calibri" w:cs="Times New Roman"/>
      <w:i/>
      <w:iCs/>
      <w:sz w:val="24"/>
      <w:szCs w:val="24"/>
    </w:rPr>
  </w:style>
  <w:style w:type="character" w:customStyle="1" w:styleId="Heading9Char">
    <w:name w:val="Heading 9 Char"/>
    <w:basedOn w:val="DefaultParagraphFont"/>
    <w:semiHidden/>
    <w:locked/>
    <w:rPr>
      <w:rFonts w:ascii="Cambria" w:hAnsi="Cambria" w:cs="Times New Roman"/>
    </w:rPr>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26"/>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tabs>
        <w:tab w:val="num" w:pos="547"/>
        <w:tab w:val="left" w:pos="640"/>
      </w:tabs>
      <w:spacing w:before="200" w:after="60"/>
      <w:ind w:left="547" w:hanging="547"/>
      <w:outlineLvl w:val="2"/>
    </w:pPr>
    <w:rPr>
      <w:rFonts w:ascii="Times" w:hAnsi="Times"/>
      <w:sz w:val="22"/>
    </w:rPr>
  </w:style>
  <w:style w:type="paragraph" w:customStyle="1" w:styleId="awTB03distractor">
    <w:name w:val="awTB_03_distractor"/>
    <w:basedOn w:val="Normal"/>
    <w:pPr>
      <w:keepNext/>
      <w:keepLines/>
      <w:numPr>
        <w:ilvl w:val="2"/>
        <w:numId w:val="24"/>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24"/>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character" w:customStyle="1" w:styleId="HeaderChar">
    <w:name w:val="Header Char"/>
    <w:basedOn w:val="DefaultParagraphFont"/>
    <w:semiHidden/>
    <w:locked/>
    <w:rPr>
      <w:rFonts w:cs="Times New Roman"/>
      <w:sz w:val="20"/>
      <w:szCs w:val="20"/>
    </w:rPr>
  </w:style>
  <w:style w:type="paragraph" w:styleId="Footer">
    <w:name w:val="footer"/>
    <w:basedOn w:val="Normal"/>
    <w:semiHidden/>
    <w:pPr>
      <w:tabs>
        <w:tab w:val="center" w:pos="4320"/>
        <w:tab w:val="right" w:pos="8640"/>
      </w:tabs>
    </w:pPr>
  </w:style>
  <w:style w:type="character" w:customStyle="1" w:styleId="FooterChar">
    <w:name w:val="Footer Char"/>
    <w:basedOn w:val="DefaultParagraphFont"/>
    <w:semiHidden/>
    <w:locked/>
    <w:rPr>
      <w:rFonts w:cs="Times New Roman"/>
      <w:sz w:val="20"/>
      <w:szCs w:val="20"/>
    </w:r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character" w:customStyle="1" w:styleId="BodyTextIndentChar">
    <w:name w:val="Body Text Indent Char"/>
    <w:basedOn w:val="DefaultParagraphFont"/>
    <w:semiHidden/>
    <w:locked/>
    <w:rPr>
      <w:rFonts w:cs="Times New Roman"/>
      <w:sz w:val="20"/>
      <w:szCs w:val="20"/>
    </w:rPr>
  </w:style>
  <w:style w:type="paragraph" w:customStyle="1" w:styleId="Problemlist1">
    <w:name w:val="Problem_list1"/>
    <w:basedOn w:val="awTB02question"/>
    <w:pPr>
      <w:tabs>
        <w:tab w:val="clear" w:pos="547"/>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pPr>
      <w:keepLines/>
      <w:tabs>
        <w:tab w:val="left" w:pos="825"/>
      </w:tabs>
      <w:spacing w:after="40"/>
      <w:ind w:left="825" w:hanging="375"/>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character" w:customStyle="1" w:styleId="BodyTextChar">
    <w:name w:val="Body Text Char"/>
    <w:basedOn w:val="DefaultParagraphFont"/>
    <w:semiHidden/>
    <w:locked/>
    <w:rPr>
      <w:rFonts w:cs="Times New Roman"/>
      <w:sz w:val="20"/>
      <w:szCs w:val="20"/>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Web"/>
    <w:pPr>
      <w:keepNext/>
      <w:tabs>
        <w:tab w:val="left" w:pos="3600"/>
        <w:tab w:val="left" w:pos="9000"/>
      </w:tabs>
      <w:spacing w:before="120" w:after="120"/>
      <w:jc w:val="center"/>
    </w:pPr>
    <w:rPr>
      <w:rFonts w:ascii="Times" w:hAnsi="Times"/>
      <w:i/>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character" w:customStyle="1" w:styleId="TitleChar">
    <w:name w:val="Title Char"/>
    <w:basedOn w:val="DefaultParagraphFont"/>
    <w:locked/>
    <w:rPr>
      <w:rFonts w:ascii="Cambria" w:hAnsi="Cambria" w:cs="Times New Roman"/>
      <w:b/>
      <w:bCs/>
      <w:kern w:val="28"/>
      <w:sz w:val="32"/>
      <w:szCs w:val="32"/>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character" w:customStyle="1" w:styleId="BodyTextIndent2Char">
    <w:name w:val="Body Text Indent 2 Char"/>
    <w:basedOn w:val="DefaultParagraphFont"/>
    <w:semiHidden/>
    <w:locked/>
    <w:rPr>
      <w:rFonts w:cs="Times New Roman"/>
      <w:sz w:val="20"/>
      <w:szCs w:val="20"/>
    </w:r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customStyle="1" w:styleId="BodyTextIndent3Char">
    <w:name w:val="Body Text Indent 3 Char"/>
    <w:basedOn w:val="DefaultParagraphFont"/>
    <w:semiHidden/>
    <w:locked/>
    <w:rPr>
      <w:rFonts w:cs="Times New Roman"/>
      <w:sz w:val="16"/>
      <w:szCs w:val="16"/>
    </w:r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character" w:customStyle="1" w:styleId="BalloonTextChar">
    <w:name w:val="Balloon Text Char"/>
    <w:basedOn w:val="DefaultParagraphFont"/>
    <w:semiHidden/>
    <w:locked/>
    <w:rPr>
      <w:rFonts w:cs="Times New Roman"/>
      <w:sz w:val="2"/>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spacing w:before="120"/>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clear" w:pos="825"/>
        <w:tab w:val="left" w:pos="821"/>
        <w:tab w:val="left" w:pos="1200"/>
      </w:tabs>
      <w:ind w:left="1200" w:hanging="754"/>
    </w:pPr>
  </w:style>
  <w:style w:type="character" w:styleId="PlaceholderText">
    <w:name w:val="Placeholder Text"/>
    <w:basedOn w:val="DefaultParagraphFont"/>
    <w:uiPriority w:val="99"/>
    <w:semiHidden/>
    <w:rsid w:val="001833CD"/>
    <w:rPr>
      <w:color w:val="808080"/>
    </w:rPr>
  </w:style>
  <w:style w:type="paragraph" w:customStyle="1" w:styleId="OutlineI">
    <w:name w:val="Outline_I"/>
    <w:basedOn w:val="Normal"/>
    <w:qFormat/>
    <w:rsid w:val="006E7CB1"/>
    <w:pPr>
      <w:numPr>
        <w:numId w:val="34"/>
      </w:numPr>
      <w:spacing w:before="60"/>
      <w:ind w:left="1170"/>
    </w:pPr>
    <w:rPr>
      <w:rFonts w:ascii="Times" w:eastAsiaTheme="minorHAnsi" w:hAnsi="Times" w:cs="Times"/>
      <w:sz w:val="22"/>
      <w:szCs w:val="24"/>
    </w:rPr>
  </w:style>
  <w:style w:type="paragraph" w:customStyle="1" w:styleId="OutlineA">
    <w:name w:val="Outline_A"/>
    <w:basedOn w:val="Normal"/>
    <w:qFormat/>
    <w:rsid w:val="006E7CB1"/>
    <w:pPr>
      <w:numPr>
        <w:numId w:val="32"/>
      </w:numPr>
      <w:spacing w:before="60"/>
      <w:ind w:left="1526"/>
    </w:pPr>
    <w:rPr>
      <w:rFonts w:ascii="Times" w:eastAsiaTheme="minorHAnsi" w:hAnsi="Times" w:cs="Times"/>
      <w:sz w:val="22"/>
      <w:szCs w:val="24"/>
    </w:rPr>
  </w:style>
  <w:style w:type="paragraph" w:customStyle="1" w:styleId="Outlline1">
    <w:name w:val="Outlline_1"/>
    <w:basedOn w:val="Normal"/>
    <w:qFormat/>
    <w:rsid w:val="006E7CB1"/>
    <w:pPr>
      <w:numPr>
        <w:numId w:val="33"/>
      </w:numPr>
      <w:spacing w:before="60"/>
    </w:pPr>
    <w:rPr>
      <w:rFonts w:ascii="Times" w:eastAsiaTheme="minorHAnsi" w:hAnsi="Times" w:cs="Times"/>
      <w:sz w:val="22"/>
      <w:szCs w:val="24"/>
    </w:rPr>
  </w:style>
  <w:style w:type="paragraph" w:customStyle="1" w:styleId="MCQAnswer">
    <w:name w:val="MCQ_Answer"/>
    <w:basedOn w:val="Normal"/>
    <w:qFormat/>
    <w:rsid w:val="006E7CB1"/>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6E7CB1"/>
    <w:pPr>
      <w:spacing w:after="60"/>
      <w:ind w:left="705" w:hanging="259"/>
    </w:pPr>
    <w:rPr>
      <w:rFonts w:ascii="Arial Narrow" w:hAnsi="Arial Narrow"/>
      <w:sz w:val="22"/>
      <w:szCs w:val="24"/>
    </w:rPr>
  </w:style>
  <w:style w:type="paragraph" w:customStyle="1" w:styleId="LearningObjectives">
    <w:name w:val="LearningObjectives"/>
    <w:basedOn w:val="Normal"/>
    <w:qFormat/>
    <w:rsid w:val="006E7CB1"/>
    <w:pPr>
      <w:spacing w:before="120" w:line="259" w:lineRule="auto"/>
      <w:ind w:left="720" w:hanging="360"/>
    </w:pPr>
    <w:rPr>
      <w:rFonts w:ascii="Times" w:eastAsiaTheme="minorHAnsi" w:hAnsi="Times" w:cs="Time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footer" Target="footer3.xml"/><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header" Target="head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5</Pages>
  <Words>2185</Words>
  <Characters>11659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M06_MOFF9242_03_IM_C06</vt:lpstr>
    </vt:vector>
  </TitlesOfParts>
  <Company>ITC</Company>
  <LinksUpToDate>false</LinksUpToDate>
  <CharactersWithSpaces>13817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M06_MOFF9242_03_IM_C06</dc:title>
  <dc:subject/>
  <dc:creator>Administrator</dc:creator>
  <cp:keywords/>
  <dc:description/>
  <cp:lastModifiedBy>Sheryl Nelson</cp:lastModifiedBy>
  <cp:revision>11</cp:revision>
  <cp:lastPrinted>2011-08-26T22:36:00Z</cp:lastPrinted>
  <dcterms:created xsi:type="dcterms:W3CDTF">2014-07-14T13:22:00Z</dcterms:created>
  <dcterms:modified xsi:type="dcterms:W3CDTF">2014-09-29T15:23:00Z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