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8778D" w14:textId="3A80BEB4" w:rsidR="00EF6A71" w:rsidRPr="005B2F11" w:rsidRDefault="00561063" w:rsidP="00300CE5">
      <w:pPr>
        <w:jc w:val="both"/>
        <w:rPr>
          <w:u w:val="single"/>
        </w:rPr>
      </w:pPr>
      <w:r>
        <w:rPr>
          <w:u w:val="single"/>
        </w:rPr>
        <w:t xml:space="preserve">Task 1: </w:t>
      </w:r>
      <w:r w:rsidR="00EF6A71" w:rsidRPr="005B2F11">
        <w:rPr>
          <w:u w:val="single"/>
        </w:rPr>
        <w:t>Senior Management Report: Evidence Based Practice (EBP) Evaluation.</w:t>
      </w:r>
    </w:p>
    <w:p w14:paraId="2E1F23A1" w14:textId="3C4F2523" w:rsidR="00EF6A71" w:rsidRPr="005B2F11" w:rsidRDefault="00EF6A71" w:rsidP="00300CE5">
      <w:pPr>
        <w:pStyle w:val="ListParagraph"/>
        <w:numPr>
          <w:ilvl w:val="0"/>
          <w:numId w:val="1"/>
        </w:numPr>
        <w:jc w:val="both"/>
      </w:pPr>
      <w:r w:rsidRPr="00EF6A71">
        <w:rPr>
          <w:u w:val="single"/>
        </w:rPr>
        <w:t>Introduction</w:t>
      </w:r>
      <w:r w:rsidRPr="005B2F11">
        <w:t xml:space="preserve"> (AC 1.1)</w:t>
      </w:r>
    </w:p>
    <w:p w14:paraId="7BA6B54C" w14:textId="230C3A69" w:rsidR="00EF6A71" w:rsidRPr="005B2F11" w:rsidRDefault="00EF6A71" w:rsidP="00300CE5">
      <w:pPr>
        <w:jc w:val="both"/>
      </w:pPr>
      <w:r w:rsidRPr="005B2F11">
        <w:t xml:space="preserve">From its beginnings in medicine and success in education, healthcare and management, EBP </w:t>
      </w:r>
      <w:r>
        <w:t xml:space="preserve">now has </w:t>
      </w:r>
      <w:r w:rsidRPr="005B2F11">
        <w:t>increas</w:t>
      </w:r>
      <w:r>
        <w:t>ing</w:t>
      </w:r>
      <w:r w:rsidRPr="005B2F11">
        <w:t xml:space="preserve"> importance within the People Profession</w:t>
      </w:r>
      <w:r w:rsidR="00D44AA9">
        <w:t xml:space="preserve"> </w:t>
      </w:r>
      <w:r w:rsidRPr="005B2F11">
        <w:t>(Baczor 2019-8). EBP is a systematic process (</w:t>
      </w:r>
      <w:r>
        <w:t>Appendix 1-21</w:t>
      </w:r>
      <w:r w:rsidRPr="005B2F11">
        <w:t>) to fully understand “</w:t>
      </w:r>
      <w:r w:rsidRPr="00976F79">
        <w:rPr>
          <w:b/>
          <w:bCs/>
        </w:rPr>
        <w:t>what’s going on and what can we do about it?</w:t>
      </w:r>
      <w:r w:rsidRPr="00976F79">
        <w:t>”</w:t>
      </w:r>
      <w:r w:rsidRPr="005B2F11">
        <w:t xml:space="preserve"> (Briner 2003-1). </w:t>
      </w:r>
    </w:p>
    <w:p w14:paraId="45860E55" w14:textId="6A6FAEB5" w:rsidR="00EF6A71" w:rsidRDefault="00EF6A71" w:rsidP="00300CE5">
      <w:pPr>
        <w:jc w:val="both"/>
      </w:pPr>
      <w:r w:rsidRPr="005B2F11">
        <w:t xml:space="preserve">It would seem commonsense and </w:t>
      </w:r>
      <w:r w:rsidR="00C51A31">
        <w:t>right</w:t>
      </w:r>
      <w:r w:rsidRPr="005B2F11">
        <w:t xml:space="preserve"> that </w:t>
      </w:r>
      <w:r w:rsidR="00965E27">
        <w:t>People Practice</w:t>
      </w:r>
      <w:r w:rsidRPr="005B2F11">
        <w:t xml:space="preserve"> would fully utili</w:t>
      </w:r>
      <w:r>
        <w:t>s</w:t>
      </w:r>
      <w:r w:rsidRPr="005B2F11">
        <w:t>e EBP with all its recogni</w:t>
      </w:r>
      <w:r>
        <w:t>s</w:t>
      </w:r>
      <w:r w:rsidRPr="005B2F11">
        <w:t>ed benefits (</w:t>
      </w:r>
      <w:r>
        <w:t>Appendix 2</w:t>
      </w:r>
      <w:r w:rsidRPr="005B2F11">
        <w:t xml:space="preserve">-10), using evidence from </w:t>
      </w:r>
      <w:r>
        <w:t xml:space="preserve">at least </w:t>
      </w:r>
      <w:r w:rsidRPr="005B2F11">
        <w:t>four sources (</w:t>
      </w:r>
      <w:r>
        <w:t>Appendix 3-</w:t>
      </w:r>
      <w:r w:rsidRPr="005B2F11">
        <w:t>3)</w:t>
      </w:r>
      <w:r>
        <w:t xml:space="preserve">, </w:t>
      </w:r>
      <w:r w:rsidRPr="005B2F11">
        <w:t xml:space="preserve">to ensure </w:t>
      </w:r>
      <w:r>
        <w:t xml:space="preserve">the </w:t>
      </w:r>
      <w:r w:rsidRPr="005B2F11">
        <w:t xml:space="preserve">best possible breadth </w:t>
      </w:r>
      <w:r>
        <w:t xml:space="preserve">and depth </w:t>
      </w:r>
      <w:r w:rsidRPr="005B2F11">
        <w:t xml:space="preserve">of </w:t>
      </w:r>
      <w:r>
        <w:t>material from around the world, not just the UK (</w:t>
      </w:r>
      <w:r w:rsidRPr="002D017B">
        <w:t>Taylor</w:t>
      </w:r>
      <w:r>
        <w:t xml:space="preserve"> </w:t>
      </w:r>
      <w:r w:rsidRPr="002D017B">
        <w:t>and Woodhams</w:t>
      </w:r>
      <w:r>
        <w:t xml:space="preserve"> </w:t>
      </w:r>
      <w:r w:rsidRPr="002D017B">
        <w:t>20</w:t>
      </w:r>
      <w:r>
        <w:t>2</w:t>
      </w:r>
      <w:r w:rsidRPr="002D017B">
        <w:t>2)</w:t>
      </w:r>
      <w:r>
        <w:t xml:space="preserve">, to be able to </w:t>
      </w:r>
      <w:r w:rsidRPr="005B2F11">
        <w:t>triangulate</w:t>
      </w:r>
      <w:r>
        <w:t xml:space="preserve"> and support sound </w:t>
      </w:r>
      <w:r w:rsidRPr="005B2F11">
        <w:t>decision</w:t>
      </w:r>
      <w:r>
        <w:t>-</w:t>
      </w:r>
      <w:r w:rsidRPr="005B2F11">
        <w:t>making</w:t>
      </w:r>
      <w:r>
        <w:t xml:space="preserve"> in the dynamic environment.</w:t>
      </w:r>
    </w:p>
    <w:p w14:paraId="42E0B81B" w14:textId="5822CFEF" w:rsidR="00EF6A71" w:rsidRDefault="00235FA7" w:rsidP="00300CE5">
      <w:pPr>
        <w:jc w:val="both"/>
      </w:pPr>
      <w:r>
        <w:t>A</w:t>
      </w:r>
      <w:r w:rsidR="00EF6A71">
        <w:t xml:space="preserve"> concern</w:t>
      </w:r>
      <w:r w:rsidR="00EF6A71" w:rsidRPr="005B2F11">
        <w:t xml:space="preserve"> </w:t>
      </w:r>
      <w:r w:rsidR="00EF6A71">
        <w:t>is</w:t>
      </w:r>
      <w:r w:rsidR="00965E27">
        <w:t xml:space="preserve"> </w:t>
      </w:r>
      <w:r>
        <w:t xml:space="preserve">People Practice </w:t>
      </w:r>
      <w:r w:rsidR="009F58BD">
        <w:t xml:space="preserve">is </w:t>
      </w:r>
      <w:r w:rsidR="00EF6A71" w:rsidRPr="005B2F11">
        <w:t xml:space="preserve">not fully aware of </w:t>
      </w:r>
      <w:r w:rsidR="00EF6A71">
        <w:t xml:space="preserve">all the different </w:t>
      </w:r>
      <w:r w:rsidR="009F58BD">
        <w:t>information sources</w:t>
      </w:r>
      <w:r w:rsidR="00EF6A71">
        <w:t xml:space="preserve">, particularly </w:t>
      </w:r>
      <w:r w:rsidR="00EF6A71" w:rsidRPr="005B2F11">
        <w:t>from academi</w:t>
      </w:r>
      <w:r w:rsidR="00EF6A71">
        <w:t xml:space="preserve">a </w:t>
      </w:r>
      <w:r w:rsidR="00EF6A71" w:rsidRPr="005B2F11">
        <w:t>(CIPD2023-12</w:t>
      </w:r>
      <w:r w:rsidR="00EF6A71">
        <w:t>), which</w:t>
      </w:r>
      <w:r w:rsidR="00EF6A71" w:rsidRPr="005B2F11">
        <w:t xml:space="preserve"> can help </w:t>
      </w:r>
      <w:r w:rsidR="00EF6A71">
        <w:t>make better decisions. However some se</w:t>
      </w:r>
      <w:r w:rsidR="00053194">
        <w:t xml:space="preserve">e </w:t>
      </w:r>
      <w:r w:rsidR="00EF6A71">
        <w:t>academia has an “</w:t>
      </w:r>
      <w:r w:rsidR="00EF6A71" w:rsidRPr="00EF6A71">
        <w:rPr>
          <w:b/>
          <w:bCs/>
        </w:rPr>
        <w:t>’unhealthy obsession’ with developing new theories</w:t>
      </w:r>
      <w:r w:rsidR="00EF6A71">
        <w:t>” (Tourish 2019-7)</w:t>
      </w:r>
      <w:r w:rsidR="002A3C9E">
        <w:t>, w</w:t>
      </w:r>
      <w:r w:rsidR="00EF6A71">
        <w:t xml:space="preserve">ith many seeing </w:t>
      </w:r>
      <w:r w:rsidR="00053194">
        <w:t xml:space="preserve">a </w:t>
      </w:r>
      <w:r w:rsidR="00EF6A71">
        <w:t xml:space="preserve">disparity between theory and practice (DeNisi, Wilson and Biteman 2014-17), with this divide based on a lack of awareness, belief or confidence in each other (Gill 2018-18). </w:t>
      </w:r>
    </w:p>
    <w:p w14:paraId="4203CCDC" w14:textId="32A902B9" w:rsidR="00EF6A71" w:rsidRPr="005B2F11" w:rsidRDefault="00EF6A71" w:rsidP="00300CE5">
      <w:pPr>
        <w:jc w:val="both"/>
      </w:pPr>
      <w:r>
        <w:t xml:space="preserve">Other </w:t>
      </w:r>
      <w:r w:rsidRPr="005B2F11">
        <w:t>criticism</w:t>
      </w:r>
      <w:r>
        <w:t>s include a</w:t>
      </w:r>
      <w:r w:rsidRPr="005B2F11">
        <w:t xml:space="preserve"> lack of ability within the profession </w:t>
      </w:r>
      <w:r>
        <w:t>(Lawler III 2007-19) to fully examine all the available qualitative and quantitative information, with some even saying there is “</w:t>
      </w:r>
      <w:r w:rsidRPr="00EF6A71">
        <w:rPr>
          <w:b/>
          <w:bCs/>
        </w:rPr>
        <w:t>guesswork</w:t>
      </w:r>
      <w:r>
        <w:t xml:space="preserve">” (Rousseau and Barends 2011-14). </w:t>
      </w:r>
      <w:r w:rsidR="003A3C3E">
        <w:t>People Pract</w:t>
      </w:r>
      <w:r w:rsidR="006D4E5A">
        <w:t>ice</w:t>
      </w:r>
      <w:r w:rsidR="008D695B">
        <w:t xml:space="preserve"> </w:t>
      </w:r>
      <w:r>
        <w:t xml:space="preserve">is also often seen to be </w:t>
      </w:r>
      <w:r w:rsidRPr="005B2F11">
        <w:t>fascinat</w:t>
      </w:r>
      <w:r>
        <w:t>ed in</w:t>
      </w:r>
      <w:r w:rsidRPr="005B2F11">
        <w:t xml:space="preserve"> following the latest craze without any credible positive outcomes</w:t>
      </w:r>
      <w:r>
        <w:t xml:space="preserve">. This is </w:t>
      </w:r>
      <w:r w:rsidRPr="005B2F11">
        <w:t>illustrated by the lack of success in previous employee empowerment, mental health and unconscious bias programs (Reid 2023-2)</w:t>
      </w:r>
      <w:r>
        <w:t xml:space="preserve">. </w:t>
      </w:r>
      <w:r w:rsidR="006D4E5A">
        <w:t>T</w:t>
      </w:r>
      <w:r>
        <w:t>his</w:t>
      </w:r>
      <w:r w:rsidRPr="005B2F11">
        <w:t xml:space="preserve"> continued chasing of fads </w:t>
      </w:r>
      <w:r w:rsidR="006D4E5A">
        <w:t xml:space="preserve">could </w:t>
      </w:r>
      <w:r>
        <w:t xml:space="preserve">possibly </w:t>
      </w:r>
      <w:r w:rsidRPr="005B2F11">
        <w:t xml:space="preserve">harm </w:t>
      </w:r>
      <w:r w:rsidR="005F1D0E">
        <w:t>the profession’s</w:t>
      </w:r>
      <w:r w:rsidRPr="005B2F11">
        <w:t xml:space="preserve"> reputation (Briner 2023-5). </w:t>
      </w:r>
      <w:r>
        <w:t>Additionally, t</w:t>
      </w:r>
      <w:r w:rsidRPr="005B2F11">
        <w:t>here are a number of</w:t>
      </w:r>
      <w:r w:rsidR="0068023E">
        <w:t xml:space="preserve"> EBP</w:t>
      </w:r>
      <w:r w:rsidRPr="005B2F11">
        <w:t xml:space="preserve"> misconceptions</w:t>
      </w:r>
      <w:r w:rsidR="008A459E">
        <w:t xml:space="preserve">, </w:t>
      </w:r>
      <w:r>
        <w:t xml:space="preserve">which could hinder its ongoing use </w:t>
      </w:r>
      <w:r w:rsidRPr="005B2F11">
        <w:t>(</w:t>
      </w:r>
      <w:r>
        <w:t>Appendix 4-9</w:t>
      </w:r>
      <w:r w:rsidRPr="005B2F11">
        <w:t>).</w:t>
      </w:r>
    </w:p>
    <w:p w14:paraId="26D6E0BA" w14:textId="733D278B" w:rsidR="00EF6A71" w:rsidRDefault="00EF6A71" w:rsidP="00300CE5">
      <w:pPr>
        <w:jc w:val="both"/>
      </w:pPr>
      <w:r w:rsidRPr="005B2F11">
        <w:t>Nevertheless, “</w:t>
      </w:r>
      <w:r w:rsidRPr="005B2F11">
        <w:rPr>
          <w:b/>
          <w:bCs/>
        </w:rPr>
        <w:t>professional opinion carries more weight when it's supported by strong evidence from diverse sources</w:t>
      </w:r>
      <w:r w:rsidRPr="005B2F11">
        <w:t>” (CIPDADD1).</w:t>
      </w:r>
      <w:r>
        <w:t xml:space="preserve"> There are </w:t>
      </w:r>
      <w:r w:rsidRPr="005B2F11">
        <w:t xml:space="preserve">six steps to best support EBP </w:t>
      </w:r>
      <w:r>
        <w:t>in P</w:t>
      </w:r>
      <w:r w:rsidR="009B78E0">
        <w:t xml:space="preserve">eople Practice </w:t>
      </w:r>
      <w:r>
        <w:t xml:space="preserve"> </w:t>
      </w:r>
      <w:r w:rsidRPr="005B2F11">
        <w:t>(</w:t>
      </w:r>
      <w:r>
        <w:t>Appendix 5-</w:t>
      </w:r>
      <w:r w:rsidRPr="005B2F11">
        <w:t>3)</w:t>
      </w:r>
      <w:r>
        <w:t xml:space="preserve">. </w:t>
      </w:r>
      <w:r w:rsidRPr="005B2F11">
        <w:t xml:space="preserve"> </w:t>
      </w:r>
      <w:r>
        <w:t>T</w:t>
      </w:r>
      <w:r w:rsidRPr="005B2F11">
        <w:t xml:space="preserve">hese will </w:t>
      </w:r>
      <w:r>
        <w:t xml:space="preserve">help to remove ‘fake news’, bias and </w:t>
      </w:r>
      <w:r w:rsidRPr="005B2F11">
        <w:t xml:space="preserve">enable </w:t>
      </w:r>
      <w:r>
        <w:t>effective decision making. A lack of EBP could lead to wrong decision-making plus result in going around in a ‘vicious circle’ (Appendix 6-13)</w:t>
      </w:r>
      <w:r w:rsidR="00277DB2">
        <w:t xml:space="preserve">, resulting </w:t>
      </w:r>
      <w:r>
        <w:t xml:space="preserve">in further failings in </w:t>
      </w:r>
      <w:r w:rsidR="009B78E0">
        <w:t xml:space="preserve">the </w:t>
      </w:r>
      <w:r>
        <w:t>overall organisation change development (Appendix 7-13).</w:t>
      </w:r>
    </w:p>
    <w:p w14:paraId="1C77FA04" w14:textId="278E6F4B" w:rsidR="00EF6A71" w:rsidRDefault="00EF6A71" w:rsidP="00300CE5">
      <w:pPr>
        <w:jc w:val="both"/>
      </w:pPr>
      <w:r>
        <w:t>To summarise, EBP enables</w:t>
      </w:r>
      <w:r w:rsidR="00FD0089">
        <w:t xml:space="preserve"> </w:t>
      </w:r>
      <w:r>
        <w:t xml:space="preserve">better informed decisions, </w:t>
      </w:r>
      <w:r w:rsidR="00A944E1">
        <w:t>enhances</w:t>
      </w:r>
      <w:r>
        <w:t xml:space="preserve"> </w:t>
      </w:r>
      <w:r w:rsidR="00FD0089">
        <w:t>People Practice</w:t>
      </w:r>
      <w:r>
        <w:t xml:space="preserve"> credability, reduce</w:t>
      </w:r>
      <w:r w:rsidR="00396B26">
        <w:t>s</w:t>
      </w:r>
      <w:r>
        <w:t xml:space="preserve"> bias and </w:t>
      </w:r>
      <w:r w:rsidR="00396B26">
        <w:t xml:space="preserve">positively </w:t>
      </w:r>
      <w:r>
        <w:t>impact</w:t>
      </w:r>
      <w:r w:rsidR="00A909C5">
        <w:t>s</w:t>
      </w:r>
      <w:r>
        <w:t xml:space="preserve"> organisation performance. This importance is recognised by the CIPD, as </w:t>
      </w:r>
      <w:r w:rsidR="00A909C5">
        <w:t>a</w:t>
      </w:r>
      <w:r>
        <w:t xml:space="preserve"> leading authority, who have included EBP as part of their professional map and as an international benchmark which they see </w:t>
      </w:r>
      <w:r w:rsidR="003702E8">
        <w:t>as essential in</w:t>
      </w:r>
      <w:r>
        <w:t xml:space="preserve"> all professions. (Appendix 8-New2).</w:t>
      </w:r>
    </w:p>
    <w:p w14:paraId="780A0849" w14:textId="77777777" w:rsidR="00396B26" w:rsidRPr="005B2F11" w:rsidRDefault="00396B26" w:rsidP="00300CE5">
      <w:pPr>
        <w:jc w:val="both"/>
      </w:pPr>
    </w:p>
    <w:p w14:paraId="6B1BC57A" w14:textId="25EEA7E2" w:rsidR="00EF6A71" w:rsidRDefault="00EF6A71" w:rsidP="00300CE5">
      <w:pPr>
        <w:pStyle w:val="ListParagraph"/>
        <w:numPr>
          <w:ilvl w:val="0"/>
          <w:numId w:val="1"/>
        </w:numPr>
        <w:jc w:val="both"/>
      </w:pPr>
      <w:r w:rsidRPr="00EF6A71">
        <w:rPr>
          <w:u w:val="single"/>
        </w:rPr>
        <w:t>EBP Analysis Tools and Methods</w:t>
      </w:r>
      <w:r w:rsidRPr="005B2F11">
        <w:t xml:space="preserve"> (AC 1.</w:t>
      </w:r>
      <w:r>
        <w:t>2</w:t>
      </w:r>
      <w:r w:rsidRPr="005B2F11">
        <w:t>)</w:t>
      </w:r>
    </w:p>
    <w:p w14:paraId="2373CA64" w14:textId="77777777" w:rsidR="00EF6A71" w:rsidRDefault="00EF6A71" w:rsidP="00300CE5">
      <w:pPr>
        <w:jc w:val="both"/>
      </w:pPr>
      <w:r>
        <w:t xml:space="preserve">There are a number of EBP tools and methods which help to gather and analyse the relevant information to better inform the decision-making process. </w:t>
      </w:r>
    </w:p>
    <w:p w14:paraId="2C28158D" w14:textId="151874DE" w:rsidR="00EF6A71" w:rsidRDefault="00EF6A71" w:rsidP="00300CE5">
      <w:pPr>
        <w:jc w:val="both"/>
      </w:pPr>
      <w:r w:rsidRPr="005F420C">
        <w:rPr>
          <w:u w:val="single"/>
        </w:rPr>
        <w:t>Tools</w:t>
      </w:r>
      <w:r>
        <w:t xml:space="preserve">: These include PESTLE, SWOT and Porters Five Forces to name only a few. All of which to a greater or lesser degree look to identify, review and assess the internal and external challenges and opportunities for an organisation or industry (Appendix 9). </w:t>
      </w:r>
    </w:p>
    <w:p w14:paraId="18CF970B" w14:textId="35D5999C" w:rsidR="00EF6A71" w:rsidRDefault="00EF6A71" w:rsidP="00300CE5">
      <w:pPr>
        <w:jc w:val="both"/>
      </w:pPr>
      <w:r>
        <w:t>P</w:t>
      </w:r>
      <w:r w:rsidR="003702E8">
        <w:t>orters</w:t>
      </w:r>
      <w:r>
        <w:t xml:space="preserve"> model (Appendix 10) </w:t>
      </w:r>
      <w:r w:rsidR="00CD6259">
        <w:t xml:space="preserve">identifies </w:t>
      </w:r>
      <w:r>
        <w:t>and create</w:t>
      </w:r>
      <w:r w:rsidR="00CD6259">
        <w:t>s</w:t>
      </w:r>
      <w:r>
        <w:t xml:space="preserve"> relevant strategies to support the industry and/or organisation. It is recommended to use </w:t>
      </w:r>
      <w:r w:rsidR="00802DCB">
        <w:t>this model</w:t>
      </w:r>
      <w:r>
        <w:t xml:space="preserve"> in conjunction with regular PESTLE or SWOT analysis to maintain a competitive advantage (CIPD 2024-10) in the everchanging global situation.</w:t>
      </w:r>
    </w:p>
    <w:p w14:paraId="6EE24C26" w14:textId="0B9A3F94" w:rsidR="00EF6A71" w:rsidRDefault="00EF6A71" w:rsidP="00300CE5">
      <w:pPr>
        <w:jc w:val="both"/>
      </w:pPr>
      <w:r>
        <w:t xml:space="preserve">However </w:t>
      </w:r>
      <w:r w:rsidR="003702E8">
        <w:t xml:space="preserve">its </w:t>
      </w:r>
      <w:r>
        <w:t>application in practice has been more difficult based on misapplications, managerial difficulties and a lack of depth, all of which can lead to a</w:t>
      </w:r>
      <w:r w:rsidR="00EC26DD">
        <w:t xml:space="preserve">n absence </w:t>
      </w:r>
      <w:r>
        <w:t xml:space="preserve">of structured analysis with no strategic insight (Dobbs 2014-4/5). This is reinforced by the belief that </w:t>
      </w:r>
      <w:r w:rsidR="00993239">
        <w:t>it</w:t>
      </w:r>
      <w:r>
        <w:t xml:space="preserve"> has had little impact on business practice in </w:t>
      </w:r>
      <w:r w:rsidR="00EC26DD">
        <w:t xml:space="preserve">the world’s economic powerhouse, </w:t>
      </w:r>
      <w:r>
        <w:t xml:space="preserve">China (Wang and Chang 2009-11). </w:t>
      </w:r>
    </w:p>
    <w:p w14:paraId="7A902EC2" w14:textId="7580FBA1" w:rsidR="00EF6A71" w:rsidRDefault="00EF6A71" w:rsidP="00300CE5">
      <w:pPr>
        <w:jc w:val="both"/>
      </w:pPr>
      <w:r>
        <w:lastRenderedPageBreak/>
        <w:t xml:space="preserve">Nevertheless </w:t>
      </w:r>
      <w:r w:rsidR="003702E8">
        <w:t>the model</w:t>
      </w:r>
      <w:r>
        <w:t xml:space="preserve"> offers a comprehensive and multifaceted analysis of the external environment by illustrating the rules and possible successes in industries (Taylor and Woodhams 2002-17). These  can be interchangeable to different competing companies due to the fact they will face similar issues. </w:t>
      </w:r>
    </w:p>
    <w:p w14:paraId="378A89DB" w14:textId="54D19E43" w:rsidR="00EF6A71" w:rsidRDefault="00EF6A71" w:rsidP="00300CE5">
      <w:pPr>
        <w:jc w:val="both"/>
      </w:pPr>
      <w:r w:rsidRPr="005F420C">
        <w:rPr>
          <w:u w:val="single"/>
        </w:rPr>
        <w:t>Methods</w:t>
      </w:r>
      <w:r>
        <w:rPr>
          <w:b/>
          <w:bCs/>
        </w:rPr>
        <w:t xml:space="preserve">: </w:t>
      </w:r>
      <w:r>
        <w:t xml:space="preserve">These include interviews, surveys and people analytics (Appendix 11). Focusing on people analytics, as a process that builds on descriptive and operational information from HR, IT and other departments systems, plus external sources to determine why it happened, what could happen in the future and work with stakeholders to </w:t>
      </w:r>
      <w:r w:rsidR="00EC26DD">
        <w:t xml:space="preserve">successfully </w:t>
      </w:r>
      <w:r>
        <w:t>drive the organisation forward  (Appendix 12). Therefore it is seen as a “</w:t>
      </w:r>
      <w:r w:rsidRPr="00F00FB0">
        <w:rPr>
          <w:b/>
          <w:bCs/>
        </w:rPr>
        <w:t>strategic function able to assist organisations in striking operational excellence</w:t>
      </w:r>
      <w:r>
        <w:t xml:space="preserve">” (Tasoulis et al 2023). </w:t>
      </w:r>
    </w:p>
    <w:p w14:paraId="58D760BD" w14:textId="3F6EEA02" w:rsidR="00EF6A71" w:rsidRDefault="00EF6A71" w:rsidP="00300CE5">
      <w:pPr>
        <w:jc w:val="both"/>
      </w:pPr>
      <w:r>
        <w:t xml:space="preserve">Despite this, there seems to be uncertainty on the meaning of people analytics (Falletta and Combs 2020-8), whether it’s really </w:t>
      </w:r>
      <w:r w:rsidR="00C0426A">
        <w:t xml:space="preserve">any </w:t>
      </w:r>
      <w:r>
        <w:t xml:space="preserve">different to EBP (Briner 2023-1), </w:t>
      </w:r>
      <w:r w:rsidR="00EC26DD">
        <w:t>if it r</w:t>
      </w:r>
      <w:r>
        <w:t>eally has an ability to impact an organisation’s performance</w:t>
      </w:r>
      <w:r w:rsidR="00531124">
        <w:t xml:space="preserve"> </w:t>
      </w:r>
      <w:r w:rsidR="00EC26DD">
        <w:t>(McCartney and Fu 2022-9), or</w:t>
      </w:r>
      <w:r>
        <w:t xml:space="preserve"> </w:t>
      </w:r>
      <w:r w:rsidR="00EC26DD">
        <w:t xml:space="preserve">if it’s actually being used in HR (CIPD 2023-4), </w:t>
      </w:r>
      <w:r>
        <w:t xml:space="preserve">with </w:t>
      </w:r>
      <w:r w:rsidR="00A70BA9">
        <w:t xml:space="preserve">there being </w:t>
      </w:r>
      <w:r>
        <w:t xml:space="preserve">certain </w:t>
      </w:r>
      <w:r w:rsidR="00A70BA9">
        <w:t xml:space="preserve">preventative </w:t>
      </w:r>
      <w:r>
        <w:t xml:space="preserve">factors (Appendix 13). </w:t>
      </w:r>
    </w:p>
    <w:p w14:paraId="59A705C1" w14:textId="6F5E000A" w:rsidR="00EF6A71" w:rsidRPr="007F1F21" w:rsidRDefault="00EF6A71" w:rsidP="00300CE5">
      <w:pPr>
        <w:jc w:val="both"/>
      </w:pPr>
      <w:r>
        <w:t xml:space="preserve">Nonetheless people analytics is now progressively seen to enable better informed and evidence based decision-making (Fernandez 2019) and improve organisational performance (Tasoulis et al 2023), with Google using people analytics to </w:t>
      </w:r>
      <w:r w:rsidR="00EC26DD">
        <w:t>transform</w:t>
      </w:r>
      <w:r>
        <w:t xml:space="preserve"> HR practices on leadership characteristics, people management approaches and retention (Reddy and Lakshmikeerthi 2017, pp.32). </w:t>
      </w:r>
    </w:p>
    <w:p w14:paraId="118302D8" w14:textId="77777777" w:rsidR="002F7D40" w:rsidRDefault="002F7D40" w:rsidP="00300CE5">
      <w:pPr>
        <w:jc w:val="both"/>
        <w:rPr>
          <w:u w:val="single"/>
        </w:rPr>
      </w:pPr>
    </w:p>
    <w:p w14:paraId="2EE050E1" w14:textId="5309B20A" w:rsidR="00D74541" w:rsidRDefault="00D74541" w:rsidP="00300CE5">
      <w:pPr>
        <w:pStyle w:val="ListParagraph"/>
        <w:numPr>
          <w:ilvl w:val="0"/>
          <w:numId w:val="1"/>
        </w:numPr>
        <w:jc w:val="both"/>
      </w:pPr>
      <w:r w:rsidRPr="00401435">
        <w:rPr>
          <w:u w:val="single"/>
        </w:rPr>
        <w:t>Critical Thinking (CT)</w:t>
      </w:r>
      <w:r w:rsidRPr="005B2F11">
        <w:t xml:space="preserve"> (AC 1.</w:t>
      </w:r>
      <w:r>
        <w:t>3</w:t>
      </w:r>
      <w:r w:rsidRPr="005B2F11">
        <w:t>)</w:t>
      </w:r>
    </w:p>
    <w:p w14:paraId="6E8B8C38" w14:textId="4A41A2A7" w:rsidR="00D74541" w:rsidRDefault="00D74541" w:rsidP="00300CE5">
      <w:pPr>
        <w:jc w:val="both"/>
      </w:pPr>
      <w:r>
        <w:rPr>
          <w:b/>
          <w:bCs/>
        </w:rPr>
        <w:t>“</w:t>
      </w:r>
      <w:r w:rsidRPr="0021739A">
        <w:rPr>
          <w:b/>
          <w:bCs/>
        </w:rPr>
        <w:t>EBP promotes critical thinking</w:t>
      </w:r>
      <w:r>
        <w:t xml:space="preserve">” (Reid and Nikodem 2023-1) through a process of being comprehensively informed by rigorous research and evaluation of all the data and evidence. This will stimulate new ideas, which can then be fully assessed and tested to </w:t>
      </w:r>
      <w:r w:rsidR="00401435">
        <w:t>create</w:t>
      </w:r>
      <w:r>
        <w:t xml:space="preserve"> new knowledge for all (Appendix 14-2). This “</w:t>
      </w:r>
      <w:r w:rsidRPr="007F6335">
        <w:rPr>
          <w:b/>
          <w:bCs/>
        </w:rPr>
        <w:t>process of analysis, synthesis and evaluation</w:t>
      </w:r>
      <w:r>
        <w:t>”(Cox and Shannon 2020-4) differs from intuition, which is based on an individual’s pre-existing knowledge or Occam’s razor which assumes the simplest solution must be the best.</w:t>
      </w:r>
    </w:p>
    <w:p w14:paraId="7A8F414B" w14:textId="0232B916" w:rsidR="00D74541" w:rsidRDefault="00D74541" w:rsidP="00300CE5">
      <w:pPr>
        <w:jc w:val="both"/>
      </w:pPr>
      <w:r>
        <w:t xml:space="preserve">CT is seen </w:t>
      </w:r>
      <w:r w:rsidR="000B66D7">
        <w:t xml:space="preserve">as </w:t>
      </w:r>
      <w:r>
        <w:t xml:space="preserve">an essential competency for all professions, however there is a concern there lacks a clear definition (Shaw 2019-6), with </w:t>
      </w:r>
      <w:r w:rsidR="00365E98">
        <w:t>People Practice</w:t>
      </w:r>
      <w:r>
        <w:t xml:space="preserve"> </w:t>
      </w:r>
      <w:r w:rsidR="00965229">
        <w:t xml:space="preserve">not </w:t>
      </w:r>
      <w:r>
        <w:t>being well informed enough to analyse the evidence needed as part of this process (Rousseau and Barends 2011-3).</w:t>
      </w:r>
    </w:p>
    <w:p w14:paraId="64C8CB50" w14:textId="04924F68" w:rsidR="00D74541" w:rsidRDefault="00D74541" w:rsidP="00300CE5">
      <w:pPr>
        <w:jc w:val="both"/>
      </w:pPr>
      <w:r>
        <w:t xml:space="preserve">The core skills needed within CT (Appendix 15-5) are essential as </w:t>
      </w:r>
      <w:r w:rsidR="000A161D">
        <w:t xml:space="preserve">the People Profession </w:t>
      </w:r>
      <w:r>
        <w:t>“</w:t>
      </w:r>
      <w:r w:rsidRPr="000E7F9A">
        <w:rPr>
          <w:b/>
          <w:bCs/>
        </w:rPr>
        <w:t>face all sorts of contradictory insights and claims</w:t>
      </w:r>
      <w:r>
        <w:t>”..and</w:t>
      </w:r>
      <w:r w:rsidR="00221D3C">
        <w:t xml:space="preserve"> </w:t>
      </w:r>
      <w:r w:rsidR="009E5BA3">
        <w:t>is</w:t>
      </w:r>
      <w:r>
        <w:t>..”</w:t>
      </w:r>
      <w:r w:rsidRPr="000C2DAF">
        <w:rPr>
          <w:b/>
          <w:bCs/>
        </w:rPr>
        <w:t xml:space="preserve">assaulted with facts, pseudo facts, jibber-jabber, and rumour all posing as information” </w:t>
      </w:r>
      <w:r>
        <w:t xml:space="preserve">(CIPD 2023-2-10). Therefore we need to be aware of pure opinions, ensure data validity and reliability by </w:t>
      </w:r>
      <w:r w:rsidR="009E5BA3">
        <w:t xml:space="preserve">appraising and ensuring that </w:t>
      </w:r>
      <w:r>
        <w:t xml:space="preserve">it’s from an authentic, authoritative and up to date reputable source. This is particularly as technology has vastly increased the quantity, and not necessarily the quality of information readily available to everyone. We become an ‘uncritical thinker’ if we take all information on its face value (Chatfield 2020-new), </w:t>
      </w:r>
      <w:r w:rsidR="00CF7A9B">
        <w:t>so</w:t>
      </w:r>
      <w:r>
        <w:t xml:space="preserve"> we need to be open-minded, actively listen, reflect, work with others and look to continually develop our own knowledge to make better informed decisions.</w:t>
      </w:r>
    </w:p>
    <w:p w14:paraId="062C99A7" w14:textId="081CEDF3" w:rsidR="00D74541" w:rsidRDefault="00D74541" w:rsidP="00300CE5">
      <w:pPr>
        <w:jc w:val="both"/>
      </w:pPr>
      <w:r>
        <w:t xml:space="preserve">We also need to consider our own individual bias. This bias can be conscious or unconscious, including preconceived judgements, halo and horns effect, or cognitive (e.g. seeking a simple solution </w:t>
      </w:r>
      <w:r w:rsidR="00CF7A9B">
        <w:t>on a more</w:t>
      </w:r>
      <w:r>
        <w:t xml:space="preserve"> complex</w:t>
      </w:r>
      <w:r w:rsidR="00CF7A9B">
        <w:t xml:space="preserve"> issue</w:t>
      </w:r>
      <w:r>
        <w:t xml:space="preserve">) (Waite et al 2021-8). </w:t>
      </w:r>
    </w:p>
    <w:p w14:paraId="780F4A1F" w14:textId="334311E2" w:rsidR="00D74541" w:rsidRDefault="00D74541" w:rsidP="00300CE5">
      <w:pPr>
        <w:jc w:val="both"/>
      </w:pPr>
      <w:r>
        <w:t xml:space="preserve">To be a critical thinker we need to fully explore all options effectively, we must clearly define the objective, critic recommendations to a set framework, </w:t>
      </w:r>
      <w:r w:rsidR="00F01645">
        <w:t xml:space="preserve">and </w:t>
      </w:r>
      <w:r>
        <w:t xml:space="preserve">cautiously progress with regular reviews to evaluate its progress (Heard et al. 2020-5). </w:t>
      </w:r>
    </w:p>
    <w:p w14:paraId="50754B53" w14:textId="339A7A3C" w:rsidR="00D74541" w:rsidRDefault="00A01462" w:rsidP="00300CE5">
      <w:pPr>
        <w:jc w:val="both"/>
      </w:pPr>
      <w:r>
        <w:t>However as</w:t>
      </w:r>
      <w:r w:rsidR="00D74541" w:rsidRPr="00352A9B">
        <w:t xml:space="preserve"> part of the CT process </w:t>
      </w:r>
      <w:r w:rsidR="00D74541">
        <w:t xml:space="preserve">when investigating </w:t>
      </w:r>
      <w:r w:rsidR="00D74541" w:rsidRPr="00352A9B">
        <w:t xml:space="preserve">‘cause and effect’ to assist </w:t>
      </w:r>
      <w:r w:rsidR="00D74541">
        <w:t xml:space="preserve">with the development of </w:t>
      </w:r>
      <w:r w:rsidR="00D74541" w:rsidRPr="00352A9B">
        <w:t>strategies</w:t>
      </w:r>
      <w:r w:rsidR="00D74541" w:rsidRPr="00352A9B">
        <w:rPr>
          <w:b/>
          <w:bCs/>
          <w:u w:val="single"/>
        </w:rPr>
        <w:t xml:space="preserve"> </w:t>
      </w:r>
      <w:r w:rsidR="00D74541" w:rsidRPr="00352A9B">
        <w:t>(Andresen and Nowak 2014-56)</w:t>
      </w:r>
      <w:r w:rsidR="00D74541">
        <w:t>, we need to be aware there is the possibility that  correlation does not always mean causations. In such cases, the results may be just pure chance, statistical manipulation or an underlying third factor (Chatfield 2018-9).</w:t>
      </w:r>
      <w:r>
        <w:t xml:space="preserve"> </w:t>
      </w:r>
      <w:r w:rsidR="00D74541">
        <w:t xml:space="preserve">Despite the concerns, CT will enable both increased individual and group understanding, based on  credible evidence, so practical solutions can be assessed, introduced and shared, supporting a more collaborative, productive and inclusive organisation. This will not only benefit the individual and organisation, but also the global environment. </w:t>
      </w:r>
    </w:p>
    <w:p w14:paraId="24635F53" w14:textId="6B8A0939" w:rsidR="00D04AD7" w:rsidRDefault="00D04AD7" w:rsidP="00300CE5">
      <w:pPr>
        <w:pStyle w:val="ListParagraph"/>
        <w:numPr>
          <w:ilvl w:val="0"/>
          <w:numId w:val="1"/>
        </w:numPr>
        <w:jc w:val="both"/>
      </w:pPr>
      <w:r w:rsidRPr="00401435">
        <w:rPr>
          <w:u w:val="single"/>
        </w:rPr>
        <w:lastRenderedPageBreak/>
        <w:t xml:space="preserve">Decision-making </w:t>
      </w:r>
      <w:r w:rsidRPr="005B2F11">
        <w:t xml:space="preserve"> (AC 1.</w:t>
      </w:r>
      <w:r>
        <w:t>4</w:t>
      </w:r>
      <w:r w:rsidRPr="005B2F11">
        <w:t>)</w:t>
      </w:r>
    </w:p>
    <w:p w14:paraId="134CC7E6" w14:textId="07C8390A" w:rsidR="00D04AD7" w:rsidRDefault="00D04AD7" w:rsidP="00300CE5">
      <w:pPr>
        <w:jc w:val="both"/>
      </w:pPr>
      <w:r>
        <w:t>Decision-making is “</w:t>
      </w:r>
      <w:r w:rsidRPr="00BF0BEA">
        <w:rPr>
          <w:b/>
          <w:bCs/>
        </w:rPr>
        <w:t>about deciding what action to take</w:t>
      </w:r>
      <w:r>
        <w:t>” (Adair 2010, p.1) and “</w:t>
      </w:r>
      <w:r w:rsidRPr="007A3BC8">
        <w:rPr>
          <w:b/>
          <w:bCs/>
        </w:rPr>
        <w:t>a great decision is the result of a good process</w:t>
      </w:r>
      <w:r>
        <w:t>” (asana quoting Annie Duke). This is a spiralling process (Appendix. 15) to illustrate continued learning during the decision-making activity.  This will overcome the concern that decision-making can be “</w:t>
      </w:r>
      <w:r w:rsidRPr="009F4843">
        <w:rPr>
          <w:b/>
          <w:bCs/>
        </w:rPr>
        <w:t>ill-structured, non-routine, uncertain and pervasive</w:t>
      </w:r>
      <w:r>
        <w:t>” (Shep</w:t>
      </w:r>
      <w:r w:rsidR="000E28C0">
        <w:t>h</w:t>
      </w:r>
      <w:r w:rsidR="00E576E1">
        <w:t>e</w:t>
      </w:r>
      <w:r>
        <w:t>rd and Rudd 201</w:t>
      </w:r>
      <w:r w:rsidR="003F3AA7">
        <w:t>4</w:t>
      </w:r>
      <w:r>
        <w:t xml:space="preserve">, pp.340). </w:t>
      </w:r>
    </w:p>
    <w:p w14:paraId="039D86BE" w14:textId="01874EFF" w:rsidR="00D04AD7" w:rsidRDefault="00D04AD7" w:rsidP="00300CE5">
      <w:pPr>
        <w:jc w:val="both"/>
      </w:pPr>
      <w:r>
        <w:t xml:space="preserve">A creditable systematic process will increase the probability of a successful outcome (Taylor and Woodhams 2022). These processes include </w:t>
      </w:r>
      <w:r w:rsidR="00B77CE1">
        <w:t>–</w:t>
      </w:r>
      <w:r>
        <w:t xml:space="preserve"> </w:t>
      </w:r>
    </w:p>
    <w:p w14:paraId="4D46E5BD" w14:textId="76FE0356" w:rsidR="00D04AD7" w:rsidRPr="00DF30B0" w:rsidRDefault="00D04AD7" w:rsidP="00300CE5">
      <w:pPr>
        <w:pStyle w:val="ListParagraph"/>
        <w:numPr>
          <w:ilvl w:val="0"/>
          <w:numId w:val="4"/>
        </w:numPr>
        <w:jc w:val="both"/>
      </w:pPr>
      <w:r w:rsidRPr="00B77CE1">
        <w:rPr>
          <w:u w:val="single"/>
        </w:rPr>
        <w:t>De Bono’s Six Thinking Hats</w:t>
      </w:r>
    </w:p>
    <w:p w14:paraId="33E85EC6" w14:textId="62953FF6" w:rsidR="00D04AD7" w:rsidRDefault="00D04AD7" w:rsidP="00300CE5">
      <w:pPr>
        <w:ind w:left="360"/>
        <w:jc w:val="both"/>
      </w:pPr>
      <w:r>
        <w:t xml:space="preserve">This process views an issue through different perspectives, denoted by the different colour hats (Appendix 16).  Its best applied when all the members of the group take on the same coloured hat at the same time. This enables an impartial approach which removes issues of strong beliefs or personalities swaying the arguments. It also prevents conflict </w:t>
      </w:r>
      <w:r w:rsidR="002E31AF">
        <w:t>by</w:t>
      </w:r>
      <w:r>
        <w:t xml:space="preserve"> the group </w:t>
      </w:r>
      <w:r w:rsidR="008D309A">
        <w:t xml:space="preserve">when they </w:t>
      </w:r>
      <w:r>
        <w:t xml:space="preserve">are reviewing the issue through that particular viewpoint together. It fully utilises the group’s skills with the ideas of all members </w:t>
      </w:r>
      <w:r w:rsidR="003C4BAD">
        <w:t xml:space="preserve">being </w:t>
      </w:r>
      <w:r>
        <w:t xml:space="preserve">presented and fully explored. This is an efficient and easily </w:t>
      </w:r>
      <w:r w:rsidR="003C4BAD">
        <w:t>applied</w:t>
      </w:r>
      <w:r>
        <w:t xml:space="preserve"> process (Papakitsos et al. 2017).</w:t>
      </w:r>
    </w:p>
    <w:p w14:paraId="7488A6F8" w14:textId="36C059A3" w:rsidR="00D04AD7" w:rsidRPr="00B77CE1" w:rsidRDefault="00D04AD7" w:rsidP="00300CE5">
      <w:pPr>
        <w:pStyle w:val="ListParagraph"/>
        <w:numPr>
          <w:ilvl w:val="0"/>
          <w:numId w:val="4"/>
        </w:numPr>
        <w:jc w:val="both"/>
        <w:rPr>
          <w:u w:val="single"/>
        </w:rPr>
      </w:pPr>
      <w:r w:rsidRPr="00B77CE1">
        <w:rPr>
          <w:u w:val="single"/>
        </w:rPr>
        <w:t>Action Learning (AL)</w:t>
      </w:r>
    </w:p>
    <w:p w14:paraId="397A7E84" w14:textId="06482C1C" w:rsidR="00D04AD7" w:rsidRPr="003C20BC" w:rsidRDefault="00533B49" w:rsidP="00300CE5">
      <w:pPr>
        <w:ind w:left="360"/>
        <w:jc w:val="both"/>
        <w:rPr>
          <w:u w:val="single"/>
        </w:rPr>
      </w:pPr>
      <w:r>
        <w:t>A</w:t>
      </w:r>
      <w:r w:rsidR="00D04AD7">
        <w:t xml:space="preserve">gain there is confusion regarding what AL is and all its different definitions (Appendix 17), </w:t>
      </w:r>
      <w:r>
        <w:t xml:space="preserve">however it </w:t>
      </w:r>
      <w:r w:rsidR="00D04AD7" w:rsidRPr="000259F6">
        <w:t>“</w:t>
      </w:r>
      <w:r w:rsidR="00D04AD7" w:rsidRPr="000259F6">
        <w:rPr>
          <w:b/>
          <w:bCs/>
        </w:rPr>
        <w:t>is a form of collaborative learning where a small group of learners (an ‘action learning set’) meet regularly to reflect on real work issues”</w:t>
      </w:r>
      <w:r w:rsidR="00D04AD7">
        <w:rPr>
          <w:b/>
          <w:bCs/>
        </w:rPr>
        <w:t xml:space="preserve"> </w:t>
      </w:r>
      <w:r w:rsidR="00D04AD7" w:rsidRPr="000259F6">
        <w:t>(CIPS 2023</w:t>
      </w:r>
      <w:r w:rsidR="00E70439">
        <w:t>-?</w:t>
      </w:r>
      <w:r w:rsidR="00D04AD7" w:rsidRPr="000259F6">
        <w:t>)</w:t>
      </w:r>
      <w:r w:rsidR="00D04AD7">
        <w:t xml:space="preserve">. This enables collaborative working in organisations to address real business problems, utilising and developing the skills of the employees to implement solutions. Therefore it is a significant process (Pedler 1997) through its different viewpoints and experiences </w:t>
      </w:r>
      <w:r w:rsidR="007626E5">
        <w:t>which</w:t>
      </w:r>
      <w:r w:rsidR="00D04AD7">
        <w:t xml:space="preserve"> will encourage innovation, new learning and organisational success (Appendix 18). </w:t>
      </w:r>
    </w:p>
    <w:p w14:paraId="2B5462B3" w14:textId="2F618626" w:rsidR="00D04AD7" w:rsidRPr="00B77CE1" w:rsidRDefault="00D04AD7" w:rsidP="00300CE5">
      <w:pPr>
        <w:pStyle w:val="ListParagraph"/>
        <w:numPr>
          <w:ilvl w:val="0"/>
          <w:numId w:val="4"/>
        </w:numPr>
        <w:jc w:val="both"/>
        <w:rPr>
          <w:u w:val="single"/>
        </w:rPr>
      </w:pPr>
      <w:r w:rsidRPr="00B77CE1">
        <w:rPr>
          <w:u w:val="single"/>
        </w:rPr>
        <w:t>Problem Framing</w:t>
      </w:r>
    </w:p>
    <w:p w14:paraId="5F5B3136" w14:textId="7804170E" w:rsidR="00D04AD7" w:rsidRPr="009602E4" w:rsidRDefault="00CB1E29" w:rsidP="00300CE5">
      <w:pPr>
        <w:ind w:left="360"/>
        <w:jc w:val="both"/>
      </w:pPr>
      <w:r>
        <w:t>A</w:t>
      </w:r>
      <w:r w:rsidR="00D04AD7">
        <w:t xml:space="preserve"> concern </w:t>
      </w:r>
      <w:r>
        <w:t xml:space="preserve">in decision-making </w:t>
      </w:r>
      <w:r w:rsidR="00D04AD7">
        <w:t>is are we in fact addressing the correct problem (Faller, Marsick and Russell 2020). Problem framing “</w:t>
      </w:r>
      <w:r w:rsidR="00D04AD7" w:rsidRPr="0082657D">
        <w:rPr>
          <w:b/>
          <w:bCs/>
        </w:rPr>
        <w:t>transform(s) ambiguous situations into actionable ones</w:t>
      </w:r>
      <w:r w:rsidR="00D04AD7">
        <w:t>” (Branch 2023). By following the key steps (Appendix 19), it will help stop resources being used incorrect</w:t>
      </w:r>
      <w:r w:rsidR="002D47C6">
        <w:t>ly</w:t>
      </w:r>
      <w:r w:rsidR="00D04AD7">
        <w:t xml:space="preserve"> or wasted to deliver ineffective or inappropriate solutions. It is more than identifying an issue but by building on a problem statement, it engages stakeholders, set</w:t>
      </w:r>
      <w:r w:rsidR="002D47C6">
        <w:t>s</w:t>
      </w:r>
      <w:r w:rsidR="00D04AD7">
        <w:t xml:space="preserve"> the objectives and aligns with the organisational objectives</w:t>
      </w:r>
      <w:r w:rsidR="002D47C6">
        <w:t>,</w:t>
      </w:r>
      <w:r w:rsidR="00D04AD7">
        <w:t xml:space="preserve"> to assure the right outcome is achieved</w:t>
      </w:r>
      <w:r w:rsidR="002D47C6">
        <w:t>. Therefore</w:t>
      </w:r>
      <w:r w:rsidR="00D04AD7">
        <w:t xml:space="preserve"> People Practice isn’t just seen as “</w:t>
      </w:r>
      <w:r w:rsidR="00D04AD7" w:rsidRPr="00D7620D">
        <w:rPr>
          <w:b/>
          <w:bCs/>
        </w:rPr>
        <w:t>another cog in the wheel</w:t>
      </w:r>
      <w:r w:rsidR="00D04AD7">
        <w:t xml:space="preserve">” (Andrews 2024) but </w:t>
      </w:r>
      <w:r w:rsidR="00492B18">
        <w:t xml:space="preserve">producing </w:t>
      </w:r>
      <w:r w:rsidR="00D04AD7">
        <w:t xml:space="preserve">strategic value. </w:t>
      </w:r>
    </w:p>
    <w:p w14:paraId="487BC9B2" w14:textId="005E519F" w:rsidR="00D04AD7" w:rsidRPr="00C927C4" w:rsidRDefault="003261C5" w:rsidP="00300CE5">
      <w:pPr>
        <w:jc w:val="both"/>
      </w:pPr>
      <w:r>
        <w:t>O</w:t>
      </w:r>
      <w:r w:rsidR="00D04AD7">
        <w:t xml:space="preserve">rganisations constantly face different issues, </w:t>
      </w:r>
      <w:r>
        <w:t xml:space="preserve">therefore </w:t>
      </w:r>
      <w:r w:rsidR="00D04AD7">
        <w:t xml:space="preserve">different approaches will be required. </w:t>
      </w:r>
      <w:r>
        <w:t>B</w:t>
      </w:r>
      <w:r w:rsidR="00D04AD7">
        <w:t>y selecting the right process in conjunction with the various tools available including mind maps, PDCA and decision trees (CMI 2020), it w</w:t>
      </w:r>
      <w:r w:rsidR="00D04AD7" w:rsidRPr="00C927C4">
        <w:t xml:space="preserve">ill </w:t>
      </w:r>
      <w:r w:rsidR="00D04AD7" w:rsidRPr="005B7C56">
        <w:t xml:space="preserve">enable people professionals to make decisions that </w:t>
      </w:r>
      <w:r w:rsidR="00D04AD7">
        <w:t xml:space="preserve">will </w:t>
      </w:r>
      <w:r w:rsidR="00D04AD7" w:rsidRPr="005B7C56">
        <w:t xml:space="preserve">lead to </w:t>
      </w:r>
      <w:r w:rsidR="00D04AD7">
        <w:t xml:space="preserve">positive </w:t>
      </w:r>
      <w:r w:rsidR="00D04AD7" w:rsidRPr="005B7C56">
        <w:t>outcomes</w:t>
      </w:r>
      <w:r w:rsidR="00D04AD7">
        <w:t>.</w:t>
      </w:r>
    </w:p>
    <w:p w14:paraId="4FF58CC7" w14:textId="77777777" w:rsidR="00D04AD7" w:rsidRDefault="00D04AD7" w:rsidP="00300CE5">
      <w:pPr>
        <w:jc w:val="both"/>
      </w:pPr>
    </w:p>
    <w:p w14:paraId="54860A09" w14:textId="1FC12934" w:rsidR="004C389A" w:rsidRDefault="004C389A" w:rsidP="00300CE5">
      <w:pPr>
        <w:pStyle w:val="ListParagraph"/>
        <w:numPr>
          <w:ilvl w:val="0"/>
          <w:numId w:val="1"/>
        </w:numPr>
        <w:jc w:val="both"/>
      </w:pPr>
      <w:r w:rsidRPr="00401435">
        <w:rPr>
          <w:u w:val="single"/>
        </w:rPr>
        <w:t>Ethics</w:t>
      </w:r>
      <w:r w:rsidRPr="00E467E4">
        <w:t xml:space="preserve"> </w:t>
      </w:r>
      <w:r w:rsidRPr="005B2F11">
        <w:t xml:space="preserve"> (AC 1.</w:t>
      </w:r>
      <w:r>
        <w:t>5</w:t>
      </w:r>
      <w:r w:rsidRPr="005B2F11">
        <w:t>)</w:t>
      </w:r>
    </w:p>
    <w:p w14:paraId="353BDDCD" w14:textId="2ECF8B15" w:rsidR="004C389A" w:rsidRDefault="004C389A" w:rsidP="00300CE5">
      <w:pPr>
        <w:jc w:val="both"/>
      </w:pPr>
      <w:r>
        <w:t>Ethics is “</w:t>
      </w:r>
      <w:r w:rsidRPr="0052666C">
        <w:rPr>
          <w:b/>
          <w:bCs/>
        </w:rPr>
        <w:t>about right and wrong and good and bad</w:t>
      </w:r>
      <w:r>
        <w:t xml:space="preserve">” (Graham 2006, pp.1). This viewpoint however could vary depending on a variety of different shaping factors, including an individual’s religion, age or gender.  </w:t>
      </w:r>
      <w:r w:rsidR="00B77CE1">
        <w:t>There is a</w:t>
      </w:r>
      <w:r>
        <w:t xml:space="preserve"> belief in business ethics </w:t>
      </w:r>
      <w:r w:rsidR="0011411E">
        <w:t>that</w:t>
      </w:r>
      <w:r>
        <w:t xml:space="preserve"> there is no relevant or reliable academic base (Singh and Mishra 2018-3). Ethics has a central influencing role in organisational decision-making by offering different perspectives on a subject matter or issue. Ethical theories include - </w:t>
      </w:r>
    </w:p>
    <w:p w14:paraId="31E418E1" w14:textId="77777777" w:rsidR="0011411E" w:rsidRDefault="004C389A" w:rsidP="00300CE5">
      <w:pPr>
        <w:pStyle w:val="ListParagraph"/>
        <w:numPr>
          <w:ilvl w:val="0"/>
          <w:numId w:val="5"/>
        </w:numPr>
        <w:jc w:val="both"/>
      </w:pPr>
      <w:r w:rsidRPr="0011411E">
        <w:rPr>
          <w:u w:val="single"/>
        </w:rPr>
        <w:t>Deontological</w:t>
      </w:r>
    </w:p>
    <w:p w14:paraId="54B8D5D7" w14:textId="724DE8AD" w:rsidR="004C389A" w:rsidRDefault="004C389A" w:rsidP="00300CE5">
      <w:pPr>
        <w:ind w:left="360"/>
        <w:jc w:val="both"/>
      </w:pPr>
      <w:r>
        <w:t>Certain acts are right or wrong regardless of the outcome. Decisions are based on morals and equality irrespective of the end result. There could be organisational stability consequences or additional costs. E.g. Resolving the gender pay gap.</w:t>
      </w:r>
    </w:p>
    <w:p w14:paraId="0BCA4B7B" w14:textId="77777777" w:rsidR="0011411E" w:rsidRDefault="004C389A" w:rsidP="00300CE5">
      <w:pPr>
        <w:pStyle w:val="ListParagraph"/>
        <w:numPr>
          <w:ilvl w:val="0"/>
          <w:numId w:val="5"/>
        </w:numPr>
        <w:jc w:val="both"/>
      </w:pPr>
      <w:r w:rsidRPr="0011411E">
        <w:rPr>
          <w:u w:val="single"/>
        </w:rPr>
        <w:t>Utilitarianism</w:t>
      </w:r>
      <w:r>
        <w:t xml:space="preserve">: </w:t>
      </w:r>
    </w:p>
    <w:p w14:paraId="51F0872D" w14:textId="1A1DFEF2" w:rsidR="004C389A" w:rsidRDefault="004C389A" w:rsidP="00300CE5">
      <w:pPr>
        <w:ind w:left="360"/>
        <w:jc w:val="both"/>
      </w:pPr>
      <w:r>
        <w:lastRenderedPageBreak/>
        <w:t xml:space="preserve">Maximum good for the most amount of people. Decisions are outcome-based to create the best possible benefit overall. There will be a negative effect on the minority of individuals. E.g. Restructure or redundancy. </w:t>
      </w:r>
    </w:p>
    <w:p w14:paraId="77F399A2" w14:textId="77777777" w:rsidR="0011411E" w:rsidRDefault="004C389A" w:rsidP="00300CE5">
      <w:pPr>
        <w:pStyle w:val="ListParagraph"/>
        <w:numPr>
          <w:ilvl w:val="0"/>
          <w:numId w:val="5"/>
        </w:numPr>
        <w:jc w:val="both"/>
      </w:pPr>
      <w:r w:rsidRPr="0011411E">
        <w:rPr>
          <w:u w:val="single"/>
        </w:rPr>
        <w:t>Stakeholder:</w:t>
      </w:r>
      <w:r w:rsidRPr="005F3544">
        <w:t xml:space="preserve">  </w:t>
      </w:r>
    </w:p>
    <w:p w14:paraId="137E9CAC" w14:textId="19374235" w:rsidR="004C389A" w:rsidRDefault="004C389A" w:rsidP="00300CE5">
      <w:pPr>
        <w:ind w:left="360"/>
        <w:jc w:val="both"/>
      </w:pPr>
      <w:r>
        <w:t>All parties’ interests need to be fully valued, not only the shareholders and business owners. These include employees, clients, supply-chain, local community, and the environment. E.g. Corporate Social Responsibility.</w:t>
      </w:r>
    </w:p>
    <w:p w14:paraId="7B4D255B" w14:textId="6F47E8E1" w:rsidR="004C389A" w:rsidRDefault="004C389A" w:rsidP="00300CE5">
      <w:pPr>
        <w:jc w:val="both"/>
      </w:pPr>
      <w:r>
        <w:t>Ethical theory is seemingly based on ancient philosophies and possibly seen as irrelevant, conflicting, and outdated in profit and efficiency driven organisations of today. Whilst these ideas may no longer be practical or have possibly lost their original meaning and influence as they have been re-written over</w:t>
      </w:r>
      <w:r w:rsidR="009A449D">
        <w:t xml:space="preserve"> </w:t>
      </w:r>
      <w:r>
        <w:t xml:space="preserve">time, there are </w:t>
      </w:r>
      <w:r w:rsidR="0011411E">
        <w:t xml:space="preserve">seen to be </w:t>
      </w:r>
      <w:r>
        <w:t>“</w:t>
      </w:r>
      <w:r w:rsidRPr="008969FF">
        <w:rPr>
          <w:b/>
          <w:bCs/>
        </w:rPr>
        <w:t>golden nuggets</w:t>
      </w:r>
      <w:r>
        <w:t xml:space="preserve">” (Khalil 2004-2) within these ethical principles. </w:t>
      </w:r>
    </w:p>
    <w:p w14:paraId="599F2113" w14:textId="600B8E80" w:rsidR="004C389A" w:rsidRDefault="004C389A" w:rsidP="00300CE5">
      <w:pPr>
        <w:jc w:val="both"/>
      </w:pPr>
      <w:r>
        <w:t>Whilst there is “</w:t>
      </w:r>
      <w:r w:rsidRPr="004E7F51">
        <w:rPr>
          <w:b/>
          <w:bCs/>
        </w:rPr>
        <w:t xml:space="preserve">no </w:t>
      </w:r>
      <w:r>
        <w:rPr>
          <w:b/>
          <w:bCs/>
        </w:rPr>
        <w:t>golden rule</w:t>
      </w:r>
      <w:r>
        <w:t>” (CIPD 2015-5), with different problems having different ethical implications</w:t>
      </w:r>
      <w:r w:rsidR="009A449D">
        <w:t>, u</w:t>
      </w:r>
      <w:r>
        <w:t>tilising the eight lenses (Appendix 21) to work through organisational decisions</w:t>
      </w:r>
      <w:r w:rsidRPr="00D11C45">
        <w:t xml:space="preserve"> </w:t>
      </w:r>
      <w:r>
        <w:t>will result in an improved appreciation of all ethical aspects from the company’s perspective. Whilst there will be conflicts between the different lenses, this fuller understanding will lead to better informed moral decision-making.</w:t>
      </w:r>
    </w:p>
    <w:p w14:paraId="48C4AA0C" w14:textId="7D78B168" w:rsidR="004C389A" w:rsidRDefault="004C389A" w:rsidP="00300CE5">
      <w:pPr>
        <w:jc w:val="both"/>
      </w:pPr>
      <w:r>
        <w:t>Ethics should be central to all professions</w:t>
      </w:r>
      <w:r w:rsidR="009A449D">
        <w:t>’</w:t>
      </w:r>
      <w:r>
        <w:t xml:space="preserve"> core behaviours (Appendix 8), as all organisations and individuals need to “</w:t>
      </w:r>
      <w:r w:rsidRPr="00622B22">
        <w:rPr>
          <w:b/>
          <w:bCs/>
        </w:rPr>
        <w:t>promote a culture where ethical values and behaviours are embedded</w:t>
      </w:r>
      <w:r>
        <w:t xml:space="preserve">” (CIPD_COC). </w:t>
      </w:r>
    </w:p>
    <w:p w14:paraId="3BBC6786" w14:textId="58DB81D8" w:rsidR="004C389A" w:rsidRDefault="004C389A" w:rsidP="00300CE5">
      <w:pPr>
        <w:jc w:val="both"/>
      </w:pPr>
      <w:r>
        <w:t>This will create “Authentic Leaders” in organisations (Alavi 2024). Additionally</w:t>
      </w:r>
      <w:r w:rsidR="004C70E4">
        <w:t>,</w:t>
      </w:r>
      <w:r>
        <w:t xml:space="preserve"> it will encourage a more inclusive culture, ensure legal compliance (</w:t>
      </w:r>
      <w:r w:rsidR="00401435">
        <w:t>i</w:t>
      </w:r>
      <w:r>
        <w:t>.</w:t>
      </w:r>
      <w:r w:rsidR="00401435">
        <w:t>e.</w:t>
      </w:r>
      <w:r>
        <w:t xml:space="preserve"> Equality Act 2010), enhance all aspects of organisational conduct throughout the whole business (CIPD 2023-1) and promote fairness in decision-making.  </w:t>
      </w:r>
    </w:p>
    <w:p w14:paraId="461A1EF4" w14:textId="77777777" w:rsidR="00401435" w:rsidRDefault="00401435" w:rsidP="00300CE5">
      <w:pPr>
        <w:jc w:val="both"/>
        <w:rPr>
          <w:u w:val="single"/>
        </w:rPr>
      </w:pPr>
    </w:p>
    <w:p w14:paraId="5C1543D1" w14:textId="2189CCF8" w:rsidR="00AE2410" w:rsidRDefault="00AE2410" w:rsidP="00300CE5">
      <w:pPr>
        <w:pStyle w:val="ListParagraph"/>
        <w:numPr>
          <w:ilvl w:val="0"/>
          <w:numId w:val="1"/>
        </w:numPr>
        <w:jc w:val="both"/>
      </w:pPr>
      <w:r w:rsidRPr="00401435">
        <w:rPr>
          <w:u w:val="single"/>
        </w:rPr>
        <w:t>Financial and Non-Financial Performance</w:t>
      </w:r>
      <w:r w:rsidRPr="005B2F11">
        <w:t xml:space="preserve"> (AC </w:t>
      </w:r>
      <w:r>
        <w:t>3.1</w:t>
      </w:r>
      <w:r w:rsidRPr="005B2F11">
        <w:t>)</w:t>
      </w:r>
    </w:p>
    <w:p w14:paraId="36D7A0E3" w14:textId="6CD07A69" w:rsidR="00AE2410" w:rsidRDefault="00AE2410" w:rsidP="00300CE5">
      <w:pPr>
        <w:jc w:val="both"/>
      </w:pPr>
      <w:r>
        <w:t>Organisations need to monitor their performance to ensure their ongoing existence in the increasingly competitive global economy (Taylor and Woodhams 2022). Performance measures are essential in driving the business forward, identifying any variances and to ensure better informed business decisions.  Both financial and non-financial measures are key in providing an overall picture of an organisation, with financial measures generally seen as part of the story and non-financial measures identifying the potential strengths and weakness of a business (</w:t>
      </w:r>
      <w:r w:rsidR="0072606C">
        <w:t>Jackson 2024</w:t>
      </w:r>
      <w:r>
        <w:t xml:space="preserve">). </w:t>
      </w:r>
    </w:p>
    <w:p w14:paraId="5B7CC177" w14:textId="77777777" w:rsidR="00D22B1D" w:rsidRDefault="00AE2410" w:rsidP="00300CE5">
      <w:pPr>
        <w:pStyle w:val="ListParagraph"/>
        <w:numPr>
          <w:ilvl w:val="0"/>
          <w:numId w:val="6"/>
        </w:numPr>
        <w:jc w:val="both"/>
      </w:pPr>
      <w:r w:rsidRPr="00D22B1D">
        <w:rPr>
          <w:u w:val="single"/>
        </w:rPr>
        <w:t>Financial Measures</w:t>
      </w:r>
      <w:r>
        <w:t xml:space="preserve"> </w:t>
      </w:r>
    </w:p>
    <w:p w14:paraId="0943F6E4" w14:textId="44B47F19" w:rsidR="00AE2410" w:rsidRDefault="00AE2410" w:rsidP="00300CE5">
      <w:pPr>
        <w:ind w:left="360"/>
        <w:jc w:val="both"/>
      </w:pPr>
      <w:r>
        <w:t xml:space="preserve">Cashflow and profit must be the main focus for private companies. PAI Group Annual Operating Plan (Appendix 22-??retact) sets out the financial targets for the business, to ensure it monitors all associated costs to exceed its break-even position and generates a profit. </w:t>
      </w:r>
    </w:p>
    <w:p w14:paraId="0F6334D0" w14:textId="21576C0D" w:rsidR="00AE2410" w:rsidRDefault="00AE2410" w:rsidP="00300CE5">
      <w:pPr>
        <w:ind w:left="360"/>
        <w:jc w:val="both"/>
      </w:pPr>
      <w:r>
        <w:t>Monitoring gross and net profit enables the organisation to see the financial performance of the business by reviewing costs against its sales revenue. These financial KPIs are tracked and discussed as the primary agenda item in PAI senior management meetings as without a positive cashflow, a company cannot continue to fund its activities. However</w:t>
      </w:r>
      <w:r w:rsidR="00024A36">
        <w:t>,</w:t>
      </w:r>
      <w:r>
        <w:t xml:space="preserve"> focusing on these alone means not fully considering all the other important aspects of organisational performance. These include employee engagement, retention, and its overall skillset. Disappointingly it seems companies seldom use workforce information to inform their decisions (Fernandez and Gallardo-Gallardo 2019).</w:t>
      </w:r>
    </w:p>
    <w:p w14:paraId="0F143EB7" w14:textId="77777777" w:rsidR="006C6FAB" w:rsidRDefault="00AE2410" w:rsidP="00300CE5">
      <w:pPr>
        <w:pStyle w:val="ListParagraph"/>
        <w:numPr>
          <w:ilvl w:val="0"/>
          <w:numId w:val="6"/>
        </w:numPr>
        <w:jc w:val="both"/>
      </w:pPr>
      <w:r w:rsidRPr="006C6FAB">
        <w:rPr>
          <w:u w:val="single"/>
        </w:rPr>
        <w:t>Non-Financial Measures</w:t>
      </w:r>
      <w:r>
        <w:t xml:space="preserve"> </w:t>
      </w:r>
    </w:p>
    <w:p w14:paraId="6BEDDAF0" w14:textId="4879FCAE" w:rsidR="00AE2410" w:rsidRDefault="00AE2410" w:rsidP="00300CE5">
      <w:pPr>
        <w:ind w:left="360"/>
        <w:jc w:val="both"/>
      </w:pPr>
      <w:r>
        <w:t>These include employee turnover and customers</w:t>
      </w:r>
      <w:r w:rsidR="0098059B">
        <w:t>’</w:t>
      </w:r>
      <w:r>
        <w:t xml:space="preserve"> satisfaction, which are essential to the on-going success of a business. The employee turnover ratio is a one-dimensional number which may not be illustrative of the whole picture, so organisations will need to delve further into this statistic. </w:t>
      </w:r>
    </w:p>
    <w:p w14:paraId="1EF51F0D" w14:textId="4DF45B86" w:rsidR="00AE2410" w:rsidRDefault="00AE2410" w:rsidP="00300CE5">
      <w:pPr>
        <w:ind w:left="360"/>
        <w:jc w:val="both"/>
      </w:pPr>
      <w:r>
        <w:t xml:space="preserve">Obtaining customer satisfaction levels can be challenging and subjective through surveys or even interviews. The satisfaction ratio to depict this subjective level will depend on a customer’s perspective at that time, information gathered </w:t>
      </w:r>
      <w:r w:rsidR="00BF2FBA">
        <w:t xml:space="preserve">possibly </w:t>
      </w:r>
      <w:r>
        <w:t xml:space="preserve">being prone to bias, </w:t>
      </w:r>
      <w:r w:rsidR="006C33F7">
        <w:t xml:space="preserve">being </w:t>
      </w:r>
      <w:r>
        <w:t xml:space="preserve">based on out-dated or incorrect opinion, may result in extreme views, </w:t>
      </w:r>
      <w:r>
        <w:lastRenderedPageBreak/>
        <w:t xml:space="preserve">with possibly the customer having a different agenda. Its costs can vary depending on the type of method used but can be expensive and time-consuming. </w:t>
      </w:r>
    </w:p>
    <w:p w14:paraId="3CB504EC" w14:textId="77777777" w:rsidR="00AE2410" w:rsidRDefault="00AE2410" w:rsidP="00300CE5">
      <w:pPr>
        <w:ind w:left="360"/>
        <w:jc w:val="both"/>
      </w:pPr>
      <w:r>
        <w:t>It is vital to measure staff retention and customer satisfaction trends, issues and successes as these can directly have an impact on costs. These include recruitment, a lack of staff motivation or engagement, efficiency levels and actual sales revenues with customers not returning.</w:t>
      </w:r>
    </w:p>
    <w:p w14:paraId="078AAB5A" w14:textId="2554AACA" w:rsidR="00AE2410" w:rsidRDefault="00AE2410" w:rsidP="00300CE5">
      <w:pPr>
        <w:jc w:val="both"/>
      </w:pPr>
      <w:r>
        <w:t>Financial and non-financial measures will have varying levels of priority depending on the organisation, its industry and whether it</w:t>
      </w:r>
      <w:r w:rsidR="00F03788">
        <w:t>’</w:t>
      </w:r>
      <w:r>
        <w:t xml:space="preserve">s operating in the public or private sectors. Despite their importance, only 3% of executives believe they have the correct information to make thorough people decisions (Deloitte 2021).  </w:t>
      </w:r>
    </w:p>
    <w:p w14:paraId="763B1AF4" w14:textId="77777777" w:rsidR="004C389A" w:rsidRDefault="004C389A" w:rsidP="00300CE5">
      <w:pPr>
        <w:jc w:val="both"/>
      </w:pPr>
    </w:p>
    <w:p w14:paraId="7472E1CA" w14:textId="1627A74F" w:rsidR="00BF6F52" w:rsidRPr="00B44694" w:rsidRDefault="00BF6F52" w:rsidP="00300CE5">
      <w:pPr>
        <w:pStyle w:val="ListParagraph"/>
        <w:numPr>
          <w:ilvl w:val="0"/>
          <w:numId w:val="1"/>
        </w:numPr>
        <w:jc w:val="both"/>
        <w:rPr>
          <w:u w:val="single"/>
        </w:rPr>
      </w:pPr>
      <w:r w:rsidRPr="00B44694">
        <w:rPr>
          <w:u w:val="single"/>
        </w:rPr>
        <w:t xml:space="preserve">People Practice (AC 3.2) </w:t>
      </w:r>
    </w:p>
    <w:p w14:paraId="764CFEFC" w14:textId="0239343A" w:rsidR="00BF6F52" w:rsidRDefault="00BF6F52" w:rsidP="00300CE5">
      <w:pPr>
        <w:jc w:val="both"/>
      </w:pPr>
      <w:r>
        <w:t>The overriding purpose of People Practice is to “</w:t>
      </w:r>
      <w:r w:rsidRPr="008B4BBA">
        <w:rPr>
          <w:b/>
          <w:bCs/>
        </w:rPr>
        <w:t>add value to the organisation, plus its stakeholders</w:t>
      </w:r>
      <w:r>
        <w:t>” (Taylor and Woodhams 2022, pp.135). Contrary to this is the stance that it has no impact at all on the bottom line (McGoldrick, Stewart and Watson 2001-4), or overall organisational success (Thompso</w:t>
      </w:r>
      <w:r w:rsidR="00F03788">
        <w:t>n</w:t>
      </w:r>
      <w:r>
        <w:t xml:space="preserve"> 2011-5), plus it lacks the necessary strategic skillset (Reid and Nikodem 2023-1-2). </w:t>
      </w:r>
    </w:p>
    <w:p w14:paraId="02DF0C73" w14:textId="77777777" w:rsidR="00BF6F52" w:rsidRDefault="00BF6F52" w:rsidP="00300CE5">
      <w:pPr>
        <w:jc w:val="both"/>
      </w:pPr>
      <w:r>
        <w:t xml:space="preserve">Nevertheless, People Practice creates value to organisations through its administrative, HR-services and important strategic duties (Andresen and Nowak 2015-6-6).   Measuring this value is key not only to substantiate its importance in the boardroom (Briner 2007-5), but also to recognise its role in both individual and organisational learning (Heard et al. 2020-3-?), operational success (Taylor and Woodhams 2022), crisis management (Thomas 2024) promoting an inclusive culture, ensuring company compliance (Waite 2021), plus the extended positive impact it has on local communities. </w:t>
      </w:r>
    </w:p>
    <w:p w14:paraId="41ED57D7" w14:textId="77777777" w:rsidR="00BF6F52" w:rsidRDefault="00BF6F52" w:rsidP="00300CE5">
      <w:pPr>
        <w:jc w:val="both"/>
      </w:pPr>
      <w:r>
        <w:t>Methods which can be used to show the impact of People Practice include -</w:t>
      </w:r>
    </w:p>
    <w:p w14:paraId="494FB88F" w14:textId="77777777" w:rsidR="00BF6F52" w:rsidRDefault="00BF6F52" w:rsidP="00300CE5">
      <w:pPr>
        <w:pStyle w:val="ListParagraph"/>
        <w:numPr>
          <w:ilvl w:val="0"/>
          <w:numId w:val="3"/>
        </w:numPr>
        <w:jc w:val="both"/>
      </w:pPr>
      <w:r w:rsidRPr="00E452C0">
        <w:rPr>
          <w:u w:val="single"/>
        </w:rPr>
        <w:t>Return on Investment (ROI):</w:t>
      </w:r>
      <w:r w:rsidRPr="00692DC3">
        <w:t xml:space="preserve"> </w:t>
      </w:r>
    </w:p>
    <w:p w14:paraId="1268348C" w14:textId="70D52208" w:rsidR="00BF6F52" w:rsidRDefault="00BF6F52" w:rsidP="00300CE5">
      <w:pPr>
        <w:ind w:left="360"/>
        <w:jc w:val="both"/>
      </w:pPr>
      <w:r>
        <w:t xml:space="preserve">Traditionally used to calculate the return in financial sectors, ROI has now grown into different areas in an attempt to illustrate the value of a particular people practice investment. </w:t>
      </w:r>
      <w:r w:rsidR="00F17742">
        <w:t>T</w:t>
      </w:r>
      <w:r>
        <w:t xml:space="preserve">his can be challenging </w:t>
      </w:r>
      <w:r w:rsidR="00F17742">
        <w:t xml:space="preserve"> in People Practice </w:t>
      </w:r>
      <w:r>
        <w:t xml:space="preserve">when </w:t>
      </w:r>
      <w:r w:rsidR="00E91DF4">
        <w:t>attempting</w:t>
      </w:r>
      <w:r>
        <w:t xml:space="preserve"> to include intangible costs, such as a negative culture or benefits including employee satisfaction (Dadd and Hinton 2022).  </w:t>
      </w:r>
    </w:p>
    <w:p w14:paraId="42B4963B" w14:textId="77777777" w:rsidR="00BF6F52" w:rsidRDefault="00BF6F52" w:rsidP="00300CE5">
      <w:pPr>
        <w:ind w:firstLine="360"/>
        <w:jc w:val="both"/>
      </w:pPr>
      <w:r>
        <w:t>Nevertheless it can be a very useful metric to simply show if an expense has brought value.</w:t>
      </w:r>
    </w:p>
    <w:p w14:paraId="24F43831" w14:textId="77777777" w:rsidR="00BF6F52" w:rsidRDefault="00BF6F52" w:rsidP="00300CE5">
      <w:pPr>
        <w:pStyle w:val="NoSpacing"/>
        <w:ind w:firstLine="720"/>
        <w:jc w:val="both"/>
        <w:rPr>
          <w:u w:val="single"/>
        </w:rPr>
      </w:pPr>
      <w:r>
        <w:t xml:space="preserve">E.g.  </w:t>
      </w:r>
      <w:r>
        <w:tab/>
      </w:r>
      <w:r>
        <w:tab/>
      </w:r>
      <w:r>
        <w:tab/>
        <w:t>ROI</w:t>
      </w:r>
      <w:r>
        <w:tab/>
        <w:t xml:space="preserve">= </w:t>
      </w:r>
      <w:r>
        <w:tab/>
        <w:t>‘</w:t>
      </w:r>
      <w:r w:rsidRPr="00B15438">
        <w:rPr>
          <w:u w:val="single"/>
        </w:rPr>
        <w:t>Net Increase in Value’</w:t>
      </w:r>
    </w:p>
    <w:p w14:paraId="481C72B6" w14:textId="77777777" w:rsidR="00BF6F52" w:rsidRPr="00B15438" w:rsidRDefault="00BF6F52" w:rsidP="00300CE5">
      <w:pPr>
        <w:pStyle w:val="NoSpacing"/>
        <w:jc w:val="both"/>
      </w:pPr>
      <w:r>
        <w:t xml:space="preserve">                                                          </w:t>
      </w:r>
      <w:r>
        <w:tab/>
        <w:t xml:space="preserve">              </w:t>
      </w:r>
      <w:r>
        <w:tab/>
      </w:r>
      <w:r>
        <w:tab/>
        <w:t>‘Cost’</w:t>
      </w:r>
    </w:p>
    <w:p w14:paraId="066991D4" w14:textId="77777777" w:rsidR="00BF6F52" w:rsidRDefault="00BF6F52" w:rsidP="00300CE5">
      <w:pPr>
        <w:pStyle w:val="NoSpacing"/>
        <w:jc w:val="both"/>
      </w:pPr>
      <w:r>
        <w:t xml:space="preserve"> </w:t>
      </w:r>
    </w:p>
    <w:p w14:paraId="1B0C2019" w14:textId="04136B59" w:rsidR="00BF6F52" w:rsidRPr="00394722" w:rsidRDefault="00BF6F52" w:rsidP="00300CE5">
      <w:pPr>
        <w:ind w:left="360"/>
        <w:jc w:val="both"/>
        <w:rPr>
          <w:u w:val="single"/>
        </w:rPr>
      </w:pPr>
      <w:bookmarkStart w:id="0" w:name="_Hlk167051260"/>
      <w:r>
        <w:t>A sales training course cost</w:t>
      </w:r>
      <w:r w:rsidR="00F03788">
        <w:t>ing</w:t>
      </w:r>
      <w:r>
        <w:t xml:space="preserve"> £10,000 has sales increased by £75,000. The ROI would be £75,000 - £10,000 = £65,000 divided by £10,000, equalling 6.5.</w:t>
      </w:r>
    </w:p>
    <w:bookmarkEnd w:id="0"/>
    <w:p w14:paraId="3B382DC2" w14:textId="77777777" w:rsidR="00BF6F52" w:rsidRDefault="00BF6F52" w:rsidP="00300CE5">
      <w:pPr>
        <w:jc w:val="both"/>
        <w:rPr>
          <w:u w:val="single"/>
        </w:rPr>
      </w:pPr>
    </w:p>
    <w:p w14:paraId="75403AAC" w14:textId="77777777" w:rsidR="00BF6F52" w:rsidRPr="00895CF1" w:rsidRDefault="00BF6F52" w:rsidP="00300CE5">
      <w:pPr>
        <w:pStyle w:val="ListParagraph"/>
        <w:numPr>
          <w:ilvl w:val="0"/>
          <w:numId w:val="3"/>
        </w:numPr>
        <w:jc w:val="both"/>
        <w:rPr>
          <w:u w:val="single"/>
        </w:rPr>
      </w:pPr>
      <w:r w:rsidRPr="00895CF1">
        <w:rPr>
          <w:u w:val="single"/>
        </w:rPr>
        <w:t>Cost-Benefit Analysis (CBA):</w:t>
      </w:r>
    </w:p>
    <w:p w14:paraId="3C17D876" w14:textId="72445E72" w:rsidR="00BF6F52" w:rsidRDefault="00BF6F52" w:rsidP="00300CE5">
      <w:pPr>
        <w:ind w:left="360"/>
        <w:jc w:val="both"/>
      </w:pPr>
      <w:r>
        <w:t xml:space="preserve">Similar to ROI, CBA has outgrown its original roots and is now used to compare the cost and benefits to illustrate overall People Practice value. Whilst it would seem commonsense to use such a metric, </w:t>
      </w:r>
      <w:r w:rsidR="00E91DF4">
        <w:t>CBA</w:t>
      </w:r>
      <w:r>
        <w:t xml:space="preserve"> critics have commented </w:t>
      </w:r>
      <w:r w:rsidR="00E91DF4">
        <w:t>it</w:t>
      </w:r>
      <w:r>
        <w:t xml:space="preserve"> “</w:t>
      </w:r>
      <w:r w:rsidRPr="00895CF1">
        <w:rPr>
          <w:b/>
          <w:bCs/>
        </w:rPr>
        <w:t>does not produce morally relevant information and should not be used</w:t>
      </w:r>
      <w:r>
        <w:t>” (</w:t>
      </w:r>
      <w:r w:rsidRPr="00BF2222">
        <w:t>Posner</w:t>
      </w:r>
      <w:r>
        <w:t xml:space="preserve"> </w:t>
      </w:r>
      <w:r w:rsidRPr="00BF2222">
        <w:t>and Adler</w:t>
      </w:r>
      <w:r>
        <w:t xml:space="preserve"> 1999, pp.167). Nevertheless it enables a complete overview of People Practice, in a basic form that illustrates the net reward which will be easily understood.</w:t>
      </w:r>
    </w:p>
    <w:p w14:paraId="79D809FE" w14:textId="77777777" w:rsidR="00BF6F52" w:rsidRPr="00B15438" w:rsidRDefault="00BF6F52" w:rsidP="00300CE5">
      <w:pPr>
        <w:pStyle w:val="NoSpacing"/>
        <w:ind w:firstLine="720"/>
        <w:jc w:val="both"/>
      </w:pPr>
      <w:r>
        <w:t xml:space="preserve">E.g.  </w:t>
      </w:r>
      <w:r>
        <w:tab/>
      </w:r>
      <w:r>
        <w:tab/>
      </w:r>
      <w:r>
        <w:tab/>
        <w:t xml:space="preserve">CBA </w:t>
      </w:r>
      <w:r>
        <w:tab/>
        <w:t xml:space="preserve">= </w:t>
      </w:r>
      <w:r>
        <w:tab/>
      </w:r>
      <w:r w:rsidRPr="005B5996">
        <w:t xml:space="preserve">‘Value of Benefit’   - </w:t>
      </w:r>
      <w:r>
        <w:t xml:space="preserve">  ‘Value of Cost’</w:t>
      </w:r>
    </w:p>
    <w:p w14:paraId="70046163" w14:textId="77777777" w:rsidR="00BF6F52" w:rsidRPr="008863BA" w:rsidRDefault="00BF6F52" w:rsidP="00300CE5">
      <w:pPr>
        <w:jc w:val="both"/>
      </w:pPr>
    </w:p>
    <w:p w14:paraId="73190694" w14:textId="7FD3F8D6" w:rsidR="00BF6F52" w:rsidRPr="005140F3" w:rsidRDefault="00BF6F52" w:rsidP="00300CE5">
      <w:pPr>
        <w:ind w:left="348"/>
        <w:jc w:val="both"/>
      </w:pPr>
      <w:r>
        <w:t>A new company private health care initiative costing £30,000, subsequently reported a reduction of sickness leave equivalent to £50,000. Subtracting the cost of £30,000 from the £50,000 benefit, calculates out as a £20,000</w:t>
      </w:r>
      <w:r w:rsidR="006D309E">
        <w:t xml:space="preserve"> </w:t>
      </w:r>
      <w:r>
        <w:t>net benefit.</w:t>
      </w:r>
    </w:p>
    <w:p w14:paraId="221E4019" w14:textId="04CF67D1" w:rsidR="00BF6F52" w:rsidRDefault="00BF6F52" w:rsidP="00300CE5">
      <w:pPr>
        <w:jc w:val="both"/>
      </w:pPr>
      <w:r>
        <w:lastRenderedPageBreak/>
        <w:t xml:space="preserve">Applying these methods, in conjunction with feedback tools including surveys, focus groups and appraisals, will provide a framework not only to show People Practice’s value, but also provide a means to continually monitor success and if needed make changes as necessary. They can also be a mechanism </w:t>
      </w:r>
      <w:r w:rsidR="001F7914">
        <w:t xml:space="preserve">in obtaining </w:t>
      </w:r>
      <w:r>
        <w:t>additional investment in People Practice by illustrating its value</w:t>
      </w:r>
      <w:r w:rsidR="001F7914">
        <w:t xml:space="preserve"> to the board</w:t>
      </w:r>
      <w:r>
        <w:t>. All this will enable the profession to become “</w:t>
      </w:r>
      <w:r w:rsidRPr="00CE53B8">
        <w:rPr>
          <w:b/>
          <w:bCs/>
        </w:rPr>
        <w:t>future-ready</w:t>
      </w:r>
      <w:r>
        <w:t>” (Sheils 2023-2).</w:t>
      </w:r>
    </w:p>
    <w:p w14:paraId="7ACBB886" w14:textId="77777777" w:rsidR="00BF6F52" w:rsidRDefault="00BF6F52" w:rsidP="00D04AD7"/>
    <w:p w14:paraId="36BC49FD" w14:textId="77777777" w:rsidR="00D204C3" w:rsidRDefault="00D204C3" w:rsidP="00D04AD7"/>
    <w:p w14:paraId="45E4A9A8" w14:textId="77777777" w:rsidR="00363C59" w:rsidRPr="00352A9B" w:rsidRDefault="00363C59" w:rsidP="00D74541"/>
    <w:p w14:paraId="3ED791AF" w14:textId="77777777" w:rsidR="00D74541" w:rsidRDefault="00D74541" w:rsidP="00D74541"/>
    <w:p w14:paraId="4177838C" w14:textId="77777777" w:rsidR="00C93EA8" w:rsidRDefault="00C93EA8" w:rsidP="00EF6A71">
      <w:pPr>
        <w:jc w:val="both"/>
      </w:pPr>
    </w:p>
    <w:sectPr w:rsidR="00C93EA8" w:rsidSect="00EF6A7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01FE5"/>
    <w:multiLevelType w:val="hybridMultilevel"/>
    <w:tmpl w:val="2D28A20E"/>
    <w:lvl w:ilvl="0" w:tplc="25B869FA">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69CE"/>
    <w:multiLevelType w:val="hybridMultilevel"/>
    <w:tmpl w:val="801295CC"/>
    <w:lvl w:ilvl="0" w:tplc="B4C0A37E">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C774A2"/>
    <w:multiLevelType w:val="hybridMultilevel"/>
    <w:tmpl w:val="A9DCE72C"/>
    <w:lvl w:ilvl="0" w:tplc="AEA0DFF0">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0034C"/>
    <w:multiLevelType w:val="hybridMultilevel"/>
    <w:tmpl w:val="226E1F72"/>
    <w:lvl w:ilvl="0" w:tplc="8D2A1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0D560E"/>
    <w:multiLevelType w:val="hybridMultilevel"/>
    <w:tmpl w:val="EA207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7D466C"/>
    <w:multiLevelType w:val="hybridMultilevel"/>
    <w:tmpl w:val="A5C2B216"/>
    <w:lvl w:ilvl="0" w:tplc="2BBC4738">
      <w:start w:val="1"/>
      <w:numFmt w:val="lowerRoman"/>
      <w:lvlText w:val="(%1)"/>
      <w:lvlJc w:val="left"/>
      <w:pPr>
        <w:ind w:left="1080" w:hanging="72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9726903">
    <w:abstractNumId w:val="3"/>
  </w:num>
  <w:num w:numId="2" w16cid:durableId="109670039">
    <w:abstractNumId w:val="4"/>
  </w:num>
  <w:num w:numId="3" w16cid:durableId="1944801125">
    <w:abstractNumId w:val="0"/>
  </w:num>
  <w:num w:numId="4" w16cid:durableId="1884363317">
    <w:abstractNumId w:val="5"/>
  </w:num>
  <w:num w:numId="5" w16cid:durableId="504134149">
    <w:abstractNumId w:val="2"/>
  </w:num>
  <w:num w:numId="6" w16cid:durableId="164051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A71"/>
    <w:rsid w:val="00024A36"/>
    <w:rsid w:val="00053194"/>
    <w:rsid w:val="000A161D"/>
    <w:rsid w:val="000B66D7"/>
    <w:rsid w:val="000E28C0"/>
    <w:rsid w:val="0011411E"/>
    <w:rsid w:val="001B3D79"/>
    <w:rsid w:val="001F7914"/>
    <w:rsid w:val="00221D3C"/>
    <w:rsid w:val="00235FA7"/>
    <w:rsid w:val="00277DB2"/>
    <w:rsid w:val="002A3C9E"/>
    <w:rsid w:val="002D47C6"/>
    <w:rsid w:val="002E31AF"/>
    <w:rsid w:val="002F7D40"/>
    <w:rsid w:val="00300CE5"/>
    <w:rsid w:val="003261C5"/>
    <w:rsid w:val="00363C59"/>
    <w:rsid w:val="00365E98"/>
    <w:rsid w:val="003702E8"/>
    <w:rsid w:val="00396B26"/>
    <w:rsid w:val="003A3C3E"/>
    <w:rsid w:val="003C4BAD"/>
    <w:rsid w:val="003F3AA7"/>
    <w:rsid w:val="00401435"/>
    <w:rsid w:val="00492B18"/>
    <w:rsid w:val="004C389A"/>
    <w:rsid w:val="004C70E4"/>
    <w:rsid w:val="004F0482"/>
    <w:rsid w:val="00531124"/>
    <w:rsid w:val="00533B49"/>
    <w:rsid w:val="00561063"/>
    <w:rsid w:val="005F1D0E"/>
    <w:rsid w:val="00635B97"/>
    <w:rsid w:val="00657565"/>
    <w:rsid w:val="0068023E"/>
    <w:rsid w:val="006C33F7"/>
    <w:rsid w:val="006C6FAB"/>
    <w:rsid w:val="006D309E"/>
    <w:rsid w:val="006D4E5A"/>
    <w:rsid w:val="0072606C"/>
    <w:rsid w:val="007626E5"/>
    <w:rsid w:val="00802DCB"/>
    <w:rsid w:val="00844C1F"/>
    <w:rsid w:val="00865177"/>
    <w:rsid w:val="008A459E"/>
    <w:rsid w:val="008B5335"/>
    <w:rsid w:val="008D309A"/>
    <w:rsid w:val="008D695B"/>
    <w:rsid w:val="008F2CA2"/>
    <w:rsid w:val="00965229"/>
    <w:rsid w:val="00965E27"/>
    <w:rsid w:val="00973627"/>
    <w:rsid w:val="0098059B"/>
    <w:rsid w:val="00993239"/>
    <w:rsid w:val="009A449D"/>
    <w:rsid w:val="009A44F9"/>
    <w:rsid w:val="009B78E0"/>
    <w:rsid w:val="009E5BA3"/>
    <w:rsid w:val="009F58BD"/>
    <w:rsid w:val="00A01462"/>
    <w:rsid w:val="00A70BA9"/>
    <w:rsid w:val="00A909C5"/>
    <w:rsid w:val="00A911CD"/>
    <w:rsid w:val="00A944E1"/>
    <w:rsid w:val="00AC2227"/>
    <w:rsid w:val="00AE2410"/>
    <w:rsid w:val="00B16830"/>
    <w:rsid w:val="00B44694"/>
    <w:rsid w:val="00B77CE1"/>
    <w:rsid w:val="00BF2FBA"/>
    <w:rsid w:val="00BF6F52"/>
    <w:rsid w:val="00C0426A"/>
    <w:rsid w:val="00C51A31"/>
    <w:rsid w:val="00C6540B"/>
    <w:rsid w:val="00C93EA8"/>
    <w:rsid w:val="00CB1E29"/>
    <w:rsid w:val="00CD6259"/>
    <w:rsid w:val="00CF7A9B"/>
    <w:rsid w:val="00D00DF1"/>
    <w:rsid w:val="00D04AD7"/>
    <w:rsid w:val="00D204C3"/>
    <w:rsid w:val="00D22B1D"/>
    <w:rsid w:val="00D44AA9"/>
    <w:rsid w:val="00D74541"/>
    <w:rsid w:val="00E576E1"/>
    <w:rsid w:val="00E70439"/>
    <w:rsid w:val="00E91DF4"/>
    <w:rsid w:val="00EC26DD"/>
    <w:rsid w:val="00EF6A71"/>
    <w:rsid w:val="00F01645"/>
    <w:rsid w:val="00F03788"/>
    <w:rsid w:val="00F17742"/>
    <w:rsid w:val="00F57E94"/>
    <w:rsid w:val="00FD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02AFD"/>
  <w15:chartTrackingRefBased/>
  <w15:docId w15:val="{AA828688-6AC0-4CF0-8B4A-D92AA404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A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A71"/>
    <w:pPr>
      <w:ind w:left="720"/>
      <w:contextualSpacing/>
    </w:pPr>
  </w:style>
  <w:style w:type="paragraph" w:styleId="NoSpacing">
    <w:name w:val="No Spacing"/>
    <w:uiPriority w:val="1"/>
    <w:qFormat/>
    <w:rsid w:val="00BF6F5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2993</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86</cp:revision>
  <dcterms:created xsi:type="dcterms:W3CDTF">2024-05-20T07:42:00Z</dcterms:created>
  <dcterms:modified xsi:type="dcterms:W3CDTF">2024-05-21T09:59:00Z</dcterms:modified>
</cp:coreProperties>
</file>