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16C2" w14:textId="77777777" w:rsidR="006D6105" w:rsidRDefault="001E75CF">
      <w:r>
        <w:rPr>
          <w:noProof/>
        </w:rPr>
        <w:drawing>
          <wp:inline distT="114300" distB="114300" distL="114300" distR="114300" wp14:anchorId="057C280F" wp14:editId="07197C5A">
            <wp:extent cx="2971800" cy="1076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71800" cy="1076325"/>
                    </a:xfrm>
                    <a:prstGeom prst="rect">
                      <a:avLst/>
                    </a:prstGeom>
                    <a:ln/>
                  </pic:spPr>
                </pic:pic>
              </a:graphicData>
            </a:graphic>
          </wp:inline>
        </w:drawing>
      </w:r>
    </w:p>
    <w:p w14:paraId="1A780D29" w14:textId="77777777" w:rsidR="006D6105" w:rsidRDefault="006D6105"/>
    <w:p w14:paraId="0A9D9AF7" w14:textId="3B02C8CE" w:rsidR="006D6105" w:rsidRDefault="00794E29">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p>
    <w:p w14:paraId="5B4EAAA1" w14:textId="65CD2608" w:rsidR="006D6105" w:rsidRDefault="00794E29">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410905">
        <w:rPr>
          <w:rFonts w:ascii="Times New Roman" w:eastAsia="Times New Roman" w:hAnsi="Times New Roman" w:cs="Times New Roman"/>
          <w:sz w:val="32"/>
          <w:szCs w:val="32"/>
        </w:rPr>
        <w:t xml:space="preserve">         </w:t>
      </w:r>
      <w:r w:rsidR="00DF7456">
        <w:rPr>
          <w:rFonts w:ascii="Times New Roman" w:eastAsia="Times New Roman" w:hAnsi="Times New Roman" w:cs="Times New Roman"/>
          <w:sz w:val="32"/>
          <w:szCs w:val="32"/>
        </w:rPr>
        <w:t xml:space="preserve">   </w:t>
      </w:r>
      <w:r w:rsidR="00A558EA">
        <w:rPr>
          <w:rFonts w:ascii="Times New Roman" w:eastAsia="Times New Roman" w:hAnsi="Times New Roman" w:cs="Times New Roman"/>
          <w:sz w:val="32"/>
          <w:szCs w:val="32"/>
        </w:rPr>
        <w:t xml:space="preserve">   </w:t>
      </w:r>
      <w:r w:rsidR="00410905">
        <w:rPr>
          <w:rFonts w:ascii="Times New Roman" w:eastAsia="Times New Roman" w:hAnsi="Times New Roman" w:cs="Times New Roman"/>
          <w:sz w:val="32"/>
          <w:szCs w:val="32"/>
        </w:rPr>
        <w:t xml:space="preserve">           </w:t>
      </w:r>
      <w:r w:rsidR="00690CB0">
        <w:rPr>
          <w:rFonts w:ascii="Times New Roman" w:eastAsia="Times New Roman" w:hAnsi="Times New Roman" w:cs="Times New Roman"/>
          <w:sz w:val="32"/>
          <w:szCs w:val="32"/>
        </w:rPr>
        <w:t xml:space="preserve">  </w:t>
      </w:r>
      <w:r w:rsidR="00811570">
        <w:rPr>
          <w:rFonts w:ascii="Times New Roman" w:eastAsia="Times New Roman" w:hAnsi="Times New Roman" w:cs="Times New Roman"/>
          <w:sz w:val="32"/>
          <w:szCs w:val="32"/>
        </w:rPr>
        <w:t xml:space="preserve"> </w:t>
      </w:r>
    </w:p>
    <w:p w14:paraId="73F4C577" w14:textId="6D5BA88C" w:rsidR="006D6105" w:rsidRDefault="00794E29">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p>
    <w:p w14:paraId="1048646A" w14:textId="77777777" w:rsidR="006D6105" w:rsidRDefault="006D6105">
      <w:pPr>
        <w:spacing w:line="360" w:lineRule="auto"/>
        <w:jc w:val="center"/>
        <w:rPr>
          <w:rFonts w:ascii="Times New Roman" w:eastAsia="Times New Roman" w:hAnsi="Times New Roman" w:cs="Times New Roman"/>
          <w:sz w:val="32"/>
          <w:szCs w:val="32"/>
        </w:rPr>
      </w:pPr>
    </w:p>
    <w:p w14:paraId="4440E57D" w14:textId="77777777" w:rsidR="006D6105" w:rsidRDefault="006D6105">
      <w:pPr>
        <w:spacing w:line="360" w:lineRule="auto"/>
        <w:jc w:val="center"/>
        <w:rPr>
          <w:rFonts w:ascii="Times New Roman" w:eastAsia="Times New Roman" w:hAnsi="Times New Roman" w:cs="Times New Roman"/>
          <w:sz w:val="32"/>
          <w:szCs w:val="32"/>
        </w:rPr>
      </w:pPr>
    </w:p>
    <w:p w14:paraId="08B0C1FB" w14:textId="77777777" w:rsidR="006D6105" w:rsidRDefault="001E75CF">
      <w:pPr>
        <w:spacing w:line="360" w:lineRule="auto"/>
        <w:jc w:val="center"/>
        <w:rPr>
          <w:rFonts w:ascii="Times New Roman" w:eastAsia="Times New Roman" w:hAnsi="Times New Roman" w:cs="Times New Roman"/>
          <w:b/>
          <w:bCs/>
          <w:i/>
          <w:iCs/>
          <w:sz w:val="32"/>
          <w:szCs w:val="32"/>
        </w:rPr>
      </w:pPr>
      <w:r>
        <w:rPr>
          <w:rFonts w:ascii="Times New Roman" w:eastAsia="Times New Roman" w:hAnsi="Times New Roman" w:cs="Times New Roman"/>
          <w:b/>
          <w:bCs/>
          <w:i/>
          <w:iCs/>
          <w:sz w:val="32"/>
          <w:szCs w:val="32"/>
        </w:rPr>
        <w:t xml:space="preserve">BA (Hons) International Hotel Management </w:t>
      </w:r>
    </w:p>
    <w:p w14:paraId="000E7E4C" w14:textId="77777777" w:rsidR="006D6105" w:rsidRDefault="001E75C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BMIH6002: HOTEL PLACEMENT – MANAGING FOOD AND </w:t>
      </w:r>
      <w:proofErr w:type="gramStart"/>
      <w:r>
        <w:rPr>
          <w:rFonts w:ascii="Times New Roman" w:eastAsia="Times New Roman" w:hAnsi="Times New Roman" w:cs="Times New Roman"/>
          <w:b/>
          <w:bCs/>
          <w:sz w:val="32"/>
          <w:szCs w:val="32"/>
        </w:rPr>
        <w:t>BEVERAGE  OPERATIONS</w:t>
      </w:r>
      <w:proofErr w:type="gramEnd"/>
      <w:r>
        <w:rPr>
          <w:rFonts w:ascii="Times New Roman" w:eastAsia="Times New Roman" w:hAnsi="Times New Roman" w:cs="Times New Roman"/>
          <w:b/>
          <w:bCs/>
          <w:sz w:val="32"/>
          <w:szCs w:val="32"/>
        </w:rPr>
        <w:t xml:space="preserve"> </w:t>
      </w:r>
    </w:p>
    <w:p w14:paraId="470FE15B" w14:textId="77777777" w:rsidR="006D6105" w:rsidRDefault="006D6105">
      <w:pPr>
        <w:spacing w:line="360" w:lineRule="auto"/>
        <w:jc w:val="center"/>
        <w:rPr>
          <w:rFonts w:ascii="Times New Roman" w:eastAsia="Times New Roman" w:hAnsi="Times New Roman" w:cs="Times New Roman"/>
          <w:sz w:val="32"/>
          <w:szCs w:val="32"/>
        </w:rPr>
      </w:pPr>
    </w:p>
    <w:p w14:paraId="47453F4B" w14:textId="77777777" w:rsidR="006D6105" w:rsidRDefault="006D6105">
      <w:pPr>
        <w:spacing w:line="360" w:lineRule="auto"/>
        <w:jc w:val="right"/>
        <w:rPr>
          <w:rFonts w:ascii="Times New Roman" w:eastAsia="Times New Roman" w:hAnsi="Times New Roman" w:cs="Times New Roman"/>
          <w:b/>
          <w:bCs/>
          <w:i/>
          <w:iCs/>
          <w:sz w:val="26"/>
          <w:szCs w:val="26"/>
        </w:rPr>
      </w:pPr>
    </w:p>
    <w:p w14:paraId="469A028D" w14:textId="77777777" w:rsidR="006D6105" w:rsidRDefault="006D6105">
      <w:pPr>
        <w:spacing w:line="360" w:lineRule="auto"/>
        <w:jc w:val="right"/>
        <w:rPr>
          <w:rFonts w:ascii="Times New Roman" w:eastAsia="Times New Roman" w:hAnsi="Times New Roman" w:cs="Times New Roman"/>
          <w:b/>
          <w:bCs/>
          <w:i/>
          <w:iCs/>
          <w:sz w:val="26"/>
          <w:szCs w:val="26"/>
        </w:rPr>
      </w:pPr>
    </w:p>
    <w:p w14:paraId="1D60C10D" w14:textId="77777777" w:rsidR="006D6105" w:rsidRDefault="006D6105">
      <w:pPr>
        <w:spacing w:line="360" w:lineRule="auto"/>
        <w:jc w:val="right"/>
        <w:rPr>
          <w:rFonts w:ascii="Times New Roman" w:eastAsia="Times New Roman" w:hAnsi="Times New Roman" w:cs="Times New Roman"/>
          <w:b/>
          <w:bCs/>
          <w:i/>
          <w:iCs/>
          <w:sz w:val="26"/>
          <w:szCs w:val="26"/>
        </w:rPr>
      </w:pPr>
    </w:p>
    <w:p w14:paraId="23DAE3CB" w14:textId="459EF18E" w:rsidR="006D6105" w:rsidRDefault="00732D5D">
      <w:pPr>
        <w:spacing w:line="360" w:lineRule="auto"/>
        <w:jc w:val="right"/>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Name-</w:t>
      </w:r>
      <w:r w:rsidRPr="00732D5D">
        <w:rPr>
          <w:rFonts w:ascii="Times New Roman" w:eastAsia="Times New Roman" w:hAnsi="Times New Roman" w:cs="Times New Roman"/>
          <w:b/>
          <w:bCs/>
          <w:i/>
          <w:iCs/>
          <w:sz w:val="26"/>
          <w:szCs w:val="26"/>
        </w:rPr>
        <w:t>Mircea Catalin Leva</w:t>
      </w:r>
    </w:p>
    <w:p w14:paraId="1F61B4F2" w14:textId="01BB6491" w:rsidR="006D6105" w:rsidRDefault="00732D5D">
      <w:pPr>
        <w:spacing w:line="360" w:lineRule="auto"/>
        <w:jc w:val="right"/>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ID-</w:t>
      </w:r>
      <w:r w:rsidRPr="00732D5D">
        <w:t xml:space="preserve"> </w:t>
      </w:r>
      <w:r w:rsidRPr="00732D5D">
        <w:rPr>
          <w:rFonts w:ascii="Times New Roman" w:eastAsia="Times New Roman" w:hAnsi="Times New Roman" w:cs="Times New Roman"/>
          <w:b/>
          <w:bCs/>
          <w:i/>
          <w:iCs/>
          <w:sz w:val="26"/>
          <w:szCs w:val="26"/>
        </w:rPr>
        <w:t>2244690</w:t>
      </w:r>
    </w:p>
    <w:p w14:paraId="0267655C" w14:textId="77777777" w:rsidR="006D6105" w:rsidRDefault="006D6105">
      <w:pPr>
        <w:spacing w:line="360" w:lineRule="auto"/>
        <w:jc w:val="right"/>
        <w:rPr>
          <w:rFonts w:ascii="Times New Roman" w:eastAsia="Times New Roman" w:hAnsi="Times New Roman" w:cs="Times New Roman"/>
          <w:b/>
          <w:bCs/>
          <w:i/>
          <w:iCs/>
          <w:sz w:val="26"/>
          <w:szCs w:val="26"/>
        </w:rPr>
      </w:pPr>
    </w:p>
    <w:p w14:paraId="53A82BCC" w14:textId="77777777" w:rsidR="006D6105" w:rsidRDefault="006D6105">
      <w:pPr>
        <w:spacing w:line="360" w:lineRule="auto"/>
        <w:jc w:val="right"/>
        <w:rPr>
          <w:rFonts w:ascii="Times New Roman" w:eastAsia="Times New Roman" w:hAnsi="Times New Roman" w:cs="Times New Roman"/>
          <w:b/>
          <w:bCs/>
          <w:i/>
          <w:iCs/>
          <w:sz w:val="26"/>
          <w:szCs w:val="26"/>
        </w:rPr>
      </w:pPr>
    </w:p>
    <w:p w14:paraId="75A525D9" w14:textId="77777777" w:rsidR="006D6105" w:rsidRDefault="006D6105">
      <w:pPr>
        <w:spacing w:line="360" w:lineRule="auto"/>
        <w:jc w:val="right"/>
        <w:rPr>
          <w:rFonts w:ascii="Times New Roman" w:eastAsia="Times New Roman" w:hAnsi="Times New Roman" w:cs="Times New Roman"/>
          <w:b/>
          <w:bCs/>
          <w:i/>
          <w:iCs/>
          <w:sz w:val="26"/>
          <w:szCs w:val="26"/>
        </w:rPr>
      </w:pPr>
    </w:p>
    <w:p w14:paraId="5BA9E686" w14:textId="77777777" w:rsidR="006D6105" w:rsidRDefault="006D6105">
      <w:pPr>
        <w:spacing w:line="360" w:lineRule="auto"/>
        <w:jc w:val="right"/>
        <w:rPr>
          <w:rFonts w:ascii="Times New Roman" w:eastAsia="Times New Roman" w:hAnsi="Times New Roman" w:cs="Times New Roman"/>
          <w:b/>
          <w:bCs/>
          <w:i/>
          <w:iCs/>
          <w:sz w:val="26"/>
          <w:szCs w:val="26"/>
        </w:rPr>
      </w:pPr>
    </w:p>
    <w:p w14:paraId="1FFD83B7" w14:textId="77777777" w:rsidR="006D6105" w:rsidRDefault="006D6105">
      <w:pPr>
        <w:spacing w:line="360" w:lineRule="auto"/>
        <w:jc w:val="right"/>
        <w:rPr>
          <w:rFonts w:ascii="Times New Roman" w:eastAsia="Times New Roman" w:hAnsi="Times New Roman" w:cs="Times New Roman"/>
          <w:b/>
          <w:bCs/>
          <w:i/>
          <w:iCs/>
          <w:sz w:val="26"/>
          <w:szCs w:val="26"/>
        </w:rPr>
      </w:pPr>
    </w:p>
    <w:p w14:paraId="5BB2BF92" w14:textId="77777777" w:rsidR="006D6105" w:rsidRDefault="001E75CF">
      <w:pPr>
        <w:spacing w:line="360" w:lineRule="auto"/>
        <w:jc w:val="right"/>
        <w:rPr>
          <w:rFonts w:ascii="Times New Roman" w:eastAsia="Times New Roman" w:hAnsi="Times New Roman" w:cs="Times New Roman"/>
          <w:i/>
          <w:iCs/>
          <w:sz w:val="26"/>
          <w:szCs w:val="26"/>
        </w:rPr>
      </w:pPr>
      <w:r>
        <w:rPr>
          <w:rFonts w:ascii="Times New Roman" w:eastAsia="Times New Roman" w:hAnsi="Times New Roman" w:cs="Times New Roman"/>
          <w:b/>
          <w:bCs/>
          <w:i/>
          <w:iCs/>
          <w:sz w:val="26"/>
          <w:szCs w:val="26"/>
        </w:rPr>
        <w:t xml:space="preserve">Level: </w:t>
      </w:r>
      <w:r>
        <w:rPr>
          <w:rFonts w:ascii="Times New Roman" w:eastAsia="Times New Roman" w:hAnsi="Times New Roman" w:cs="Times New Roman"/>
          <w:i/>
          <w:iCs/>
          <w:sz w:val="26"/>
          <w:szCs w:val="26"/>
        </w:rPr>
        <w:t xml:space="preserve">6 </w:t>
      </w:r>
    </w:p>
    <w:p w14:paraId="2950EB77" w14:textId="77777777" w:rsidR="005E4E51" w:rsidRDefault="001E75CF">
      <w:pPr>
        <w:spacing w:line="360" w:lineRule="auto"/>
        <w:jc w:val="right"/>
        <w:rPr>
          <w:rFonts w:ascii="Times New Roman" w:eastAsia="Times New Roman" w:hAnsi="Times New Roman" w:cs="Times New Roman"/>
          <w:i/>
          <w:iCs/>
          <w:sz w:val="26"/>
          <w:szCs w:val="26"/>
        </w:rPr>
      </w:pPr>
      <w:r>
        <w:rPr>
          <w:rFonts w:ascii="Times New Roman" w:eastAsia="Times New Roman" w:hAnsi="Times New Roman" w:cs="Times New Roman"/>
          <w:b/>
          <w:bCs/>
          <w:i/>
          <w:iCs/>
          <w:sz w:val="26"/>
          <w:szCs w:val="26"/>
        </w:rPr>
        <w:t xml:space="preserve">Module Lead: </w:t>
      </w:r>
      <w:r>
        <w:rPr>
          <w:rFonts w:ascii="Times New Roman" w:eastAsia="Times New Roman" w:hAnsi="Times New Roman" w:cs="Times New Roman"/>
          <w:i/>
          <w:iCs/>
          <w:sz w:val="26"/>
          <w:szCs w:val="26"/>
        </w:rPr>
        <w:t xml:space="preserve">Jessica Newport BA (Hons), MBA </w:t>
      </w:r>
    </w:p>
    <w:p w14:paraId="01D86C86" w14:textId="77777777" w:rsidR="005E4E51" w:rsidRDefault="005E4E51">
      <w:pPr>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br w:type="page"/>
      </w:r>
    </w:p>
    <w:sdt>
      <w:sdtPr>
        <w:rPr>
          <w:rFonts w:ascii="Arial" w:eastAsia="Arial" w:hAnsi="Arial" w:cs="Arial"/>
          <w:color w:val="auto"/>
          <w:sz w:val="22"/>
          <w:szCs w:val="22"/>
          <w:lang w:val="en" w:eastAsia="en-IN"/>
        </w:rPr>
        <w:id w:val="1697037111"/>
        <w:docPartObj>
          <w:docPartGallery w:val="Table of Contents"/>
          <w:docPartUnique/>
        </w:docPartObj>
      </w:sdtPr>
      <w:sdtEndPr>
        <w:rPr>
          <w:b/>
          <w:bCs/>
          <w:noProof/>
        </w:rPr>
      </w:sdtEndPr>
      <w:sdtContent>
        <w:p w14:paraId="0E7CC7A3" w14:textId="39FCCEB9" w:rsidR="005E4E51" w:rsidRPr="005E4E51" w:rsidRDefault="005E4E51" w:rsidP="005E4E51">
          <w:pPr>
            <w:pStyle w:val="TOCHeading"/>
            <w:spacing w:line="360" w:lineRule="auto"/>
            <w:jc w:val="center"/>
            <w:rPr>
              <w:rFonts w:ascii="Times New Roman" w:hAnsi="Times New Roman" w:cs="Times New Roman"/>
              <w:b/>
              <w:bCs/>
              <w:color w:val="auto"/>
              <w:sz w:val="24"/>
              <w:szCs w:val="24"/>
            </w:rPr>
          </w:pPr>
          <w:r w:rsidRPr="005E4E51">
            <w:rPr>
              <w:rFonts w:ascii="Times New Roman" w:hAnsi="Times New Roman" w:cs="Times New Roman"/>
              <w:b/>
              <w:bCs/>
              <w:color w:val="auto"/>
              <w:sz w:val="24"/>
              <w:szCs w:val="24"/>
            </w:rPr>
            <w:t>Table of Contents</w:t>
          </w:r>
        </w:p>
        <w:p w14:paraId="797258F4" w14:textId="20858B08" w:rsidR="005E4E51" w:rsidRPr="005E4E51" w:rsidRDefault="005E4E51" w:rsidP="005E4E51">
          <w:pPr>
            <w:pStyle w:val="TOC1"/>
            <w:tabs>
              <w:tab w:val="right" w:leader="dot" w:pos="9350"/>
            </w:tabs>
            <w:spacing w:line="360" w:lineRule="auto"/>
            <w:rPr>
              <w:rFonts w:ascii="Times New Roman" w:hAnsi="Times New Roman" w:cs="Times New Roman"/>
              <w:noProof/>
              <w:sz w:val="24"/>
              <w:szCs w:val="24"/>
            </w:rPr>
          </w:pPr>
          <w:r w:rsidRPr="005E4E51">
            <w:rPr>
              <w:rFonts w:ascii="Times New Roman" w:hAnsi="Times New Roman" w:cs="Times New Roman"/>
              <w:sz w:val="24"/>
              <w:szCs w:val="24"/>
            </w:rPr>
            <w:fldChar w:fldCharType="begin"/>
          </w:r>
          <w:r w:rsidRPr="005E4E51">
            <w:rPr>
              <w:rFonts w:ascii="Times New Roman" w:hAnsi="Times New Roman" w:cs="Times New Roman"/>
              <w:sz w:val="24"/>
              <w:szCs w:val="24"/>
            </w:rPr>
            <w:instrText xml:space="preserve"> TOC \o "1-3" \h \z \u </w:instrText>
          </w:r>
          <w:r w:rsidRPr="005E4E51">
            <w:rPr>
              <w:rFonts w:ascii="Times New Roman" w:hAnsi="Times New Roman" w:cs="Times New Roman"/>
              <w:sz w:val="24"/>
              <w:szCs w:val="24"/>
            </w:rPr>
            <w:fldChar w:fldCharType="separate"/>
          </w:r>
          <w:hyperlink w:anchor="_Toc219846468" w:history="1">
            <w:r w:rsidRPr="005E4E51">
              <w:rPr>
                <w:rStyle w:val="Hyperlink"/>
                <w:rFonts w:ascii="Times New Roman" w:hAnsi="Times New Roman" w:cs="Times New Roman"/>
                <w:noProof/>
                <w:sz w:val="24"/>
                <w:szCs w:val="24"/>
              </w:rPr>
              <w:t>Introduction</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_Toc219846468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E4E51">
              <w:rPr>
                <w:rFonts w:ascii="Times New Roman" w:hAnsi="Times New Roman" w:cs="Times New Roman"/>
                <w:noProof/>
                <w:webHidden/>
                <w:sz w:val="24"/>
                <w:szCs w:val="24"/>
              </w:rPr>
              <w:fldChar w:fldCharType="end"/>
            </w:r>
          </w:hyperlink>
        </w:p>
        <w:p w14:paraId="32CB7669" w14:textId="55212E22" w:rsidR="005E4E51" w:rsidRPr="005E4E51" w:rsidRDefault="005E4E51" w:rsidP="005E4E51">
          <w:pPr>
            <w:pStyle w:val="TOC1"/>
            <w:tabs>
              <w:tab w:val="right" w:leader="dot" w:pos="9350"/>
            </w:tabs>
            <w:spacing w:line="360" w:lineRule="auto"/>
            <w:rPr>
              <w:rFonts w:ascii="Times New Roman" w:hAnsi="Times New Roman" w:cs="Times New Roman"/>
              <w:noProof/>
              <w:sz w:val="24"/>
              <w:szCs w:val="24"/>
            </w:rPr>
          </w:pPr>
          <w:hyperlink w:anchor="_Toc219846469" w:history="1">
            <w:r w:rsidRPr="005E4E51">
              <w:rPr>
                <w:rStyle w:val="Hyperlink"/>
                <w:rFonts w:ascii="Times New Roman" w:hAnsi="Times New Roman" w:cs="Times New Roman"/>
                <w:noProof/>
                <w:sz w:val="24"/>
                <w:szCs w:val="24"/>
              </w:rPr>
              <w:t>Main Body</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_Toc219846469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E4E51">
              <w:rPr>
                <w:rFonts w:ascii="Times New Roman" w:hAnsi="Times New Roman" w:cs="Times New Roman"/>
                <w:noProof/>
                <w:webHidden/>
                <w:sz w:val="24"/>
                <w:szCs w:val="24"/>
              </w:rPr>
              <w:fldChar w:fldCharType="end"/>
            </w:r>
          </w:hyperlink>
        </w:p>
        <w:p w14:paraId="428A7808" w14:textId="45B2CD01"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0" w:history="1">
            <w:r w:rsidRPr="005E4E51">
              <w:rPr>
                <w:rStyle w:val="Hyperlink"/>
                <w:rFonts w:ascii="Times New Roman" w:hAnsi="Times New Roman" w:cs="Times New Roman"/>
                <w:noProof/>
                <w:sz w:val="24"/>
                <w:szCs w:val="24"/>
              </w:rPr>
              <w:t>Selected Module and Team Member</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_Toc219846470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E4E51">
              <w:rPr>
                <w:rFonts w:ascii="Times New Roman" w:hAnsi="Times New Roman" w:cs="Times New Roman"/>
                <w:noProof/>
                <w:webHidden/>
                <w:sz w:val="24"/>
                <w:szCs w:val="24"/>
              </w:rPr>
              <w:fldChar w:fldCharType="end"/>
            </w:r>
          </w:hyperlink>
        </w:p>
        <w:p w14:paraId="552B953C" w14:textId="08C925BE"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1" w:history="1">
            <w:r w:rsidRPr="005E4E51">
              <w:rPr>
                <w:rStyle w:val="Hyperlink"/>
                <w:rFonts w:ascii="Times New Roman" w:hAnsi="Times New Roman" w:cs="Times New Roman"/>
                <w:noProof/>
                <w:sz w:val="24"/>
                <w:szCs w:val="24"/>
              </w:rPr>
              <w:t>Initial Understanding and Level 4 Theory</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_Toc219846471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E4E51">
              <w:rPr>
                <w:rFonts w:ascii="Times New Roman" w:hAnsi="Times New Roman" w:cs="Times New Roman"/>
                <w:noProof/>
                <w:webHidden/>
                <w:sz w:val="24"/>
                <w:szCs w:val="24"/>
              </w:rPr>
              <w:fldChar w:fldCharType="end"/>
            </w:r>
          </w:hyperlink>
        </w:p>
        <w:p w14:paraId="0408FFD5" w14:textId="156C19BA"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2" w:history="1">
            <w:r w:rsidRPr="005E4E51">
              <w:rPr>
                <w:rStyle w:val="Hyperlink"/>
                <w:rFonts w:ascii="Times New Roman" w:hAnsi="Times New Roman" w:cs="Times New Roman"/>
                <w:noProof/>
                <w:sz w:val="24"/>
                <w:szCs w:val="24"/>
              </w:rPr>
              <w:t>Sustainability in Practice at the Placement Hotel</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_Toc219846472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5E4E51">
              <w:rPr>
                <w:rFonts w:ascii="Times New Roman" w:hAnsi="Times New Roman" w:cs="Times New Roman"/>
                <w:noProof/>
                <w:webHidden/>
                <w:sz w:val="24"/>
                <w:szCs w:val="24"/>
              </w:rPr>
              <w:fldChar w:fldCharType="end"/>
            </w:r>
          </w:hyperlink>
        </w:p>
        <w:p w14:paraId="684B4A78" w14:textId="4A313525"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3" w:history="1">
            <w:r w:rsidRPr="005E4E51">
              <w:rPr>
                <w:rStyle w:val="Hyperlink"/>
                <w:rFonts w:ascii="Times New Roman" w:hAnsi="Times New Roman" w:cs="Times New Roman"/>
                <w:noProof/>
                <w:sz w:val="24"/>
                <w:szCs w:val="24"/>
              </w:rPr>
              <w:t>Self-Participation and Practical learning</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_Toc219846473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5E4E51">
              <w:rPr>
                <w:rFonts w:ascii="Times New Roman" w:hAnsi="Times New Roman" w:cs="Times New Roman"/>
                <w:noProof/>
                <w:webHidden/>
                <w:sz w:val="24"/>
                <w:szCs w:val="24"/>
              </w:rPr>
              <w:fldChar w:fldCharType="end"/>
            </w:r>
          </w:hyperlink>
        </w:p>
        <w:p w14:paraId="2B74D15C" w14:textId="4DBB507B"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4" w:history="1">
            <w:r w:rsidRPr="005E4E51">
              <w:rPr>
                <w:rStyle w:val="Hyperlink"/>
                <w:rFonts w:ascii="Times New Roman" w:hAnsi="Times New Roman" w:cs="Times New Roman"/>
                <w:noProof/>
                <w:sz w:val="24"/>
                <w:szCs w:val="24"/>
              </w:rPr>
              <w:t>Comparison to Academic Literature</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_Toc219846474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5E4E51">
              <w:rPr>
                <w:rFonts w:ascii="Times New Roman" w:hAnsi="Times New Roman" w:cs="Times New Roman"/>
                <w:noProof/>
                <w:webHidden/>
                <w:sz w:val="24"/>
                <w:szCs w:val="24"/>
              </w:rPr>
              <w:fldChar w:fldCharType="end"/>
            </w:r>
          </w:hyperlink>
        </w:p>
        <w:p w14:paraId="3B908240" w14:textId="1BEE22C0"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5" w:history="1">
            <w:r w:rsidRPr="005E4E51">
              <w:rPr>
                <w:rStyle w:val="Hyperlink"/>
                <w:rFonts w:ascii="Times New Roman" w:hAnsi="Times New Roman" w:cs="Times New Roman"/>
                <w:noProof/>
                <w:sz w:val="24"/>
                <w:szCs w:val="24"/>
              </w:rPr>
              <w:t>Change in Perspective</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_Toc219846475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5E4E51">
              <w:rPr>
                <w:rFonts w:ascii="Times New Roman" w:hAnsi="Times New Roman" w:cs="Times New Roman"/>
                <w:noProof/>
                <w:webHidden/>
                <w:sz w:val="24"/>
                <w:szCs w:val="24"/>
              </w:rPr>
              <w:fldChar w:fldCharType="end"/>
            </w:r>
          </w:hyperlink>
        </w:p>
        <w:p w14:paraId="31E1A432" w14:textId="3FDDFF53" w:rsidR="005E4E51" w:rsidRPr="005E4E51" w:rsidRDefault="005E4E51" w:rsidP="005E4E51">
          <w:pPr>
            <w:pStyle w:val="TOC2"/>
            <w:tabs>
              <w:tab w:val="right" w:leader="dot" w:pos="9350"/>
            </w:tabs>
            <w:spacing w:line="360" w:lineRule="auto"/>
            <w:rPr>
              <w:rFonts w:ascii="Times New Roman" w:hAnsi="Times New Roman" w:cs="Times New Roman"/>
              <w:noProof/>
              <w:sz w:val="24"/>
              <w:szCs w:val="24"/>
            </w:rPr>
          </w:pPr>
          <w:hyperlink w:anchor="_Toc219846476" w:history="1">
            <w:r w:rsidRPr="005E4E51">
              <w:rPr>
                <w:rStyle w:val="Hyperlink"/>
                <w:rFonts w:ascii="Times New Roman" w:hAnsi="Times New Roman" w:cs="Times New Roman"/>
                <w:noProof/>
                <w:sz w:val="24"/>
                <w:szCs w:val="24"/>
              </w:rPr>
              <w:t>Weaknesses and Improvements</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_Toc219846476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5E4E51">
              <w:rPr>
                <w:rFonts w:ascii="Times New Roman" w:hAnsi="Times New Roman" w:cs="Times New Roman"/>
                <w:noProof/>
                <w:webHidden/>
                <w:sz w:val="24"/>
                <w:szCs w:val="24"/>
              </w:rPr>
              <w:fldChar w:fldCharType="end"/>
            </w:r>
          </w:hyperlink>
        </w:p>
        <w:p w14:paraId="3864EEED" w14:textId="7E5E6E3D" w:rsidR="005E4E51" w:rsidRPr="005E4E51" w:rsidRDefault="005E4E51" w:rsidP="005E4E51">
          <w:pPr>
            <w:pStyle w:val="TOC1"/>
            <w:tabs>
              <w:tab w:val="right" w:leader="dot" w:pos="9350"/>
            </w:tabs>
            <w:spacing w:line="360" w:lineRule="auto"/>
            <w:rPr>
              <w:rFonts w:ascii="Times New Roman" w:hAnsi="Times New Roman" w:cs="Times New Roman"/>
              <w:noProof/>
              <w:sz w:val="24"/>
              <w:szCs w:val="24"/>
            </w:rPr>
          </w:pPr>
          <w:hyperlink w:anchor="_Toc219846477" w:history="1">
            <w:r w:rsidRPr="005E4E51">
              <w:rPr>
                <w:rStyle w:val="Hyperlink"/>
                <w:rFonts w:ascii="Times New Roman" w:hAnsi="Times New Roman" w:cs="Times New Roman"/>
                <w:noProof/>
                <w:sz w:val="24"/>
                <w:szCs w:val="24"/>
              </w:rPr>
              <w:t>Conclusion</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_Toc219846477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5E4E51">
              <w:rPr>
                <w:rFonts w:ascii="Times New Roman" w:hAnsi="Times New Roman" w:cs="Times New Roman"/>
                <w:noProof/>
                <w:webHidden/>
                <w:sz w:val="24"/>
                <w:szCs w:val="24"/>
              </w:rPr>
              <w:fldChar w:fldCharType="end"/>
            </w:r>
          </w:hyperlink>
        </w:p>
        <w:p w14:paraId="132ECEFF" w14:textId="3A1AD317" w:rsidR="005E4E51" w:rsidRPr="005E4E51" w:rsidRDefault="005E4E51" w:rsidP="005E4E51">
          <w:pPr>
            <w:pStyle w:val="TOC1"/>
            <w:tabs>
              <w:tab w:val="right" w:leader="dot" w:pos="9350"/>
            </w:tabs>
            <w:spacing w:line="360" w:lineRule="auto"/>
            <w:rPr>
              <w:rFonts w:ascii="Times New Roman" w:hAnsi="Times New Roman" w:cs="Times New Roman"/>
              <w:noProof/>
              <w:sz w:val="24"/>
              <w:szCs w:val="24"/>
            </w:rPr>
          </w:pPr>
          <w:hyperlink w:anchor="_Toc219846478" w:history="1">
            <w:r w:rsidRPr="005E4E51">
              <w:rPr>
                <w:rStyle w:val="Hyperlink"/>
                <w:rFonts w:ascii="Times New Roman" w:hAnsi="Times New Roman" w:cs="Times New Roman"/>
                <w:noProof/>
                <w:sz w:val="24"/>
                <w:szCs w:val="24"/>
              </w:rPr>
              <w:t>References</w:t>
            </w:r>
            <w:r w:rsidRPr="005E4E51">
              <w:rPr>
                <w:rFonts w:ascii="Times New Roman" w:hAnsi="Times New Roman" w:cs="Times New Roman"/>
                <w:noProof/>
                <w:webHidden/>
                <w:sz w:val="24"/>
                <w:szCs w:val="24"/>
              </w:rPr>
              <w:tab/>
            </w:r>
            <w:r w:rsidRPr="005E4E51">
              <w:rPr>
                <w:rFonts w:ascii="Times New Roman" w:hAnsi="Times New Roman" w:cs="Times New Roman"/>
                <w:noProof/>
                <w:webHidden/>
                <w:sz w:val="24"/>
                <w:szCs w:val="24"/>
              </w:rPr>
              <w:fldChar w:fldCharType="begin"/>
            </w:r>
            <w:r w:rsidRPr="005E4E51">
              <w:rPr>
                <w:rFonts w:ascii="Times New Roman" w:hAnsi="Times New Roman" w:cs="Times New Roman"/>
                <w:noProof/>
                <w:webHidden/>
                <w:sz w:val="24"/>
                <w:szCs w:val="24"/>
              </w:rPr>
              <w:instrText xml:space="preserve"> PAGEREF _Toc219846478 \h </w:instrText>
            </w:r>
            <w:r w:rsidRPr="005E4E51">
              <w:rPr>
                <w:rFonts w:ascii="Times New Roman" w:hAnsi="Times New Roman" w:cs="Times New Roman"/>
                <w:noProof/>
                <w:webHidden/>
                <w:sz w:val="24"/>
                <w:szCs w:val="24"/>
              </w:rPr>
            </w:r>
            <w:r w:rsidRPr="005E4E5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5E4E51">
              <w:rPr>
                <w:rFonts w:ascii="Times New Roman" w:hAnsi="Times New Roman" w:cs="Times New Roman"/>
                <w:noProof/>
                <w:webHidden/>
                <w:sz w:val="24"/>
                <w:szCs w:val="24"/>
              </w:rPr>
              <w:fldChar w:fldCharType="end"/>
            </w:r>
          </w:hyperlink>
        </w:p>
        <w:p w14:paraId="6403762E" w14:textId="0A2EA1AB" w:rsidR="005E4E51" w:rsidRDefault="005E4E51" w:rsidP="005E4E51">
          <w:pPr>
            <w:spacing w:line="360" w:lineRule="auto"/>
          </w:pPr>
          <w:r w:rsidRPr="005E4E51">
            <w:rPr>
              <w:rFonts w:ascii="Times New Roman" w:hAnsi="Times New Roman" w:cs="Times New Roman"/>
              <w:b/>
              <w:bCs/>
              <w:noProof/>
              <w:sz w:val="24"/>
              <w:szCs w:val="24"/>
            </w:rPr>
            <w:fldChar w:fldCharType="end"/>
          </w:r>
        </w:p>
      </w:sdtContent>
    </w:sdt>
    <w:p w14:paraId="736C37CD" w14:textId="2065F0ED" w:rsidR="006D6105" w:rsidRDefault="001E75CF">
      <w:pPr>
        <w:spacing w:line="360" w:lineRule="auto"/>
        <w:jc w:val="right"/>
        <w:rPr>
          <w:rFonts w:ascii="Times New Roman" w:eastAsia="Times New Roman" w:hAnsi="Times New Roman" w:cs="Times New Roman"/>
          <w:i/>
          <w:iCs/>
          <w:sz w:val="26"/>
          <w:szCs w:val="26"/>
        </w:rPr>
      </w:pPr>
      <w:r>
        <w:br w:type="page"/>
      </w:r>
    </w:p>
    <w:p w14:paraId="19A5A5AB" w14:textId="77777777" w:rsidR="006D6105" w:rsidRDefault="001E75CF" w:rsidP="007F4A74">
      <w:pPr>
        <w:pStyle w:val="Heading1"/>
      </w:pPr>
      <w:bookmarkStart w:id="0" w:name="_Toc219846468"/>
      <w:r>
        <w:lastRenderedPageBreak/>
        <w:t>Introduction</w:t>
      </w:r>
      <w:bookmarkEnd w:id="0"/>
    </w:p>
    <w:p w14:paraId="02D13DB5"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reflective learning log looks at the area of Food and Beverage Operations in the Wivenhoe House Hotel which is a </w:t>
      </w:r>
      <w:proofErr w:type="gramStart"/>
      <w:r>
        <w:rPr>
          <w:rFonts w:ascii="Times New Roman" w:eastAsia="Times New Roman" w:hAnsi="Times New Roman" w:cs="Times New Roman"/>
          <w:sz w:val="24"/>
          <w:szCs w:val="24"/>
        </w:rPr>
        <w:t>four star</w:t>
      </w:r>
      <w:proofErr w:type="gramEnd"/>
      <w:r>
        <w:rPr>
          <w:rFonts w:ascii="Times New Roman" w:eastAsia="Times New Roman" w:hAnsi="Times New Roman" w:cs="Times New Roman"/>
          <w:sz w:val="24"/>
          <w:szCs w:val="24"/>
        </w:rPr>
        <w:t xml:space="preserve"> country house hotel that provides an assortment of formal and informal dining experiences. The food and beverage segment of the hotel will consist of a brasserie style restaurant, bar service, breakfast and lunch service, and event support and private dining services. These outlets are running in a high service standard environment whereby the expectations of the guests are synonymously tied to the levels of quality, consistency, and professionalism. As part of the placement, the activities included the following; service at restaurants and bars, receiving orders, serving drinks, serving breakfast and lunch, and assisting during peak seasonal activities. The central focus of a guest experience in the restaurant is the Food and Beverage department, which integrates the matters of service delivery, operational efficiency, and brand recognition. This reflection explores the ways in which the theoretical knowledge acquired at Level 4 has been put into practice, giving particular consideration to the areas of sustainability and service operations that have been applied in the Food and Beverage department.</w:t>
      </w:r>
    </w:p>
    <w:p w14:paraId="3038FF27" w14:textId="77777777" w:rsidR="006D6105" w:rsidRDefault="001E75CF" w:rsidP="007F4A74">
      <w:pPr>
        <w:pStyle w:val="Heading1"/>
      </w:pPr>
      <w:bookmarkStart w:id="1" w:name="_Toc219846469"/>
      <w:r>
        <w:t>Main Body</w:t>
      </w:r>
      <w:bookmarkEnd w:id="1"/>
    </w:p>
    <w:p w14:paraId="15A15011" w14:textId="77777777" w:rsidR="006D6105" w:rsidRDefault="001E75CF" w:rsidP="007F4A74">
      <w:pPr>
        <w:pStyle w:val="Heading2"/>
      </w:pPr>
      <w:bookmarkStart w:id="2" w:name="_Toc219846470"/>
      <w:r>
        <w:t>Selected Module and Team Member</w:t>
      </w:r>
      <w:bookmarkEnd w:id="2"/>
    </w:p>
    <w:p w14:paraId="68895EEF"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in the Hospitality Industry at Level 4 is the selected module to be compared. This module was seen in correspondence with the existing Food and Beverage practice by working closely with X, Food and Beverage Supervisor who had the responsibility of managing everyday service operations and controls service standards. The analysis of </w:t>
      </w:r>
      <w:r>
        <w:rPr>
          <w:rFonts w:ascii="Times New Roman" w:eastAsia="Times New Roman" w:hAnsi="Times New Roman" w:cs="Times New Roman"/>
          <w:i/>
          <w:iCs/>
          <w:sz w:val="24"/>
          <w:szCs w:val="24"/>
        </w:rPr>
        <w:t>her/his</w:t>
      </w:r>
      <w:r>
        <w:rPr>
          <w:rFonts w:ascii="Times New Roman" w:eastAsia="Times New Roman" w:hAnsi="Times New Roman" w:cs="Times New Roman"/>
          <w:sz w:val="24"/>
          <w:szCs w:val="24"/>
        </w:rPr>
        <w:t xml:space="preserve"> position helped to understand the way the sustainability theory is perceived and implemented within a practical operation environment.</w:t>
      </w:r>
    </w:p>
    <w:p w14:paraId="790BF0F4" w14:textId="77777777" w:rsidR="006D6105" w:rsidRDefault="001E75CF" w:rsidP="007F4A74">
      <w:pPr>
        <w:pStyle w:val="Heading2"/>
      </w:pPr>
      <w:bookmarkStart w:id="3" w:name="_Toc219846471"/>
      <w:r>
        <w:t>Initial Understanding and Level 4 Theory</w:t>
      </w:r>
      <w:bookmarkEnd w:id="3"/>
    </w:p>
    <w:p w14:paraId="5A27C3B0"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Level 4 introduced sustainability as a strategic task that was interwoven through the operations of the hospitality. The major principles were food waste minimization, responsible sourcing, resource efficiency, and employee involvement. In academic sources, emphasis is placed on the fact that sustainable Food and Beverage operations are based on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systems, staff awareness and commitment on the part of the management (Shaheen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During that level of learning, </w:t>
      </w:r>
      <w:r>
        <w:rPr>
          <w:rFonts w:ascii="Times New Roman" w:eastAsia="Times New Roman" w:hAnsi="Times New Roman" w:cs="Times New Roman"/>
          <w:sz w:val="24"/>
          <w:szCs w:val="24"/>
        </w:rPr>
        <w:lastRenderedPageBreak/>
        <w:t>sustainability seemed feasible with well-defined policies and standard procedures. The theoretical perspective implied that practices of sustainability are likely to be implemented in a continuity with service delivery without radical repercussion.</w:t>
      </w:r>
    </w:p>
    <w:p w14:paraId="428B2B4D" w14:textId="77777777" w:rsidR="006D6105" w:rsidRDefault="001E75CF" w:rsidP="007F4A74">
      <w:pPr>
        <w:pStyle w:val="Heading2"/>
      </w:pPr>
      <w:bookmarkStart w:id="4" w:name="_Toc219846472"/>
      <w:r>
        <w:t>Sustainability in Practice at the Placement Hotel</w:t>
      </w:r>
      <w:bookmarkEnd w:id="4"/>
    </w:p>
    <w:p w14:paraId="7009062E"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the placement, sustainability was evident in the Food and Beverage operations, and especially in the breakfast and lunch service. Food waste was minimized by portion control, there were recycling systems behind the scenes, and some of the ingredients were locally sourced. Such practices corresponded to Level 4 theory, which demonstrates that the concept of sustainability is taken into consideration in the course of everyday operations. Nonetheless, the positioning also demonstrated that the implementation of sustainability is not a consistent pattern (Goh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Sustainability goals were usually pushed to the background during the busy service periods as operational priorities like speed of service and guest demand prevailed. This proved there was an operational reality and a gap between theoretical expectations.</w:t>
      </w:r>
    </w:p>
    <w:p w14:paraId="253F116B" w14:textId="77777777" w:rsidR="006D6105" w:rsidRDefault="001E75CF" w:rsidP="007F4A74">
      <w:pPr>
        <w:pStyle w:val="Heading2"/>
      </w:pPr>
      <w:bookmarkStart w:id="5" w:name="_Toc219846473"/>
      <w:r>
        <w:t>Self-Participation and Practical learning</w:t>
      </w:r>
      <w:bookmarkEnd w:id="5"/>
    </w:p>
    <w:p w14:paraId="7F8BEF56"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engagement in service application involved taking food and drink requests, preparation of beverages, clearing of table, and contributing to flow of service during peak times. These activities demonstrated the importance of individual efforts that produce results of sustainability. Level 4 learning was applied where appropriate with the emphasis paid to portion awareness and waste reduction. Nevertheless, it dawned to me that personal efforts cannot be effective on their own unless they are reinforced over time on a team-wide basis. This exercise showed that sustainability is not only a matter of personal accountability but one based on management-led systems (</w:t>
      </w:r>
      <w:proofErr w:type="spellStart"/>
      <w:r>
        <w:rPr>
          <w:rFonts w:ascii="Times New Roman" w:eastAsia="Times New Roman" w:hAnsi="Times New Roman" w:cs="Times New Roman"/>
          <w:sz w:val="24"/>
          <w:szCs w:val="24"/>
        </w:rPr>
        <w:t>Geminarqi</w:t>
      </w:r>
      <w:proofErr w:type="spellEnd"/>
      <w:r>
        <w:rPr>
          <w:rFonts w:ascii="Times New Roman" w:eastAsia="Times New Roman" w:hAnsi="Times New Roman" w:cs="Times New Roman"/>
          <w:sz w:val="24"/>
          <w:szCs w:val="24"/>
        </w:rPr>
        <w:t xml:space="preserve"> and Purnomo, 2023).</w:t>
      </w:r>
    </w:p>
    <w:p w14:paraId="3669C2A9" w14:textId="77777777" w:rsidR="006D6105" w:rsidRDefault="001E75CF" w:rsidP="007F4A74">
      <w:pPr>
        <w:pStyle w:val="Heading2"/>
      </w:pPr>
      <w:bookmarkStart w:id="6" w:name="_Toc219846474"/>
      <w:r>
        <w:t>Comparison to Academic Literature</w:t>
      </w:r>
      <w:bookmarkEnd w:id="6"/>
    </w:p>
    <w:p w14:paraId="125D9029"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proposed in the academic literature that sustainability in Food and Beverage operations should be included in standard operating procedures and staff training to ensure effective sustainability. This position was supported by the observations conducted in the placement hotel where sustainability practices were the greatest when they were clearly communicated and supervised (Szende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Practices became erratic where there was less guidance. This is </w:t>
      </w:r>
      <w:r>
        <w:rPr>
          <w:rFonts w:ascii="Times New Roman" w:eastAsia="Times New Roman" w:hAnsi="Times New Roman" w:cs="Times New Roman"/>
          <w:sz w:val="24"/>
          <w:szCs w:val="24"/>
        </w:rPr>
        <w:lastRenderedPageBreak/>
        <w:t>similar to literature that brings to the fore the difficulties of maintaining environmental initiatives within high pressure service settings (</w:t>
      </w:r>
      <w:proofErr w:type="spellStart"/>
      <w:r>
        <w:rPr>
          <w:rFonts w:ascii="Times New Roman" w:eastAsia="Times New Roman" w:hAnsi="Times New Roman" w:cs="Times New Roman"/>
          <w:sz w:val="24"/>
          <w:szCs w:val="24"/>
        </w:rPr>
        <w:t>Vasilakakis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Sdrali</w:t>
      </w:r>
      <w:proofErr w:type="spellEnd"/>
      <w:r>
        <w:rPr>
          <w:rFonts w:ascii="Times New Roman" w:eastAsia="Times New Roman" w:hAnsi="Times New Roman" w:cs="Times New Roman"/>
          <w:sz w:val="24"/>
          <w:szCs w:val="24"/>
        </w:rPr>
        <w:t>, 2023). The placement experience established that sustainability was a process that should be implemented instead of presumed to flow naturally.</w:t>
      </w:r>
    </w:p>
    <w:p w14:paraId="2A70224D" w14:textId="77777777" w:rsidR="006D6105" w:rsidRDefault="001E75CF" w:rsidP="007F4A74">
      <w:pPr>
        <w:pStyle w:val="Heading2"/>
      </w:pPr>
      <w:bookmarkStart w:id="7" w:name="_Toc219846475"/>
      <w:r>
        <w:t>Change in Perspective</w:t>
      </w:r>
      <w:bookmarkEnd w:id="7"/>
    </w:p>
    <w:p w14:paraId="2AE0C0A9"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placement had a considerable impact on the interpretation of Food and Beverage Operations that had been developed at Level 4. In the past, service models and sustainability framework were perceived to be the primary ways of looking at the department. Level 6 made it evident that Food and Beverage Operations are influenced by conflicting priorities, such as staffing levels, guest expectations, and time constraints. The concept of sustainability was no longer viewed as an independent goal but rather a practice that should be balanced to operational needs (Yanti and </w:t>
      </w:r>
      <w:proofErr w:type="spellStart"/>
      <w:r>
        <w:rPr>
          <w:rFonts w:ascii="Times New Roman" w:eastAsia="Times New Roman" w:hAnsi="Times New Roman" w:cs="Times New Roman"/>
          <w:sz w:val="24"/>
          <w:szCs w:val="24"/>
        </w:rPr>
        <w:t>Anggayana</w:t>
      </w:r>
      <w:proofErr w:type="spellEnd"/>
      <w:r>
        <w:rPr>
          <w:rFonts w:ascii="Times New Roman" w:eastAsia="Times New Roman" w:hAnsi="Times New Roman" w:cs="Times New Roman"/>
          <w:sz w:val="24"/>
          <w:szCs w:val="24"/>
        </w:rPr>
        <w:t>, 2023). Such change of the point of view showed the professional development and more valuable perception of the management issues.</w:t>
      </w:r>
    </w:p>
    <w:p w14:paraId="0B4BE153" w14:textId="77777777" w:rsidR="006D6105" w:rsidRDefault="001E75CF" w:rsidP="007F4A74">
      <w:pPr>
        <w:pStyle w:val="Heading2"/>
      </w:pPr>
      <w:bookmarkStart w:id="8" w:name="_Toc219846476"/>
      <w:r>
        <w:t>Weaknesses and Improvements</w:t>
      </w:r>
      <w:bookmarkEnd w:id="8"/>
    </w:p>
    <w:p w14:paraId="790FDD07"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shortcomings, unstable staff involvement in sustainability practices was highlighted, especially when it comes to periods of high activity. Although there were systems, reinforcement was different according to the quality of supervision and workload. Some of the improvements may include short term </w:t>
      </w:r>
      <w:proofErr w:type="gramStart"/>
      <w:r>
        <w:rPr>
          <w:rFonts w:ascii="Times New Roman" w:eastAsia="Times New Roman" w:hAnsi="Times New Roman" w:cs="Times New Roman"/>
          <w:sz w:val="24"/>
          <w:szCs w:val="24"/>
        </w:rPr>
        <w:t>sustainability oriented</w:t>
      </w:r>
      <w:proofErr w:type="gramEnd"/>
      <w:r>
        <w:rPr>
          <w:rFonts w:ascii="Times New Roman" w:eastAsia="Times New Roman" w:hAnsi="Times New Roman" w:cs="Times New Roman"/>
          <w:sz w:val="24"/>
          <w:szCs w:val="24"/>
        </w:rPr>
        <w:t xml:space="preserve"> shift briefs and visual reminders within the areas of service (Foskett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Such measures would be in line with best practice recommended in the academic </w:t>
      </w:r>
      <w:proofErr w:type="gramStart"/>
      <w:r>
        <w:rPr>
          <w:rFonts w:ascii="Times New Roman" w:eastAsia="Times New Roman" w:hAnsi="Times New Roman" w:cs="Times New Roman"/>
          <w:sz w:val="24"/>
          <w:szCs w:val="24"/>
        </w:rPr>
        <w:t>literature</w:t>
      </w:r>
      <w:proofErr w:type="gramEnd"/>
      <w:r>
        <w:rPr>
          <w:rFonts w:ascii="Times New Roman" w:eastAsia="Times New Roman" w:hAnsi="Times New Roman" w:cs="Times New Roman"/>
          <w:sz w:val="24"/>
          <w:szCs w:val="24"/>
        </w:rPr>
        <w:t xml:space="preserve"> which means integrating sustainability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day to day</w:t>
      </w:r>
      <w:proofErr w:type="gramEnd"/>
      <w:r>
        <w:rPr>
          <w:rFonts w:ascii="Times New Roman" w:eastAsia="Times New Roman" w:hAnsi="Times New Roman" w:cs="Times New Roman"/>
          <w:sz w:val="24"/>
          <w:szCs w:val="24"/>
        </w:rPr>
        <w:t xml:space="preserve"> operations as opposed to considering it a supplementary activity.</w:t>
      </w:r>
    </w:p>
    <w:p w14:paraId="709F585D" w14:textId="77777777" w:rsidR="006D6105" w:rsidRDefault="001E75C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Theory in Practice and Professional Development</w:t>
      </w:r>
    </w:p>
    <w:p w14:paraId="2C0DEDAF"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the placement demonstrated how theory applies to practice but has to be modified to fit the conditions in the real world. The experience of collaborating with the Food and Beverage Supervisor revealed the importance of managerial judgement in striking a balance between the quality of service and sustainability (Mun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This experience supported the need of flexibility, communication, and leadership in the practical implementation of theoretical knowledge (Dang and Moreo, 2022). It also demonstrated the constraints of theory, when applied without putting into consideration the context of operations.</w:t>
      </w:r>
    </w:p>
    <w:p w14:paraId="2D641CD4" w14:textId="77777777" w:rsidR="006D6105" w:rsidRDefault="001E75CF" w:rsidP="007F4A74">
      <w:pPr>
        <w:pStyle w:val="Heading1"/>
      </w:pPr>
      <w:bookmarkStart w:id="9" w:name="_Toc219846477"/>
      <w:r>
        <w:lastRenderedPageBreak/>
        <w:t>Conclusion</w:t>
      </w:r>
      <w:bookmarkEnd w:id="9"/>
    </w:p>
    <w:p w14:paraId="74B2CB14" w14:textId="77777777" w:rsidR="006D6105" w:rsidRDefault="001E75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learning log has explored the topic of Food and Beverage Operations in Wivenhoe House Hotel by looking at the application of Level 4 theory with a practical application. The position also revealed that no matter how simple theoretical frameworks may offer critical frameworks, the reality of operational life demands adaptability, interaction and sound judgement. In main conclusions, it has been found that the level of staffing, the time pressure, and the priorities of management affect service quality and sustainability of it. The experience transformed the conception of the department as a task-based functioning into a complex service system where adaptation is needed on a constant basis. The individual responsibility in ensuring that standards are preserved was supported by personal engagement in service delivery. Strategies such as enhancing the engagement of staff in the practices of sustainability and better communication during the peak services hours have been recommended. On the whole, the placement strengthened professional knowledge about Food and Beverage Operations and affirmed the importance of the combination of the academic knowledge with the practical experience to assist in the future managerial growth.</w:t>
      </w:r>
      <w:r>
        <w:br w:type="page"/>
      </w:r>
    </w:p>
    <w:p w14:paraId="0A25A4D9" w14:textId="77777777" w:rsidR="006D6105" w:rsidRDefault="001E75CF" w:rsidP="007F4A74">
      <w:pPr>
        <w:pStyle w:val="Heading1"/>
      </w:pPr>
      <w:bookmarkStart w:id="10" w:name="_Toc219846478"/>
      <w:r>
        <w:lastRenderedPageBreak/>
        <w:t>References</w:t>
      </w:r>
      <w:bookmarkEnd w:id="10"/>
      <w:r>
        <w:t xml:space="preserve"> </w:t>
      </w:r>
    </w:p>
    <w:p w14:paraId="733FEF6A"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Akhmedova, O., 2023. Organization of the food and beverage services in a hotel. </w:t>
      </w:r>
      <w:r>
        <w:rPr>
          <w:rFonts w:ascii="Times New Roman" w:eastAsia="Times New Roman" w:hAnsi="Times New Roman" w:cs="Times New Roman"/>
          <w:i/>
          <w:iCs/>
          <w:sz w:val="24"/>
          <w:szCs w:val="24"/>
        </w:rPr>
        <w:t>Tourism and Hospitality in Conditions of Digital Economy: Problems and Perspectives</w:t>
      </w:r>
      <w:r>
        <w:rPr>
          <w:rFonts w:ascii="Times New Roman" w:eastAsia="Times New Roman" w:hAnsi="Times New Roman" w:cs="Times New Roman"/>
          <w:sz w:val="24"/>
          <w:szCs w:val="24"/>
        </w:rPr>
        <w:t>.</w:t>
      </w:r>
    </w:p>
    <w:p w14:paraId="76D0A2C0"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Dang, A.S. and Moreo, P.J., 2022. Hospitality education program student-operated restaurants: An applied analysis. </w:t>
      </w:r>
      <w:r>
        <w:rPr>
          <w:rFonts w:ascii="Times New Roman" w:eastAsia="Times New Roman" w:hAnsi="Times New Roman" w:cs="Times New Roman"/>
          <w:i/>
          <w:iCs/>
          <w:sz w:val="24"/>
          <w:szCs w:val="24"/>
        </w:rPr>
        <w:t>Journal of Hospitality &amp; Tourism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34</w:t>
      </w:r>
      <w:r>
        <w:rPr>
          <w:rFonts w:ascii="Times New Roman" w:eastAsia="Times New Roman" w:hAnsi="Times New Roman" w:cs="Times New Roman"/>
          <w:sz w:val="24"/>
          <w:szCs w:val="24"/>
        </w:rPr>
        <w:t>(4), pp.217-228.</w:t>
      </w:r>
    </w:p>
    <w:p w14:paraId="3D0099A9"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Foskett, D., Paskins, P., Pennington, A. and </w:t>
      </w:r>
      <w:proofErr w:type="spellStart"/>
      <w:r>
        <w:rPr>
          <w:rFonts w:ascii="Times New Roman" w:eastAsia="Times New Roman" w:hAnsi="Times New Roman" w:cs="Times New Roman"/>
          <w:sz w:val="24"/>
          <w:szCs w:val="24"/>
        </w:rPr>
        <w:t>Rippington</w:t>
      </w:r>
      <w:proofErr w:type="spellEnd"/>
      <w:r>
        <w:rPr>
          <w:rFonts w:ascii="Times New Roman" w:eastAsia="Times New Roman" w:hAnsi="Times New Roman" w:cs="Times New Roman"/>
          <w:sz w:val="24"/>
          <w:szCs w:val="24"/>
        </w:rPr>
        <w:t xml:space="preserve">, N., 2021. </w:t>
      </w:r>
      <w:r>
        <w:rPr>
          <w:rFonts w:ascii="Times New Roman" w:eastAsia="Times New Roman" w:hAnsi="Times New Roman" w:cs="Times New Roman"/>
          <w:i/>
          <w:iCs/>
          <w:sz w:val="24"/>
          <w:szCs w:val="24"/>
        </w:rPr>
        <w:t>The theory of hospitality and catering</w:t>
      </w:r>
      <w:r>
        <w:rPr>
          <w:rFonts w:ascii="Times New Roman" w:eastAsia="Times New Roman" w:hAnsi="Times New Roman" w:cs="Times New Roman"/>
          <w:sz w:val="24"/>
          <w:szCs w:val="24"/>
        </w:rPr>
        <w:t>. Hodder education.</w:t>
      </w:r>
    </w:p>
    <w:p w14:paraId="5B13B040" w14:textId="77777777" w:rsidR="007F4A74" w:rsidRDefault="007F4A74">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Geminarqi</w:t>
      </w:r>
      <w:proofErr w:type="spellEnd"/>
      <w:r>
        <w:rPr>
          <w:rFonts w:ascii="Times New Roman" w:eastAsia="Times New Roman" w:hAnsi="Times New Roman" w:cs="Times New Roman"/>
          <w:sz w:val="24"/>
          <w:szCs w:val="24"/>
        </w:rPr>
        <w:t xml:space="preserve">, E.R. and Purnomo, H., 2023. Improving operational management efficiency in the food and beverage industry: A systematic literature review. </w:t>
      </w:r>
      <w:r>
        <w:rPr>
          <w:rFonts w:ascii="Times New Roman" w:eastAsia="Times New Roman" w:hAnsi="Times New Roman" w:cs="Times New Roman"/>
          <w:i/>
          <w:iCs/>
          <w:sz w:val="24"/>
          <w:szCs w:val="24"/>
        </w:rPr>
        <w:t>Open Access Indonesia Journal of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(5), pp.1143-1149.</w:t>
      </w:r>
    </w:p>
    <w:p w14:paraId="1D5D6882"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Goh, E., Okumus, B., Jie, F., </w:t>
      </w:r>
      <w:proofErr w:type="spellStart"/>
      <w:r>
        <w:rPr>
          <w:rFonts w:ascii="Times New Roman" w:eastAsia="Times New Roman" w:hAnsi="Times New Roman" w:cs="Times New Roman"/>
          <w:sz w:val="24"/>
          <w:szCs w:val="24"/>
        </w:rPr>
        <w:t>Djajadikerta</w:t>
      </w:r>
      <w:proofErr w:type="spellEnd"/>
      <w:r>
        <w:rPr>
          <w:rFonts w:ascii="Times New Roman" w:eastAsia="Times New Roman" w:hAnsi="Times New Roman" w:cs="Times New Roman"/>
          <w:sz w:val="24"/>
          <w:szCs w:val="24"/>
        </w:rPr>
        <w:t xml:space="preserve">, H.G. and Lemy, D.M., 2022. Managing food wastage in hotels: discrepancies between injunctive and descriptive norms amongst hotel food and beverage managers. </w:t>
      </w:r>
      <w:r>
        <w:rPr>
          <w:rFonts w:ascii="Times New Roman" w:eastAsia="Times New Roman" w:hAnsi="Times New Roman" w:cs="Times New Roman"/>
          <w:i/>
          <w:iCs/>
          <w:sz w:val="24"/>
          <w:szCs w:val="24"/>
        </w:rPr>
        <w:t>British Food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124</w:t>
      </w:r>
      <w:r>
        <w:rPr>
          <w:rFonts w:ascii="Times New Roman" w:eastAsia="Times New Roman" w:hAnsi="Times New Roman" w:cs="Times New Roman"/>
          <w:sz w:val="24"/>
          <w:szCs w:val="24"/>
        </w:rPr>
        <w:t>(12), pp.4666-4685.</w:t>
      </w:r>
    </w:p>
    <w:p w14:paraId="237F143A"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 S.G., Woo, L. and Seo, K., 2021. Importance of F&amp;B operation in luxury hotels: the case of Asia versus the US.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(1), pp.125-144.</w:t>
      </w:r>
    </w:p>
    <w:p w14:paraId="5D37B61B"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Shaheen, O.H.A.G., Morsy, M.A., Qoura, O. and Zaki, K.M.G., 2021. The impact of yield management on the profitability of food and beverage department in five-star hotels. </w:t>
      </w:r>
      <w:r>
        <w:rPr>
          <w:rFonts w:ascii="Times New Roman" w:eastAsia="Times New Roman" w:hAnsi="Times New Roman" w:cs="Times New Roman"/>
          <w:i/>
          <w:iCs/>
          <w:sz w:val="24"/>
          <w:szCs w:val="24"/>
        </w:rPr>
        <w:t>International Journal of Heritage, Tourism and Hospitality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(1), pp.116-126.</w:t>
      </w:r>
    </w:p>
    <w:p w14:paraId="3D521D20"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Szende, P., Dalton, A.N. and Yoo, M. eds., 2021. </w:t>
      </w:r>
      <w:r>
        <w:rPr>
          <w:rFonts w:ascii="Times New Roman" w:eastAsia="Times New Roman" w:hAnsi="Times New Roman" w:cs="Times New Roman"/>
          <w:i/>
          <w:iCs/>
          <w:sz w:val="24"/>
          <w:szCs w:val="24"/>
        </w:rPr>
        <w:t>Operations management in the hospitality industry</w:t>
      </w:r>
      <w:r>
        <w:rPr>
          <w:rFonts w:ascii="Times New Roman" w:eastAsia="Times New Roman" w:hAnsi="Times New Roman" w:cs="Times New Roman"/>
          <w:sz w:val="24"/>
          <w:szCs w:val="24"/>
        </w:rPr>
        <w:t>. Emerald Publishing Limited.</w:t>
      </w:r>
    </w:p>
    <w:p w14:paraId="12341D02"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Vasilakakis, K. and </w:t>
      </w:r>
      <w:proofErr w:type="spellStart"/>
      <w:r>
        <w:rPr>
          <w:rFonts w:ascii="Times New Roman" w:eastAsia="Times New Roman" w:hAnsi="Times New Roman" w:cs="Times New Roman"/>
          <w:sz w:val="24"/>
          <w:szCs w:val="24"/>
        </w:rPr>
        <w:t>Sdrali</w:t>
      </w:r>
      <w:proofErr w:type="spellEnd"/>
      <w:r>
        <w:rPr>
          <w:rFonts w:ascii="Times New Roman" w:eastAsia="Times New Roman" w:hAnsi="Times New Roman" w:cs="Times New Roman"/>
          <w:sz w:val="24"/>
          <w:szCs w:val="24"/>
        </w:rPr>
        <w:t xml:space="preserve">, D., 2023. Supplier selection criteria in the Greek hotel food and beverage divisions. </w:t>
      </w:r>
      <w:r>
        <w:rPr>
          <w:rFonts w:ascii="Times New Roman" w:eastAsia="Times New Roman" w:hAnsi="Times New Roman" w:cs="Times New Roman"/>
          <w:i/>
          <w:iCs/>
          <w:sz w:val="24"/>
          <w:szCs w:val="24"/>
        </w:rPr>
        <w:t>Journal of Hospitality and Tourism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(2), pp.447-463.</w:t>
      </w:r>
    </w:p>
    <w:p w14:paraId="74499B08" w14:textId="77777777" w:rsidR="007F4A74" w:rsidRDefault="007F4A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Yanti, N.K.K. and </w:t>
      </w:r>
      <w:proofErr w:type="spellStart"/>
      <w:r>
        <w:rPr>
          <w:rFonts w:ascii="Times New Roman" w:eastAsia="Times New Roman" w:hAnsi="Times New Roman" w:cs="Times New Roman"/>
          <w:sz w:val="24"/>
          <w:szCs w:val="24"/>
        </w:rPr>
        <w:t>Anggayana</w:t>
      </w:r>
      <w:proofErr w:type="spellEnd"/>
      <w:r>
        <w:rPr>
          <w:rFonts w:ascii="Times New Roman" w:eastAsia="Times New Roman" w:hAnsi="Times New Roman" w:cs="Times New Roman"/>
          <w:sz w:val="24"/>
          <w:szCs w:val="24"/>
        </w:rPr>
        <w:t xml:space="preserve">, I.W.A., 2023. Identify industrial work practices in the food and beverage product Department of Grand Ixora Kuta Resort.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Manajemen</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Pelayanan</w:t>
      </w:r>
      <w:proofErr w:type="spellEnd"/>
      <w:r>
        <w:rPr>
          <w:rFonts w:ascii="Times New Roman" w:eastAsia="Times New Roman" w:hAnsi="Times New Roman" w:cs="Times New Roman"/>
          <w:i/>
          <w:iCs/>
          <w:sz w:val="24"/>
          <w:szCs w:val="24"/>
        </w:rPr>
        <w:t xml:space="preserve"> Hotel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w:t>
      </w:r>
      <w:r>
        <w:rPr>
          <w:rFonts w:ascii="Times New Roman" w:eastAsia="Times New Roman" w:hAnsi="Times New Roman" w:cs="Times New Roman"/>
          <w:sz w:val="24"/>
          <w:szCs w:val="24"/>
        </w:rPr>
        <w:t>(1), pp.588-601.</w:t>
      </w:r>
    </w:p>
    <w:p w14:paraId="1B5ACD21" w14:textId="77777777" w:rsidR="006D6105" w:rsidRDefault="006D6105"/>
    <w:sectPr w:rsidR="006D6105" w:rsidSect="007F4A7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C4FBA" w14:textId="77777777" w:rsidR="00BC1AC5" w:rsidRDefault="00BC1AC5" w:rsidP="007F4A74">
      <w:pPr>
        <w:spacing w:line="240" w:lineRule="auto"/>
      </w:pPr>
      <w:r>
        <w:separator/>
      </w:r>
    </w:p>
  </w:endnote>
  <w:endnote w:type="continuationSeparator" w:id="0">
    <w:p w14:paraId="2DECECFF" w14:textId="77777777" w:rsidR="00BC1AC5" w:rsidRDefault="00BC1AC5" w:rsidP="007F4A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EA6A94-0EF6-4E25-95F9-E192A19895D8}"/>
  </w:font>
  <w:font w:name="Cambria">
    <w:panose1 w:val="02040503050406030204"/>
    <w:charset w:val="00"/>
    <w:family w:val="roman"/>
    <w:pitch w:val="variable"/>
    <w:sig w:usb0="E00006FF" w:usb1="420024FF" w:usb2="02000000" w:usb3="00000000" w:csb0="0000019F" w:csb1="00000000"/>
    <w:embedRegular r:id="rId2" w:fontKey="{377AC41B-C5DA-4D49-94AD-49A1CF4255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98220110"/>
      <w:docPartObj>
        <w:docPartGallery w:val="Page Numbers (Bottom of Page)"/>
        <w:docPartUnique/>
      </w:docPartObj>
    </w:sdtPr>
    <w:sdtEndPr>
      <w:rPr>
        <w:noProof/>
      </w:rPr>
    </w:sdtEndPr>
    <w:sdtContent>
      <w:p w14:paraId="46C77A53" w14:textId="1345014D" w:rsidR="007F4A74" w:rsidRPr="007F4A74" w:rsidRDefault="007F4A74">
        <w:pPr>
          <w:pStyle w:val="Footer"/>
          <w:jc w:val="right"/>
          <w:rPr>
            <w:rFonts w:ascii="Times New Roman" w:hAnsi="Times New Roman" w:cs="Times New Roman"/>
            <w:sz w:val="20"/>
            <w:szCs w:val="20"/>
          </w:rPr>
        </w:pPr>
        <w:r w:rsidRPr="007F4A74">
          <w:rPr>
            <w:rFonts w:ascii="Times New Roman" w:hAnsi="Times New Roman" w:cs="Times New Roman"/>
            <w:sz w:val="20"/>
            <w:szCs w:val="20"/>
          </w:rPr>
          <w:fldChar w:fldCharType="begin"/>
        </w:r>
        <w:r w:rsidRPr="007F4A74">
          <w:rPr>
            <w:rFonts w:ascii="Times New Roman" w:hAnsi="Times New Roman" w:cs="Times New Roman"/>
            <w:sz w:val="20"/>
            <w:szCs w:val="20"/>
          </w:rPr>
          <w:instrText xml:space="preserve"> PAGE   \* MERGEFORMAT </w:instrText>
        </w:r>
        <w:r w:rsidRPr="007F4A74">
          <w:rPr>
            <w:rFonts w:ascii="Times New Roman" w:hAnsi="Times New Roman" w:cs="Times New Roman"/>
            <w:sz w:val="20"/>
            <w:szCs w:val="20"/>
          </w:rPr>
          <w:fldChar w:fldCharType="separate"/>
        </w:r>
        <w:r w:rsidRPr="007F4A74">
          <w:rPr>
            <w:rFonts w:ascii="Times New Roman" w:hAnsi="Times New Roman" w:cs="Times New Roman"/>
            <w:noProof/>
            <w:sz w:val="20"/>
            <w:szCs w:val="20"/>
          </w:rPr>
          <w:t>2</w:t>
        </w:r>
        <w:r w:rsidRPr="007F4A74">
          <w:rPr>
            <w:rFonts w:ascii="Times New Roman" w:hAnsi="Times New Roman" w:cs="Times New Roman"/>
            <w:noProof/>
            <w:sz w:val="20"/>
            <w:szCs w:val="20"/>
          </w:rPr>
          <w:fldChar w:fldCharType="end"/>
        </w:r>
      </w:p>
    </w:sdtContent>
  </w:sdt>
  <w:p w14:paraId="4AACBE7A" w14:textId="77777777" w:rsidR="007F4A74" w:rsidRDefault="007F4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4590C" w14:textId="77777777" w:rsidR="00BC1AC5" w:rsidRDefault="00BC1AC5" w:rsidP="007F4A74">
      <w:pPr>
        <w:spacing w:line="240" w:lineRule="auto"/>
      </w:pPr>
      <w:r>
        <w:separator/>
      </w:r>
    </w:p>
  </w:footnote>
  <w:footnote w:type="continuationSeparator" w:id="0">
    <w:p w14:paraId="60406A00" w14:textId="77777777" w:rsidR="00BC1AC5" w:rsidRDefault="00BC1AC5" w:rsidP="007F4A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105"/>
    <w:rsid w:val="00107D7A"/>
    <w:rsid w:val="0018715A"/>
    <w:rsid w:val="001E75CF"/>
    <w:rsid w:val="00381E88"/>
    <w:rsid w:val="00410905"/>
    <w:rsid w:val="005E4E51"/>
    <w:rsid w:val="00690CB0"/>
    <w:rsid w:val="006D6105"/>
    <w:rsid w:val="0072551A"/>
    <w:rsid w:val="00732D5D"/>
    <w:rsid w:val="00794E29"/>
    <w:rsid w:val="007F4A74"/>
    <w:rsid w:val="00811570"/>
    <w:rsid w:val="00813DB2"/>
    <w:rsid w:val="009C611E"/>
    <w:rsid w:val="009E2214"/>
    <w:rsid w:val="00A558EA"/>
    <w:rsid w:val="00BC1AC5"/>
    <w:rsid w:val="00BD69CA"/>
    <w:rsid w:val="00DF7456"/>
    <w:rsid w:val="00EB4A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0133"/>
  <w15:docId w15:val="{5A3B5FA5-CD29-4AD8-8A8E-AA14AFB16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F4A7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7F4A74"/>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F4A74"/>
    <w:pPr>
      <w:tabs>
        <w:tab w:val="center" w:pos="4513"/>
        <w:tab w:val="right" w:pos="9026"/>
      </w:tabs>
      <w:spacing w:line="240" w:lineRule="auto"/>
    </w:pPr>
  </w:style>
  <w:style w:type="character" w:customStyle="1" w:styleId="HeaderChar">
    <w:name w:val="Header Char"/>
    <w:basedOn w:val="DefaultParagraphFont"/>
    <w:link w:val="Header"/>
    <w:uiPriority w:val="99"/>
    <w:rsid w:val="007F4A74"/>
  </w:style>
  <w:style w:type="paragraph" w:styleId="Footer">
    <w:name w:val="footer"/>
    <w:basedOn w:val="Normal"/>
    <w:link w:val="FooterChar"/>
    <w:uiPriority w:val="99"/>
    <w:unhideWhenUsed/>
    <w:rsid w:val="007F4A74"/>
    <w:pPr>
      <w:tabs>
        <w:tab w:val="center" w:pos="4513"/>
        <w:tab w:val="right" w:pos="9026"/>
      </w:tabs>
      <w:spacing w:line="240" w:lineRule="auto"/>
    </w:pPr>
  </w:style>
  <w:style w:type="character" w:customStyle="1" w:styleId="FooterChar">
    <w:name w:val="Footer Char"/>
    <w:basedOn w:val="DefaultParagraphFont"/>
    <w:link w:val="Footer"/>
    <w:uiPriority w:val="99"/>
    <w:rsid w:val="007F4A74"/>
  </w:style>
  <w:style w:type="paragraph" w:styleId="TOCHeading">
    <w:name w:val="TOC Heading"/>
    <w:basedOn w:val="Heading1"/>
    <w:next w:val="Normal"/>
    <w:uiPriority w:val="39"/>
    <w:unhideWhenUsed/>
    <w:qFormat/>
    <w:rsid w:val="005E4E5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4E51"/>
    <w:pPr>
      <w:spacing w:after="100"/>
    </w:pPr>
  </w:style>
  <w:style w:type="paragraph" w:styleId="TOC2">
    <w:name w:val="toc 2"/>
    <w:basedOn w:val="Normal"/>
    <w:next w:val="Normal"/>
    <w:autoRedefine/>
    <w:uiPriority w:val="39"/>
    <w:unhideWhenUsed/>
    <w:rsid w:val="005E4E51"/>
    <w:pPr>
      <w:spacing w:after="100"/>
      <w:ind w:left="220"/>
    </w:pPr>
  </w:style>
  <w:style w:type="character" w:styleId="Hyperlink">
    <w:name w:val="Hyperlink"/>
    <w:basedOn w:val="DefaultParagraphFont"/>
    <w:uiPriority w:val="99"/>
    <w:unhideWhenUsed/>
    <w:rsid w:val="005E4E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8C7D2-2C10-4F16-A231-5DF6BB3E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1672</Words>
  <Characters>9918</Characters>
  <Application>Microsoft Office Word</Application>
  <DocSecurity>0</DocSecurity>
  <Lines>177</Lines>
  <Paragraphs>62</Paragraphs>
  <ScaleCrop>false</ScaleCrop>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 Leva</dc:creator>
  <cp:lastModifiedBy>Catalin Leva</cp:lastModifiedBy>
  <cp:revision>16</cp:revision>
  <dcterms:created xsi:type="dcterms:W3CDTF">2026-01-20T18:36:00Z</dcterms:created>
  <dcterms:modified xsi:type="dcterms:W3CDTF">2026-02-17T19:47:00Z</dcterms:modified>
</cp:coreProperties>
</file>