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23C0F" w14:textId="7D57D8F9" w:rsidR="558F8F95"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Title of research:</w:t>
      </w:r>
    </w:p>
    <w:p w14:paraId="7D0911C9" w14:textId="3DA2032C" w:rsidR="3EA3928E" w:rsidRPr="002379D6" w:rsidRDefault="495B6BAE" w:rsidP="002379D6">
      <w:pPr>
        <w:spacing w:line="360" w:lineRule="auto"/>
        <w:jc w:val="center"/>
        <w:rPr>
          <w:rFonts w:ascii="Arial" w:eastAsiaTheme="minorEastAsia" w:hAnsi="Arial" w:cs="Arial"/>
          <w:sz w:val="24"/>
          <w:szCs w:val="24"/>
          <w:u w:val="single"/>
        </w:rPr>
      </w:pPr>
      <w:r w:rsidRPr="002379D6">
        <w:rPr>
          <w:rFonts w:ascii="Arial" w:eastAsiaTheme="minorEastAsia" w:hAnsi="Arial" w:cs="Arial"/>
          <w:sz w:val="24"/>
          <w:szCs w:val="24"/>
          <w:u w:val="single"/>
        </w:rPr>
        <w:t>Gender discrimination is prevalent in attitudes towards mental health issues in contemporary society.</w:t>
      </w:r>
    </w:p>
    <w:p w14:paraId="5275B09C" w14:textId="3992F60D" w:rsidR="558F8F95"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Background:</w:t>
      </w:r>
    </w:p>
    <w:p w14:paraId="3AE5B63D" w14:textId="79A27030" w:rsidR="495B6BAE" w:rsidRPr="002379D6" w:rsidRDefault="495B6BAE" w:rsidP="002379D6">
      <w:pPr>
        <w:spacing w:line="360" w:lineRule="auto"/>
        <w:rPr>
          <w:rFonts w:ascii="Arial" w:eastAsiaTheme="minorEastAsia" w:hAnsi="Arial" w:cs="Arial"/>
          <w:sz w:val="24"/>
          <w:szCs w:val="24"/>
        </w:rPr>
      </w:pPr>
      <w:r w:rsidRPr="002379D6">
        <w:rPr>
          <w:rFonts w:ascii="Arial" w:eastAsiaTheme="minorEastAsia" w:hAnsi="Arial" w:cs="Arial"/>
          <w:sz w:val="24"/>
          <w:szCs w:val="24"/>
        </w:rPr>
        <w:t xml:space="preserve">According to Ritchie, H and Roser, M. (2018)., 792 million people were living with a mental health illness in 2017. It is estimated that roughly more than one in ten people globally are suffering (10.7%). </w:t>
      </w:r>
    </w:p>
    <w:p w14:paraId="0965718A" w14:textId="1CEFB707" w:rsidR="495B6BAE" w:rsidRPr="002379D6" w:rsidRDefault="495B6BAE" w:rsidP="002379D6">
      <w:pPr>
        <w:spacing w:line="360" w:lineRule="auto"/>
        <w:rPr>
          <w:rFonts w:ascii="Arial" w:eastAsiaTheme="minorEastAsia" w:hAnsi="Arial" w:cs="Arial"/>
          <w:color w:val="2C2D30"/>
          <w:sz w:val="24"/>
          <w:szCs w:val="24"/>
        </w:rPr>
      </w:pPr>
      <w:r w:rsidRPr="002379D6">
        <w:rPr>
          <w:rFonts w:ascii="Arial" w:eastAsiaTheme="minorEastAsia" w:hAnsi="Arial" w:cs="Arial"/>
          <w:sz w:val="24"/>
          <w:szCs w:val="24"/>
        </w:rPr>
        <w:t xml:space="preserve">Today, it is prevalent that attitudes within most societies are negative towards mental health. Individuals with mental illnesses are often portrayed as threatening and this makes people who aren’t diagnosed with a mental illness feel uncomfortable. These attitudes foster discrimination towards </w:t>
      </w:r>
      <w:r w:rsidR="00B35AF5" w:rsidRPr="002379D6">
        <w:rPr>
          <w:rFonts w:ascii="Arial" w:eastAsiaTheme="minorEastAsia" w:hAnsi="Arial" w:cs="Arial"/>
          <w:sz w:val="24"/>
          <w:szCs w:val="24"/>
        </w:rPr>
        <w:t>people dealing with a mental illness</w:t>
      </w:r>
      <w:r w:rsidRPr="002379D6">
        <w:rPr>
          <w:rFonts w:ascii="Arial" w:eastAsiaTheme="minorEastAsia" w:hAnsi="Arial" w:cs="Arial"/>
          <w:sz w:val="24"/>
          <w:szCs w:val="24"/>
        </w:rPr>
        <w:t>. Mental Health stigma is often categorized into two distinct types. These are</w:t>
      </w:r>
      <w:r w:rsidR="006C7402" w:rsidRPr="002379D6">
        <w:rPr>
          <w:rFonts w:ascii="Arial" w:eastAsiaTheme="minorEastAsia" w:hAnsi="Arial" w:cs="Arial"/>
          <w:sz w:val="24"/>
          <w:szCs w:val="24"/>
        </w:rPr>
        <w:t>:</w:t>
      </w:r>
      <w:r w:rsidRPr="002379D6">
        <w:rPr>
          <w:rFonts w:ascii="Arial" w:eastAsiaTheme="minorEastAsia" w:hAnsi="Arial" w:cs="Arial"/>
          <w:sz w:val="24"/>
          <w:szCs w:val="24"/>
        </w:rPr>
        <w:t xml:space="preserve"> social stigma and perceived stigma (self-stigma). Social stigma </w:t>
      </w:r>
      <w:r w:rsidR="006C7402" w:rsidRPr="002379D6">
        <w:rPr>
          <w:rFonts w:ascii="Arial" w:eastAsiaTheme="minorEastAsia" w:hAnsi="Arial" w:cs="Arial"/>
          <w:sz w:val="24"/>
          <w:szCs w:val="24"/>
        </w:rPr>
        <w:t>derives</w:t>
      </w:r>
      <w:r w:rsidRPr="002379D6">
        <w:rPr>
          <w:rFonts w:ascii="Arial" w:eastAsiaTheme="minorEastAsia" w:hAnsi="Arial" w:cs="Arial"/>
          <w:sz w:val="24"/>
          <w:szCs w:val="24"/>
        </w:rPr>
        <w:t xml:space="preserve"> from negative attitudes of the public as a result of labels </w:t>
      </w:r>
      <w:r w:rsidR="00135FA5" w:rsidRPr="002379D6">
        <w:rPr>
          <w:rFonts w:ascii="Arial" w:eastAsiaTheme="minorEastAsia" w:hAnsi="Arial" w:cs="Arial"/>
          <w:sz w:val="24"/>
          <w:szCs w:val="24"/>
        </w:rPr>
        <w:t>attached</w:t>
      </w:r>
      <w:r w:rsidRPr="002379D6">
        <w:rPr>
          <w:rFonts w:ascii="Arial" w:eastAsiaTheme="minorEastAsia" w:hAnsi="Arial" w:cs="Arial"/>
          <w:sz w:val="24"/>
          <w:szCs w:val="24"/>
        </w:rPr>
        <w:t xml:space="preserve"> to various mental health issues. Moreover, perceived </w:t>
      </w:r>
      <w:bookmarkStart w:id="0" w:name="_GoBack"/>
      <w:r w:rsidRPr="002379D6">
        <w:rPr>
          <w:rFonts w:ascii="Arial" w:eastAsiaTheme="minorEastAsia" w:hAnsi="Arial" w:cs="Arial"/>
          <w:sz w:val="24"/>
          <w:szCs w:val="24"/>
        </w:rPr>
        <w:t xml:space="preserve">stigma is an individual’s personal negative view or concept of mental health. People can develop perceived stigma due to their personal experiences or </w:t>
      </w:r>
      <w:r w:rsidR="006C7402" w:rsidRPr="002379D6">
        <w:rPr>
          <w:rFonts w:ascii="Arial" w:eastAsiaTheme="minorEastAsia" w:hAnsi="Arial" w:cs="Arial"/>
          <w:sz w:val="24"/>
          <w:szCs w:val="24"/>
        </w:rPr>
        <w:t>a feeling of shame attached</w:t>
      </w:r>
      <w:r w:rsidR="00B35AF5" w:rsidRPr="002379D6">
        <w:rPr>
          <w:rFonts w:ascii="Arial" w:eastAsiaTheme="minorEastAsia" w:hAnsi="Arial" w:cs="Arial"/>
          <w:sz w:val="24"/>
          <w:szCs w:val="24"/>
        </w:rPr>
        <w:t xml:space="preserve">. </w:t>
      </w:r>
      <w:r w:rsidRPr="002379D6">
        <w:rPr>
          <w:rFonts w:ascii="Arial" w:eastAsiaTheme="minorEastAsia" w:hAnsi="Arial" w:cs="Arial"/>
          <w:sz w:val="24"/>
          <w:szCs w:val="24"/>
        </w:rPr>
        <w:t>‘</w:t>
      </w:r>
      <w:r w:rsidRPr="002379D6">
        <w:rPr>
          <w:rFonts w:ascii="Arial" w:eastAsia="Calibri" w:hAnsi="Arial" w:cs="Arial"/>
          <w:color w:val="2C2D30"/>
          <w:sz w:val="24"/>
          <w:szCs w:val="24"/>
        </w:rPr>
        <w:t xml:space="preserve">In a survey of over 1700 adults in the UK, (Crisp et al., 2000) found that the most common belief was that people with mental health problems were dangerous’ </w:t>
      </w:r>
      <w:r w:rsidRPr="002379D6">
        <w:rPr>
          <w:rFonts w:ascii="Arial" w:eastAsiaTheme="minorEastAsia" w:hAnsi="Arial" w:cs="Arial"/>
          <w:color w:val="2C2D30"/>
          <w:sz w:val="24"/>
          <w:szCs w:val="24"/>
        </w:rPr>
        <w:t>(Perlick, et al., 2001</w:t>
      </w:r>
      <w:r w:rsidR="00B35AF5" w:rsidRPr="002379D6">
        <w:rPr>
          <w:rFonts w:ascii="Arial" w:eastAsiaTheme="minorEastAsia" w:hAnsi="Arial" w:cs="Arial"/>
          <w:color w:val="2C2D30"/>
          <w:sz w:val="24"/>
          <w:szCs w:val="24"/>
        </w:rPr>
        <w:t>.,</w:t>
      </w:r>
      <w:r w:rsidRPr="002379D6">
        <w:rPr>
          <w:rFonts w:ascii="Arial" w:eastAsiaTheme="minorEastAsia" w:hAnsi="Arial" w:cs="Arial"/>
          <w:color w:val="2C2D30"/>
          <w:sz w:val="24"/>
          <w:szCs w:val="24"/>
        </w:rPr>
        <w:t xml:space="preserve"> </w:t>
      </w:r>
      <w:r w:rsidR="00B35AF5" w:rsidRPr="002379D6">
        <w:rPr>
          <w:rFonts w:ascii="Arial" w:eastAsiaTheme="minorEastAsia" w:hAnsi="Arial" w:cs="Arial"/>
          <w:color w:val="2C2D30"/>
          <w:sz w:val="24"/>
          <w:szCs w:val="24"/>
        </w:rPr>
        <w:t xml:space="preserve">as cited </w:t>
      </w:r>
      <w:r w:rsidRPr="002379D6">
        <w:rPr>
          <w:rFonts w:ascii="Arial" w:eastAsiaTheme="minorEastAsia" w:hAnsi="Arial" w:cs="Arial"/>
          <w:color w:val="2C2D30"/>
          <w:sz w:val="24"/>
          <w:szCs w:val="24"/>
        </w:rPr>
        <w:t>in Graham, C.L., and Davey Ph.D 2013)</w:t>
      </w:r>
      <w:r w:rsidR="006C7402" w:rsidRPr="002379D6">
        <w:rPr>
          <w:rFonts w:ascii="Arial" w:eastAsiaTheme="minorEastAsia" w:hAnsi="Arial" w:cs="Arial"/>
          <w:color w:val="2C2D30"/>
          <w:sz w:val="24"/>
          <w:szCs w:val="24"/>
        </w:rPr>
        <w:t>, thus resulting in a fear and misunderstanding of the true existence of mental health issues.</w:t>
      </w:r>
    </w:p>
    <w:p w14:paraId="7BF00107" w14:textId="17379BC4" w:rsidR="495B6BAE" w:rsidRPr="002379D6" w:rsidRDefault="00135FA5" w:rsidP="002379D6">
      <w:pPr>
        <w:spacing w:line="360" w:lineRule="auto"/>
        <w:rPr>
          <w:rFonts w:ascii="Arial" w:eastAsia="Times New Roman" w:hAnsi="Arial" w:cs="Arial"/>
          <w:sz w:val="24"/>
          <w:szCs w:val="24"/>
          <w:lang w:eastAsia="en-GB"/>
        </w:rPr>
      </w:pPr>
      <w:r w:rsidRPr="002379D6">
        <w:rPr>
          <w:rFonts w:ascii="Arial" w:eastAsiaTheme="minorEastAsia" w:hAnsi="Arial" w:cs="Arial"/>
          <w:color w:val="000000" w:themeColor="text1"/>
          <w:sz w:val="24"/>
          <w:szCs w:val="24"/>
        </w:rPr>
        <w:t xml:space="preserve"> </w:t>
      </w:r>
      <w:r w:rsidR="495B6BAE" w:rsidRPr="002379D6">
        <w:rPr>
          <w:rFonts w:ascii="Arial" w:eastAsiaTheme="minorEastAsia" w:hAnsi="Arial" w:cs="Arial"/>
          <w:color w:val="000000" w:themeColor="text1"/>
          <w:sz w:val="24"/>
          <w:szCs w:val="24"/>
        </w:rPr>
        <w:t xml:space="preserve">Traditionally and historically, men have been considered </w:t>
      </w:r>
      <w:bookmarkEnd w:id="0"/>
      <w:r w:rsidR="495B6BAE" w:rsidRPr="002379D6">
        <w:rPr>
          <w:rFonts w:ascii="Arial" w:eastAsiaTheme="minorEastAsia" w:hAnsi="Arial" w:cs="Arial"/>
          <w:color w:val="000000" w:themeColor="text1"/>
          <w:sz w:val="24"/>
          <w:szCs w:val="24"/>
        </w:rPr>
        <w:t xml:space="preserve">the stronger sex; the provider, the guardian and the strength of the family unit. Women were the homemakers; considered to be fragile and delicate even. However, in contemporary society, equality is progressing significantly and many would argue that gender roles are no longer evident and both sexes hold senior positions in all sorts of careers. Despite this, through </w:t>
      </w:r>
      <w:r w:rsidR="00B35AF5" w:rsidRPr="002379D6">
        <w:rPr>
          <w:rFonts w:ascii="Arial" w:eastAsiaTheme="minorEastAsia" w:hAnsi="Arial" w:cs="Arial"/>
          <w:color w:val="000000" w:themeColor="text1"/>
          <w:sz w:val="24"/>
          <w:szCs w:val="24"/>
        </w:rPr>
        <w:t>this research, it</w:t>
      </w:r>
      <w:r w:rsidR="495B6BAE" w:rsidRPr="002379D6">
        <w:rPr>
          <w:rFonts w:ascii="Arial" w:eastAsiaTheme="minorEastAsia" w:hAnsi="Arial" w:cs="Arial"/>
          <w:color w:val="000000" w:themeColor="text1"/>
          <w:sz w:val="24"/>
          <w:szCs w:val="24"/>
        </w:rPr>
        <w:t xml:space="preserve"> will reveal that there is evidence to prove the existence of stigma in regards to mental health, particularly when it comes to gender. Stigmatizing attitudes may inhibit help seeking from people suffering with a mental illness. It can also cause an impact on their reintegration into society and cause an increase to their psychological distress. (Savrun et al., 2007). </w:t>
      </w:r>
      <w:r w:rsidR="495B6BAE" w:rsidRPr="002379D6">
        <w:rPr>
          <w:rFonts w:ascii="Arial" w:eastAsiaTheme="minorEastAsia" w:hAnsi="Arial" w:cs="Arial"/>
          <w:color w:val="1C1D1E"/>
          <w:sz w:val="24"/>
          <w:szCs w:val="24"/>
        </w:rPr>
        <w:t xml:space="preserve">‘Stigma and </w:t>
      </w:r>
      <w:r w:rsidR="495B6BAE" w:rsidRPr="002379D6">
        <w:rPr>
          <w:rFonts w:ascii="Arial" w:eastAsiaTheme="minorEastAsia" w:hAnsi="Arial" w:cs="Arial"/>
          <w:color w:val="1C1D1E"/>
          <w:sz w:val="24"/>
          <w:szCs w:val="24"/>
        </w:rPr>
        <w:lastRenderedPageBreak/>
        <w:t>discrimination have been identified as important obstacles to the integration of people with mental illness in society’ (</w:t>
      </w:r>
      <w:r w:rsidR="495B6BAE" w:rsidRPr="002379D6">
        <w:rPr>
          <w:rFonts w:ascii="Arial" w:eastAsiaTheme="minorEastAsia" w:hAnsi="Arial" w:cs="Arial"/>
          <w:color w:val="000000" w:themeColor="text1"/>
          <w:sz w:val="24"/>
          <w:szCs w:val="24"/>
        </w:rPr>
        <w:t xml:space="preserve">Björkman et al., 2008). </w:t>
      </w:r>
    </w:p>
    <w:p w14:paraId="265FB0D8" w14:textId="73DE7DB5"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Methods</w:t>
      </w:r>
    </w:p>
    <w:p w14:paraId="39E2E8D3" w14:textId="71A16AD2"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 xml:space="preserve"> Intended participants:</w:t>
      </w:r>
    </w:p>
    <w:p w14:paraId="0EB83E01" w14:textId="2E29DA57" w:rsidR="5EB8FFB2" w:rsidRPr="002379D6" w:rsidRDefault="495B6BAE" w:rsidP="002379D6">
      <w:pPr>
        <w:spacing w:line="360" w:lineRule="auto"/>
        <w:rPr>
          <w:rFonts w:ascii="Arial" w:eastAsiaTheme="minorEastAsia" w:hAnsi="Arial" w:cs="Arial"/>
          <w:sz w:val="24"/>
          <w:szCs w:val="24"/>
        </w:rPr>
      </w:pPr>
      <w:r w:rsidRPr="002379D6">
        <w:rPr>
          <w:rFonts w:ascii="Arial" w:eastAsiaTheme="minorEastAsia" w:hAnsi="Arial" w:cs="Arial"/>
          <w:sz w:val="24"/>
          <w:szCs w:val="24"/>
        </w:rPr>
        <w:t xml:space="preserve">In this proposal the intended participants were 30 males and 30 females </w:t>
      </w:r>
      <w:r w:rsidR="006C7402" w:rsidRPr="002379D6">
        <w:rPr>
          <w:rFonts w:ascii="Arial" w:eastAsiaTheme="minorEastAsia" w:hAnsi="Arial" w:cs="Arial"/>
          <w:sz w:val="24"/>
          <w:szCs w:val="24"/>
        </w:rPr>
        <w:t>who attends</w:t>
      </w:r>
      <w:r w:rsidRPr="002379D6">
        <w:rPr>
          <w:rFonts w:ascii="Arial" w:eastAsiaTheme="minorEastAsia" w:hAnsi="Arial" w:cs="Arial"/>
          <w:sz w:val="24"/>
          <w:szCs w:val="24"/>
        </w:rPr>
        <w:t xml:space="preserve"> a </w:t>
      </w:r>
      <w:r w:rsidR="006C7402" w:rsidRPr="002379D6">
        <w:rPr>
          <w:rFonts w:ascii="Arial" w:eastAsiaTheme="minorEastAsia" w:hAnsi="Arial" w:cs="Arial"/>
          <w:sz w:val="24"/>
          <w:szCs w:val="24"/>
        </w:rPr>
        <w:t xml:space="preserve">local </w:t>
      </w:r>
      <w:r w:rsidRPr="002379D6">
        <w:rPr>
          <w:rFonts w:ascii="Arial" w:eastAsiaTheme="minorEastAsia" w:hAnsi="Arial" w:cs="Arial"/>
          <w:sz w:val="24"/>
          <w:szCs w:val="24"/>
        </w:rPr>
        <w:t xml:space="preserve">rugby club. There were 30 women who </w:t>
      </w:r>
      <w:r w:rsidR="006C7402" w:rsidRPr="002379D6">
        <w:rPr>
          <w:rFonts w:ascii="Arial" w:eastAsiaTheme="minorEastAsia" w:hAnsi="Arial" w:cs="Arial"/>
          <w:sz w:val="24"/>
          <w:szCs w:val="24"/>
        </w:rPr>
        <w:t xml:space="preserve">frequent </w:t>
      </w:r>
      <w:r w:rsidRPr="002379D6">
        <w:rPr>
          <w:rFonts w:ascii="Arial" w:eastAsiaTheme="minorEastAsia" w:hAnsi="Arial" w:cs="Arial"/>
          <w:sz w:val="24"/>
          <w:szCs w:val="24"/>
        </w:rPr>
        <w:t>a fitness class and 30 males who regularly socialise in the club. These were all chosen at random. Therefore, these participants’ medical histories were unknown along with w</w:t>
      </w:r>
      <w:r w:rsidR="006C7402" w:rsidRPr="002379D6">
        <w:rPr>
          <w:rFonts w:ascii="Arial" w:eastAsiaTheme="minorEastAsia" w:hAnsi="Arial" w:cs="Arial"/>
          <w:sz w:val="24"/>
          <w:szCs w:val="24"/>
        </w:rPr>
        <w:t>he</w:t>
      </w:r>
      <w:r w:rsidRPr="002379D6">
        <w:rPr>
          <w:rFonts w:ascii="Arial" w:eastAsiaTheme="minorEastAsia" w:hAnsi="Arial" w:cs="Arial"/>
          <w:sz w:val="24"/>
          <w:szCs w:val="24"/>
        </w:rPr>
        <w:t xml:space="preserve">ther any of their family members suffered with any mental illnesses. </w:t>
      </w:r>
    </w:p>
    <w:p w14:paraId="36391F71" w14:textId="12AFF1A0" w:rsidR="5EB8FFB2" w:rsidRPr="002379D6" w:rsidRDefault="495B6BAE" w:rsidP="002379D6">
      <w:pPr>
        <w:spacing w:line="360" w:lineRule="auto"/>
        <w:rPr>
          <w:rFonts w:ascii="Arial" w:eastAsiaTheme="minorEastAsia" w:hAnsi="Arial" w:cs="Arial"/>
          <w:sz w:val="24"/>
          <w:szCs w:val="24"/>
        </w:rPr>
      </w:pPr>
      <w:r w:rsidRPr="002379D6">
        <w:rPr>
          <w:rFonts w:ascii="Arial" w:eastAsiaTheme="minorEastAsia" w:hAnsi="Arial" w:cs="Arial"/>
          <w:b/>
          <w:bCs/>
          <w:sz w:val="24"/>
          <w:szCs w:val="24"/>
        </w:rPr>
        <w:t xml:space="preserve">  Design: </w:t>
      </w:r>
    </w:p>
    <w:p w14:paraId="294A9D2C" w14:textId="7130A869" w:rsidR="495B6BAE" w:rsidRPr="002379D6" w:rsidRDefault="495B6BAE" w:rsidP="002379D6">
      <w:pPr>
        <w:spacing w:line="360" w:lineRule="auto"/>
        <w:rPr>
          <w:rFonts w:ascii="Arial" w:eastAsiaTheme="minorEastAsia" w:hAnsi="Arial" w:cs="Arial"/>
          <w:sz w:val="24"/>
          <w:szCs w:val="24"/>
        </w:rPr>
      </w:pPr>
      <w:r w:rsidRPr="002379D6">
        <w:rPr>
          <w:rFonts w:ascii="Arial" w:eastAsiaTheme="minorEastAsia" w:hAnsi="Arial" w:cs="Arial"/>
          <w:sz w:val="24"/>
          <w:szCs w:val="24"/>
        </w:rPr>
        <w:t xml:space="preserve">This study is a quantitative study, aiming to highlight the attitudes towards mental illness from males and females. This proposal was done through a between subjects design. A CAMI questionnaire was used in this study to investigate the participants’ conceptions and the differences in these. Questionnaires are used simply to collect data and are used to measure opinions, attitudes and behaviour of a certain subject. (McLeod, S., 2018) </w:t>
      </w:r>
    </w:p>
    <w:p w14:paraId="3C91AC6A" w14:textId="738461DF"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 xml:space="preserve">    Materials: </w:t>
      </w:r>
    </w:p>
    <w:p w14:paraId="4F4331AE" w14:textId="50F647DD"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sz w:val="24"/>
          <w:szCs w:val="24"/>
        </w:rPr>
        <w:t xml:space="preserve">A CAMI questionnaire was used in this proposal which gave an indication of the </w:t>
      </w:r>
      <w:r w:rsidR="00B35AF5" w:rsidRPr="002379D6">
        <w:rPr>
          <w:rFonts w:ascii="Arial" w:eastAsiaTheme="minorEastAsia" w:hAnsi="Arial" w:cs="Arial"/>
          <w:sz w:val="24"/>
          <w:szCs w:val="24"/>
        </w:rPr>
        <w:t>gender differences in regards to attitudes towards mental health illnesses.</w:t>
      </w:r>
      <w:r w:rsidRPr="002379D6">
        <w:rPr>
          <w:rFonts w:ascii="Arial" w:eastAsiaTheme="minorEastAsia" w:hAnsi="Arial" w:cs="Arial"/>
          <w:sz w:val="24"/>
          <w:szCs w:val="24"/>
        </w:rPr>
        <w:t xml:space="preserve"> The CAMI questionnaire asks a range of questions that gives us insights to how people feel using a 5 point </w:t>
      </w:r>
      <w:r w:rsidR="00124E2E" w:rsidRPr="002379D6">
        <w:rPr>
          <w:rFonts w:ascii="Arial" w:eastAsiaTheme="minorEastAsia" w:hAnsi="Arial" w:cs="Arial"/>
          <w:sz w:val="24"/>
          <w:szCs w:val="24"/>
        </w:rPr>
        <w:t xml:space="preserve">likert </w:t>
      </w:r>
      <w:r w:rsidRPr="002379D6">
        <w:rPr>
          <w:rFonts w:ascii="Arial" w:eastAsiaTheme="minorEastAsia" w:hAnsi="Arial" w:cs="Arial"/>
          <w:sz w:val="24"/>
          <w:szCs w:val="24"/>
        </w:rPr>
        <w:t xml:space="preserve">scale ranging from strongly agree (SA) to Strongly disagree (SD). The full scale includes four items; Authoritarianism, Benevolence, Social Restrictiveness and Community Mental Health Ideology which were all used in this study. The four items measured the attitudes towards mental illness by using positive statements such as ‘the mentally ill should not be treated as outcasts of society’ and ‘no one has the right to exclude the mentally ill from their neighbourhood’, and negatively worded statements such as ‘the best way to handle the mentally ill is to keep them behind locked doors’ and ‘I would not want to live next door to someone who has been mentally ill’. The scores range from five for each item, therefore giving an overall result between 40 – 200. Half of the statements in the questionnaire were worded negatively and the other half were worded positively. Using this method </w:t>
      </w:r>
      <w:r w:rsidRPr="002379D6">
        <w:rPr>
          <w:rFonts w:ascii="Arial" w:eastAsiaTheme="minorEastAsia" w:hAnsi="Arial" w:cs="Arial"/>
          <w:sz w:val="24"/>
          <w:szCs w:val="24"/>
        </w:rPr>
        <w:lastRenderedPageBreak/>
        <w:t>would give us an overall result on both attitudes from the participants. Prior to analysis, the scoring for one half of the questions would need to be scored in reverse.</w:t>
      </w:r>
      <w:r w:rsidRPr="002379D6">
        <w:rPr>
          <w:rFonts w:ascii="Arial" w:eastAsiaTheme="minorEastAsia" w:hAnsi="Arial" w:cs="Arial"/>
          <w:b/>
          <w:bCs/>
          <w:sz w:val="24"/>
          <w:szCs w:val="24"/>
        </w:rPr>
        <w:t xml:space="preserve"> </w:t>
      </w:r>
    </w:p>
    <w:p w14:paraId="33F3ABA4" w14:textId="3DD24062"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 xml:space="preserve"> Recruitment plan:</w:t>
      </w:r>
    </w:p>
    <w:p w14:paraId="2AB557BB" w14:textId="0371BB56" w:rsidR="5EB8FFB2" w:rsidRPr="002379D6" w:rsidRDefault="002C299E" w:rsidP="002379D6">
      <w:pPr>
        <w:spacing w:line="360" w:lineRule="auto"/>
        <w:rPr>
          <w:rFonts w:ascii="Arial" w:eastAsiaTheme="minorEastAsia" w:hAnsi="Arial" w:cs="Arial"/>
          <w:b/>
          <w:bCs/>
          <w:sz w:val="24"/>
          <w:szCs w:val="24"/>
        </w:rPr>
      </w:pPr>
      <w:r w:rsidRPr="002379D6">
        <w:rPr>
          <w:rFonts w:ascii="Arial" w:eastAsiaTheme="minorEastAsia" w:hAnsi="Arial" w:cs="Arial"/>
          <w:sz w:val="24"/>
          <w:szCs w:val="24"/>
        </w:rPr>
        <w:t>The local rugby club is a popular institution in the village of Llangenne</w:t>
      </w:r>
      <w:r w:rsidR="00B80BC9" w:rsidRPr="002379D6">
        <w:rPr>
          <w:rFonts w:ascii="Arial" w:eastAsiaTheme="minorEastAsia" w:hAnsi="Arial" w:cs="Arial"/>
          <w:sz w:val="24"/>
          <w:szCs w:val="24"/>
        </w:rPr>
        <w:t>c</w:t>
      </w:r>
      <w:r w:rsidRPr="002379D6">
        <w:rPr>
          <w:rFonts w:ascii="Arial" w:eastAsiaTheme="minorEastAsia" w:hAnsi="Arial" w:cs="Arial"/>
          <w:sz w:val="24"/>
          <w:szCs w:val="24"/>
        </w:rPr>
        <w:t>h and is integral to community life.  There are various events that occur in the week, ranging from fitness classes to quiz nights. In the fitness class itself, over 60 women attend the classes which are held three times a week.  However, the n</w:t>
      </w:r>
      <w:r w:rsidR="00B80BC9" w:rsidRPr="002379D6">
        <w:rPr>
          <w:rFonts w:ascii="Arial" w:eastAsiaTheme="minorEastAsia" w:hAnsi="Arial" w:cs="Arial"/>
          <w:sz w:val="24"/>
          <w:szCs w:val="24"/>
        </w:rPr>
        <w:t>u</w:t>
      </w:r>
      <w:r w:rsidRPr="002379D6">
        <w:rPr>
          <w:rFonts w:ascii="Arial" w:eastAsiaTheme="minorEastAsia" w:hAnsi="Arial" w:cs="Arial"/>
          <w:sz w:val="24"/>
          <w:szCs w:val="24"/>
        </w:rPr>
        <w:t xml:space="preserve">mber who attends events such as a local darts team, quiz nights and concerts, vary tremendously. </w:t>
      </w:r>
      <w:r w:rsidR="495B6BAE" w:rsidRPr="002379D6">
        <w:rPr>
          <w:rFonts w:ascii="Arial" w:eastAsiaTheme="minorEastAsia" w:hAnsi="Arial" w:cs="Arial"/>
          <w:sz w:val="24"/>
          <w:szCs w:val="24"/>
        </w:rPr>
        <w:t>Therefore, 30 males and 30 females were chosen at random after considering the possibility of low attendance in both the fitness class and the social gatherings. The participants were asked to complete a CAMI questionnaire on a night where all the participants were in the club</w:t>
      </w:r>
      <w:r w:rsidRPr="002379D6">
        <w:rPr>
          <w:rFonts w:ascii="Arial" w:eastAsiaTheme="minorEastAsia" w:hAnsi="Arial" w:cs="Arial"/>
          <w:sz w:val="24"/>
          <w:szCs w:val="24"/>
        </w:rPr>
        <w:t xml:space="preserve">, which was </w:t>
      </w:r>
      <w:r w:rsidR="495B6BAE" w:rsidRPr="002379D6">
        <w:rPr>
          <w:rFonts w:ascii="Arial" w:eastAsiaTheme="minorEastAsia" w:hAnsi="Arial" w:cs="Arial"/>
          <w:sz w:val="24"/>
          <w:szCs w:val="24"/>
        </w:rPr>
        <w:t xml:space="preserve">. This was on a Thursday night, </w:t>
      </w:r>
      <w:r w:rsidRPr="002379D6">
        <w:rPr>
          <w:rFonts w:ascii="Arial" w:eastAsiaTheme="minorEastAsia" w:hAnsi="Arial" w:cs="Arial"/>
          <w:sz w:val="24"/>
          <w:szCs w:val="24"/>
        </w:rPr>
        <w:t>with the</w:t>
      </w:r>
      <w:r w:rsidR="495B6BAE" w:rsidRPr="002379D6">
        <w:rPr>
          <w:rFonts w:ascii="Arial" w:eastAsiaTheme="minorEastAsia" w:hAnsi="Arial" w:cs="Arial"/>
          <w:sz w:val="24"/>
          <w:szCs w:val="24"/>
        </w:rPr>
        <w:t xml:space="preserve"> women were attending a fitness class and the males were attending a social gathering following a local rugby cup game in the village. The questionnaire was completed and handed back at the end of the night which gave all the participants time to read and complete the questionnaire properly.  The participants were diverse and included eight children aged ten and under, who were exempt due to the complexity of the questions and a low understanding and knowledge of mental health. </w:t>
      </w:r>
    </w:p>
    <w:p w14:paraId="4863447D" w14:textId="7B4553C7"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t>Ethical considerations:</w:t>
      </w:r>
    </w:p>
    <w:p w14:paraId="4ADD1EA5" w14:textId="74E8FE0C" w:rsidR="5EB8FFB2" w:rsidRPr="002379D6" w:rsidRDefault="495B6BAE" w:rsidP="002379D6">
      <w:pPr>
        <w:spacing w:line="360" w:lineRule="auto"/>
        <w:rPr>
          <w:rFonts w:ascii="Arial" w:eastAsiaTheme="minorEastAsia" w:hAnsi="Arial" w:cs="Arial"/>
          <w:sz w:val="24"/>
          <w:szCs w:val="24"/>
        </w:rPr>
      </w:pPr>
      <w:r w:rsidRPr="002379D6">
        <w:rPr>
          <w:rFonts w:ascii="Arial" w:eastAsiaTheme="minorEastAsia" w:hAnsi="Arial" w:cs="Arial"/>
          <w:sz w:val="24"/>
          <w:szCs w:val="24"/>
        </w:rPr>
        <w:t xml:space="preserve">Before the CAMI questionnaire was given out to the participants, they were all asked to sign a consent form. Also, a debriefing form </w:t>
      </w:r>
      <w:r w:rsidR="00B35AF5" w:rsidRPr="002379D6">
        <w:rPr>
          <w:rFonts w:ascii="Arial" w:eastAsiaTheme="minorEastAsia" w:hAnsi="Arial" w:cs="Arial"/>
          <w:sz w:val="24"/>
          <w:szCs w:val="24"/>
        </w:rPr>
        <w:t>was given out afterwards</w:t>
      </w:r>
      <w:r w:rsidRPr="002379D6">
        <w:rPr>
          <w:rFonts w:ascii="Arial" w:eastAsiaTheme="minorEastAsia" w:hAnsi="Arial" w:cs="Arial"/>
          <w:sz w:val="24"/>
          <w:szCs w:val="24"/>
        </w:rPr>
        <w:t xml:space="preserve">. This ensured that all the participants were aware of all the information gathered, </w:t>
      </w:r>
      <w:r w:rsidR="002C299E" w:rsidRPr="002379D6">
        <w:rPr>
          <w:rFonts w:ascii="Arial" w:eastAsiaTheme="minorEastAsia" w:hAnsi="Arial" w:cs="Arial"/>
          <w:sz w:val="24"/>
          <w:szCs w:val="24"/>
        </w:rPr>
        <w:t>how the information will be used</w:t>
      </w:r>
      <w:r w:rsidRPr="002379D6">
        <w:rPr>
          <w:rFonts w:ascii="Arial" w:eastAsiaTheme="minorEastAsia" w:hAnsi="Arial" w:cs="Arial"/>
          <w:sz w:val="24"/>
          <w:szCs w:val="24"/>
        </w:rPr>
        <w:t xml:space="preserve"> </w:t>
      </w:r>
      <w:r w:rsidR="002C299E" w:rsidRPr="002379D6">
        <w:rPr>
          <w:rFonts w:ascii="Arial" w:eastAsiaTheme="minorEastAsia" w:hAnsi="Arial" w:cs="Arial"/>
          <w:sz w:val="24"/>
          <w:szCs w:val="24"/>
        </w:rPr>
        <w:t>and were</w:t>
      </w:r>
      <w:r w:rsidRPr="002379D6">
        <w:rPr>
          <w:rFonts w:ascii="Arial" w:eastAsiaTheme="minorEastAsia" w:hAnsi="Arial" w:cs="Arial"/>
          <w:sz w:val="24"/>
          <w:szCs w:val="24"/>
        </w:rPr>
        <w:t xml:space="preserve"> g</w:t>
      </w:r>
      <w:r w:rsidR="002C299E" w:rsidRPr="002379D6">
        <w:rPr>
          <w:rFonts w:ascii="Arial" w:eastAsiaTheme="minorEastAsia" w:hAnsi="Arial" w:cs="Arial"/>
          <w:sz w:val="24"/>
          <w:szCs w:val="24"/>
        </w:rPr>
        <w:t>iven</w:t>
      </w:r>
      <w:r w:rsidRPr="002379D6">
        <w:rPr>
          <w:rFonts w:ascii="Arial" w:eastAsiaTheme="minorEastAsia" w:hAnsi="Arial" w:cs="Arial"/>
          <w:sz w:val="24"/>
          <w:szCs w:val="24"/>
        </w:rPr>
        <w:t xml:space="preserve"> the option to withdraw from the study if needed. During this study, many ethical considerations were accounted for such as the participants’ protection of privacy</w:t>
      </w:r>
      <w:r w:rsidR="002C299E" w:rsidRPr="002379D6">
        <w:rPr>
          <w:rFonts w:ascii="Arial" w:eastAsiaTheme="minorEastAsia" w:hAnsi="Arial" w:cs="Arial"/>
          <w:sz w:val="24"/>
          <w:szCs w:val="24"/>
        </w:rPr>
        <w:t xml:space="preserve"> </w:t>
      </w:r>
      <w:r w:rsidRPr="002379D6">
        <w:rPr>
          <w:rFonts w:ascii="Arial" w:eastAsiaTheme="minorEastAsia" w:hAnsi="Arial" w:cs="Arial"/>
          <w:sz w:val="24"/>
          <w:szCs w:val="24"/>
        </w:rPr>
        <w:t xml:space="preserve">and their confidentiality and anonymity were respected. This ensured that the participants were free to share as much information as they wish and their personal information would not be shared with others. Another major ethical issue that needed to be addressed whilst conducting this study was beneficence. This </w:t>
      </w:r>
      <w:r w:rsidR="00B35AF5" w:rsidRPr="002379D6">
        <w:rPr>
          <w:rFonts w:ascii="Arial" w:eastAsiaTheme="minorEastAsia" w:hAnsi="Arial" w:cs="Arial"/>
          <w:sz w:val="24"/>
          <w:szCs w:val="24"/>
        </w:rPr>
        <w:t>ensured no harm was caused to any participant during this process</w:t>
      </w:r>
      <w:r w:rsidRPr="002379D6">
        <w:rPr>
          <w:rFonts w:ascii="Arial" w:eastAsiaTheme="minorEastAsia" w:hAnsi="Arial" w:cs="Arial"/>
          <w:sz w:val="24"/>
          <w:szCs w:val="24"/>
        </w:rPr>
        <w:t xml:space="preserve">. Finally, </w:t>
      </w:r>
      <w:r w:rsidR="00B35AF5" w:rsidRPr="002379D6">
        <w:rPr>
          <w:rFonts w:ascii="Arial" w:eastAsiaTheme="minorEastAsia" w:hAnsi="Arial" w:cs="Arial"/>
          <w:sz w:val="24"/>
          <w:szCs w:val="24"/>
        </w:rPr>
        <w:t xml:space="preserve">all participants will participate voluntarily in this study. </w:t>
      </w:r>
    </w:p>
    <w:p w14:paraId="743A73AA" w14:textId="3E88BC91" w:rsidR="5EB8FFB2" w:rsidRPr="002379D6" w:rsidRDefault="495B6BAE" w:rsidP="002379D6">
      <w:pPr>
        <w:spacing w:line="360" w:lineRule="auto"/>
        <w:rPr>
          <w:rFonts w:ascii="Arial" w:eastAsiaTheme="minorEastAsia" w:hAnsi="Arial" w:cs="Arial"/>
          <w:b/>
          <w:bCs/>
          <w:sz w:val="24"/>
          <w:szCs w:val="24"/>
        </w:rPr>
      </w:pPr>
      <w:r w:rsidRPr="002379D6">
        <w:rPr>
          <w:rFonts w:ascii="Arial" w:eastAsiaTheme="minorEastAsia" w:hAnsi="Arial" w:cs="Arial"/>
          <w:b/>
          <w:bCs/>
          <w:sz w:val="24"/>
          <w:szCs w:val="24"/>
        </w:rPr>
        <w:lastRenderedPageBreak/>
        <w:t>Study outcomes:</w:t>
      </w:r>
    </w:p>
    <w:p w14:paraId="563B51D5" w14:textId="677BF761" w:rsidR="00B852AF" w:rsidRPr="002379D6" w:rsidRDefault="495B6BAE" w:rsidP="002379D6">
      <w:pPr>
        <w:spacing w:line="360" w:lineRule="auto"/>
        <w:rPr>
          <w:rFonts w:ascii="Arial" w:hAnsi="Arial" w:cs="Arial"/>
          <w:sz w:val="24"/>
          <w:szCs w:val="24"/>
        </w:rPr>
      </w:pPr>
      <w:r w:rsidRPr="002379D6">
        <w:rPr>
          <w:rFonts w:ascii="Arial" w:eastAsiaTheme="minorEastAsia" w:hAnsi="Arial" w:cs="Arial"/>
          <w:sz w:val="24"/>
          <w:szCs w:val="24"/>
        </w:rPr>
        <w:t xml:space="preserve">After conducting this proposal, it is expected that the results would show that there is in fact a clear difference in attitudes towards mental health issues from both genders. Previous literature also demonstrates that there is a difference in attitudes towards mental health overall. </w:t>
      </w:r>
      <w:r w:rsidRPr="002379D6">
        <w:rPr>
          <w:rFonts w:ascii="Arial" w:eastAsiaTheme="minorEastAsia" w:hAnsi="Arial" w:cs="Arial"/>
          <w:color w:val="000000" w:themeColor="text1"/>
          <w:sz w:val="24"/>
          <w:szCs w:val="24"/>
        </w:rPr>
        <w:t>Unfortunately,</w:t>
      </w:r>
      <w:r w:rsidR="00B80BC9" w:rsidRPr="002379D6">
        <w:rPr>
          <w:rFonts w:ascii="Arial" w:eastAsiaTheme="minorEastAsia" w:hAnsi="Arial" w:cs="Arial"/>
          <w:color w:val="000000" w:themeColor="text1"/>
          <w:sz w:val="24"/>
          <w:szCs w:val="24"/>
        </w:rPr>
        <w:t xml:space="preserve"> </w:t>
      </w:r>
      <w:r w:rsidR="002C299E" w:rsidRPr="002379D6">
        <w:rPr>
          <w:rFonts w:ascii="Arial" w:eastAsiaTheme="minorEastAsia" w:hAnsi="Arial" w:cs="Arial"/>
          <w:color w:val="000000" w:themeColor="text1"/>
          <w:sz w:val="24"/>
          <w:szCs w:val="24"/>
        </w:rPr>
        <w:t>attached</w:t>
      </w:r>
      <w:r w:rsidRPr="002379D6">
        <w:rPr>
          <w:rFonts w:ascii="Arial" w:eastAsiaTheme="minorEastAsia" w:hAnsi="Arial" w:cs="Arial"/>
          <w:color w:val="000000" w:themeColor="text1"/>
          <w:sz w:val="24"/>
          <w:szCs w:val="24"/>
        </w:rPr>
        <w:t xml:space="preserve"> with mental illness </w:t>
      </w:r>
      <w:r w:rsidR="002C299E" w:rsidRPr="002379D6">
        <w:rPr>
          <w:rFonts w:ascii="Arial" w:eastAsiaTheme="minorEastAsia" w:hAnsi="Arial" w:cs="Arial"/>
          <w:color w:val="000000" w:themeColor="text1"/>
          <w:sz w:val="24"/>
          <w:szCs w:val="24"/>
        </w:rPr>
        <w:t xml:space="preserve">is </w:t>
      </w:r>
      <w:r w:rsidRPr="002379D6">
        <w:rPr>
          <w:rFonts w:ascii="Arial" w:eastAsiaTheme="minorEastAsia" w:hAnsi="Arial" w:cs="Arial"/>
          <w:color w:val="000000" w:themeColor="text1"/>
          <w:sz w:val="24"/>
          <w:szCs w:val="24"/>
        </w:rPr>
        <w:t>the aspect of stigma. However, ‘the stigma doesn’t stop at illness: it marks those who are ill, their famili</w:t>
      </w:r>
      <w:r w:rsidRPr="002379D6">
        <w:rPr>
          <w:rFonts w:ascii="Arial" w:eastAsiaTheme="minorEastAsia" w:hAnsi="Arial" w:cs="Arial"/>
          <w:sz w:val="24"/>
          <w:szCs w:val="24"/>
        </w:rPr>
        <w:t xml:space="preserve">es across generations, institutions that provide treatment, psychotropic drugs and mental health workers’. (Satorius, N., 2007). Gender plays a huge roll in stigma towards mental health and males are usually portrayed as having a more negative overview of the subject. Previous literature such as Mackenzie, C in ‘Age, gender, and the underutilization of mental health services: The influence of help-seeking attitudes’ argues that females </w:t>
      </w:r>
      <w:r w:rsidRPr="002379D6">
        <w:rPr>
          <w:rFonts w:ascii="Arial" w:eastAsiaTheme="minorEastAsia" w:hAnsi="Arial" w:cs="Arial"/>
          <w:color w:val="333333"/>
          <w:sz w:val="24"/>
          <w:szCs w:val="24"/>
        </w:rPr>
        <w:t>were associated with more positive help-seeking attitudes than males and males were more likely not to seek psychological help.</w:t>
      </w:r>
      <w:r w:rsidR="00B852AF" w:rsidRPr="002379D6">
        <w:rPr>
          <w:rFonts w:ascii="Arial" w:eastAsiaTheme="minorEastAsia" w:hAnsi="Arial" w:cs="Arial"/>
          <w:color w:val="333333"/>
          <w:sz w:val="24"/>
          <w:szCs w:val="24"/>
        </w:rPr>
        <w:t xml:space="preserve"> </w:t>
      </w:r>
      <w:r w:rsidR="00B852AF" w:rsidRPr="002379D6">
        <w:rPr>
          <w:rFonts w:ascii="Arial" w:eastAsiaTheme="minorEastAsia" w:hAnsi="Arial" w:cs="Arial"/>
          <w:color w:val="000000" w:themeColor="text1"/>
          <w:sz w:val="24"/>
          <w:szCs w:val="24"/>
        </w:rPr>
        <w:t xml:space="preserve">Previous literature highlights that male attitudes are more </w:t>
      </w:r>
      <w:r w:rsidR="00B35AF5" w:rsidRPr="002379D6">
        <w:rPr>
          <w:rFonts w:ascii="Arial" w:eastAsiaTheme="minorEastAsia" w:hAnsi="Arial" w:cs="Arial"/>
          <w:color w:val="000000" w:themeColor="text1"/>
          <w:sz w:val="24"/>
          <w:szCs w:val="24"/>
        </w:rPr>
        <w:t>pessimistic</w:t>
      </w:r>
      <w:r w:rsidR="00B852AF" w:rsidRPr="002379D6">
        <w:rPr>
          <w:rFonts w:ascii="Arial" w:eastAsiaTheme="minorEastAsia" w:hAnsi="Arial" w:cs="Arial"/>
          <w:color w:val="000000" w:themeColor="text1"/>
          <w:sz w:val="24"/>
          <w:szCs w:val="24"/>
        </w:rPr>
        <w:t xml:space="preserve"> than females towards mental health. There are many reasons why men feel they need to suppress their emotions and talking about their mental health is something that makes them uncomfortable. According to Priory Group, (2020), ‘40% of men won’t talk to anyone about their mental health.’ This was a result from a commissioned survey in 2015 of 1000 men to uncover men’s attitudes towards their own mental health. Results from this also states that ‘40% of men polled said it would take thoughts of suicide of self-harm to compel them to seek professional help’. This </w:t>
      </w:r>
      <w:r w:rsidR="002C299E" w:rsidRPr="002379D6">
        <w:rPr>
          <w:rFonts w:ascii="Arial" w:eastAsiaTheme="minorEastAsia" w:hAnsi="Arial" w:cs="Arial"/>
          <w:color w:val="000000" w:themeColor="text1"/>
          <w:sz w:val="24"/>
          <w:szCs w:val="24"/>
        </w:rPr>
        <w:t>reveals that an issue must be grave</w:t>
      </w:r>
      <w:r w:rsidR="00B852AF" w:rsidRPr="002379D6">
        <w:rPr>
          <w:rFonts w:ascii="Arial" w:eastAsiaTheme="minorEastAsia" w:hAnsi="Arial" w:cs="Arial"/>
          <w:color w:val="000000" w:themeColor="text1"/>
          <w:sz w:val="24"/>
          <w:szCs w:val="24"/>
        </w:rPr>
        <w:t xml:space="preserve"> before speaking about their </w:t>
      </w:r>
      <w:r w:rsidR="002C299E" w:rsidRPr="002379D6">
        <w:rPr>
          <w:rFonts w:ascii="Arial" w:eastAsiaTheme="minorEastAsia" w:hAnsi="Arial" w:cs="Arial"/>
          <w:color w:val="000000" w:themeColor="text1"/>
          <w:sz w:val="24"/>
          <w:szCs w:val="24"/>
        </w:rPr>
        <w:t>situation</w:t>
      </w:r>
      <w:r w:rsidR="00B852AF" w:rsidRPr="002379D6">
        <w:rPr>
          <w:rFonts w:ascii="Arial" w:eastAsiaTheme="minorEastAsia" w:hAnsi="Arial" w:cs="Arial"/>
          <w:color w:val="000000" w:themeColor="text1"/>
          <w:sz w:val="24"/>
          <w:szCs w:val="24"/>
        </w:rPr>
        <w:t>. On the other hand, using a study which ‘examined the mediating role of motivation to respond without prejudice on gender differences in attitudes towards mental illness’, the results demonstrate that females had better attitudes compared to males in relation to mental illnesses, and females had ‘higher levels of internal motivation to respond without prejudice than did males.’ (</w:t>
      </w:r>
      <w:r w:rsidR="00B852AF" w:rsidRPr="002379D6">
        <w:rPr>
          <w:rFonts w:ascii="Arial" w:eastAsia="Times New Roman" w:hAnsi="Arial" w:cs="Arial"/>
          <w:color w:val="000000"/>
          <w:sz w:val="24"/>
          <w:szCs w:val="24"/>
          <w:shd w:val="clear" w:color="auto" w:fill="FFFFFF"/>
          <w:lang w:eastAsia="en-GB"/>
        </w:rPr>
        <w:t xml:space="preserve">Hampton &amp; Sharp, 2014). Therefore, although it is clear that males find it more difficult to speak about mental health compared to women, it seems as though they also have a negative opinion on the subject. </w:t>
      </w:r>
      <w:r w:rsidR="002F2F33" w:rsidRPr="002379D6">
        <w:rPr>
          <w:rFonts w:ascii="Arial" w:eastAsia="Times New Roman" w:hAnsi="Arial" w:cs="Arial"/>
          <w:color w:val="000000"/>
          <w:sz w:val="24"/>
          <w:szCs w:val="24"/>
          <w:shd w:val="clear" w:color="auto" w:fill="FFFFFF"/>
          <w:lang w:eastAsia="en-GB"/>
        </w:rPr>
        <w:t>It is often viewed as ‘weak’ for men to express their emotions and living up to</w:t>
      </w:r>
      <w:r w:rsidR="002C299E" w:rsidRPr="002379D6">
        <w:rPr>
          <w:rFonts w:ascii="Arial" w:eastAsia="Times New Roman" w:hAnsi="Arial" w:cs="Arial"/>
          <w:color w:val="000000"/>
          <w:sz w:val="24"/>
          <w:szCs w:val="24"/>
          <w:shd w:val="clear" w:color="auto" w:fill="FFFFFF"/>
          <w:lang w:eastAsia="en-GB"/>
        </w:rPr>
        <w:t xml:space="preserve"> the image of an alpha, dominant, confident and strong character. It believe the results will reveal that the cohort of men involved in this study fall into this category.  They often follow a local rugby team, then bond together in the club after watching the game.  Here they tend to drink alcohol and </w:t>
      </w:r>
      <w:r w:rsidR="002C299E" w:rsidRPr="002379D6">
        <w:rPr>
          <w:rFonts w:ascii="Arial" w:eastAsia="Times New Roman" w:hAnsi="Arial" w:cs="Arial"/>
          <w:color w:val="000000"/>
          <w:sz w:val="24"/>
          <w:szCs w:val="24"/>
          <w:shd w:val="clear" w:color="auto" w:fill="FFFFFF"/>
          <w:lang w:eastAsia="en-GB"/>
        </w:rPr>
        <w:lastRenderedPageBreak/>
        <w:t>soci</w:t>
      </w:r>
      <w:r w:rsidR="00B80BC9" w:rsidRPr="002379D6">
        <w:rPr>
          <w:rFonts w:ascii="Arial" w:eastAsia="Times New Roman" w:hAnsi="Arial" w:cs="Arial"/>
          <w:color w:val="000000"/>
          <w:sz w:val="24"/>
          <w:szCs w:val="24"/>
          <w:shd w:val="clear" w:color="auto" w:fill="FFFFFF"/>
          <w:lang w:eastAsia="en-GB"/>
        </w:rPr>
        <w:t>al</w:t>
      </w:r>
      <w:r w:rsidR="002C299E" w:rsidRPr="002379D6">
        <w:rPr>
          <w:rFonts w:ascii="Arial" w:eastAsia="Times New Roman" w:hAnsi="Arial" w:cs="Arial"/>
          <w:color w:val="000000"/>
          <w:sz w:val="24"/>
          <w:szCs w:val="24"/>
          <w:shd w:val="clear" w:color="auto" w:fill="FFFFFF"/>
          <w:lang w:eastAsia="en-GB"/>
        </w:rPr>
        <w:t>ise comfortably with each other.  However, they speak of trivial matters and</w:t>
      </w:r>
      <w:r w:rsidR="00B80BC9" w:rsidRPr="002379D6">
        <w:rPr>
          <w:rFonts w:ascii="Arial" w:eastAsia="Times New Roman" w:hAnsi="Arial" w:cs="Arial"/>
          <w:color w:val="000000"/>
          <w:sz w:val="24"/>
          <w:szCs w:val="24"/>
          <w:shd w:val="clear" w:color="auto" w:fill="FFFFFF"/>
          <w:lang w:eastAsia="en-GB"/>
        </w:rPr>
        <w:t xml:space="preserve"> enjoy teasing each other and having fun. It is not an occasion for sharing feelings on conversing on a deeper level.  However, the female fitness class speak more to each other via social media.  They discuss their feelings often and are a source of comfort to each other.  The environment doesn’t necessarily allow the flow of deep conversations, however, I’m aware of the groups formed and personal friendships have developed organically from this class. Therefore, evidence supports the following statistic: ‘… yet women are one fourth as likely as men to take their own lives’. (</w:t>
      </w:r>
      <w:r w:rsidR="00B80BC9" w:rsidRPr="002379D6">
        <w:rPr>
          <w:rFonts w:ascii="Arial" w:hAnsi="Arial" w:cs="Arial"/>
          <w:sz w:val="24"/>
          <w:szCs w:val="24"/>
        </w:rPr>
        <w:t>Murphy, G., 1998).</w:t>
      </w:r>
    </w:p>
    <w:p w14:paraId="68DFEFD5" w14:textId="2B8E2035" w:rsidR="002379D6" w:rsidRPr="002379D6" w:rsidRDefault="002379D6" w:rsidP="495B6BAE">
      <w:pPr>
        <w:spacing w:line="360" w:lineRule="auto"/>
        <w:rPr>
          <w:rFonts w:ascii="Arial" w:hAnsi="Arial" w:cs="Arial"/>
          <w:b/>
          <w:bCs/>
          <w:sz w:val="24"/>
          <w:szCs w:val="24"/>
        </w:rPr>
      </w:pPr>
      <w:r w:rsidRPr="002379D6">
        <w:rPr>
          <w:rFonts w:ascii="Arial" w:hAnsi="Arial" w:cs="Arial"/>
          <w:b/>
          <w:bCs/>
          <w:sz w:val="24"/>
          <w:szCs w:val="24"/>
        </w:rPr>
        <w:t>References:</w:t>
      </w:r>
    </w:p>
    <w:p w14:paraId="7200A7E0" w14:textId="77777777" w:rsidR="002379D6" w:rsidRPr="002379D6" w:rsidRDefault="002379D6" w:rsidP="002379D6">
      <w:pPr>
        <w:spacing w:line="360" w:lineRule="auto"/>
        <w:rPr>
          <w:rFonts w:ascii="Arial" w:eastAsia="Times New Roman" w:hAnsi="Arial" w:cs="Arial"/>
          <w:sz w:val="24"/>
          <w:szCs w:val="24"/>
          <w:lang w:eastAsia="en-GB"/>
        </w:rPr>
      </w:pPr>
      <w:r w:rsidRPr="002379D6">
        <w:rPr>
          <w:rFonts w:ascii="Arial" w:hAnsi="Arial" w:cs="Arial"/>
          <w:sz w:val="24"/>
          <w:szCs w:val="24"/>
        </w:rPr>
        <w:t>-</w:t>
      </w:r>
      <w:r w:rsidRPr="002379D6">
        <w:rPr>
          <w:rFonts w:ascii="Arial" w:hAnsi="Arial" w:cs="Arial"/>
          <w:color w:val="000000"/>
          <w:sz w:val="24"/>
          <w:szCs w:val="24"/>
          <w:shd w:val="clear" w:color="auto" w:fill="FFFFFF"/>
        </w:rPr>
        <w:t xml:space="preserve"> </w:t>
      </w:r>
      <w:r w:rsidRPr="002379D6">
        <w:rPr>
          <w:rFonts w:ascii="Arial" w:eastAsia="Times New Roman" w:hAnsi="Arial" w:cs="Arial"/>
          <w:color w:val="000000"/>
          <w:sz w:val="24"/>
          <w:szCs w:val="24"/>
          <w:shd w:val="clear" w:color="auto" w:fill="FFFFFF"/>
          <w:lang w:eastAsia="en-GB"/>
        </w:rPr>
        <w:t>Private &amp; NHS Mental Health Hospital &amp; Addiction Rehab Clinic | Priory. (2020). Retrieved 17 January 2020, from https://www.priorygroup.com/</w:t>
      </w:r>
    </w:p>
    <w:p w14:paraId="1E3532FD"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-Arnold, L. (2003). Gender differences in bipolar disorder. Psychiatric Clinics Of North America, 26(3), 595-620. doi: 10.1016/s0193-953x(03)00036-4 </w:t>
      </w:r>
    </w:p>
    <w:p w14:paraId="79F1DC10"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-Björkman, T., Angelman, T., &amp; Jönsson, M. (2008). Attitudes towards people with mental illness: a cross-sectional study among nursing staff in psychiatric and somatic care. Scandinavian Journal Of Caring Sciences, 22(2), 170-177. doi: 10.1111/j.1471-6712.2007.00509.x </w:t>
      </w:r>
    </w:p>
    <w:p w14:paraId="4E944EF1"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 xml:space="preserve">-Graham Davey Ph.D, C. (2013). Mental Health &amp; Stigma. Retrieved 16 January 2020, from </w:t>
      </w:r>
      <w:hyperlink r:id="rId5" w:history="1">
        <w:r w:rsidRPr="002379D6">
          <w:rPr>
            <w:rFonts w:ascii="Arial" w:hAnsi="Arial" w:cs="Arial"/>
            <w:color w:val="DCA10D"/>
            <w:sz w:val="24"/>
            <w:szCs w:val="24"/>
          </w:rPr>
          <w:t>https://www.psychologytoday.com/gb/blog/why-we-worry/201308/mental-health-</w:t>
        </w:r>
      </w:hyperlink>
      <w:r w:rsidRPr="002379D6">
        <w:rPr>
          <w:rFonts w:ascii="Arial" w:hAnsi="Arial" w:cs="Arial"/>
          <w:sz w:val="24"/>
          <w:szCs w:val="24"/>
          <w:u w:val="single"/>
        </w:rPr>
        <w:t xml:space="preserve"> &lt;%22&gt;</w:t>
      </w:r>
      <w:r w:rsidRPr="002379D6">
        <w:rPr>
          <w:rFonts w:ascii="Arial" w:hAnsi="Arial" w:cs="Arial"/>
          <w:sz w:val="24"/>
          <w:szCs w:val="24"/>
        </w:rPr>
        <w:t>stigma</w:t>
      </w:r>
    </w:p>
    <w:p w14:paraId="2AA55A94"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 xml:space="preserve">-Hampton, N., &amp; Sharp, S. (2014). Internal Motivation to Respond without Prejudice as a Mediator of Gender-Attitudes toward Mental Illness. </w:t>
      </w:r>
      <w:r w:rsidRPr="002379D6">
        <w:rPr>
          <w:rFonts w:ascii="Arial" w:hAnsi="Arial" w:cs="Arial"/>
          <w:i/>
          <w:iCs/>
          <w:sz w:val="24"/>
          <w:szCs w:val="24"/>
        </w:rPr>
        <w:t>Journal Of Rehabilitation</w:t>
      </w:r>
      <w:r w:rsidRPr="002379D6">
        <w:rPr>
          <w:rFonts w:ascii="Arial" w:hAnsi="Arial" w:cs="Arial"/>
          <w:sz w:val="24"/>
          <w:szCs w:val="24"/>
        </w:rPr>
        <w:t xml:space="preserve">, </w:t>
      </w:r>
      <w:r w:rsidRPr="002379D6">
        <w:rPr>
          <w:rFonts w:ascii="Arial" w:hAnsi="Arial" w:cs="Arial"/>
          <w:i/>
          <w:iCs/>
          <w:sz w:val="24"/>
          <w:szCs w:val="24"/>
        </w:rPr>
        <w:t>80</w:t>
      </w:r>
      <w:r w:rsidRPr="002379D6">
        <w:rPr>
          <w:rFonts w:ascii="Arial" w:hAnsi="Arial" w:cs="Arial"/>
          <w:sz w:val="24"/>
          <w:szCs w:val="24"/>
        </w:rPr>
        <w:t>(3), 30.</w:t>
      </w:r>
    </w:p>
    <w:p w14:paraId="2490B03E"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 xml:space="preserve">-Hannah Ritchie and Max Roser (2018) - "Mental Health". </w:t>
      </w:r>
      <w:r w:rsidRPr="002379D6">
        <w:rPr>
          <w:rFonts w:ascii="Arial" w:hAnsi="Arial" w:cs="Arial"/>
          <w:i/>
          <w:iCs/>
          <w:sz w:val="24"/>
          <w:szCs w:val="24"/>
        </w:rPr>
        <w:t>Published online at OurWorldInData.org.</w:t>
      </w:r>
      <w:r w:rsidRPr="002379D6">
        <w:rPr>
          <w:rFonts w:ascii="Arial" w:hAnsi="Arial" w:cs="Arial"/>
          <w:sz w:val="24"/>
          <w:szCs w:val="24"/>
        </w:rPr>
        <w:t xml:space="preserve"> Retrieved from: 'https://ourworldindata.org/mental-health'</w:t>
      </w:r>
    </w:p>
    <w:p w14:paraId="5DC5F125"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 xml:space="preserve">-Mackenzie, C., Gekoski, W., &amp; Knox, V. (2006). Age, gender, and the underutilization of mental health services: The influence of help-seeking attitudes. </w:t>
      </w:r>
      <w:r w:rsidRPr="002379D6">
        <w:rPr>
          <w:rFonts w:ascii="Arial" w:hAnsi="Arial" w:cs="Arial"/>
          <w:i/>
          <w:iCs/>
          <w:sz w:val="24"/>
          <w:szCs w:val="24"/>
        </w:rPr>
        <w:t>Aging &amp; Mental Health</w:t>
      </w:r>
      <w:r w:rsidRPr="002379D6">
        <w:rPr>
          <w:rFonts w:ascii="Arial" w:hAnsi="Arial" w:cs="Arial"/>
          <w:sz w:val="24"/>
          <w:szCs w:val="24"/>
        </w:rPr>
        <w:t xml:space="preserve">, </w:t>
      </w:r>
      <w:r w:rsidRPr="002379D6">
        <w:rPr>
          <w:rFonts w:ascii="Arial" w:hAnsi="Arial" w:cs="Arial"/>
          <w:i/>
          <w:iCs/>
          <w:sz w:val="24"/>
          <w:szCs w:val="24"/>
        </w:rPr>
        <w:t>10</w:t>
      </w:r>
      <w:r w:rsidRPr="002379D6">
        <w:rPr>
          <w:rFonts w:ascii="Arial" w:hAnsi="Arial" w:cs="Arial"/>
          <w:sz w:val="24"/>
          <w:szCs w:val="24"/>
        </w:rPr>
        <w:t>(6), 574-582. doi: 10.1080/13607860600641200</w:t>
      </w:r>
    </w:p>
    <w:p w14:paraId="0DC1023E" w14:textId="77777777" w:rsid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 xml:space="preserve">-Sartorius, N. (2007). Stigma and mental health. </w:t>
      </w:r>
      <w:r w:rsidRPr="002379D6">
        <w:rPr>
          <w:rFonts w:ascii="Arial" w:hAnsi="Arial" w:cs="Arial"/>
          <w:i/>
          <w:iCs/>
          <w:sz w:val="24"/>
          <w:szCs w:val="24"/>
        </w:rPr>
        <w:t>The Lancet</w:t>
      </w:r>
      <w:r w:rsidRPr="002379D6">
        <w:rPr>
          <w:rFonts w:ascii="Arial" w:hAnsi="Arial" w:cs="Arial"/>
          <w:sz w:val="24"/>
          <w:szCs w:val="24"/>
        </w:rPr>
        <w:t xml:space="preserve">, </w:t>
      </w:r>
      <w:r w:rsidRPr="002379D6">
        <w:rPr>
          <w:rFonts w:ascii="Arial" w:hAnsi="Arial" w:cs="Arial"/>
          <w:i/>
          <w:iCs/>
          <w:sz w:val="24"/>
          <w:szCs w:val="24"/>
        </w:rPr>
        <w:t>370</w:t>
      </w:r>
      <w:r w:rsidRPr="002379D6">
        <w:rPr>
          <w:rFonts w:ascii="Arial" w:hAnsi="Arial" w:cs="Arial"/>
          <w:sz w:val="24"/>
          <w:szCs w:val="24"/>
        </w:rPr>
        <w:t>(9590), 810-811. doi: 10.1016/s0140-6736(07)61245-8</w:t>
      </w:r>
    </w:p>
    <w:p w14:paraId="407FCA48"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lastRenderedPageBreak/>
        <w:t>-Savrun, B. (2007). Gender Effect on Attitudes Towards the Mentally Ill: A Survey of Turkish University Students. Isr J Psychiatry Relat Sci, Vol 44(No.1), 57–61.</w:t>
      </w:r>
    </w:p>
    <w:p w14:paraId="01800A1F" w14:textId="77777777" w:rsidR="002379D6" w:rsidRPr="002379D6" w:rsidRDefault="002379D6" w:rsidP="002379D6">
      <w:pPr>
        <w:autoSpaceDE w:val="0"/>
        <w:autoSpaceDN w:val="0"/>
        <w:adjustRightInd w:val="0"/>
        <w:spacing w:after="0" w:line="360" w:lineRule="auto"/>
        <w:rPr>
          <w:rFonts w:ascii="Arial" w:hAnsi="Arial" w:cs="Arial"/>
          <w:sz w:val="24"/>
          <w:szCs w:val="24"/>
        </w:rPr>
      </w:pPr>
      <w:r w:rsidRPr="002379D6">
        <w:rPr>
          <w:rFonts w:ascii="Arial" w:hAnsi="Arial" w:cs="Arial"/>
          <w:sz w:val="24"/>
          <w:szCs w:val="24"/>
        </w:rPr>
        <w:t>(McLeod, S., 2018) </w:t>
      </w:r>
    </w:p>
    <w:p w14:paraId="3A45553F" w14:textId="1797BB4F" w:rsidR="495B6BAE" w:rsidRDefault="495B6BAE" w:rsidP="495B6BAE">
      <w:pPr>
        <w:spacing w:line="360" w:lineRule="auto"/>
        <w:rPr>
          <w:rFonts w:eastAsiaTheme="minorEastAsia"/>
          <w:sz w:val="25"/>
          <w:szCs w:val="25"/>
        </w:rPr>
      </w:pPr>
    </w:p>
    <w:p w14:paraId="18C8E3DE" w14:textId="759D2117" w:rsidR="5EB8FFB2" w:rsidRDefault="5EB8FFB2" w:rsidP="495B6BAE">
      <w:pPr>
        <w:spacing w:line="360" w:lineRule="auto"/>
        <w:rPr>
          <w:rFonts w:eastAsiaTheme="minorEastAsia"/>
          <w:b/>
          <w:bCs/>
          <w:sz w:val="25"/>
          <w:szCs w:val="25"/>
        </w:rPr>
      </w:pPr>
    </w:p>
    <w:p w14:paraId="4CFE8AFE" w14:textId="07796A1D" w:rsidR="5EB8FFB2" w:rsidRDefault="5EB8FFB2" w:rsidP="5EB8FFB2">
      <w:pPr>
        <w:rPr>
          <w:b/>
          <w:bCs/>
          <w:sz w:val="25"/>
          <w:szCs w:val="25"/>
        </w:rPr>
      </w:pPr>
    </w:p>
    <w:p w14:paraId="3A3E555D" w14:textId="07721B4E" w:rsidR="5EB8FFB2" w:rsidRDefault="5EB8FFB2" w:rsidP="5EB8FFB2">
      <w:pPr>
        <w:rPr>
          <w:b/>
          <w:bCs/>
          <w:sz w:val="25"/>
          <w:szCs w:val="25"/>
        </w:rPr>
      </w:pPr>
    </w:p>
    <w:p w14:paraId="5B89D982" w14:textId="645E3593" w:rsidR="5EB8FFB2" w:rsidRDefault="5EB8FFB2" w:rsidP="5EB8FFB2">
      <w:pPr>
        <w:rPr>
          <w:b/>
          <w:bCs/>
          <w:sz w:val="25"/>
          <w:szCs w:val="25"/>
        </w:rPr>
      </w:pPr>
    </w:p>
    <w:p w14:paraId="03051191" w14:textId="672137CA" w:rsidR="5EB8FFB2" w:rsidRDefault="5EB8FFB2" w:rsidP="5EB8FFB2">
      <w:pPr>
        <w:rPr>
          <w:b/>
          <w:bCs/>
          <w:sz w:val="25"/>
          <w:szCs w:val="25"/>
        </w:rPr>
      </w:pPr>
    </w:p>
    <w:p w14:paraId="713C16B2" w14:textId="689FE929" w:rsidR="5EB8FFB2" w:rsidRDefault="5EB8FFB2" w:rsidP="5EB8FFB2">
      <w:pPr>
        <w:rPr>
          <w:b/>
          <w:bCs/>
          <w:sz w:val="25"/>
          <w:szCs w:val="25"/>
        </w:rPr>
      </w:pPr>
    </w:p>
    <w:p w14:paraId="6ACF06AB" w14:textId="1E0C44C9" w:rsidR="5EB8FFB2" w:rsidRDefault="5EB8FFB2" w:rsidP="5EB8FFB2">
      <w:pPr>
        <w:rPr>
          <w:b/>
          <w:bCs/>
          <w:sz w:val="25"/>
          <w:szCs w:val="25"/>
        </w:rPr>
      </w:pPr>
    </w:p>
    <w:p w14:paraId="74530FC7" w14:textId="0FB6861A" w:rsidR="5EB8FFB2" w:rsidRDefault="5EB8FFB2" w:rsidP="5EB8FFB2">
      <w:pPr>
        <w:rPr>
          <w:b/>
          <w:bCs/>
          <w:sz w:val="25"/>
          <w:szCs w:val="25"/>
        </w:rPr>
      </w:pPr>
    </w:p>
    <w:p w14:paraId="255FF4B9" w14:textId="3EAA985F" w:rsidR="5EB8FFB2" w:rsidRDefault="5EB8FFB2" w:rsidP="5EB8FFB2">
      <w:pPr>
        <w:rPr>
          <w:b/>
          <w:bCs/>
          <w:sz w:val="25"/>
          <w:szCs w:val="25"/>
        </w:rPr>
      </w:pPr>
    </w:p>
    <w:p w14:paraId="761C1E5E" w14:textId="53819955" w:rsidR="5DAFFF8A" w:rsidRDefault="5DAFFF8A" w:rsidP="5DAFFF8A">
      <w:pPr>
        <w:rPr>
          <w:b/>
          <w:bCs/>
          <w:sz w:val="25"/>
          <w:szCs w:val="25"/>
        </w:rPr>
      </w:pPr>
    </w:p>
    <w:sectPr w:rsidR="5DAFFF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B1ECC"/>
    <w:multiLevelType w:val="hybridMultilevel"/>
    <w:tmpl w:val="FFFFFFFF"/>
    <w:lvl w:ilvl="0" w:tplc="4BC88FD2">
      <w:start w:val="1"/>
      <w:numFmt w:val="bullet"/>
      <w:lvlText w:val=""/>
      <w:lvlJc w:val="left"/>
      <w:pPr>
        <w:ind w:left="720" w:hanging="360"/>
      </w:pPr>
      <w:rPr>
        <w:rFonts w:ascii="Symbol" w:hAnsi="Symbol" w:hint="default"/>
      </w:rPr>
    </w:lvl>
    <w:lvl w:ilvl="1" w:tplc="CD6C40BE">
      <w:start w:val="1"/>
      <w:numFmt w:val="bullet"/>
      <w:lvlText w:val="o"/>
      <w:lvlJc w:val="left"/>
      <w:pPr>
        <w:ind w:left="1440" w:hanging="360"/>
      </w:pPr>
      <w:rPr>
        <w:rFonts w:ascii="Courier New" w:hAnsi="Courier New" w:hint="default"/>
      </w:rPr>
    </w:lvl>
    <w:lvl w:ilvl="2" w:tplc="0742B31C">
      <w:start w:val="1"/>
      <w:numFmt w:val="bullet"/>
      <w:lvlText w:val=""/>
      <w:lvlJc w:val="left"/>
      <w:pPr>
        <w:ind w:left="2160" w:hanging="360"/>
      </w:pPr>
      <w:rPr>
        <w:rFonts w:ascii="Wingdings" w:hAnsi="Wingdings" w:hint="default"/>
      </w:rPr>
    </w:lvl>
    <w:lvl w:ilvl="3" w:tplc="C18E041E">
      <w:start w:val="1"/>
      <w:numFmt w:val="bullet"/>
      <w:lvlText w:val=""/>
      <w:lvlJc w:val="left"/>
      <w:pPr>
        <w:ind w:left="2880" w:hanging="360"/>
      </w:pPr>
      <w:rPr>
        <w:rFonts w:ascii="Symbol" w:hAnsi="Symbol" w:hint="default"/>
      </w:rPr>
    </w:lvl>
    <w:lvl w:ilvl="4" w:tplc="371442BA">
      <w:start w:val="1"/>
      <w:numFmt w:val="bullet"/>
      <w:lvlText w:val="o"/>
      <w:lvlJc w:val="left"/>
      <w:pPr>
        <w:ind w:left="3600" w:hanging="360"/>
      </w:pPr>
      <w:rPr>
        <w:rFonts w:ascii="Courier New" w:hAnsi="Courier New" w:hint="default"/>
      </w:rPr>
    </w:lvl>
    <w:lvl w:ilvl="5" w:tplc="4F700C42">
      <w:start w:val="1"/>
      <w:numFmt w:val="bullet"/>
      <w:lvlText w:val=""/>
      <w:lvlJc w:val="left"/>
      <w:pPr>
        <w:ind w:left="4320" w:hanging="360"/>
      </w:pPr>
      <w:rPr>
        <w:rFonts w:ascii="Wingdings" w:hAnsi="Wingdings" w:hint="default"/>
      </w:rPr>
    </w:lvl>
    <w:lvl w:ilvl="6" w:tplc="898E913C">
      <w:start w:val="1"/>
      <w:numFmt w:val="bullet"/>
      <w:lvlText w:val=""/>
      <w:lvlJc w:val="left"/>
      <w:pPr>
        <w:ind w:left="5040" w:hanging="360"/>
      </w:pPr>
      <w:rPr>
        <w:rFonts w:ascii="Symbol" w:hAnsi="Symbol" w:hint="default"/>
      </w:rPr>
    </w:lvl>
    <w:lvl w:ilvl="7" w:tplc="28FA582C">
      <w:start w:val="1"/>
      <w:numFmt w:val="bullet"/>
      <w:lvlText w:val="o"/>
      <w:lvlJc w:val="left"/>
      <w:pPr>
        <w:ind w:left="5760" w:hanging="360"/>
      </w:pPr>
      <w:rPr>
        <w:rFonts w:ascii="Courier New" w:hAnsi="Courier New" w:hint="default"/>
      </w:rPr>
    </w:lvl>
    <w:lvl w:ilvl="8" w:tplc="EF483C60">
      <w:start w:val="1"/>
      <w:numFmt w:val="bullet"/>
      <w:lvlText w:val=""/>
      <w:lvlJc w:val="left"/>
      <w:pPr>
        <w:ind w:left="6480" w:hanging="360"/>
      </w:pPr>
      <w:rPr>
        <w:rFonts w:ascii="Wingdings" w:hAnsi="Wingdings" w:hint="default"/>
      </w:rPr>
    </w:lvl>
  </w:abstractNum>
  <w:abstractNum w:abstractNumId="1" w15:restartNumberingAfterBreak="0">
    <w:nsid w:val="4AB95634"/>
    <w:multiLevelType w:val="hybridMultilevel"/>
    <w:tmpl w:val="916C607E"/>
    <w:lvl w:ilvl="0" w:tplc="3FA89DA8">
      <w:start w:val="1"/>
      <w:numFmt w:val="bullet"/>
      <w:lvlText w:val=""/>
      <w:lvlJc w:val="left"/>
      <w:pPr>
        <w:ind w:left="720" w:hanging="360"/>
      </w:pPr>
      <w:rPr>
        <w:rFonts w:ascii="Symbol" w:hAnsi="Symbol" w:hint="default"/>
      </w:rPr>
    </w:lvl>
    <w:lvl w:ilvl="1" w:tplc="AB56B446">
      <w:start w:val="1"/>
      <w:numFmt w:val="bullet"/>
      <w:lvlText w:val="o"/>
      <w:lvlJc w:val="left"/>
      <w:pPr>
        <w:ind w:left="1440" w:hanging="360"/>
      </w:pPr>
      <w:rPr>
        <w:rFonts w:ascii="Courier New" w:hAnsi="Courier New" w:hint="default"/>
      </w:rPr>
    </w:lvl>
    <w:lvl w:ilvl="2" w:tplc="5C688C3E">
      <w:start w:val="1"/>
      <w:numFmt w:val="bullet"/>
      <w:lvlText w:val=""/>
      <w:lvlJc w:val="left"/>
      <w:pPr>
        <w:ind w:left="2160" w:hanging="360"/>
      </w:pPr>
      <w:rPr>
        <w:rFonts w:ascii="Wingdings" w:hAnsi="Wingdings" w:hint="default"/>
      </w:rPr>
    </w:lvl>
    <w:lvl w:ilvl="3" w:tplc="CD0A7E40">
      <w:start w:val="1"/>
      <w:numFmt w:val="bullet"/>
      <w:lvlText w:val=""/>
      <w:lvlJc w:val="left"/>
      <w:pPr>
        <w:ind w:left="2880" w:hanging="360"/>
      </w:pPr>
      <w:rPr>
        <w:rFonts w:ascii="Symbol" w:hAnsi="Symbol" w:hint="default"/>
      </w:rPr>
    </w:lvl>
    <w:lvl w:ilvl="4" w:tplc="FB1A9ED2">
      <w:start w:val="1"/>
      <w:numFmt w:val="bullet"/>
      <w:lvlText w:val="o"/>
      <w:lvlJc w:val="left"/>
      <w:pPr>
        <w:ind w:left="3600" w:hanging="360"/>
      </w:pPr>
      <w:rPr>
        <w:rFonts w:ascii="Courier New" w:hAnsi="Courier New" w:hint="default"/>
      </w:rPr>
    </w:lvl>
    <w:lvl w:ilvl="5" w:tplc="6AA2543A">
      <w:start w:val="1"/>
      <w:numFmt w:val="bullet"/>
      <w:lvlText w:val=""/>
      <w:lvlJc w:val="left"/>
      <w:pPr>
        <w:ind w:left="4320" w:hanging="360"/>
      </w:pPr>
      <w:rPr>
        <w:rFonts w:ascii="Wingdings" w:hAnsi="Wingdings" w:hint="default"/>
      </w:rPr>
    </w:lvl>
    <w:lvl w:ilvl="6" w:tplc="9F82C688">
      <w:start w:val="1"/>
      <w:numFmt w:val="bullet"/>
      <w:lvlText w:val=""/>
      <w:lvlJc w:val="left"/>
      <w:pPr>
        <w:ind w:left="5040" w:hanging="360"/>
      </w:pPr>
      <w:rPr>
        <w:rFonts w:ascii="Symbol" w:hAnsi="Symbol" w:hint="default"/>
      </w:rPr>
    </w:lvl>
    <w:lvl w:ilvl="7" w:tplc="EAD8E600">
      <w:start w:val="1"/>
      <w:numFmt w:val="bullet"/>
      <w:lvlText w:val="o"/>
      <w:lvlJc w:val="left"/>
      <w:pPr>
        <w:ind w:left="5760" w:hanging="360"/>
      </w:pPr>
      <w:rPr>
        <w:rFonts w:ascii="Courier New" w:hAnsi="Courier New" w:hint="default"/>
      </w:rPr>
    </w:lvl>
    <w:lvl w:ilvl="8" w:tplc="45CE691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8697D"/>
    <w:rsid w:val="00124E2E"/>
    <w:rsid w:val="00135FA5"/>
    <w:rsid w:val="002379D6"/>
    <w:rsid w:val="002C299E"/>
    <w:rsid w:val="002F2F33"/>
    <w:rsid w:val="00441ACB"/>
    <w:rsid w:val="006C7402"/>
    <w:rsid w:val="0084487A"/>
    <w:rsid w:val="008C6B74"/>
    <w:rsid w:val="00B35AF5"/>
    <w:rsid w:val="00B80BC9"/>
    <w:rsid w:val="00B852AF"/>
    <w:rsid w:val="00C71A15"/>
    <w:rsid w:val="22D8697D"/>
    <w:rsid w:val="3B2EC900"/>
    <w:rsid w:val="3EA3928E"/>
    <w:rsid w:val="43360BB2"/>
    <w:rsid w:val="48567C99"/>
    <w:rsid w:val="4890BB9D"/>
    <w:rsid w:val="495B6BAE"/>
    <w:rsid w:val="558F8F95"/>
    <w:rsid w:val="5BA45750"/>
    <w:rsid w:val="5DAFFF8A"/>
    <w:rsid w:val="5EB8FFB2"/>
    <w:rsid w:val="7DD3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697D"/>
  <w15:chartTrackingRefBased/>
  <w15:docId w15:val="{9219566F-13AA-4C4F-B92C-CEB547C9A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80184">
      <w:bodyDiv w:val="1"/>
      <w:marLeft w:val="0"/>
      <w:marRight w:val="0"/>
      <w:marTop w:val="0"/>
      <w:marBottom w:val="0"/>
      <w:divBdr>
        <w:top w:val="none" w:sz="0" w:space="0" w:color="auto"/>
        <w:left w:val="none" w:sz="0" w:space="0" w:color="auto"/>
        <w:bottom w:val="none" w:sz="0" w:space="0" w:color="auto"/>
        <w:right w:val="none" w:sz="0" w:space="0" w:color="auto"/>
      </w:divBdr>
    </w:div>
    <w:div w:id="9101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sychologytoday.com/gb/blog/why-we-worry/201308/mental-heal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1778</Words>
  <Characters>10138</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cp:lastModifiedBy>
  <cp:revision>2</cp:revision>
  <dcterms:created xsi:type="dcterms:W3CDTF">2020-01-17T13:38:00Z</dcterms:created>
  <dcterms:modified xsi:type="dcterms:W3CDTF">2020-01-17T13:38:00Z</dcterms:modified>
</cp:coreProperties>
</file>