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4FC92" w14:textId="77777777" w:rsidR="00333251" w:rsidRPr="005103CC" w:rsidRDefault="00333251" w:rsidP="005103CC">
      <w:pPr>
        <w:spacing w:line="360" w:lineRule="auto"/>
        <w:rPr>
          <w:rFonts w:ascii="Arial" w:hAnsi="Arial" w:cs="Arial"/>
          <w:sz w:val="22"/>
          <w:szCs w:val="22"/>
        </w:rPr>
      </w:pPr>
    </w:p>
    <w:p w14:paraId="7D268C9E" w14:textId="77777777" w:rsidR="00333251" w:rsidRPr="005103CC" w:rsidRDefault="00333251" w:rsidP="005103CC">
      <w:pPr>
        <w:spacing w:line="360" w:lineRule="auto"/>
        <w:rPr>
          <w:rFonts w:ascii="Arial" w:hAnsi="Arial" w:cs="Arial"/>
          <w:sz w:val="22"/>
          <w:szCs w:val="22"/>
        </w:rPr>
      </w:pPr>
    </w:p>
    <w:p w14:paraId="138004D2" w14:textId="77777777" w:rsidR="00333251" w:rsidRPr="005103CC" w:rsidRDefault="00333251" w:rsidP="005103CC">
      <w:pPr>
        <w:spacing w:line="360" w:lineRule="auto"/>
        <w:rPr>
          <w:rFonts w:ascii="Arial" w:hAnsi="Arial" w:cs="Arial"/>
          <w:sz w:val="22"/>
          <w:szCs w:val="22"/>
        </w:rPr>
      </w:pPr>
    </w:p>
    <w:p w14:paraId="2EF857FC" w14:textId="77777777" w:rsidR="00333251" w:rsidRPr="00333251" w:rsidRDefault="00333251" w:rsidP="005103CC">
      <w:pPr>
        <w:spacing w:line="360" w:lineRule="auto"/>
        <w:jc w:val="center"/>
        <w:rPr>
          <w:rFonts w:ascii="Arial" w:hAnsi="Arial" w:cs="Arial"/>
          <w:sz w:val="22"/>
          <w:szCs w:val="22"/>
        </w:rPr>
      </w:pPr>
      <w:r w:rsidRPr="00333251">
        <w:rPr>
          <w:rFonts w:ascii="Arial" w:hAnsi="Arial" w:cs="Arial"/>
          <w:sz w:val="22"/>
          <w:szCs w:val="22"/>
        </w:rPr>
        <w:t>COMPONENT 1: WRITTEN ASSIGNMENT</w:t>
      </w:r>
    </w:p>
    <w:p w14:paraId="08543671" w14:textId="77777777" w:rsidR="00333251" w:rsidRPr="00333251" w:rsidRDefault="00333251" w:rsidP="005103CC">
      <w:pPr>
        <w:spacing w:line="360" w:lineRule="auto"/>
        <w:jc w:val="center"/>
        <w:rPr>
          <w:rFonts w:ascii="Arial" w:hAnsi="Arial" w:cs="Arial"/>
          <w:sz w:val="22"/>
          <w:szCs w:val="22"/>
        </w:rPr>
      </w:pPr>
      <w:r w:rsidRPr="00333251">
        <w:rPr>
          <w:rFonts w:ascii="Arial" w:hAnsi="Arial" w:cs="Arial"/>
          <w:sz w:val="22"/>
          <w:szCs w:val="22"/>
        </w:rPr>
        <w:t>CASE STUDY REPORT</w:t>
      </w:r>
    </w:p>
    <w:p w14:paraId="21B94300" w14:textId="77777777" w:rsidR="00333251" w:rsidRPr="00333251" w:rsidRDefault="00333251" w:rsidP="005103CC">
      <w:pPr>
        <w:spacing w:line="360" w:lineRule="auto"/>
        <w:jc w:val="center"/>
        <w:rPr>
          <w:rFonts w:ascii="Arial" w:hAnsi="Arial" w:cs="Arial"/>
          <w:sz w:val="22"/>
          <w:szCs w:val="22"/>
        </w:rPr>
      </w:pPr>
    </w:p>
    <w:p w14:paraId="5B4C2872" w14:textId="77777777" w:rsidR="00333251" w:rsidRPr="00333251" w:rsidRDefault="00333251" w:rsidP="005103CC">
      <w:pPr>
        <w:spacing w:line="360" w:lineRule="auto"/>
        <w:jc w:val="center"/>
        <w:rPr>
          <w:rFonts w:ascii="Arial" w:hAnsi="Arial" w:cs="Arial"/>
          <w:sz w:val="22"/>
          <w:szCs w:val="22"/>
        </w:rPr>
      </w:pPr>
      <w:r w:rsidRPr="00333251">
        <w:rPr>
          <w:rFonts w:ascii="Arial" w:hAnsi="Arial" w:cs="Arial"/>
          <w:sz w:val="22"/>
          <w:szCs w:val="22"/>
        </w:rPr>
        <w:t>Understanding and Managing Type 2 Diabetes:</w:t>
      </w:r>
    </w:p>
    <w:p w14:paraId="13B88844" w14:textId="77777777" w:rsidR="00333251" w:rsidRPr="00333251" w:rsidRDefault="00333251" w:rsidP="005103CC">
      <w:pPr>
        <w:spacing w:line="360" w:lineRule="auto"/>
        <w:jc w:val="center"/>
        <w:rPr>
          <w:rFonts w:ascii="Arial" w:hAnsi="Arial" w:cs="Arial"/>
          <w:sz w:val="22"/>
          <w:szCs w:val="22"/>
        </w:rPr>
      </w:pPr>
      <w:r w:rsidRPr="00333251">
        <w:rPr>
          <w:rFonts w:ascii="Arial" w:hAnsi="Arial" w:cs="Arial"/>
          <w:sz w:val="22"/>
          <w:szCs w:val="22"/>
        </w:rPr>
        <w:t>A Practice Nurse's Guide for Patient Education</w:t>
      </w:r>
    </w:p>
    <w:p w14:paraId="29504CEE" w14:textId="77777777" w:rsidR="00333251" w:rsidRPr="00333251" w:rsidRDefault="00333251" w:rsidP="005103CC">
      <w:pPr>
        <w:spacing w:line="360" w:lineRule="auto"/>
        <w:jc w:val="center"/>
        <w:rPr>
          <w:rFonts w:ascii="Arial" w:hAnsi="Arial" w:cs="Arial"/>
          <w:sz w:val="22"/>
          <w:szCs w:val="22"/>
        </w:rPr>
      </w:pPr>
    </w:p>
    <w:p w14:paraId="08A41118" w14:textId="1A94AD38" w:rsidR="00333251" w:rsidRPr="00333251" w:rsidRDefault="00333251" w:rsidP="005103CC">
      <w:pPr>
        <w:spacing w:line="360" w:lineRule="auto"/>
        <w:jc w:val="center"/>
        <w:rPr>
          <w:rFonts w:ascii="Arial" w:hAnsi="Arial" w:cs="Arial"/>
          <w:sz w:val="22"/>
          <w:szCs w:val="22"/>
        </w:rPr>
      </w:pPr>
      <w:r w:rsidRPr="00333251">
        <w:rPr>
          <w:rFonts w:ascii="Arial" w:hAnsi="Arial" w:cs="Arial"/>
          <w:sz w:val="22"/>
          <w:szCs w:val="22"/>
        </w:rPr>
        <w:t xml:space="preserve"> Name</w:t>
      </w:r>
      <w:r w:rsidR="007E57A2">
        <w:rPr>
          <w:rFonts w:ascii="Arial" w:hAnsi="Arial" w:cs="Arial"/>
          <w:sz w:val="22"/>
          <w:szCs w:val="22"/>
        </w:rPr>
        <w:t xml:space="preserve">: Robina </w:t>
      </w:r>
      <w:proofErr w:type="spellStart"/>
      <w:r w:rsidR="007E57A2">
        <w:rPr>
          <w:rFonts w:ascii="Arial" w:hAnsi="Arial" w:cs="Arial"/>
          <w:sz w:val="22"/>
          <w:szCs w:val="22"/>
        </w:rPr>
        <w:t>Kausar</w:t>
      </w:r>
      <w:proofErr w:type="spellEnd"/>
    </w:p>
    <w:p w14:paraId="193075E6" w14:textId="310139C7" w:rsidR="00333251" w:rsidRDefault="00333251" w:rsidP="005103CC">
      <w:pPr>
        <w:spacing w:line="360" w:lineRule="auto"/>
        <w:jc w:val="center"/>
        <w:rPr>
          <w:rFonts w:ascii="Arial" w:hAnsi="Arial" w:cs="Arial"/>
          <w:sz w:val="22"/>
          <w:szCs w:val="22"/>
        </w:rPr>
      </w:pPr>
      <w:r w:rsidRPr="00333251">
        <w:rPr>
          <w:rFonts w:ascii="Arial" w:hAnsi="Arial" w:cs="Arial"/>
          <w:sz w:val="22"/>
          <w:szCs w:val="22"/>
        </w:rPr>
        <w:t>Student Numbe</w:t>
      </w:r>
      <w:r w:rsidR="00B276F0">
        <w:rPr>
          <w:rFonts w:ascii="Arial" w:hAnsi="Arial" w:cs="Arial"/>
          <w:sz w:val="22"/>
          <w:szCs w:val="22"/>
        </w:rPr>
        <w:t>r:</w:t>
      </w:r>
      <w:r w:rsidR="00342C61" w:rsidRPr="00342C61">
        <w:rPr>
          <w:rFonts w:ascii="Arial" w:hAnsi="Arial" w:cs="Arial"/>
          <w:sz w:val="22"/>
          <w:szCs w:val="22"/>
        </w:rPr>
        <w:t xml:space="preserve"> 2407033</w:t>
      </w:r>
    </w:p>
    <w:p w14:paraId="5674E9E0" w14:textId="76FC0201" w:rsidR="00E24114" w:rsidRPr="00333251" w:rsidRDefault="00E24114" w:rsidP="005103CC">
      <w:pPr>
        <w:spacing w:line="360" w:lineRule="auto"/>
        <w:jc w:val="center"/>
        <w:rPr>
          <w:rFonts w:ascii="Arial" w:hAnsi="Arial" w:cs="Arial"/>
          <w:sz w:val="22"/>
          <w:szCs w:val="22"/>
        </w:rPr>
      </w:pPr>
      <w:r>
        <w:rPr>
          <w:rFonts w:ascii="Arial" w:hAnsi="Arial" w:cs="Arial"/>
          <w:sz w:val="22"/>
          <w:szCs w:val="22"/>
        </w:rPr>
        <w:t xml:space="preserve">Teacher’e Name: </w:t>
      </w:r>
      <w:r w:rsidR="00EF3B8B">
        <w:rPr>
          <w:rFonts w:ascii="Arial" w:hAnsi="Arial" w:cs="Arial"/>
          <w:sz w:val="22"/>
          <w:szCs w:val="22"/>
        </w:rPr>
        <w:t>Robert</w:t>
      </w:r>
      <w:r w:rsidR="007800AC">
        <w:rPr>
          <w:rFonts w:ascii="Arial" w:hAnsi="Arial" w:cs="Arial"/>
          <w:sz w:val="22"/>
          <w:szCs w:val="22"/>
        </w:rPr>
        <w:t xml:space="preserve"> </w:t>
      </w:r>
      <w:proofErr w:type="spellStart"/>
      <w:r w:rsidR="007800AC">
        <w:rPr>
          <w:rFonts w:ascii="Arial" w:hAnsi="Arial" w:cs="Arial"/>
          <w:sz w:val="22"/>
          <w:szCs w:val="22"/>
        </w:rPr>
        <w:t>Nartowski</w:t>
      </w:r>
      <w:proofErr w:type="spellEnd"/>
    </w:p>
    <w:p w14:paraId="7327CA86" w14:textId="77777777" w:rsidR="00333251" w:rsidRPr="00333251" w:rsidRDefault="00333251" w:rsidP="005103CC">
      <w:pPr>
        <w:spacing w:line="360" w:lineRule="auto"/>
        <w:jc w:val="center"/>
        <w:rPr>
          <w:rFonts w:ascii="Arial" w:hAnsi="Arial" w:cs="Arial"/>
          <w:sz w:val="22"/>
          <w:szCs w:val="22"/>
        </w:rPr>
      </w:pPr>
    </w:p>
    <w:p w14:paraId="58916BF1" w14:textId="77777777" w:rsidR="00333251" w:rsidRPr="00333251" w:rsidRDefault="00333251" w:rsidP="005103CC">
      <w:pPr>
        <w:spacing w:line="360" w:lineRule="auto"/>
        <w:jc w:val="center"/>
        <w:rPr>
          <w:rFonts w:ascii="Arial" w:hAnsi="Arial" w:cs="Arial"/>
          <w:sz w:val="22"/>
          <w:szCs w:val="22"/>
        </w:rPr>
      </w:pPr>
      <w:r w:rsidRPr="00333251">
        <w:rPr>
          <w:rFonts w:ascii="Arial" w:hAnsi="Arial" w:cs="Arial"/>
          <w:sz w:val="22"/>
          <w:szCs w:val="22"/>
        </w:rPr>
        <w:t>Module: Introduction to Physiology (BMHP5023)</w:t>
      </w:r>
    </w:p>
    <w:p w14:paraId="5DE6E0BA" w14:textId="77777777" w:rsidR="00333251" w:rsidRPr="00333251" w:rsidRDefault="00333251" w:rsidP="005103CC">
      <w:pPr>
        <w:spacing w:line="360" w:lineRule="auto"/>
        <w:jc w:val="center"/>
        <w:rPr>
          <w:rFonts w:ascii="Arial" w:hAnsi="Arial" w:cs="Arial"/>
          <w:sz w:val="22"/>
          <w:szCs w:val="22"/>
        </w:rPr>
      </w:pPr>
      <w:r w:rsidRPr="00333251">
        <w:rPr>
          <w:rFonts w:ascii="Arial" w:hAnsi="Arial" w:cs="Arial"/>
          <w:sz w:val="22"/>
          <w:szCs w:val="22"/>
        </w:rPr>
        <w:t>BSc Health and Social Care</w:t>
      </w:r>
    </w:p>
    <w:p w14:paraId="7D483A26" w14:textId="77777777" w:rsidR="00333251" w:rsidRPr="00333251" w:rsidRDefault="00333251" w:rsidP="005103CC">
      <w:pPr>
        <w:spacing w:line="360" w:lineRule="auto"/>
        <w:jc w:val="center"/>
        <w:rPr>
          <w:rFonts w:ascii="Arial" w:hAnsi="Arial" w:cs="Arial"/>
          <w:sz w:val="22"/>
          <w:szCs w:val="22"/>
        </w:rPr>
      </w:pPr>
    </w:p>
    <w:p w14:paraId="56EBCA4D" w14:textId="7323C311" w:rsidR="00333251" w:rsidRPr="00333251" w:rsidRDefault="00333251" w:rsidP="005103CC">
      <w:pPr>
        <w:spacing w:line="360" w:lineRule="auto"/>
        <w:jc w:val="center"/>
        <w:rPr>
          <w:rFonts w:ascii="Arial" w:hAnsi="Arial" w:cs="Arial"/>
          <w:sz w:val="22"/>
          <w:szCs w:val="22"/>
        </w:rPr>
      </w:pPr>
      <w:r w:rsidRPr="00333251">
        <w:rPr>
          <w:rFonts w:ascii="Arial" w:hAnsi="Arial" w:cs="Arial"/>
          <w:sz w:val="22"/>
          <w:szCs w:val="22"/>
        </w:rPr>
        <w:t xml:space="preserve">Submission Date: </w:t>
      </w:r>
      <w:r w:rsidR="00B276F0">
        <w:rPr>
          <w:rFonts w:ascii="Arial" w:hAnsi="Arial" w:cs="Arial"/>
          <w:sz w:val="22"/>
          <w:szCs w:val="22"/>
        </w:rPr>
        <w:t>23</w:t>
      </w:r>
      <w:r w:rsidR="00B276F0" w:rsidRPr="00B276F0">
        <w:rPr>
          <w:rFonts w:ascii="Arial" w:hAnsi="Arial" w:cs="Arial"/>
          <w:sz w:val="22"/>
          <w:szCs w:val="22"/>
          <w:vertAlign w:val="superscript"/>
        </w:rPr>
        <w:t>rd</w:t>
      </w:r>
      <w:r w:rsidR="00B276F0">
        <w:rPr>
          <w:rFonts w:ascii="Arial" w:hAnsi="Arial" w:cs="Arial"/>
          <w:sz w:val="22"/>
          <w:szCs w:val="22"/>
        </w:rPr>
        <w:t xml:space="preserve"> February 2026</w:t>
      </w:r>
    </w:p>
    <w:p w14:paraId="2EBCC79D" w14:textId="278AEC06" w:rsidR="00333251" w:rsidRPr="00333251" w:rsidRDefault="00333251" w:rsidP="005103CC">
      <w:pPr>
        <w:spacing w:line="360" w:lineRule="auto"/>
        <w:jc w:val="center"/>
        <w:rPr>
          <w:rFonts w:ascii="Arial" w:hAnsi="Arial" w:cs="Arial"/>
          <w:sz w:val="22"/>
          <w:szCs w:val="22"/>
        </w:rPr>
      </w:pPr>
      <w:r w:rsidRPr="00333251">
        <w:rPr>
          <w:rFonts w:ascii="Arial" w:hAnsi="Arial" w:cs="Arial"/>
          <w:sz w:val="22"/>
          <w:szCs w:val="22"/>
        </w:rPr>
        <w:t>Word Count: 2,</w:t>
      </w:r>
      <w:r w:rsidR="005103CC" w:rsidRPr="005103CC">
        <w:rPr>
          <w:rFonts w:ascii="Arial" w:hAnsi="Arial" w:cs="Arial"/>
          <w:sz w:val="22"/>
          <w:szCs w:val="22"/>
        </w:rPr>
        <w:t>148</w:t>
      </w:r>
      <w:r w:rsidRPr="00333251">
        <w:rPr>
          <w:rFonts w:ascii="Arial" w:hAnsi="Arial" w:cs="Arial"/>
          <w:sz w:val="22"/>
          <w:szCs w:val="22"/>
        </w:rPr>
        <w:t xml:space="preserve"> words</w:t>
      </w:r>
    </w:p>
    <w:p w14:paraId="564E5C8A" w14:textId="77777777" w:rsidR="00333251" w:rsidRPr="005103CC" w:rsidRDefault="00333251" w:rsidP="005103CC">
      <w:pPr>
        <w:spacing w:line="360" w:lineRule="auto"/>
        <w:jc w:val="center"/>
        <w:rPr>
          <w:rFonts w:ascii="Arial" w:hAnsi="Arial" w:cs="Arial"/>
          <w:sz w:val="22"/>
          <w:szCs w:val="22"/>
        </w:rPr>
      </w:pPr>
    </w:p>
    <w:p w14:paraId="32ED7CD8" w14:textId="77777777" w:rsidR="00333251" w:rsidRPr="005103CC" w:rsidRDefault="00333251" w:rsidP="005103CC">
      <w:pPr>
        <w:spacing w:line="360" w:lineRule="auto"/>
        <w:rPr>
          <w:rFonts w:ascii="Arial" w:hAnsi="Arial" w:cs="Arial"/>
          <w:sz w:val="22"/>
          <w:szCs w:val="22"/>
        </w:rPr>
      </w:pPr>
    </w:p>
    <w:p w14:paraId="04994ABB" w14:textId="77777777" w:rsidR="00333251" w:rsidRPr="005103CC" w:rsidRDefault="00333251" w:rsidP="005103CC">
      <w:pPr>
        <w:spacing w:line="360" w:lineRule="auto"/>
        <w:rPr>
          <w:rFonts w:ascii="Arial" w:hAnsi="Arial" w:cs="Arial"/>
          <w:sz w:val="22"/>
          <w:szCs w:val="22"/>
        </w:rPr>
      </w:pPr>
    </w:p>
    <w:p w14:paraId="01D982A4" w14:textId="77777777" w:rsidR="00333251" w:rsidRPr="005103CC" w:rsidRDefault="00333251" w:rsidP="005103CC">
      <w:pPr>
        <w:spacing w:line="360" w:lineRule="auto"/>
        <w:rPr>
          <w:rFonts w:ascii="Arial" w:hAnsi="Arial" w:cs="Arial"/>
          <w:sz w:val="22"/>
          <w:szCs w:val="22"/>
        </w:rPr>
      </w:pPr>
    </w:p>
    <w:p w14:paraId="05DF3388" w14:textId="77777777" w:rsidR="00333251" w:rsidRPr="005103CC" w:rsidRDefault="00333251" w:rsidP="005103CC">
      <w:pPr>
        <w:spacing w:line="360" w:lineRule="auto"/>
        <w:rPr>
          <w:rFonts w:ascii="Arial" w:hAnsi="Arial" w:cs="Arial"/>
          <w:sz w:val="22"/>
          <w:szCs w:val="22"/>
        </w:rPr>
      </w:pPr>
    </w:p>
    <w:p w14:paraId="0E51F3C1" w14:textId="77777777" w:rsidR="00333251" w:rsidRPr="005103CC" w:rsidRDefault="00333251" w:rsidP="005103CC">
      <w:pPr>
        <w:spacing w:line="360" w:lineRule="auto"/>
        <w:rPr>
          <w:rFonts w:ascii="Arial" w:hAnsi="Arial" w:cs="Arial"/>
          <w:sz w:val="22"/>
          <w:szCs w:val="22"/>
        </w:rPr>
      </w:pPr>
    </w:p>
    <w:p w14:paraId="35E54623" w14:textId="77777777" w:rsidR="00333251" w:rsidRPr="005103CC" w:rsidRDefault="00333251" w:rsidP="005103CC">
      <w:pPr>
        <w:spacing w:line="360" w:lineRule="auto"/>
        <w:rPr>
          <w:rFonts w:ascii="Arial" w:hAnsi="Arial" w:cs="Arial"/>
          <w:sz w:val="22"/>
          <w:szCs w:val="22"/>
        </w:rPr>
      </w:pPr>
    </w:p>
    <w:p w14:paraId="158E892D" w14:textId="00E6F493" w:rsidR="000E5072" w:rsidRDefault="000E5072" w:rsidP="000E5072">
      <w:pPr>
        <w:pStyle w:val="TOCHeading"/>
      </w:pPr>
    </w:p>
    <w:p w14:paraId="1E8905FE" w14:textId="77777777" w:rsidR="00711EC7" w:rsidRDefault="00711EC7" w:rsidP="00711EC7"/>
    <w:p w14:paraId="64EEC31B" w14:textId="77777777" w:rsidR="00711EC7" w:rsidRDefault="00711EC7" w:rsidP="00711EC7"/>
    <w:p w14:paraId="79440978" w14:textId="77777777" w:rsidR="00711EC7" w:rsidRDefault="00711EC7" w:rsidP="00711EC7"/>
    <w:p w14:paraId="3326CD3E" w14:textId="77777777" w:rsidR="00711EC7" w:rsidRDefault="00711EC7" w:rsidP="00711EC7"/>
    <w:p w14:paraId="7AB00896" w14:textId="77777777" w:rsidR="00711EC7" w:rsidRDefault="00711EC7" w:rsidP="00711EC7"/>
    <w:p w14:paraId="7D61D71D" w14:textId="77777777" w:rsidR="00711EC7" w:rsidRDefault="00711EC7" w:rsidP="00711EC7"/>
    <w:p w14:paraId="1A9FC4FF" w14:textId="77777777" w:rsidR="00711EC7" w:rsidRPr="00711EC7" w:rsidRDefault="00711EC7" w:rsidP="00711EC7"/>
    <w:sdt>
      <w:sdtPr>
        <w:rPr>
          <w:rFonts w:asciiTheme="minorHAnsi" w:eastAsiaTheme="minorHAnsi" w:hAnsiTheme="minorHAnsi" w:cstheme="minorBidi"/>
          <w:color w:val="auto"/>
          <w:kern w:val="2"/>
          <w:sz w:val="24"/>
          <w:szCs w:val="24"/>
          <w14:ligatures w14:val="standardContextual"/>
        </w:rPr>
        <w:id w:val="1253082256"/>
        <w:docPartObj>
          <w:docPartGallery w:val="Table of Contents"/>
          <w:docPartUnique/>
        </w:docPartObj>
      </w:sdtPr>
      <w:sdtEndPr>
        <w:rPr>
          <w:b/>
          <w:bCs/>
          <w:noProof/>
        </w:rPr>
      </w:sdtEndPr>
      <w:sdtContent>
        <w:p w14:paraId="2B98032D" w14:textId="5D3069D0" w:rsidR="00711EC7" w:rsidRDefault="00711EC7">
          <w:pPr>
            <w:pStyle w:val="TOCHeading"/>
          </w:pPr>
          <w:r>
            <w:t>Table of Contents</w:t>
          </w:r>
        </w:p>
        <w:p w14:paraId="4445456B" w14:textId="3C130046" w:rsidR="00711EC7" w:rsidRDefault="00711EC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2431061" w:history="1">
            <w:r w:rsidRPr="00C973C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_Toc222431061 \h </w:instrText>
            </w:r>
            <w:r>
              <w:rPr>
                <w:noProof/>
                <w:webHidden/>
              </w:rPr>
            </w:r>
            <w:r>
              <w:rPr>
                <w:noProof/>
                <w:webHidden/>
              </w:rPr>
              <w:fldChar w:fldCharType="separate"/>
            </w:r>
            <w:r>
              <w:rPr>
                <w:noProof/>
                <w:webHidden/>
              </w:rPr>
              <w:t>2</w:t>
            </w:r>
            <w:r>
              <w:rPr>
                <w:noProof/>
                <w:webHidden/>
              </w:rPr>
              <w:fldChar w:fldCharType="end"/>
            </w:r>
          </w:hyperlink>
        </w:p>
        <w:p w14:paraId="3084F07D" w14:textId="1881251B" w:rsidR="00711EC7" w:rsidRDefault="00711EC7">
          <w:pPr>
            <w:pStyle w:val="TOC1"/>
            <w:tabs>
              <w:tab w:val="right" w:leader="dot" w:pos="9350"/>
            </w:tabs>
            <w:rPr>
              <w:rFonts w:eastAsiaTheme="minorEastAsia"/>
              <w:noProof/>
            </w:rPr>
          </w:pPr>
          <w:hyperlink w:anchor="_Toc222431062" w:history="1">
            <w:r w:rsidRPr="00C973C9">
              <w:rPr>
                <w:rStyle w:val="Hyperlink"/>
                <w:rFonts w:ascii="Arial" w:hAnsi="Arial" w:cs="Arial"/>
                <w:noProof/>
              </w:rPr>
              <w:t>BLOOD SUGAR REGULATION AND HOMEOSTASIS</w:t>
            </w:r>
            <w:r>
              <w:rPr>
                <w:noProof/>
                <w:webHidden/>
              </w:rPr>
              <w:tab/>
            </w:r>
            <w:r>
              <w:rPr>
                <w:noProof/>
                <w:webHidden/>
              </w:rPr>
              <w:fldChar w:fldCharType="begin"/>
            </w:r>
            <w:r>
              <w:rPr>
                <w:noProof/>
                <w:webHidden/>
              </w:rPr>
              <w:instrText xml:space="preserve"> PAGEREF _Toc222431062 \h </w:instrText>
            </w:r>
            <w:r>
              <w:rPr>
                <w:noProof/>
                <w:webHidden/>
              </w:rPr>
            </w:r>
            <w:r>
              <w:rPr>
                <w:noProof/>
                <w:webHidden/>
              </w:rPr>
              <w:fldChar w:fldCharType="separate"/>
            </w:r>
            <w:r>
              <w:rPr>
                <w:noProof/>
                <w:webHidden/>
              </w:rPr>
              <w:t>3</w:t>
            </w:r>
            <w:r>
              <w:rPr>
                <w:noProof/>
                <w:webHidden/>
              </w:rPr>
              <w:fldChar w:fldCharType="end"/>
            </w:r>
          </w:hyperlink>
        </w:p>
        <w:p w14:paraId="770AC459" w14:textId="214903A3" w:rsidR="00711EC7" w:rsidRDefault="00711EC7">
          <w:pPr>
            <w:pStyle w:val="TOC1"/>
            <w:tabs>
              <w:tab w:val="right" w:leader="dot" w:pos="9350"/>
            </w:tabs>
            <w:rPr>
              <w:rFonts w:eastAsiaTheme="minorEastAsia"/>
              <w:noProof/>
            </w:rPr>
          </w:pPr>
          <w:hyperlink w:anchor="_Toc222431063" w:history="1">
            <w:r w:rsidRPr="00C973C9">
              <w:rPr>
                <w:rStyle w:val="Hyperlink"/>
                <w:rFonts w:ascii="Arial" w:hAnsi="Arial" w:cs="Arial"/>
                <w:noProof/>
              </w:rPr>
              <w:t>CELLULAR RESPIRATION AND ENERGY PRODUCTION</w:t>
            </w:r>
            <w:r>
              <w:rPr>
                <w:noProof/>
                <w:webHidden/>
              </w:rPr>
              <w:tab/>
            </w:r>
            <w:r>
              <w:rPr>
                <w:noProof/>
                <w:webHidden/>
              </w:rPr>
              <w:fldChar w:fldCharType="begin"/>
            </w:r>
            <w:r>
              <w:rPr>
                <w:noProof/>
                <w:webHidden/>
              </w:rPr>
              <w:instrText xml:space="preserve"> PAGEREF _Toc222431063 \h </w:instrText>
            </w:r>
            <w:r>
              <w:rPr>
                <w:noProof/>
                <w:webHidden/>
              </w:rPr>
            </w:r>
            <w:r>
              <w:rPr>
                <w:noProof/>
                <w:webHidden/>
              </w:rPr>
              <w:fldChar w:fldCharType="separate"/>
            </w:r>
            <w:r>
              <w:rPr>
                <w:noProof/>
                <w:webHidden/>
              </w:rPr>
              <w:t>4</w:t>
            </w:r>
            <w:r>
              <w:rPr>
                <w:noProof/>
                <w:webHidden/>
              </w:rPr>
              <w:fldChar w:fldCharType="end"/>
            </w:r>
          </w:hyperlink>
        </w:p>
        <w:p w14:paraId="731B7B79" w14:textId="42BFFE06" w:rsidR="00711EC7" w:rsidRDefault="00711EC7">
          <w:pPr>
            <w:pStyle w:val="TOC1"/>
            <w:tabs>
              <w:tab w:val="right" w:leader="dot" w:pos="9350"/>
            </w:tabs>
            <w:rPr>
              <w:rFonts w:eastAsiaTheme="minorEastAsia"/>
              <w:noProof/>
            </w:rPr>
          </w:pPr>
          <w:hyperlink w:anchor="_Toc222431064" w:history="1">
            <w:r w:rsidRPr="00C973C9">
              <w:rPr>
                <w:rStyle w:val="Hyperlink"/>
                <w:rFonts w:ascii="Arial" w:hAnsi="Arial" w:cs="Arial"/>
                <w:noProof/>
              </w:rPr>
              <w:t>THE IMPORTANCE OF BLOOD GLUCOSE MONITORING IN TYPE 2 DIABETES</w:t>
            </w:r>
            <w:r>
              <w:rPr>
                <w:noProof/>
                <w:webHidden/>
              </w:rPr>
              <w:tab/>
            </w:r>
            <w:r>
              <w:rPr>
                <w:noProof/>
                <w:webHidden/>
              </w:rPr>
              <w:fldChar w:fldCharType="begin"/>
            </w:r>
            <w:r>
              <w:rPr>
                <w:noProof/>
                <w:webHidden/>
              </w:rPr>
              <w:instrText xml:space="preserve"> PAGEREF _Toc222431064 \h </w:instrText>
            </w:r>
            <w:r>
              <w:rPr>
                <w:noProof/>
                <w:webHidden/>
              </w:rPr>
            </w:r>
            <w:r>
              <w:rPr>
                <w:noProof/>
                <w:webHidden/>
              </w:rPr>
              <w:fldChar w:fldCharType="separate"/>
            </w:r>
            <w:r>
              <w:rPr>
                <w:noProof/>
                <w:webHidden/>
              </w:rPr>
              <w:t>5</w:t>
            </w:r>
            <w:r>
              <w:rPr>
                <w:noProof/>
                <w:webHidden/>
              </w:rPr>
              <w:fldChar w:fldCharType="end"/>
            </w:r>
          </w:hyperlink>
        </w:p>
        <w:p w14:paraId="005CB597" w14:textId="206F5AE8" w:rsidR="00711EC7" w:rsidRDefault="00711EC7">
          <w:pPr>
            <w:pStyle w:val="TOC2"/>
            <w:tabs>
              <w:tab w:val="right" w:leader="dot" w:pos="9350"/>
            </w:tabs>
            <w:rPr>
              <w:rFonts w:eastAsiaTheme="minorEastAsia"/>
              <w:noProof/>
            </w:rPr>
          </w:pPr>
          <w:hyperlink w:anchor="_Toc222431065" w:history="1">
            <w:r w:rsidRPr="00C973C9">
              <w:rPr>
                <w:rStyle w:val="Hyperlink"/>
                <w:rFonts w:ascii="Arial" w:hAnsi="Arial" w:cs="Arial"/>
                <w:noProof/>
              </w:rPr>
              <w:t>EVIDENCE-BASED LIFESTYLE RECOMMENDATIONS FOR TYPE 2 DIABETES MANAGEMENT</w:t>
            </w:r>
            <w:r>
              <w:rPr>
                <w:noProof/>
                <w:webHidden/>
              </w:rPr>
              <w:tab/>
            </w:r>
            <w:r>
              <w:rPr>
                <w:noProof/>
                <w:webHidden/>
              </w:rPr>
              <w:fldChar w:fldCharType="begin"/>
            </w:r>
            <w:r>
              <w:rPr>
                <w:noProof/>
                <w:webHidden/>
              </w:rPr>
              <w:instrText xml:space="preserve"> PAGEREF _Toc222431065 \h </w:instrText>
            </w:r>
            <w:r>
              <w:rPr>
                <w:noProof/>
                <w:webHidden/>
              </w:rPr>
            </w:r>
            <w:r>
              <w:rPr>
                <w:noProof/>
                <w:webHidden/>
              </w:rPr>
              <w:fldChar w:fldCharType="separate"/>
            </w:r>
            <w:r>
              <w:rPr>
                <w:noProof/>
                <w:webHidden/>
              </w:rPr>
              <w:t>6</w:t>
            </w:r>
            <w:r>
              <w:rPr>
                <w:noProof/>
                <w:webHidden/>
              </w:rPr>
              <w:fldChar w:fldCharType="end"/>
            </w:r>
          </w:hyperlink>
        </w:p>
        <w:p w14:paraId="7FAF133B" w14:textId="5E52D6B6" w:rsidR="00711EC7" w:rsidRDefault="00711EC7">
          <w:pPr>
            <w:pStyle w:val="TOC2"/>
            <w:tabs>
              <w:tab w:val="right" w:leader="dot" w:pos="9350"/>
            </w:tabs>
            <w:rPr>
              <w:rFonts w:eastAsiaTheme="minorEastAsia"/>
              <w:noProof/>
            </w:rPr>
          </w:pPr>
          <w:hyperlink w:anchor="_Toc222431066" w:history="1">
            <w:r w:rsidRPr="00C973C9">
              <w:rPr>
                <w:rStyle w:val="Hyperlink"/>
                <w:rFonts w:ascii="Arial" w:hAnsi="Arial" w:cs="Arial"/>
                <w:noProof/>
              </w:rPr>
              <w:t>Dietary Interventions</w:t>
            </w:r>
            <w:r>
              <w:rPr>
                <w:noProof/>
                <w:webHidden/>
              </w:rPr>
              <w:tab/>
            </w:r>
            <w:r>
              <w:rPr>
                <w:noProof/>
                <w:webHidden/>
              </w:rPr>
              <w:fldChar w:fldCharType="begin"/>
            </w:r>
            <w:r>
              <w:rPr>
                <w:noProof/>
                <w:webHidden/>
              </w:rPr>
              <w:instrText xml:space="preserve"> PAGEREF _Toc222431066 \h </w:instrText>
            </w:r>
            <w:r>
              <w:rPr>
                <w:noProof/>
                <w:webHidden/>
              </w:rPr>
            </w:r>
            <w:r>
              <w:rPr>
                <w:noProof/>
                <w:webHidden/>
              </w:rPr>
              <w:fldChar w:fldCharType="separate"/>
            </w:r>
            <w:r>
              <w:rPr>
                <w:noProof/>
                <w:webHidden/>
              </w:rPr>
              <w:t>6</w:t>
            </w:r>
            <w:r>
              <w:rPr>
                <w:noProof/>
                <w:webHidden/>
              </w:rPr>
              <w:fldChar w:fldCharType="end"/>
            </w:r>
          </w:hyperlink>
        </w:p>
        <w:p w14:paraId="7A81B32C" w14:textId="4EF0CB78" w:rsidR="00711EC7" w:rsidRDefault="00711EC7">
          <w:pPr>
            <w:pStyle w:val="TOC2"/>
            <w:tabs>
              <w:tab w:val="right" w:leader="dot" w:pos="9350"/>
            </w:tabs>
            <w:rPr>
              <w:rFonts w:eastAsiaTheme="minorEastAsia"/>
              <w:noProof/>
            </w:rPr>
          </w:pPr>
          <w:hyperlink w:anchor="_Toc222431067" w:history="1">
            <w:r w:rsidRPr="00C973C9">
              <w:rPr>
                <w:rStyle w:val="Hyperlink"/>
                <w:rFonts w:ascii="Arial" w:hAnsi="Arial" w:cs="Arial"/>
                <w:noProof/>
              </w:rPr>
              <w:t>Physical Exercise and Physical Activity</w:t>
            </w:r>
            <w:r>
              <w:rPr>
                <w:noProof/>
                <w:webHidden/>
              </w:rPr>
              <w:tab/>
            </w:r>
            <w:r>
              <w:rPr>
                <w:noProof/>
                <w:webHidden/>
              </w:rPr>
              <w:fldChar w:fldCharType="begin"/>
            </w:r>
            <w:r>
              <w:rPr>
                <w:noProof/>
                <w:webHidden/>
              </w:rPr>
              <w:instrText xml:space="preserve"> PAGEREF _Toc222431067 \h </w:instrText>
            </w:r>
            <w:r>
              <w:rPr>
                <w:noProof/>
                <w:webHidden/>
              </w:rPr>
            </w:r>
            <w:r>
              <w:rPr>
                <w:noProof/>
                <w:webHidden/>
              </w:rPr>
              <w:fldChar w:fldCharType="separate"/>
            </w:r>
            <w:r>
              <w:rPr>
                <w:noProof/>
                <w:webHidden/>
              </w:rPr>
              <w:t>6</w:t>
            </w:r>
            <w:r>
              <w:rPr>
                <w:noProof/>
                <w:webHidden/>
              </w:rPr>
              <w:fldChar w:fldCharType="end"/>
            </w:r>
          </w:hyperlink>
        </w:p>
        <w:p w14:paraId="5CC3870F" w14:textId="3DE6031E" w:rsidR="00711EC7" w:rsidRDefault="00711EC7">
          <w:pPr>
            <w:pStyle w:val="TOC2"/>
            <w:tabs>
              <w:tab w:val="right" w:leader="dot" w:pos="9350"/>
            </w:tabs>
            <w:rPr>
              <w:rFonts w:eastAsiaTheme="minorEastAsia"/>
              <w:noProof/>
            </w:rPr>
          </w:pPr>
          <w:hyperlink w:anchor="_Toc222431068" w:history="1">
            <w:r w:rsidRPr="00C973C9">
              <w:rPr>
                <w:rStyle w:val="Hyperlink"/>
                <w:rFonts w:ascii="Arial" w:hAnsi="Arial" w:cs="Arial"/>
                <w:noProof/>
              </w:rPr>
              <w:t>Weight Management</w:t>
            </w:r>
            <w:r>
              <w:rPr>
                <w:noProof/>
                <w:webHidden/>
              </w:rPr>
              <w:tab/>
            </w:r>
            <w:r>
              <w:rPr>
                <w:noProof/>
                <w:webHidden/>
              </w:rPr>
              <w:fldChar w:fldCharType="begin"/>
            </w:r>
            <w:r>
              <w:rPr>
                <w:noProof/>
                <w:webHidden/>
              </w:rPr>
              <w:instrText xml:space="preserve"> PAGEREF _Toc222431068 \h </w:instrText>
            </w:r>
            <w:r>
              <w:rPr>
                <w:noProof/>
                <w:webHidden/>
              </w:rPr>
            </w:r>
            <w:r>
              <w:rPr>
                <w:noProof/>
                <w:webHidden/>
              </w:rPr>
              <w:fldChar w:fldCharType="separate"/>
            </w:r>
            <w:r>
              <w:rPr>
                <w:noProof/>
                <w:webHidden/>
              </w:rPr>
              <w:t>7</w:t>
            </w:r>
            <w:r>
              <w:rPr>
                <w:noProof/>
                <w:webHidden/>
              </w:rPr>
              <w:fldChar w:fldCharType="end"/>
            </w:r>
          </w:hyperlink>
        </w:p>
        <w:p w14:paraId="54212FD4" w14:textId="2BA2E855" w:rsidR="00711EC7" w:rsidRDefault="00711EC7">
          <w:pPr>
            <w:pStyle w:val="TOC1"/>
            <w:tabs>
              <w:tab w:val="right" w:leader="dot" w:pos="9350"/>
            </w:tabs>
            <w:rPr>
              <w:rFonts w:eastAsiaTheme="minorEastAsia"/>
              <w:noProof/>
            </w:rPr>
          </w:pPr>
          <w:hyperlink w:anchor="_Toc222431069" w:history="1">
            <w:r w:rsidRPr="00C973C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_Toc222431069 \h </w:instrText>
            </w:r>
            <w:r>
              <w:rPr>
                <w:noProof/>
                <w:webHidden/>
              </w:rPr>
            </w:r>
            <w:r>
              <w:rPr>
                <w:noProof/>
                <w:webHidden/>
              </w:rPr>
              <w:fldChar w:fldCharType="separate"/>
            </w:r>
            <w:r>
              <w:rPr>
                <w:noProof/>
                <w:webHidden/>
              </w:rPr>
              <w:t>9</w:t>
            </w:r>
            <w:r>
              <w:rPr>
                <w:noProof/>
                <w:webHidden/>
              </w:rPr>
              <w:fldChar w:fldCharType="end"/>
            </w:r>
          </w:hyperlink>
        </w:p>
        <w:p w14:paraId="01BEAAB2" w14:textId="23B7CC96" w:rsidR="00711EC7" w:rsidRDefault="00711EC7">
          <w:r>
            <w:rPr>
              <w:b/>
              <w:bCs/>
              <w:noProof/>
            </w:rPr>
            <w:fldChar w:fldCharType="end"/>
          </w:r>
        </w:p>
      </w:sdtContent>
    </w:sdt>
    <w:p w14:paraId="0291457D" w14:textId="77777777" w:rsidR="000E5072" w:rsidRDefault="000E5072" w:rsidP="000E5072"/>
    <w:p w14:paraId="5F55747B" w14:textId="77777777" w:rsidR="000E5072" w:rsidRDefault="000E5072" w:rsidP="000E5072"/>
    <w:p w14:paraId="1B0ED2A2" w14:textId="77777777" w:rsidR="000E5072" w:rsidRDefault="000E5072" w:rsidP="000E5072"/>
    <w:p w14:paraId="545684E8" w14:textId="77777777" w:rsidR="000E5072" w:rsidRPr="000E5072" w:rsidRDefault="000E5072" w:rsidP="000E5072"/>
    <w:p w14:paraId="0D3FE208" w14:textId="23B5E946" w:rsidR="000E5072" w:rsidRDefault="000E5072" w:rsidP="000E5072">
      <w:pPr>
        <w:pStyle w:val="TOCHeading"/>
      </w:pPr>
    </w:p>
    <w:p w14:paraId="377E21C9" w14:textId="77777777" w:rsidR="000E5072" w:rsidRDefault="000E5072" w:rsidP="005103CC">
      <w:pPr>
        <w:spacing w:line="360" w:lineRule="auto"/>
        <w:rPr>
          <w:rFonts w:ascii="Arial" w:hAnsi="Arial" w:cs="Arial"/>
          <w:sz w:val="22"/>
          <w:szCs w:val="22"/>
        </w:rPr>
      </w:pPr>
    </w:p>
    <w:p w14:paraId="2B4F1B77" w14:textId="77777777" w:rsidR="000E5072" w:rsidRPr="005103CC" w:rsidRDefault="000E5072" w:rsidP="005103CC">
      <w:pPr>
        <w:spacing w:line="360" w:lineRule="auto"/>
        <w:rPr>
          <w:rFonts w:ascii="Arial" w:hAnsi="Arial" w:cs="Arial"/>
          <w:sz w:val="22"/>
          <w:szCs w:val="22"/>
        </w:rPr>
      </w:pPr>
    </w:p>
    <w:p w14:paraId="196DB83A" w14:textId="77777777" w:rsidR="00333251" w:rsidRPr="005103CC" w:rsidRDefault="00333251" w:rsidP="005103CC">
      <w:pPr>
        <w:spacing w:line="360" w:lineRule="auto"/>
        <w:rPr>
          <w:rFonts w:ascii="Arial" w:hAnsi="Arial" w:cs="Arial"/>
          <w:sz w:val="22"/>
          <w:szCs w:val="22"/>
        </w:rPr>
      </w:pPr>
    </w:p>
    <w:p w14:paraId="446C3F0D" w14:textId="2ABC6B50" w:rsidR="00333251" w:rsidRPr="000E5072" w:rsidRDefault="00333251" w:rsidP="000E5072">
      <w:pPr>
        <w:pStyle w:val="Heading1"/>
        <w:rPr>
          <w:rFonts w:ascii="Arial" w:hAnsi="Arial" w:cs="Arial"/>
        </w:rPr>
      </w:pPr>
      <w:bookmarkStart w:id="0" w:name="_Toc222430649"/>
      <w:bookmarkStart w:id="1" w:name="_Toc222430727"/>
      <w:bookmarkStart w:id="2" w:name="_Toc222430802"/>
      <w:bookmarkStart w:id="3" w:name="_Toc222430857"/>
      <w:bookmarkStart w:id="4" w:name="_Toc222430914"/>
      <w:bookmarkStart w:id="5" w:name="_Toc222431061"/>
      <w:r w:rsidRPr="000E5072">
        <w:rPr>
          <w:rFonts w:ascii="Arial" w:hAnsi="Arial" w:cs="Arial"/>
        </w:rPr>
        <w:t>INTRODUCTION</w:t>
      </w:r>
      <w:bookmarkEnd w:id="0"/>
      <w:bookmarkEnd w:id="1"/>
      <w:bookmarkEnd w:id="2"/>
      <w:bookmarkEnd w:id="3"/>
      <w:bookmarkEnd w:id="4"/>
      <w:bookmarkEnd w:id="5"/>
      <w:r w:rsidRPr="000E5072">
        <w:rPr>
          <w:rFonts w:ascii="Arial" w:hAnsi="Arial" w:cs="Arial"/>
        </w:rPr>
        <w:t> </w:t>
      </w:r>
    </w:p>
    <w:p w14:paraId="07BBBD21" w14:textId="28AA0A3F"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 xml:space="preserve">Diabetes mellitus is one of the primary public health concerns of the 21st century. In 2021, the International Diabetes Federation (IDF) estimated that 537 million people lived with diabetes, which comprised 10.5 percent of the global population, causing healthcare spending of $966 billion around the world (Hossain, Al-Mamun, and Islam, 2024). The predominant form of diabetes (90% of all cases) is type 2 diabetes, and it is </w:t>
      </w:r>
      <w:proofErr w:type="spellStart"/>
      <w:r w:rsidR="004241C9" w:rsidRPr="00333251">
        <w:rPr>
          <w:rFonts w:ascii="Arial" w:hAnsi="Arial" w:cs="Arial"/>
          <w:sz w:val="22"/>
          <w:szCs w:val="22"/>
        </w:rPr>
        <w:t>characteri</w:t>
      </w:r>
      <w:r w:rsidR="004C0837">
        <w:rPr>
          <w:rFonts w:ascii="Arial" w:hAnsi="Arial" w:cs="Arial"/>
          <w:sz w:val="22"/>
          <w:szCs w:val="22"/>
        </w:rPr>
        <w:t>sed</w:t>
      </w:r>
      <w:proofErr w:type="spellEnd"/>
      <w:r w:rsidRPr="00333251">
        <w:rPr>
          <w:rFonts w:ascii="Arial" w:hAnsi="Arial" w:cs="Arial"/>
          <w:sz w:val="22"/>
          <w:szCs w:val="22"/>
        </w:rPr>
        <w:t xml:space="preserve"> by insulin resistance and progressive 8 cell dysfunction, which ultimately results in chronic </w:t>
      </w:r>
      <w:r w:rsidR="004241C9" w:rsidRPr="00333251">
        <w:rPr>
          <w:rFonts w:ascii="Arial" w:hAnsi="Arial" w:cs="Arial"/>
          <w:sz w:val="22"/>
          <w:szCs w:val="22"/>
        </w:rPr>
        <w:t>hyperglycemia</w:t>
      </w:r>
      <w:r w:rsidRPr="00333251">
        <w:rPr>
          <w:rFonts w:ascii="Arial" w:hAnsi="Arial" w:cs="Arial"/>
          <w:sz w:val="22"/>
          <w:szCs w:val="22"/>
        </w:rPr>
        <w:t xml:space="preserve"> (American Diabetes Association, 2023). Unlike Type 1 diabetes, where the condition is autoimmune-mediated by the destruction of pancreatic 8-cells, Type 2 diabetes emerges insidiously and is closely linked to the changeable lifestyle factors.</w:t>
      </w:r>
    </w:p>
    <w:p w14:paraId="3D079326" w14:textId="77777777"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 xml:space="preserve">A complex interplay between environmental determinants and genetic susceptibility is the pathophysiology of type 2 diabetes mellitus. One of the most important risk factors is central obesity, especially visceral obesity, because it facilitates insulin resistance through the release of pro-inflammatory cytokines and free fatty acids by fat (Galicia-Garcia, et al., 2020). Other risk factors are older age (although individuals older than 45 years are at the highest risk), sedentary </w:t>
      </w:r>
      <w:proofErr w:type="spellStart"/>
      <w:r w:rsidRPr="00333251">
        <w:rPr>
          <w:rFonts w:ascii="Arial" w:hAnsi="Arial" w:cs="Arial"/>
          <w:sz w:val="22"/>
          <w:szCs w:val="22"/>
        </w:rPr>
        <w:t>behaviour</w:t>
      </w:r>
      <w:proofErr w:type="spellEnd"/>
      <w:r w:rsidRPr="00333251">
        <w:rPr>
          <w:rFonts w:ascii="Arial" w:hAnsi="Arial" w:cs="Arial"/>
          <w:sz w:val="22"/>
          <w:szCs w:val="22"/>
        </w:rPr>
        <w:t>, family history of diabetes, ethnicity (where South Asian, African-Caribbean, and Hispanic groups have a higher prevalence), a history of gestational diabetes, polycystic ovary syndrome, and hypertension (NHS, 2023). The practice nurses must have a thorough knowledge of these determinants to be able to recognize those people who are at increased risk and to be able to institute prompt intervention measures that would hinder the progression of the disease or, at the very least, delay it.</w:t>
      </w:r>
    </w:p>
    <w:p w14:paraId="66A4DE1C" w14:textId="77777777" w:rsidR="00333251" w:rsidRPr="00333251" w:rsidRDefault="00333251" w:rsidP="005103CC">
      <w:pPr>
        <w:spacing w:line="360" w:lineRule="auto"/>
        <w:rPr>
          <w:rFonts w:ascii="Arial" w:hAnsi="Arial" w:cs="Arial"/>
          <w:sz w:val="22"/>
          <w:szCs w:val="22"/>
        </w:rPr>
      </w:pPr>
    </w:p>
    <w:p w14:paraId="5DE9D90C" w14:textId="77777777" w:rsidR="00333251" w:rsidRPr="000E5072" w:rsidRDefault="00333251" w:rsidP="000E5072">
      <w:pPr>
        <w:pStyle w:val="Heading1"/>
        <w:rPr>
          <w:rFonts w:ascii="Arial" w:hAnsi="Arial" w:cs="Arial"/>
        </w:rPr>
      </w:pPr>
      <w:bookmarkStart w:id="6" w:name="_Toc222430650"/>
      <w:bookmarkStart w:id="7" w:name="_Toc222430728"/>
      <w:bookmarkStart w:id="8" w:name="_Toc222430803"/>
      <w:bookmarkStart w:id="9" w:name="_Toc222430858"/>
      <w:bookmarkStart w:id="10" w:name="_Toc222430915"/>
      <w:bookmarkStart w:id="11" w:name="_Toc222431062"/>
      <w:r w:rsidRPr="000E5072">
        <w:rPr>
          <w:rFonts w:ascii="Arial" w:hAnsi="Arial" w:cs="Arial"/>
        </w:rPr>
        <w:t>BLOOD SUGAR REGULATION AND HOMEOSTASIS</w:t>
      </w:r>
      <w:bookmarkEnd w:id="6"/>
      <w:bookmarkEnd w:id="7"/>
      <w:bookmarkEnd w:id="8"/>
      <w:bookmarkEnd w:id="9"/>
      <w:bookmarkEnd w:id="10"/>
      <w:bookmarkEnd w:id="11"/>
      <w:r w:rsidRPr="000E5072">
        <w:rPr>
          <w:rFonts w:ascii="Arial" w:hAnsi="Arial" w:cs="Arial"/>
        </w:rPr>
        <w:t> </w:t>
      </w:r>
    </w:p>
    <w:p w14:paraId="51984773" w14:textId="3460EA97"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 xml:space="preserve">Cellular functionality and homeostasis of general metabolic processes cannot be possible without the maintenance of blood glucose at a narrow range (4.05.9 mmol L -1 in the fasted state). This fine equilibrium is carried out through a complicated negative-feedback loop mostly </w:t>
      </w:r>
      <w:r w:rsidRPr="00333251">
        <w:rPr>
          <w:rFonts w:ascii="Arial" w:hAnsi="Arial" w:cs="Arial"/>
          <w:sz w:val="22"/>
          <w:szCs w:val="22"/>
        </w:rPr>
        <w:lastRenderedPageBreak/>
        <w:t xml:space="preserve">operated by the pancreas, specifically, the islets of </w:t>
      </w:r>
      <w:proofErr w:type="spellStart"/>
      <w:r w:rsidRPr="00333251">
        <w:rPr>
          <w:rFonts w:ascii="Arial" w:hAnsi="Arial" w:cs="Arial"/>
          <w:sz w:val="22"/>
          <w:szCs w:val="22"/>
        </w:rPr>
        <w:t>Langerhans</w:t>
      </w:r>
      <w:proofErr w:type="spellEnd"/>
      <w:r w:rsidRPr="00333251">
        <w:rPr>
          <w:rFonts w:ascii="Arial" w:hAnsi="Arial" w:cs="Arial"/>
          <w:sz w:val="22"/>
          <w:szCs w:val="22"/>
        </w:rPr>
        <w:t xml:space="preserve"> that contain </w:t>
      </w:r>
      <w:proofErr w:type="spellStart"/>
      <w:r w:rsidRPr="00333251">
        <w:rPr>
          <w:rFonts w:ascii="Arial" w:hAnsi="Arial" w:cs="Arial"/>
          <w:sz w:val="22"/>
          <w:szCs w:val="22"/>
        </w:rPr>
        <w:t>specialised</w:t>
      </w:r>
      <w:proofErr w:type="spellEnd"/>
      <w:r w:rsidRPr="00333251">
        <w:rPr>
          <w:rFonts w:ascii="Arial" w:hAnsi="Arial" w:cs="Arial"/>
          <w:sz w:val="22"/>
          <w:szCs w:val="22"/>
        </w:rPr>
        <w:t xml:space="preserve"> endocrine cells (Hall, and Hall, 2020). The insulin-producing beta cells, which are present on these </w:t>
      </w:r>
      <w:proofErr w:type="spellStart"/>
      <w:r w:rsidRPr="00333251">
        <w:rPr>
          <w:rFonts w:ascii="Arial" w:hAnsi="Arial" w:cs="Arial"/>
          <w:sz w:val="22"/>
          <w:szCs w:val="22"/>
        </w:rPr>
        <w:t>islets,s</w:t>
      </w:r>
      <w:proofErr w:type="spellEnd"/>
      <w:r w:rsidRPr="00333251">
        <w:rPr>
          <w:rFonts w:ascii="Arial" w:hAnsi="Arial" w:cs="Arial"/>
          <w:sz w:val="22"/>
          <w:szCs w:val="22"/>
        </w:rPr>
        <w:t xml:space="preserve"> are stimulated by the high levels of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concentration, would release insulin, and the alpha cells produce glucagon when the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level drops below the optimal level.</w:t>
      </w:r>
    </w:p>
    <w:p w14:paraId="59F9E722" w14:textId="77777777"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Insulin is commonly described as the most important anabolic hormone in the human body, and it promotes glucose uptake in the cells by a number of mechanisms. Increasing blood glucose levels in the body after a meal cause the pancreatic beta cells to secrete insulin into the blood. Insulin subsequently attaches to insulin receptors to target cells, mainly the skeletal muscle, adipose tissue, and the liver, leading to a cascade of intracellular events. This mechanism facilitates the translocation process of glucose transporter type 4 (GLUT4) vesicles to the cell membrane to facilitate the diffusion of glucose into cells (Alshammari, et al., 2021). </w:t>
      </w:r>
    </w:p>
    <w:p w14:paraId="45B84E83" w14:textId="77777777" w:rsidR="005103CC" w:rsidRPr="005103CC" w:rsidRDefault="005103CC" w:rsidP="005103CC">
      <w:pPr>
        <w:spacing w:line="360" w:lineRule="auto"/>
        <w:rPr>
          <w:rFonts w:ascii="Arial" w:hAnsi="Arial" w:cs="Arial"/>
          <w:sz w:val="22"/>
          <w:szCs w:val="22"/>
        </w:rPr>
      </w:pPr>
      <w:r w:rsidRPr="005103CC">
        <w:rPr>
          <w:rFonts w:ascii="Arial" w:hAnsi="Arial" w:cs="Arial"/>
          <w:sz w:val="22"/>
          <w:szCs w:val="22"/>
        </w:rPr>
        <w:t xml:space="preserve">On the other hand, alpha cells release glucagon when systemic glucose levels fall, such as during fasting or between meals. This catabolic hormone increases hepatic glycogenolysis and gluconeogenesis from amino acids and lactate (Wilcox, 2005). This challenging regulatory mechanism ensures a steady supply of glucose to organs that rely on it, particularly the brain, which requires approximately 120 grams of glucose daily and is unable to </w:t>
      </w:r>
      <w:proofErr w:type="spellStart"/>
      <w:r w:rsidRPr="005103CC">
        <w:rPr>
          <w:rFonts w:ascii="Arial" w:hAnsi="Arial" w:cs="Arial"/>
          <w:sz w:val="22"/>
          <w:szCs w:val="22"/>
        </w:rPr>
        <w:t>utilise</w:t>
      </w:r>
      <w:proofErr w:type="spellEnd"/>
      <w:r w:rsidRPr="005103CC">
        <w:rPr>
          <w:rFonts w:ascii="Arial" w:hAnsi="Arial" w:cs="Arial"/>
          <w:sz w:val="22"/>
          <w:szCs w:val="22"/>
        </w:rPr>
        <w:t xml:space="preserve"> fatty acids for energy production (Diabetes UK, 2022).</w:t>
      </w:r>
    </w:p>
    <w:p w14:paraId="7D990EFD" w14:textId="77777777" w:rsidR="000E5072" w:rsidRDefault="00333251" w:rsidP="005103CC">
      <w:pPr>
        <w:spacing w:line="360" w:lineRule="auto"/>
        <w:rPr>
          <w:rFonts w:ascii="Arial" w:hAnsi="Arial" w:cs="Arial"/>
          <w:sz w:val="22"/>
          <w:szCs w:val="22"/>
        </w:rPr>
      </w:pPr>
      <w:r w:rsidRPr="00333251">
        <w:rPr>
          <w:rFonts w:ascii="Arial" w:hAnsi="Arial" w:cs="Arial"/>
          <w:sz w:val="22"/>
          <w:szCs w:val="22"/>
        </w:rPr>
        <w:t xml:space="preserve">In type 2 diabetes mellitus, the glucose metabolism homeostatic control is disturbed. Long-term </w:t>
      </w:r>
      <w:proofErr w:type="spellStart"/>
      <w:r w:rsidRPr="00333251">
        <w:rPr>
          <w:rFonts w:ascii="Arial" w:hAnsi="Arial" w:cs="Arial"/>
          <w:sz w:val="22"/>
          <w:szCs w:val="22"/>
        </w:rPr>
        <w:t>hyperglycaemia</w:t>
      </w:r>
      <w:proofErr w:type="spellEnd"/>
      <w:r w:rsidRPr="00333251">
        <w:rPr>
          <w:rFonts w:ascii="Arial" w:hAnsi="Arial" w:cs="Arial"/>
          <w:sz w:val="22"/>
          <w:szCs w:val="22"/>
        </w:rPr>
        <w:t xml:space="preserve"> combined with high lipids, together with the effects of obesity-related inflammation, induces insulin resistance, in which peripheral cells lose sensitivity to insulin </w:t>
      </w:r>
      <w:proofErr w:type="spellStart"/>
      <w:r w:rsidRPr="00333251">
        <w:rPr>
          <w:rFonts w:ascii="Arial" w:hAnsi="Arial" w:cs="Arial"/>
          <w:sz w:val="22"/>
          <w:szCs w:val="22"/>
        </w:rPr>
        <w:t>signalling</w:t>
      </w:r>
      <w:proofErr w:type="spellEnd"/>
      <w:r w:rsidRPr="00333251">
        <w:rPr>
          <w:rFonts w:ascii="Arial" w:hAnsi="Arial" w:cs="Arial"/>
          <w:sz w:val="22"/>
          <w:szCs w:val="22"/>
        </w:rPr>
        <w:t xml:space="preserve"> pathways. In reply, the pancreas initially exaggerates insulin production, thus generating hyperinsulinemia. In the long-run, repeated cellular stress and metabolic fatigue cause beta-cell dysfunction, leading to a lack of insulin secretion and chronic </w:t>
      </w:r>
      <w:proofErr w:type="spellStart"/>
      <w:r w:rsidRPr="00333251">
        <w:rPr>
          <w:rFonts w:ascii="Arial" w:hAnsi="Arial" w:cs="Arial"/>
          <w:sz w:val="22"/>
          <w:szCs w:val="22"/>
        </w:rPr>
        <w:t>hyperglycaemia</w:t>
      </w:r>
      <w:proofErr w:type="spellEnd"/>
      <w:r w:rsidRPr="00333251">
        <w:rPr>
          <w:rFonts w:ascii="Arial" w:hAnsi="Arial" w:cs="Arial"/>
          <w:sz w:val="22"/>
          <w:szCs w:val="22"/>
        </w:rPr>
        <w:t xml:space="preserve"> (Galicia-Garcia, et al., 2020).</w:t>
      </w:r>
      <w:r w:rsidRPr="00333251">
        <w:rPr>
          <w:rFonts w:ascii="Arial" w:hAnsi="Arial" w:cs="Arial"/>
          <w:sz w:val="22"/>
          <w:szCs w:val="22"/>
        </w:rPr>
        <w:br/>
      </w:r>
    </w:p>
    <w:p w14:paraId="69E364DA" w14:textId="05147A00"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br/>
      </w:r>
      <w:bookmarkStart w:id="12" w:name="_Toc222430804"/>
      <w:bookmarkStart w:id="13" w:name="_Toc222430859"/>
      <w:bookmarkStart w:id="14" w:name="_Toc222430916"/>
      <w:bookmarkStart w:id="15" w:name="_Toc222431063"/>
      <w:r w:rsidRPr="000E5072">
        <w:rPr>
          <w:rStyle w:val="Heading1Char"/>
          <w:rFonts w:ascii="Arial" w:hAnsi="Arial" w:cs="Arial"/>
        </w:rPr>
        <w:t>CELLULAR RESPIRATION AND ENERGY PRODUCTION</w:t>
      </w:r>
      <w:bookmarkEnd w:id="12"/>
      <w:bookmarkEnd w:id="13"/>
      <w:bookmarkEnd w:id="14"/>
      <w:bookmarkEnd w:id="15"/>
      <w:r w:rsidRPr="000E5072">
        <w:rPr>
          <w:rStyle w:val="Heading1Char"/>
          <w:rFonts w:ascii="Arial" w:hAnsi="Arial" w:cs="Arial"/>
        </w:rPr>
        <w:t xml:space="preserve"> </w:t>
      </w:r>
      <w:r w:rsidRPr="000E5072">
        <w:rPr>
          <w:rStyle w:val="Heading1Char"/>
          <w:rFonts w:ascii="Arial" w:hAnsi="Arial" w:cs="Arial"/>
        </w:rPr>
        <w:br/>
      </w:r>
      <w:r w:rsidRPr="00333251">
        <w:rPr>
          <w:rFonts w:ascii="Arial" w:hAnsi="Arial" w:cs="Arial"/>
          <w:sz w:val="22"/>
          <w:szCs w:val="22"/>
        </w:rPr>
        <w:t xml:space="preserve">The main components of cellular energy production through aerobic respiration are glucose and oxygen, which occur in mitochondria, often known as the cellular powerhouses. The complex </w:t>
      </w:r>
      <w:r w:rsidRPr="00333251">
        <w:rPr>
          <w:rFonts w:ascii="Arial" w:hAnsi="Arial" w:cs="Arial"/>
          <w:sz w:val="22"/>
          <w:szCs w:val="22"/>
        </w:rPr>
        <w:lastRenderedPageBreak/>
        <w:t>pathway of biochemical reactions converts the chemical energy stored in glucose molecules into adenosine triphosphate (ATP), which is the universal energy currency used by all cells to facilitate the work of metabolism, muscle contraction, transmitting neuronal impulses, and biosynthetic reactions (Alberts et al., 2022).</w:t>
      </w:r>
      <w:r w:rsidRPr="00333251">
        <w:rPr>
          <w:rFonts w:ascii="Arial" w:hAnsi="Arial" w:cs="Arial"/>
          <w:sz w:val="22"/>
          <w:szCs w:val="22"/>
        </w:rPr>
        <w:br/>
        <w:t>The oxidation of one mole of glucose follows three main steps: glycolysis, the Krebs (citric acid) cycle, and the oxidative phosphorylation process, which is mediated by the electron transport chain. At the beginning of the process, a glucose molecule (C 6 H 12 O 6 ) is broken down in the cytosol into two molecules of pyruvate to produce a net number of two ATP molecules and two NADH molecules. Next, the pyruvate is moved to the mitochondrial mat, where it is transformed into acetyl-CoA; it is then absorbed by the Krebs cycle (Hall and Hall, 2020).</w:t>
      </w:r>
    </w:p>
    <w:p w14:paraId="60CF109B" w14:textId="7A38381C"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Over and above producing carbon dioxide as a metabolic by-product, the tricarboxylic acid cycle produces more high-energy electron carriers, namely reduced nicotinamide adenine dinucleotide (NADH) and reduced flavin adenine dinucleotide (FADH 2 ). Such carriers of electrons then proffer electrons to the electron transport chain incorporated into the inner mitochondrial membrane. The flow of electrons through a series of protein complexes releases energy, which is used to move protons across the membrane to create a proton electrochemical gradient. It is this gradient that drives ATP synthase, an enzyme catalyzing the phosphorylation of adenosine diphosphate (ADP) into adenosine triphosphate (ATP), which eventually synthesizes about 32-34 molecules of ATP per mole</w:t>
      </w:r>
      <w:r w:rsidR="00604200">
        <w:rPr>
          <w:rFonts w:ascii="Arial" w:hAnsi="Arial" w:cs="Arial"/>
          <w:sz w:val="22"/>
          <w:szCs w:val="22"/>
        </w:rPr>
        <w:t xml:space="preserve"> </w:t>
      </w:r>
      <w:r w:rsidRPr="00333251">
        <w:rPr>
          <w:rFonts w:ascii="Arial" w:hAnsi="Arial" w:cs="Arial"/>
          <w:sz w:val="22"/>
          <w:szCs w:val="22"/>
        </w:rPr>
        <w:t>glucose by oxidative phosphorylation (Alberts et al., 2022).</w:t>
      </w:r>
    </w:p>
    <w:p w14:paraId="0FB111B5" w14:textId="77777777" w:rsidR="00711EC7" w:rsidRDefault="00333251" w:rsidP="005103CC">
      <w:pPr>
        <w:spacing w:line="360" w:lineRule="auto"/>
        <w:rPr>
          <w:rFonts w:ascii="Arial" w:hAnsi="Arial" w:cs="Arial"/>
          <w:sz w:val="22"/>
          <w:szCs w:val="22"/>
        </w:rPr>
      </w:pPr>
      <w:r w:rsidRPr="00333251">
        <w:rPr>
          <w:rFonts w:ascii="Arial" w:hAnsi="Arial" w:cs="Arial"/>
          <w:sz w:val="22"/>
          <w:szCs w:val="22"/>
        </w:rPr>
        <w:t>The complete process of aerobic cellular respiration may be presented as: C 6H 12O 6 + 6O 2 6CO 2 + 6H 2O + ATP (about 3638 molecules). The last electron donor in the electron transport process is oxygen, which reacts with hydrogen ions to give water. The lack of sufficient oxygen forces cells to use anaerobic respiration, which results in two ATP molecules produced per glucose molecule and the formation of lactate, causing rapid fatigue and metabolic acidosis (Alshammari, et al., 2021).</w:t>
      </w:r>
      <w:r w:rsidRPr="00333251">
        <w:rPr>
          <w:rFonts w:ascii="Arial" w:hAnsi="Arial" w:cs="Arial"/>
          <w:sz w:val="22"/>
          <w:szCs w:val="22"/>
        </w:rPr>
        <w:br/>
      </w:r>
    </w:p>
    <w:p w14:paraId="158C071A" w14:textId="11A55B6D" w:rsidR="00333251" w:rsidRPr="00711EC7" w:rsidRDefault="00333251" w:rsidP="00711EC7">
      <w:pPr>
        <w:pStyle w:val="Heading1"/>
        <w:rPr>
          <w:rStyle w:val="Heading1Char"/>
          <w:rFonts w:ascii="Arial" w:hAnsi="Arial" w:cs="Arial"/>
        </w:rPr>
      </w:pPr>
      <w:bookmarkStart w:id="16" w:name="_Toc222431064"/>
      <w:r w:rsidRPr="00711EC7">
        <w:rPr>
          <w:rStyle w:val="Heading1Char"/>
          <w:rFonts w:ascii="Arial" w:hAnsi="Arial" w:cs="Arial"/>
        </w:rPr>
        <w:t>THE IMPORTANCE OF BLOOD GLUCOSE MONITORING IN TYPE 2 DIABETES</w:t>
      </w:r>
      <w:bookmarkEnd w:id="16"/>
      <w:r w:rsidRPr="00711EC7">
        <w:rPr>
          <w:rStyle w:val="Heading1Char"/>
          <w:rFonts w:ascii="Arial" w:hAnsi="Arial" w:cs="Arial"/>
        </w:rPr>
        <w:t> </w:t>
      </w:r>
    </w:p>
    <w:p w14:paraId="6FA9BAF3" w14:textId="77777777"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 xml:space="preserve">Blood glucose level monitoring and recording are an important part of the successful treatment of type 2 diabetes mellitus, to the extent that it enables patients to control the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values, </w:t>
      </w:r>
      <w:r w:rsidRPr="00333251">
        <w:rPr>
          <w:rFonts w:ascii="Arial" w:hAnsi="Arial" w:cs="Arial"/>
          <w:sz w:val="22"/>
          <w:szCs w:val="22"/>
        </w:rPr>
        <w:lastRenderedPageBreak/>
        <w:t>prevent acute complications, and decrease the risk of microvascular and macrovascular complications. Self-monitoring of blood glucose (SMBG) is an evidence-based method of allowing patients to make informed decisions about the management of their diabetes. (NICE, 2022)</w:t>
      </w:r>
    </w:p>
    <w:p w14:paraId="11C8936B" w14:textId="3FE730C6"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 xml:space="preserve">Self-monitoring of blood glucose (SMBG) is helpful in identifying both </w:t>
      </w:r>
      <w:proofErr w:type="spellStart"/>
      <w:r w:rsidRPr="00333251">
        <w:rPr>
          <w:rFonts w:ascii="Arial" w:hAnsi="Arial" w:cs="Arial"/>
          <w:sz w:val="22"/>
          <w:szCs w:val="22"/>
        </w:rPr>
        <w:t>hyperglycaemic</w:t>
      </w:r>
      <w:proofErr w:type="spellEnd"/>
      <w:r w:rsidRPr="00333251">
        <w:rPr>
          <w:rFonts w:ascii="Arial" w:hAnsi="Arial" w:cs="Arial"/>
          <w:sz w:val="22"/>
          <w:szCs w:val="22"/>
        </w:rPr>
        <w:t xml:space="preserve"> and </w:t>
      </w:r>
      <w:proofErr w:type="spellStart"/>
      <w:r w:rsidRPr="00333251">
        <w:rPr>
          <w:rFonts w:ascii="Arial" w:hAnsi="Arial" w:cs="Arial"/>
          <w:sz w:val="22"/>
          <w:szCs w:val="22"/>
        </w:rPr>
        <w:t>hypoglycaemic</w:t>
      </w:r>
      <w:proofErr w:type="spellEnd"/>
      <w:r w:rsidRPr="00333251">
        <w:rPr>
          <w:rFonts w:ascii="Arial" w:hAnsi="Arial" w:cs="Arial"/>
          <w:sz w:val="22"/>
          <w:szCs w:val="22"/>
        </w:rPr>
        <w:t xml:space="preserve"> events in individuals with Type2 diabetes mellitus, especially those taking insulin or those in whom there is a high risk of </w:t>
      </w:r>
      <w:proofErr w:type="spellStart"/>
      <w:r w:rsidRPr="00333251">
        <w:rPr>
          <w:rFonts w:ascii="Arial" w:hAnsi="Arial" w:cs="Arial"/>
          <w:sz w:val="22"/>
          <w:szCs w:val="22"/>
        </w:rPr>
        <w:t>hypoglycaemia</w:t>
      </w:r>
      <w:proofErr w:type="spellEnd"/>
      <w:r w:rsidRPr="00333251">
        <w:rPr>
          <w:rFonts w:ascii="Arial" w:hAnsi="Arial" w:cs="Arial"/>
          <w:sz w:val="22"/>
          <w:szCs w:val="22"/>
        </w:rPr>
        <w:t xml:space="preserve"> (e.g., sulfonylureas). Improved observation and utilization of the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measurements at various times during the day, such as fasting levels, pre-prandial and post-prandial levels (usually two hours after meals), can serve to explain the temporal patterns and trends that inform the change of treatment. As an illustration, the constant increase in fasting glucose levels could indicate that pharmacologic change or lifestyle is required, and extreme post-prandial events can potentially indicate changes in diet or drug timings (Diabetes UK, 2022).</w:t>
      </w:r>
      <w:r w:rsidRPr="00333251">
        <w:rPr>
          <w:rFonts w:ascii="Arial" w:hAnsi="Arial" w:cs="Arial"/>
          <w:sz w:val="22"/>
          <w:szCs w:val="22"/>
        </w:rPr>
        <w:br/>
        <w:t xml:space="preserve">In addition to regular monitoring, the </w:t>
      </w:r>
      <w:proofErr w:type="spellStart"/>
      <w:r w:rsidRPr="00333251">
        <w:rPr>
          <w:rFonts w:ascii="Arial" w:hAnsi="Arial" w:cs="Arial"/>
          <w:sz w:val="22"/>
          <w:szCs w:val="22"/>
        </w:rPr>
        <w:t>glycated</w:t>
      </w:r>
      <w:proofErr w:type="spellEnd"/>
      <w:r w:rsidRPr="00333251">
        <w:rPr>
          <w:rFonts w:ascii="Arial" w:hAnsi="Arial" w:cs="Arial"/>
          <w:sz w:val="22"/>
          <w:szCs w:val="22"/>
        </w:rPr>
        <w:t xml:space="preserve"> </w:t>
      </w:r>
      <w:proofErr w:type="spellStart"/>
      <w:r w:rsidRPr="00333251">
        <w:rPr>
          <w:rFonts w:ascii="Arial" w:hAnsi="Arial" w:cs="Arial"/>
          <w:sz w:val="22"/>
          <w:szCs w:val="22"/>
        </w:rPr>
        <w:t>haemoglobin</w:t>
      </w:r>
      <w:proofErr w:type="spellEnd"/>
      <w:r w:rsidRPr="00333251">
        <w:rPr>
          <w:rFonts w:ascii="Arial" w:hAnsi="Arial" w:cs="Arial"/>
          <w:sz w:val="22"/>
          <w:szCs w:val="22"/>
        </w:rPr>
        <w:t xml:space="preserve"> (HbA1c) test provides a retrospective evaluation of mean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control over the past 8-12 weeks. This measures the percentage of </w:t>
      </w:r>
      <w:proofErr w:type="spellStart"/>
      <w:r w:rsidRPr="00333251">
        <w:rPr>
          <w:rFonts w:ascii="Arial" w:hAnsi="Arial" w:cs="Arial"/>
          <w:sz w:val="22"/>
          <w:szCs w:val="22"/>
        </w:rPr>
        <w:t>haemoglobin</w:t>
      </w:r>
      <w:proofErr w:type="spellEnd"/>
      <w:r w:rsidRPr="00333251">
        <w:rPr>
          <w:rFonts w:ascii="Arial" w:hAnsi="Arial" w:cs="Arial"/>
          <w:sz w:val="22"/>
          <w:szCs w:val="22"/>
        </w:rPr>
        <w:t xml:space="preserve"> molecules that are glycated through non-enzymatic conjugation of glucose. The National Institute for Health and Care Excellence (NICE, 2022) suggests a target HbA1c of 48 mmol/mol -1 (6.5) in most adults with type 2 diabetes treated by lifestyle changes and pharmacotherapy, and patient-specific target HbA1c levels in patients taking drugs linked to </w:t>
      </w:r>
      <w:proofErr w:type="spellStart"/>
      <w:r w:rsidRPr="00333251">
        <w:rPr>
          <w:rFonts w:ascii="Arial" w:hAnsi="Arial" w:cs="Arial"/>
          <w:sz w:val="22"/>
          <w:szCs w:val="22"/>
        </w:rPr>
        <w:t>hypoglycaemia</w:t>
      </w:r>
      <w:proofErr w:type="spellEnd"/>
      <w:r w:rsidRPr="00333251">
        <w:rPr>
          <w:rFonts w:ascii="Arial" w:hAnsi="Arial" w:cs="Arial"/>
          <w:sz w:val="22"/>
          <w:szCs w:val="22"/>
        </w:rPr>
        <w:t>.</w:t>
      </w:r>
    </w:p>
    <w:p w14:paraId="7049C0F1" w14:textId="77777777"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 xml:space="preserve">Continuous glucose monitoring (CGM) systems are a new technology that provides detailed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information through interstitial fluid glucose measurements Diurnal and nocturnal. CGM can be particularly beneficial to patients who face refractory </w:t>
      </w:r>
      <w:proofErr w:type="spellStart"/>
      <w:r w:rsidRPr="00333251">
        <w:rPr>
          <w:rFonts w:ascii="Arial" w:hAnsi="Arial" w:cs="Arial"/>
          <w:sz w:val="22"/>
          <w:szCs w:val="22"/>
        </w:rPr>
        <w:t>hypoglycaemia</w:t>
      </w:r>
      <w:proofErr w:type="spellEnd"/>
      <w:r w:rsidRPr="00333251">
        <w:rPr>
          <w:rFonts w:ascii="Arial" w:hAnsi="Arial" w:cs="Arial"/>
          <w:sz w:val="22"/>
          <w:szCs w:val="22"/>
        </w:rPr>
        <w:t xml:space="preserve"> or significant glucose fluctuations, although such patients are not every type 2 diabetes patient (NICE, 2022). </w:t>
      </w:r>
    </w:p>
    <w:p w14:paraId="20A9C173" w14:textId="77777777" w:rsidR="00333251" w:rsidRPr="000E5072" w:rsidRDefault="00333251" w:rsidP="000E5072">
      <w:pPr>
        <w:pStyle w:val="Heading2"/>
        <w:rPr>
          <w:rFonts w:ascii="Arial" w:hAnsi="Arial" w:cs="Arial"/>
        </w:rPr>
      </w:pPr>
      <w:bookmarkStart w:id="17" w:name="_Toc222430651"/>
      <w:bookmarkStart w:id="18" w:name="_Toc222430729"/>
      <w:bookmarkStart w:id="19" w:name="_Toc222430805"/>
      <w:bookmarkStart w:id="20" w:name="_Toc222430860"/>
      <w:bookmarkStart w:id="21" w:name="_Toc222430917"/>
      <w:bookmarkStart w:id="22" w:name="_Toc222431065"/>
      <w:r w:rsidRPr="000E5072">
        <w:rPr>
          <w:rFonts w:ascii="Arial" w:hAnsi="Arial" w:cs="Arial"/>
        </w:rPr>
        <w:t>EVIDENCE-BASED LIFESTYLE RECOMMENDATIONS FOR TYPE 2 DIABETES MANAGEMENT</w:t>
      </w:r>
      <w:bookmarkEnd w:id="17"/>
      <w:bookmarkEnd w:id="18"/>
      <w:bookmarkEnd w:id="19"/>
      <w:bookmarkEnd w:id="20"/>
      <w:bookmarkEnd w:id="21"/>
      <w:bookmarkEnd w:id="22"/>
      <w:r w:rsidRPr="000E5072">
        <w:rPr>
          <w:rFonts w:ascii="Arial" w:hAnsi="Arial" w:cs="Arial"/>
        </w:rPr>
        <w:t> </w:t>
      </w:r>
    </w:p>
    <w:p w14:paraId="79A27AB4" w14:textId="694A3C4E" w:rsidR="000E5072" w:rsidRPr="000E5072" w:rsidRDefault="00333251" w:rsidP="000E5072">
      <w:pPr>
        <w:pStyle w:val="Heading2"/>
        <w:rPr>
          <w:rFonts w:ascii="Arial" w:hAnsi="Arial" w:cs="Arial"/>
        </w:rPr>
      </w:pPr>
      <w:bookmarkStart w:id="23" w:name="_Toc222430652"/>
      <w:bookmarkStart w:id="24" w:name="_Toc222430730"/>
      <w:bookmarkStart w:id="25" w:name="_Toc222430806"/>
      <w:bookmarkStart w:id="26" w:name="_Toc222430861"/>
      <w:bookmarkStart w:id="27" w:name="_Toc222430918"/>
      <w:bookmarkStart w:id="28" w:name="_Toc222431066"/>
      <w:r w:rsidRPr="000E5072">
        <w:rPr>
          <w:rFonts w:ascii="Arial" w:hAnsi="Arial" w:cs="Arial"/>
        </w:rPr>
        <w:t>Dietary Interventions</w:t>
      </w:r>
      <w:bookmarkEnd w:id="23"/>
      <w:bookmarkEnd w:id="24"/>
      <w:bookmarkEnd w:id="25"/>
      <w:bookmarkEnd w:id="26"/>
      <w:bookmarkEnd w:id="27"/>
      <w:bookmarkEnd w:id="28"/>
    </w:p>
    <w:p w14:paraId="79A3F44F" w14:textId="5F0ADF11"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 xml:space="preserve">Nutrition therapy is a core component of type 2 diabetes management, and empirical studies reveal that structured diet interventions may decrease HbA1c by 0.3-2% (Evert, et al., 2019). Its major goals are to achieve and sustain optimal </w:t>
      </w:r>
      <w:proofErr w:type="spellStart"/>
      <w:r w:rsidRPr="00333251">
        <w:rPr>
          <w:rFonts w:ascii="Arial" w:hAnsi="Arial" w:cs="Arial"/>
          <w:sz w:val="22"/>
          <w:szCs w:val="22"/>
        </w:rPr>
        <w:t>glycaemic</w:t>
      </w:r>
      <w:proofErr w:type="spellEnd"/>
      <w:r w:rsidRPr="00333251">
        <w:rPr>
          <w:rFonts w:ascii="Arial" w:hAnsi="Arial" w:cs="Arial"/>
          <w:sz w:val="22"/>
          <w:szCs w:val="22"/>
        </w:rPr>
        <w:t>, lipid, and blood-pressure levels and promote the overall well-being through proper nutritional intake. Instead of allowing a single dietary strategy, modern evidence supports personalized nutrition plans considering individual preferences, culture, and metabolic objectives.</w:t>
      </w:r>
      <w:r w:rsidRPr="00333251">
        <w:rPr>
          <w:rFonts w:ascii="Arial" w:hAnsi="Arial" w:cs="Arial"/>
          <w:sz w:val="22"/>
          <w:szCs w:val="22"/>
        </w:rPr>
        <w:br/>
        <w:t xml:space="preserve">The management of carbohydrates has continued to be the focus of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control. People must pay attention to eating complex carbohydrates whose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index(GI) is low, including whole grains, legumes, and non-starchy vegetables that cause slow glucose elevation, not a rapid one. A review by Ojo, et al. (2018) showed that low-GI diets have significant levels of HbA1c and fasting glucose reduction compared to high-GI diets. Using portion control and carbohydrate counting methods allows a person to approximate carbohydrate amount and align with medication overlap, especially for the insulin-dependent group.</w:t>
      </w:r>
    </w:p>
    <w:p w14:paraId="21E0682C" w14:textId="6B91AE01" w:rsidR="00333251" w:rsidRPr="000E5072" w:rsidRDefault="00333251" w:rsidP="000E5072">
      <w:pPr>
        <w:pStyle w:val="Heading2"/>
        <w:rPr>
          <w:rFonts w:ascii="Arial" w:hAnsi="Arial" w:cs="Arial"/>
        </w:rPr>
      </w:pPr>
      <w:bookmarkStart w:id="29" w:name="_Toc222430653"/>
      <w:bookmarkStart w:id="30" w:name="_Toc222430731"/>
      <w:bookmarkStart w:id="31" w:name="_Toc222430807"/>
      <w:bookmarkStart w:id="32" w:name="_Toc222430862"/>
      <w:bookmarkStart w:id="33" w:name="_Toc222430919"/>
      <w:bookmarkStart w:id="34" w:name="_Toc222431067"/>
      <w:r w:rsidRPr="000E5072">
        <w:rPr>
          <w:rFonts w:ascii="Arial" w:hAnsi="Arial" w:cs="Arial"/>
        </w:rPr>
        <w:t xml:space="preserve">Physical </w:t>
      </w:r>
      <w:r w:rsidR="000E5072" w:rsidRPr="000E5072">
        <w:rPr>
          <w:rFonts w:ascii="Arial" w:hAnsi="Arial" w:cs="Arial"/>
        </w:rPr>
        <w:t>E</w:t>
      </w:r>
      <w:r w:rsidRPr="000E5072">
        <w:rPr>
          <w:rFonts w:ascii="Arial" w:hAnsi="Arial" w:cs="Arial"/>
        </w:rPr>
        <w:t xml:space="preserve">xercise and Physical </w:t>
      </w:r>
      <w:r w:rsidR="000E5072" w:rsidRPr="000E5072">
        <w:rPr>
          <w:rFonts w:ascii="Arial" w:hAnsi="Arial" w:cs="Arial"/>
        </w:rPr>
        <w:t>A</w:t>
      </w:r>
      <w:r w:rsidRPr="000E5072">
        <w:rPr>
          <w:rFonts w:ascii="Arial" w:hAnsi="Arial" w:cs="Arial"/>
        </w:rPr>
        <w:t>ctivity</w:t>
      </w:r>
      <w:bookmarkEnd w:id="29"/>
      <w:bookmarkEnd w:id="30"/>
      <w:bookmarkEnd w:id="31"/>
      <w:bookmarkEnd w:id="32"/>
      <w:bookmarkEnd w:id="33"/>
      <w:bookmarkEnd w:id="34"/>
    </w:p>
    <w:p w14:paraId="2E6A0E74" w14:textId="77777777"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Routine exercise is one of the pillars of the management of type 2 diabetes using various mechanisms. Exercise increases insulin sensitivity, makes skeletal muscle take in glucose without insulin, helps manage weight, makes the heart stronger, and decreases cardiovascular risk factors (Colberg, et al., 2016). The American Diabetes Association suggests a minimum of 150 minutes of aerobic moderate-intensity exercise per week, measured and divided over three or more days, with no more than two non-activity days. Aerobic exercises, such as brisk walking, cycling, swimming, and dancing, increase heart rate and oxygen uptake, which in turn improves cardiovascular fitness and promotes the use of glucose.</w:t>
      </w:r>
    </w:p>
    <w:p w14:paraId="1CA5943E" w14:textId="77777777" w:rsidR="00333251" w:rsidRPr="000E5072" w:rsidRDefault="00333251" w:rsidP="005103CC">
      <w:pPr>
        <w:spacing w:line="360" w:lineRule="auto"/>
        <w:rPr>
          <w:rStyle w:val="Heading2Char"/>
          <w:rFonts w:ascii="Arial" w:hAnsi="Arial" w:cs="Arial"/>
        </w:rPr>
      </w:pPr>
      <w:r w:rsidRPr="00333251">
        <w:rPr>
          <w:rFonts w:ascii="Arial" w:hAnsi="Arial" w:cs="Arial"/>
          <w:sz w:val="22"/>
          <w:szCs w:val="22"/>
        </w:rPr>
        <w:t>Breaks in inactive lifestyles are another consideration of salience. Experimental data reveal that sitting time can be interrupted every 30 minutes with a short-duration activity significantly to significantly improve post-prandial glucose regulation (Dempsey, et al., 2016). Practice nurses ought to work towards helping patients incorporate incidental exercise into their daily routines, such as using stairs, lifts, parking further away, or using active leisure activities.</w:t>
      </w:r>
      <w:r w:rsidRPr="00333251">
        <w:rPr>
          <w:rFonts w:ascii="Arial" w:hAnsi="Arial" w:cs="Arial"/>
          <w:sz w:val="22"/>
          <w:szCs w:val="22"/>
        </w:rPr>
        <w:br/>
      </w:r>
      <w:r w:rsidRPr="00333251">
        <w:rPr>
          <w:rFonts w:ascii="Arial" w:hAnsi="Arial" w:cs="Arial"/>
          <w:sz w:val="22"/>
          <w:szCs w:val="22"/>
        </w:rPr>
        <w:br/>
      </w:r>
      <w:r w:rsidRPr="000E5072">
        <w:rPr>
          <w:rStyle w:val="Heading2Char"/>
          <w:rFonts w:ascii="Arial" w:hAnsi="Arial" w:cs="Arial"/>
        </w:rPr>
        <w:t>Smoking Cessation</w:t>
      </w:r>
    </w:p>
    <w:p w14:paraId="375214D1" w14:textId="3F1C68A4" w:rsidR="00333251" w:rsidRPr="005103CC" w:rsidRDefault="00333251" w:rsidP="005103CC">
      <w:pPr>
        <w:spacing w:line="360" w:lineRule="auto"/>
        <w:rPr>
          <w:rFonts w:ascii="Arial" w:hAnsi="Arial" w:cs="Arial"/>
          <w:sz w:val="22"/>
          <w:szCs w:val="22"/>
        </w:rPr>
      </w:pPr>
      <w:r w:rsidRPr="00333251">
        <w:rPr>
          <w:rFonts w:ascii="Arial" w:hAnsi="Arial" w:cs="Arial"/>
          <w:sz w:val="22"/>
          <w:szCs w:val="22"/>
        </w:rPr>
        <w:t xml:space="preserve">Smoking is a contributing factor to Type 2 diabetes complications by various mechanisms and impairs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control. Tobacco and its nicotine raise insulin resistance, raise plasma glucose levels, and provoke systemic inflammation and oxidative stress (Zhang, et al.,2022)</w:t>
      </w:r>
      <w:r w:rsidRPr="005103CC">
        <w:rPr>
          <w:rFonts w:ascii="Arial" w:hAnsi="Arial" w:cs="Arial"/>
          <w:sz w:val="22"/>
          <w:szCs w:val="22"/>
        </w:rPr>
        <w:t xml:space="preserve"> </w:t>
      </w:r>
      <w:r w:rsidRPr="00333251">
        <w:rPr>
          <w:rFonts w:ascii="Arial" w:hAnsi="Arial" w:cs="Arial"/>
          <w:sz w:val="22"/>
          <w:szCs w:val="22"/>
        </w:rPr>
        <w:t>Moreover, smoking significantly increases the risk of cardiovascular disease, which is increased in patients with diabetes; the interaction is synergistic, boosting morbidity and mortality.</w:t>
      </w:r>
    </w:p>
    <w:p w14:paraId="57913B2B" w14:textId="717B54C7"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There is evidence that diabetic smokers are at a 30-40 per cent higher risk of cardiovascular disease and microvascular complications such as nephropathy, retinopathy, and neuropathy compared to non-smoking diabetic patients (NICE, 2021). Thus, smoking cessation is an urgent intervention, and practice nurses should be able to provide brief interventions and refer patients to cessation programs and provide them with pharmacological aids (e.g., nicotine-replacement therapy or varenicline as needed).</w:t>
      </w:r>
      <w:r w:rsidRPr="00333251">
        <w:rPr>
          <w:rFonts w:ascii="Arial" w:hAnsi="Arial" w:cs="Arial"/>
          <w:sz w:val="22"/>
          <w:szCs w:val="22"/>
        </w:rPr>
        <w:br/>
      </w:r>
    </w:p>
    <w:p w14:paraId="7997B669" w14:textId="77777777" w:rsidR="00333251" w:rsidRPr="000E5072" w:rsidRDefault="00333251" w:rsidP="000E5072">
      <w:pPr>
        <w:pStyle w:val="Heading2"/>
        <w:rPr>
          <w:rFonts w:ascii="Arial" w:hAnsi="Arial" w:cs="Arial"/>
        </w:rPr>
      </w:pPr>
      <w:bookmarkStart w:id="35" w:name="_Toc222430654"/>
      <w:bookmarkStart w:id="36" w:name="_Toc222430732"/>
      <w:bookmarkStart w:id="37" w:name="_Toc222430808"/>
      <w:bookmarkStart w:id="38" w:name="_Toc222430863"/>
      <w:bookmarkStart w:id="39" w:name="_Toc222430920"/>
      <w:bookmarkStart w:id="40" w:name="_Toc222431068"/>
      <w:r w:rsidRPr="000E5072">
        <w:rPr>
          <w:rFonts w:ascii="Arial" w:hAnsi="Arial" w:cs="Arial"/>
        </w:rPr>
        <w:t>Weight Management</w:t>
      </w:r>
      <w:bookmarkEnd w:id="35"/>
      <w:bookmarkEnd w:id="36"/>
      <w:bookmarkEnd w:id="37"/>
      <w:bookmarkEnd w:id="38"/>
      <w:bookmarkEnd w:id="39"/>
      <w:bookmarkEnd w:id="40"/>
    </w:p>
    <w:p w14:paraId="7BCEBB6C" w14:textId="77777777"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 xml:space="preserve">A small reduction in body weight of 5-10 percent can produce clinically significant changes in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control, blood pressure, and lipid profiles, even in individuals with Type 2 diabetes and who are overweight or obese (Ryan, and Yockey, 2017). The Diabetes Prevention </w:t>
      </w:r>
      <w:proofErr w:type="spellStart"/>
      <w:r w:rsidRPr="00333251">
        <w:rPr>
          <w:rFonts w:ascii="Arial" w:hAnsi="Arial" w:cs="Arial"/>
          <w:sz w:val="22"/>
          <w:szCs w:val="22"/>
        </w:rPr>
        <w:t>Programme</w:t>
      </w:r>
      <w:proofErr w:type="spellEnd"/>
      <w:r w:rsidRPr="00333251">
        <w:rPr>
          <w:rFonts w:ascii="Arial" w:hAnsi="Arial" w:cs="Arial"/>
          <w:sz w:val="22"/>
          <w:szCs w:val="22"/>
        </w:rPr>
        <w:t xml:space="preserve"> showed how an intense lifestyle </w:t>
      </w:r>
      <w:proofErr w:type="spellStart"/>
      <w:r w:rsidRPr="00333251">
        <w:rPr>
          <w:rFonts w:ascii="Arial" w:hAnsi="Arial" w:cs="Arial"/>
          <w:sz w:val="22"/>
          <w:szCs w:val="22"/>
        </w:rPr>
        <w:t>programme</w:t>
      </w:r>
      <w:proofErr w:type="spellEnd"/>
      <w:r w:rsidRPr="00333251">
        <w:rPr>
          <w:rFonts w:ascii="Arial" w:hAnsi="Arial" w:cs="Arial"/>
          <w:sz w:val="22"/>
          <w:szCs w:val="22"/>
        </w:rPr>
        <w:t>, including dietary change and greater physical activity to achieve a 7 per cent weight loss, reduced the risk of prediabetes to Type 2 diabetes by 58 per cent (Knowler, et al., 2002). In patients who have been diagnosed, weight reduction increases insulin sensitivity and could allow one to lower or stop antidiabetic medication in some cases.</w:t>
      </w:r>
    </w:p>
    <w:p w14:paraId="250B9543" w14:textId="77777777" w:rsidR="00333251" w:rsidRPr="000E5072" w:rsidRDefault="00333251" w:rsidP="005103CC">
      <w:pPr>
        <w:spacing w:line="360" w:lineRule="auto"/>
        <w:rPr>
          <w:rStyle w:val="Heading1Char"/>
          <w:rFonts w:ascii="Arial" w:hAnsi="Arial" w:cs="Arial"/>
        </w:rPr>
      </w:pPr>
      <w:r w:rsidRPr="00333251">
        <w:rPr>
          <w:rFonts w:ascii="Arial" w:hAnsi="Arial" w:cs="Arial"/>
          <w:sz w:val="22"/>
          <w:szCs w:val="22"/>
        </w:rPr>
        <w:t xml:space="preserve">Effective weight management is not a temporary diet but lifelong </w:t>
      </w:r>
      <w:proofErr w:type="spellStart"/>
      <w:r w:rsidRPr="00333251">
        <w:rPr>
          <w:rFonts w:ascii="Arial" w:hAnsi="Arial" w:cs="Arial"/>
          <w:sz w:val="22"/>
          <w:szCs w:val="22"/>
        </w:rPr>
        <w:t>behavioural</w:t>
      </w:r>
      <w:proofErr w:type="spellEnd"/>
      <w:r w:rsidRPr="00333251">
        <w:rPr>
          <w:rFonts w:ascii="Arial" w:hAnsi="Arial" w:cs="Arial"/>
          <w:sz w:val="22"/>
          <w:szCs w:val="22"/>
        </w:rPr>
        <w:t xml:space="preserve"> modifications. Practice nurses can support patients by using goal-setting, self-monitoring strategies, recognizing barriers, and rewarding accomplishments. In case of BMI over 35kg/m2, it is recommended to refer to specialist weight-management services or consider bariatric surgery since strong evidence suggests high rates of diabetes remission following bariatric surgeries (NICE, 2022).</w:t>
      </w:r>
      <w:r w:rsidRPr="00333251">
        <w:rPr>
          <w:rFonts w:ascii="Arial" w:hAnsi="Arial" w:cs="Arial"/>
          <w:sz w:val="22"/>
          <w:szCs w:val="22"/>
        </w:rPr>
        <w:br/>
      </w:r>
      <w:r w:rsidRPr="00333251">
        <w:rPr>
          <w:rFonts w:ascii="Arial" w:hAnsi="Arial" w:cs="Arial"/>
          <w:sz w:val="22"/>
          <w:szCs w:val="22"/>
        </w:rPr>
        <w:br/>
      </w:r>
      <w:r w:rsidRPr="000E5072">
        <w:rPr>
          <w:rStyle w:val="Heading1Char"/>
          <w:rFonts w:ascii="Arial" w:hAnsi="Arial" w:cs="Arial"/>
        </w:rPr>
        <w:t>CONCLUSION </w:t>
      </w:r>
    </w:p>
    <w:p w14:paraId="209E6936" w14:textId="77777777" w:rsidR="00333251" w:rsidRPr="00333251" w:rsidRDefault="00333251" w:rsidP="005103CC">
      <w:pPr>
        <w:spacing w:line="360" w:lineRule="auto"/>
        <w:rPr>
          <w:rFonts w:ascii="Arial" w:hAnsi="Arial" w:cs="Arial"/>
          <w:sz w:val="22"/>
          <w:szCs w:val="22"/>
        </w:rPr>
      </w:pPr>
      <w:r w:rsidRPr="00333251">
        <w:rPr>
          <w:rFonts w:ascii="Arial" w:hAnsi="Arial" w:cs="Arial"/>
          <w:sz w:val="22"/>
          <w:szCs w:val="22"/>
        </w:rPr>
        <w:t xml:space="preserve">Type 2 diabetes is a complex metabolic condition accompanied by insulin resistance and progressive 2-cell dysfunction, resulting in persistent </w:t>
      </w:r>
      <w:proofErr w:type="spellStart"/>
      <w:r w:rsidRPr="00333251">
        <w:rPr>
          <w:rFonts w:ascii="Arial" w:hAnsi="Arial" w:cs="Arial"/>
          <w:sz w:val="22"/>
          <w:szCs w:val="22"/>
        </w:rPr>
        <w:t>hyperglycaemia</w:t>
      </w:r>
      <w:proofErr w:type="spellEnd"/>
      <w:r w:rsidRPr="00333251">
        <w:rPr>
          <w:rFonts w:ascii="Arial" w:hAnsi="Arial" w:cs="Arial"/>
          <w:sz w:val="22"/>
          <w:szCs w:val="22"/>
        </w:rPr>
        <w:t xml:space="preserve">. The precise knowledge of the physiological processes of glucose homeostasis, which is the synergistic action of insulin and glucagon, is invaluable in developing effective diabetes management protocols. The significance of glucose regulation is explained by cellular respiration, as this vital metabolite is the obligatory prerequisite of ATP synthesis, which then supports all cellular processes. Any distortion of glucose metabolism sparks </w:t>
      </w:r>
      <w:proofErr w:type="spellStart"/>
      <w:r w:rsidRPr="00333251">
        <w:rPr>
          <w:rFonts w:ascii="Arial" w:hAnsi="Arial" w:cs="Arial"/>
          <w:sz w:val="22"/>
          <w:szCs w:val="22"/>
        </w:rPr>
        <w:t>hyperglycaemia</w:t>
      </w:r>
      <w:proofErr w:type="spellEnd"/>
      <w:r w:rsidRPr="00333251">
        <w:rPr>
          <w:rFonts w:ascii="Arial" w:hAnsi="Arial" w:cs="Arial"/>
          <w:sz w:val="22"/>
          <w:szCs w:val="22"/>
        </w:rPr>
        <w:t>, triggering a network of issues that plague a continuum of organ subsystems.</w:t>
      </w:r>
    </w:p>
    <w:p w14:paraId="783709A4" w14:textId="2BD2F59B" w:rsidR="00333251" w:rsidRDefault="00333251" w:rsidP="005103CC">
      <w:pPr>
        <w:spacing w:line="360" w:lineRule="auto"/>
        <w:rPr>
          <w:rFonts w:ascii="Arial" w:hAnsi="Arial" w:cs="Arial"/>
          <w:sz w:val="22"/>
          <w:szCs w:val="22"/>
        </w:rPr>
      </w:pPr>
      <w:r w:rsidRPr="00333251">
        <w:rPr>
          <w:rFonts w:ascii="Arial" w:hAnsi="Arial" w:cs="Arial"/>
          <w:sz w:val="22"/>
          <w:szCs w:val="22"/>
        </w:rPr>
        <w:t>The pillars of Type 2 diabetes management are based on evidence-based lifestyle interventions, including structured dietary practices, physical activity, smoking cessation, and weight management. These measures would alleviate the pathophysiology by improving insulin sensitivity, reducing inflammation, and promoting metabolic health. Practice nurses are instrumental in patient education, offering the knowledge and skills individuals need to be interested in their care plans and make the best health gains. Practice nurses can significantly contribute to the quality of life and prognosis of patients with Type 2 diabetes by facilitating a thorough grasp of the associated pathophysiology, enabling self-management via systematic monitoring, and ensuring evidence-based lifestyle changes.</w:t>
      </w:r>
      <w:r w:rsidRPr="00333251">
        <w:rPr>
          <w:rFonts w:ascii="Arial" w:hAnsi="Arial" w:cs="Arial"/>
          <w:sz w:val="22"/>
          <w:szCs w:val="22"/>
        </w:rPr>
        <w:br/>
      </w:r>
    </w:p>
    <w:p w14:paraId="7D8E086F" w14:textId="77777777" w:rsidR="000E5072" w:rsidRDefault="000E5072" w:rsidP="005103CC">
      <w:pPr>
        <w:spacing w:line="360" w:lineRule="auto"/>
        <w:rPr>
          <w:rFonts w:ascii="Arial" w:hAnsi="Arial" w:cs="Arial"/>
          <w:sz w:val="22"/>
          <w:szCs w:val="22"/>
        </w:rPr>
      </w:pPr>
    </w:p>
    <w:p w14:paraId="43F587DC" w14:textId="77777777" w:rsidR="000E5072" w:rsidRDefault="000E5072" w:rsidP="005103CC">
      <w:pPr>
        <w:spacing w:line="360" w:lineRule="auto"/>
        <w:rPr>
          <w:rFonts w:ascii="Arial" w:hAnsi="Arial" w:cs="Arial"/>
          <w:sz w:val="22"/>
          <w:szCs w:val="22"/>
        </w:rPr>
      </w:pPr>
    </w:p>
    <w:p w14:paraId="22F902FC" w14:textId="77777777" w:rsidR="000E5072" w:rsidRDefault="000E5072" w:rsidP="005103CC">
      <w:pPr>
        <w:spacing w:line="360" w:lineRule="auto"/>
        <w:rPr>
          <w:rFonts w:ascii="Arial" w:hAnsi="Arial" w:cs="Arial"/>
          <w:sz w:val="22"/>
          <w:szCs w:val="22"/>
        </w:rPr>
      </w:pPr>
    </w:p>
    <w:p w14:paraId="48733207" w14:textId="77777777" w:rsidR="000E5072" w:rsidRDefault="000E5072" w:rsidP="005103CC">
      <w:pPr>
        <w:spacing w:line="360" w:lineRule="auto"/>
        <w:rPr>
          <w:rFonts w:ascii="Arial" w:hAnsi="Arial" w:cs="Arial"/>
          <w:sz w:val="22"/>
          <w:szCs w:val="22"/>
        </w:rPr>
      </w:pPr>
    </w:p>
    <w:p w14:paraId="3A580068" w14:textId="77777777" w:rsidR="000E5072" w:rsidRDefault="000E5072" w:rsidP="005103CC">
      <w:pPr>
        <w:spacing w:line="360" w:lineRule="auto"/>
        <w:rPr>
          <w:rFonts w:ascii="Arial" w:hAnsi="Arial" w:cs="Arial"/>
          <w:sz w:val="22"/>
          <w:szCs w:val="22"/>
        </w:rPr>
      </w:pPr>
    </w:p>
    <w:p w14:paraId="717E75CA" w14:textId="77777777" w:rsidR="000E5072" w:rsidRDefault="000E5072" w:rsidP="005103CC">
      <w:pPr>
        <w:spacing w:line="360" w:lineRule="auto"/>
        <w:rPr>
          <w:rFonts w:ascii="Arial" w:hAnsi="Arial" w:cs="Arial"/>
          <w:sz w:val="22"/>
          <w:szCs w:val="22"/>
        </w:rPr>
      </w:pPr>
    </w:p>
    <w:p w14:paraId="262983D4" w14:textId="77777777" w:rsidR="000E5072" w:rsidRDefault="000E5072" w:rsidP="005103CC">
      <w:pPr>
        <w:spacing w:line="360" w:lineRule="auto"/>
        <w:rPr>
          <w:rFonts w:ascii="Arial" w:hAnsi="Arial" w:cs="Arial"/>
          <w:sz w:val="22"/>
          <w:szCs w:val="22"/>
        </w:rPr>
      </w:pPr>
    </w:p>
    <w:p w14:paraId="72318F38" w14:textId="77777777" w:rsidR="000E5072" w:rsidRDefault="000E5072" w:rsidP="005103CC">
      <w:pPr>
        <w:spacing w:line="360" w:lineRule="auto"/>
        <w:rPr>
          <w:rFonts w:ascii="Arial" w:hAnsi="Arial" w:cs="Arial"/>
          <w:sz w:val="22"/>
          <w:szCs w:val="22"/>
        </w:rPr>
      </w:pPr>
    </w:p>
    <w:p w14:paraId="0FEABFA5" w14:textId="77777777" w:rsidR="000E5072" w:rsidRDefault="000E5072" w:rsidP="005103CC">
      <w:pPr>
        <w:spacing w:line="360" w:lineRule="auto"/>
        <w:rPr>
          <w:rFonts w:ascii="Arial" w:hAnsi="Arial" w:cs="Arial"/>
          <w:sz w:val="22"/>
          <w:szCs w:val="22"/>
        </w:rPr>
      </w:pPr>
    </w:p>
    <w:p w14:paraId="57BA4D93" w14:textId="77777777" w:rsidR="000E5072" w:rsidRDefault="000E5072" w:rsidP="005103CC">
      <w:pPr>
        <w:spacing w:line="360" w:lineRule="auto"/>
        <w:rPr>
          <w:rFonts w:ascii="Arial" w:hAnsi="Arial" w:cs="Arial"/>
          <w:sz w:val="22"/>
          <w:szCs w:val="22"/>
        </w:rPr>
      </w:pPr>
    </w:p>
    <w:p w14:paraId="02DA131D" w14:textId="77777777" w:rsidR="000E5072" w:rsidRDefault="000E5072" w:rsidP="005103CC">
      <w:pPr>
        <w:spacing w:line="360" w:lineRule="auto"/>
        <w:rPr>
          <w:rFonts w:ascii="Arial" w:hAnsi="Arial" w:cs="Arial"/>
          <w:sz w:val="22"/>
          <w:szCs w:val="22"/>
        </w:rPr>
      </w:pPr>
    </w:p>
    <w:p w14:paraId="62AE071B" w14:textId="77777777" w:rsidR="000E5072" w:rsidRDefault="000E5072" w:rsidP="005103CC">
      <w:pPr>
        <w:spacing w:line="360" w:lineRule="auto"/>
        <w:rPr>
          <w:rFonts w:ascii="Arial" w:hAnsi="Arial" w:cs="Arial"/>
          <w:sz w:val="22"/>
          <w:szCs w:val="22"/>
        </w:rPr>
      </w:pPr>
    </w:p>
    <w:p w14:paraId="2539E440" w14:textId="77777777" w:rsidR="000E5072" w:rsidRDefault="000E5072" w:rsidP="005103CC">
      <w:pPr>
        <w:spacing w:line="360" w:lineRule="auto"/>
        <w:rPr>
          <w:rFonts w:ascii="Arial" w:hAnsi="Arial" w:cs="Arial"/>
          <w:sz w:val="22"/>
          <w:szCs w:val="22"/>
        </w:rPr>
      </w:pPr>
    </w:p>
    <w:p w14:paraId="59BFC0CB" w14:textId="77777777" w:rsidR="000E5072" w:rsidRDefault="000E5072" w:rsidP="005103CC">
      <w:pPr>
        <w:spacing w:line="360" w:lineRule="auto"/>
        <w:rPr>
          <w:rFonts w:ascii="Arial" w:hAnsi="Arial" w:cs="Arial"/>
          <w:sz w:val="22"/>
          <w:szCs w:val="22"/>
        </w:rPr>
      </w:pPr>
    </w:p>
    <w:p w14:paraId="32CB0A99" w14:textId="77777777" w:rsidR="000E5072" w:rsidRDefault="000E5072" w:rsidP="005103CC">
      <w:pPr>
        <w:spacing w:line="360" w:lineRule="auto"/>
        <w:rPr>
          <w:rFonts w:ascii="Arial" w:hAnsi="Arial" w:cs="Arial"/>
          <w:sz w:val="22"/>
          <w:szCs w:val="22"/>
        </w:rPr>
      </w:pPr>
    </w:p>
    <w:p w14:paraId="269B803B" w14:textId="77777777" w:rsidR="00711EC7" w:rsidRDefault="00711EC7" w:rsidP="005103CC">
      <w:pPr>
        <w:spacing w:line="360" w:lineRule="auto"/>
        <w:rPr>
          <w:rFonts w:ascii="Arial" w:hAnsi="Arial" w:cs="Arial"/>
          <w:sz w:val="22"/>
          <w:szCs w:val="22"/>
        </w:rPr>
      </w:pPr>
    </w:p>
    <w:p w14:paraId="42DF9544" w14:textId="77777777" w:rsidR="00711EC7" w:rsidRPr="00333251" w:rsidRDefault="00711EC7" w:rsidP="005103CC">
      <w:pPr>
        <w:spacing w:line="360" w:lineRule="auto"/>
        <w:rPr>
          <w:rFonts w:ascii="Arial" w:hAnsi="Arial" w:cs="Arial"/>
          <w:sz w:val="22"/>
          <w:szCs w:val="22"/>
        </w:rPr>
      </w:pPr>
    </w:p>
    <w:p w14:paraId="7279CE4A" w14:textId="77777777" w:rsidR="00333251" w:rsidRPr="00333251" w:rsidRDefault="00333251" w:rsidP="005103CC">
      <w:pPr>
        <w:spacing w:line="360" w:lineRule="auto"/>
        <w:rPr>
          <w:rFonts w:ascii="Arial" w:hAnsi="Arial" w:cs="Arial"/>
          <w:sz w:val="22"/>
          <w:szCs w:val="22"/>
        </w:rPr>
      </w:pPr>
    </w:p>
    <w:p w14:paraId="45EBD482" w14:textId="77777777" w:rsidR="00333251" w:rsidRPr="000E5072" w:rsidRDefault="00333251" w:rsidP="000E5072">
      <w:pPr>
        <w:pStyle w:val="Heading1"/>
        <w:rPr>
          <w:rFonts w:ascii="Arial" w:hAnsi="Arial" w:cs="Arial"/>
        </w:rPr>
      </w:pPr>
      <w:bookmarkStart w:id="41" w:name="_Toc222430655"/>
      <w:bookmarkStart w:id="42" w:name="_Toc222430733"/>
      <w:bookmarkStart w:id="43" w:name="_Toc222430809"/>
      <w:bookmarkStart w:id="44" w:name="_Toc222430864"/>
      <w:bookmarkStart w:id="45" w:name="_Toc222430921"/>
      <w:bookmarkStart w:id="46" w:name="_Toc222431069"/>
      <w:r w:rsidRPr="000E5072">
        <w:rPr>
          <w:rFonts w:ascii="Arial" w:hAnsi="Arial" w:cs="Arial"/>
        </w:rPr>
        <w:t>REFERENCES</w:t>
      </w:r>
      <w:bookmarkEnd w:id="41"/>
      <w:bookmarkEnd w:id="42"/>
      <w:bookmarkEnd w:id="43"/>
      <w:bookmarkEnd w:id="44"/>
      <w:bookmarkEnd w:id="45"/>
      <w:bookmarkEnd w:id="46"/>
    </w:p>
    <w:p w14:paraId="6B060578"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Alberts, B., Heald, R., Johnson, A., Morgan, D., Raff, M., Roberts, K. and Walter, P., 2022. </w:t>
      </w:r>
      <w:r w:rsidRPr="00333251">
        <w:rPr>
          <w:rFonts w:ascii="Arial" w:hAnsi="Arial" w:cs="Arial"/>
          <w:i/>
          <w:iCs/>
          <w:sz w:val="22"/>
          <w:szCs w:val="22"/>
        </w:rPr>
        <w:t>Molecular biology of the cell: seventh international student edition with registration card</w:t>
      </w:r>
      <w:r w:rsidRPr="00333251">
        <w:rPr>
          <w:rFonts w:ascii="Arial" w:hAnsi="Arial" w:cs="Arial"/>
          <w:sz w:val="22"/>
          <w:szCs w:val="22"/>
        </w:rPr>
        <w:t>. WW Norton &amp; Company.</w:t>
      </w:r>
      <w:hyperlink r:id="rId7" w:history="1">
        <w:r w:rsidRPr="00333251">
          <w:rPr>
            <w:rStyle w:val="Hyperlink"/>
            <w:rFonts w:ascii="Arial" w:hAnsi="Arial" w:cs="Arial"/>
            <w:sz w:val="22"/>
            <w:szCs w:val="22"/>
          </w:rPr>
          <w:t>https://books.google.com/books?hl=en&amp;lr=&amp;id=ISdiEAAAQBAJ&amp;oi=fnd&amp;pg=PR32&amp;dq=Alberts,+B.,+Johnson,+A.,+Lewis,+J.,+Morgan,+D.,+Raff,+M.,+Roberts,+K.+and+Walter,+P.+(2022)+Molecular+Biology+of+the+Cell.+7th+edn.+New+York:+W.W.+Norton+%26+Company.&amp;ots=bij2HS6_Kx&amp;sig=hC1W0oNIjn5gnyjY2YdNg8A0l3E</w:t>
        </w:r>
      </w:hyperlink>
    </w:p>
    <w:p w14:paraId="610CCF31"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Alshammari, Y., Ali, H., </w:t>
      </w:r>
      <w:proofErr w:type="spellStart"/>
      <w:r w:rsidRPr="00333251">
        <w:rPr>
          <w:rFonts w:ascii="Arial" w:hAnsi="Arial" w:cs="Arial"/>
          <w:sz w:val="22"/>
          <w:szCs w:val="22"/>
        </w:rPr>
        <w:t>Assas</w:t>
      </w:r>
      <w:proofErr w:type="spellEnd"/>
      <w:r w:rsidRPr="00333251">
        <w:rPr>
          <w:rFonts w:ascii="Arial" w:hAnsi="Arial" w:cs="Arial"/>
          <w:sz w:val="22"/>
          <w:szCs w:val="22"/>
        </w:rPr>
        <w:t xml:space="preserve">, M.B., </w:t>
      </w:r>
      <w:proofErr w:type="spellStart"/>
      <w:r w:rsidRPr="00333251">
        <w:rPr>
          <w:rFonts w:ascii="Arial" w:hAnsi="Arial" w:cs="Arial"/>
          <w:sz w:val="22"/>
          <w:szCs w:val="22"/>
        </w:rPr>
        <w:t>Alshammari</w:t>
      </w:r>
      <w:proofErr w:type="spellEnd"/>
      <w:r w:rsidRPr="00333251">
        <w:rPr>
          <w:rFonts w:ascii="Arial" w:hAnsi="Arial" w:cs="Arial"/>
          <w:sz w:val="22"/>
          <w:szCs w:val="22"/>
        </w:rPr>
        <w:t xml:space="preserve">, R., </w:t>
      </w:r>
      <w:proofErr w:type="spellStart"/>
      <w:r w:rsidRPr="00333251">
        <w:rPr>
          <w:rFonts w:ascii="Arial" w:hAnsi="Arial" w:cs="Arial"/>
          <w:sz w:val="22"/>
          <w:szCs w:val="22"/>
        </w:rPr>
        <w:t>Assas</w:t>
      </w:r>
      <w:proofErr w:type="spellEnd"/>
      <w:r w:rsidRPr="00333251">
        <w:rPr>
          <w:rFonts w:ascii="Arial" w:hAnsi="Arial" w:cs="Arial"/>
          <w:sz w:val="22"/>
          <w:szCs w:val="22"/>
        </w:rPr>
        <w:t xml:space="preserve">, M., Koti, L., Nizam, R. and Al-Mulla, F., 2026. Reduced plasma epidermal growth factor levels reflect poor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status in type 2 diabetes. </w:t>
      </w:r>
      <w:r w:rsidRPr="00333251">
        <w:rPr>
          <w:rFonts w:ascii="Arial" w:hAnsi="Arial" w:cs="Arial"/>
          <w:i/>
          <w:iCs/>
          <w:sz w:val="22"/>
          <w:szCs w:val="22"/>
        </w:rPr>
        <w:t>Endocrine Connections</w:t>
      </w:r>
      <w:r w:rsidRPr="00333251">
        <w:rPr>
          <w:rFonts w:ascii="Arial" w:hAnsi="Arial" w:cs="Arial"/>
          <w:sz w:val="22"/>
          <w:szCs w:val="22"/>
        </w:rPr>
        <w:t xml:space="preserve">, </w:t>
      </w:r>
      <w:r w:rsidRPr="00333251">
        <w:rPr>
          <w:rFonts w:ascii="Arial" w:hAnsi="Arial" w:cs="Arial"/>
          <w:i/>
          <w:iCs/>
          <w:sz w:val="22"/>
          <w:szCs w:val="22"/>
        </w:rPr>
        <w:t>15</w:t>
      </w:r>
      <w:r w:rsidRPr="00333251">
        <w:rPr>
          <w:rFonts w:ascii="Arial" w:hAnsi="Arial" w:cs="Arial"/>
          <w:sz w:val="22"/>
          <w:szCs w:val="22"/>
        </w:rPr>
        <w:t>(2).</w:t>
      </w:r>
      <w:hyperlink r:id="rId8" w:history="1">
        <w:r w:rsidRPr="00333251">
          <w:rPr>
            <w:rStyle w:val="Hyperlink"/>
            <w:rFonts w:ascii="Arial" w:hAnsi="Arial" w:cs="Arial"/>
            <w:sz w:val="22"/>
            <w:szCs w:val="22"/>
          </w:rPr>
          <w:t>https://ec.bioscientifica.com/downloadpdf/view/journals/ec/aop/EC-25-0742/EC-25-0742.pdf</w:t>
        </w:r>
      </w:hyperlink>
    </w:p>
    <w:p w14:paraId="43757BB8"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American Diabetes Association, 2023. 2. Classification and diagnosis of diabetes: Standards of Care in Diabetes—2023. </w:t>
      </w:r>
      <w:r w:rsidRPr="00333251">
        <w:rPr>
          <w:rFonts w:ascii="Arial" w:hAnsi="Arial" w:cs="Arial"/>
          <w:i/>
          <w:iCs/>
          <w:sz w:val="22"/>
          <w:szCs w:val="22"/>
        </w:rPr>
        <w:t>Diabetes care</w:t>
      </w:r>
      <w:r w:rsidRPr="00333251">
        <w:rPr>
          <w:rFonts w:ascii="Arial" w:hAnsi="Arial" w:cs="Arial"/>
          <w:sz w:val="22"/>
          <w:szCs w:val="22"/>
        </w:rPr>
        <w:t xml:space="preserve">, </w:t>
      </w:r>
      <w:r w:rsidRPr="00333251">
        <w:rPr>
          <w:rFonts w:ascii="Arial" w:hAnsi="Arial" w:cs="Arial"/>
          <w:i/>
          <w:iCs/>
          <w:sz w:val="22"/>
          <w:szCs w:val="22"/>
        </w:rPr>
        <w:t>46</w:t>
      </w:r>
      <w:r w:rsidRPr="00333251">
        <w:rPr>
          <w:rFonts w:ascii="Arial" w:hAnsi="Arial" w:cs="Arial"/>
          <w:sz w:val="22"/>
          <w:szCs w:val="22"/>
        </w:rPr>
        <w:t>, pp.S19-S40.</w:t>
      </w:r>
      <w:hyperlink r:id="rId9" w:history="1">
        <w:r w:rsidRPr="00333251">
          <w:rPr>
            <w:rStyle w:val="Hyperlink"/>
            <w:rFonts w:ascii="Arial" w:hAnsi="Arial" w:cs="Arial"/>
            <w:sz w:val="22"/>
            <w:szCs w:val="22"/>
          </w:rPr>
          <w:t>https://pure.johnshopkins.edu/en/publications/2-classification-and-diagnosis-of-diabetes-standards-of-care-in-d</w:t>
        </w:r>
      </w:hyperlink>
    </w:p>
    <w:p w14:paraId="0D18116C"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Colberg, S.R., Sigal, R.J., Yardley, J.E., Riddell, M.C., Dunstan, D.W., Dempsey, P.C., Horton, E.S., Castorino, K. and Tate, D.F., 2016. Physical activity/exercise and diabetes: a position statement of the American Diabetes Association. </w:t>
      </w:r>
      <w:r w:rsidRPr="00333251">
        <w:rPr>
          <w:rFonts w:ascii="Arial" w:hAnsi="Arial" w:cs="Arial"/>
          <w:i/>
          <w:iCs/>
          <w:sz w:val="22"/>
          <w:szCs w:val="22"/>
        </w:rPr>
        <w:t>Diabetes care</w:t>
      </w:r>
      <w:r w:rsidRPr="00333251">
        <w:rPr>
          <w:rFonts w:ascii="Arial" w:hAnsi="Arial" w:cs="Arial"/>
          <w:sz w:val="22"/>
          <w:szCs w:val="22"/>
        </w:rPr>
        <w:t xml:space="preserve">, </w:t>
      </w:r>
      <w:r w:rsidRPr="00333251">
        <w:rPr>
          <w:rFonts w:ascii="Arial" w:hAnsi="Arial" w:cs="Arial"/>
          <w:i/>
          <w:iCs/>
          <w:sz w:val="22"/>
          <w:szCs w:val="22"/>
        </w:rPr>
        <w:t>39</w:t>
      </w:r>
      <w:r w:rsidRPr="00333251">
        <w:rPr>
          <w:rFonts w:ascii="Arial" w:hAnsi="Arial" w:cs="Arial"/>
          <w:sz w:val="22"/>
          <w:szCs w:val="22"/>
        </w:rPr>
        <w:t>(11), p.2065.</w:t>
      </w:r>
      <w:hyperlink r:id="rId10" w:history="1">
        <w:r w:rsidRPr="00333251">
          <w:rPr>
            <w:rStyle w:val="Hyperlink"/>
            <w:rFonts w:ascii="Arial" w:hAnsi="Arial" w:cs="Arial"/>
            <w:sz w:val="22"/>
            <w:szCs w:val="22"/>
          </w:rPr>
          <w:t>https://pmc.ncbi.nlm.nih.gov/articles/PMC6908414/pdf/dc161728.pdf</w:t>
        </w:r>
      </w:hyperlink>
    </w:p>
    <w:p w14:paraId="6F610BF6"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Dempsey, P.C., Larsen, R.N., Sethi, P., Sacre, J.W., Straznicky, N.E., Cohen, N.D., Cerin, E., Lambert, G.W., Owen, N., </w:t>
      </w:r>
      <w:proofErr w:type="spellStart"/>
      <w:r w:rsidRPr="00333251">
        <w:rPr>
          <w:rFonts w:ascii="Arial" w:hAnsi="Arial" w:cs="Arial"/>
          <w:sz w:val="22"/>
          <w:szCs w:val="22"/>
        </w:rPr>
        <w:t>Kingwell</w:t>
      </w:r>
      <w:proofErr w:type="spellEnd"/>
      <w:r w:rsidRPr="00333251">
        <w:rPr>
          <w:rFonts w:ascii="Arial" w:hAnsi="Arial" w:cs="Arial"/>
          <w:sz w:val="22"/>
          <w:szCs w:val="22"/>
        </w:rPr>
        <w:t xml:space="preserve">, B.A. and </w:t>
      </w:r>
      <w:proofErr w:type="spellStart"/>
      <w:r w:rsidRPr="00333251">
        <w:rPr>
          <w:rFonts w:ascii="Arial" w:hAnsi="Arial" w:cs="Arial"/>
          <w:sz w:val="22"/>
          <w:szCs w:val="22"/>
        </w:rPr>
        <w:t>Dunstan</w:t>
      </w:r>
      <w:proofErr w:type="spellEnd"/>
      <w:r w:rsidRPr="00333251">
        <w:rPr>
          <w:rFonts w:ascii="Arial" w:hAnsi="Arial" w:cs="Arial"/>
          <w:sz w:val="22"/>
          <w:szCs w:val="22"/>
        </w:rPr>
        <w:t xml:space="preserve">, D.W., 2016. Benefits for type 2 diabetes of interrupting prolonged sitting with brief bouts of light walking or simple resistance activities. </w:t>
      </w:r>
      <w:r w:rsidRPr="00333251">
        <w:rPr>
          <w:rFonts w:ascii="Arial" w:hAnsi="Arial" w:cs="Arial"/>
          <w:i/>
          <w:iCs/>
          <w:sz w:val="22"/>
          <w:szCs w:val="22"/>
        </w:rPr>
        <w:t>Diabetes care</w:t>
      </w:r>
      <w:r w:rsidRPr="00333251">
        <w:rPr>
          <w:rFonts w:ascii="Arial" w:hAnsi="Arial" w:cs="Arial"/>
          <w:sz w:val="22"/>
          <w:szCs w:val="22"/>
        </w:rPr>
        <w:t xml:space="preserve">, </w:t>
      </w:r>
      <w:r w:rsidRPr="00333251">
        <w:rPr>
          <w:rFonts w:ascii="Arial" w:hAnsi="Arial" w:cs="Arial"/>
          <w:i/>
          <w:iCs/>
          <w:sz w:val="22"/>
          <w:szCs w:val="22"/>
        </w:rPr>
        <w:t>39</w:t>
      </w:r>
      <w:r w:rsidRPr="00333251">
        <w:rPr>
          <w:rFonts w:ascii="Arial" w:hAnsi="Arial" w:cs="Arial"/>
          <w:sz w:val="22"/>
          <w:szCs w:val="22"/>
        </w:rPr>
        <w:t>(6), pp.964-972.</w:t>
      </w:r>
      <w:hyperlink r:id="rId11" w:history="1">
        <w:r w:rsidRPr="00333251">
          <w:rPr>
            <w:rStyle w:val="Hyperlink"/>
            <w:rFonts w:ascii="Arial" w:hAnsi="Arial" w:cs="Arial"/>
            <w:sz w:val="22"/>
            <w:szCs w:val="22"/>
          </w:rPr>
          <w:t>http://saigaiin.sakura.ne.jp/sblo_files/saigaiin/image/Benefits20for20Type20220Diabetes20of.pdf</w:t>
        </w:r>
      </w:hyperlink>
    </w:p>
    <w:p w14:paraId="7914D141"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Diabetes UK (2022) Evidence-based nutrition guidelines for the prevention and management of diabetes. Available at:</w:t>
      </w:r>
      <w:hyperlink r:id="rId12" w:history="1">
        <w:r w:rsidRPr="00333251">
          <w:rPr>
            <w:rStyle w:val="Hyperlink"/>
            <w:rFonts w:ascii="Arial" w:hAnsi="Arial" w:cs="Arial"/>
            <w:sz w:val="22"/>
            <w:szCs w:val="22"/>
          </w:rPr>
          <w:t>https://www.diabetes.org.uk/for-professionals/improving-care/clinical-recommendations-for-professionals/food-nutrition-lifestyle/evidence-based-nutrition-guidelines-for-the-prevention-and-management-of-diabetes</w:t>
        </w:r>
      </w:hyperlink>
    </w:p>
    <w:p w14:paraId="2EAC923E"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Evert, A.B., Dennison, M., Gardner, C.D., Garvey, W.T., Lau, K.H.K., MacLeod, J., </w:t>
      </w:r>
      <w:proofErr w:type="spellStart"/>
      <w:r w:rsidRPr="00333251">
        <w:rPr>
          <w:rFonts w:ascii="Arial" w:hAnsi="Arial" w:cs="Arial"/>
          <w:sz w:val="22"/>
          <w:szCs w:val="22"/>
        </w:rPr>
        <w:t>Mitri</w:t>
      </w:r>
      <w:proofErr w:type="spellEnd"/>
      <w:r w:rsidRPr="00333251">
        <w:rPr>
          <w:rFonts w:ascii="Arial" w:hAnsi="Arial" w:cs="Arial"/>
          <w:sz w:val="22"/>
          <w:szCs w:val="22"/>
        </w:rPr>
        <w:t xml:space="preserve">, J., Pereira, R.F., Rawlings, K., Robinson, S. and Saslow, L., 2019. Nutrition therapy for adults with diabetes or prediabetes: a consensus report. </w:t>
      </w:r>
      <w:r w:rsidRPr="00333251">
        <w:rPr>
          <w:rFonts w:ascii="Arial" w:hAnsi="Arial" w:cs="Arial"/>
          <w:i/>
          <w:iCs/>
          <w:sz w:val="22"/>
          <w:szCs w:val="22"/>
        </w:rPr>
        <w:t>Diabetes care</w:t>
      </w:r>
      <w:r w:rsidRPr="00333251">
        <w:rPr>
          <w:rFonts w:ascii="Arial" w:hAnsi="Arial" w:cs="Arial"/>
          <w:sz w:val="22"/>
          <w:szCs w:val="22"/>
        </w:rPr>
        <w:t xml:space="preserve">, </w:t>
      </w:r>
      <w:r w:rsidRPr="00333251">
        <w:rPr>
          <w:rFonts w:ascii="Arial" w:hAnsi="Arial" w:cs="Arial"/>
          <w:i/>
          <w:iCs/>
          <w:sz w:val="22"/>
          <w:szCs w:val="22"/>
        </w:rPr>
        <w:t>42</w:t>
      </w:r>
      <w:r w:rsidRPr="00333251">
        <w:rPr>
          <w:rFonts w:ascii="Arial" w:hAnsi="Arial" w:cs="Arial"/>
          <w:sz w:val="22"/>
          <w:szCs w:val="22"/>
        </w:rPr>
        <w:t>(5), p.731.</w:t>
      </w:r>
      <w:hyperlink r:id="rId13" w:history="1">
        <w:r w:rsidRPr="00333251">
          <w:rPr>
            <w:rStyle w:val="Hyperlink"/>
            <w:rFonts w:ascii="Arial" w:hAnsi="Arial" w:cs="Arial"/>
            <w:sz w:val="22"/>
            <w:szCs w:val="22"/>
          </w:rPr>
          <w:t>https://pmc.ncbi.nlm.nih.gov/articles/PMC7011201/pdf/dci190014.pdf</w:t>
        </w:r>
      </w:hyperlink>
    </w:p>
    <w:p w14:paraId="2D731018"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Galicia-Garcia, U., Benito-Vicente, A., </w:t>
      </w:r>
      <w:proofErr w:type="spellStart"/>
      <w:r w:rsidRPr="00333251">
        <w:rPr>
          <w:rFonts w:ascii="Arial" w:hAnsi="Arial" w:cs="Arial"/>
          <w:sz w:val="22"/>
          <w:szCs w:val="22"/>
        </w:rPr>
        <w:t>Jebari</w:t>
      </w:r>
      <w:proofErr w:type="spellEnd"/>
      <w:r w:rsidRPr="00333251">
        <w:rPr>
          <w:rFonts w:ascii="Arial" w:hAnsi="Arial" w:cs="Arial"/>
          <w:sz w:val="22"/>
          <w:szCs w:val="22"/>
        </w:rPr>
        <w:t xml:space="preserve">, S., </w:t>
      </w:r>
      <w:proofErr w:type="spellStart"/>
      <w:r w:rsidRPr="00333251">
        <w:rPr>
          <w:rFonts w:ascii="Arial" w:hAnsi="Arial" w:cs="Arial"/>
          <w:sz w:val="22"/>
          <w:szCs w:val="22"/>
        </w:rPr>
        <w:t>Larrea-Sebal</w:t>
      </w:r>
      <w:proofErr w:type="spellEnd"/>
      <w:r w:rsidRPr="00333251">
        <w:rPr>
          <w:rFonts w:ascii="Arial" w:hAnsi="Arial" w:cs="Arial"/>
          <w:sz w:val="22"/>
          <w:szCs w:val="22"/>
        </w:rPr>
        <w:t xml:space="preserve">, A., Siddiqi, H., Uribe, K.B., Ostolaza, H. and Martín, C., 2020. Pathophysiology of type 2 diabetes mellitus. </w:t>
      </w:r>
      <w:r w:rsidRPr="00333251">
        <w:rPr>
          <w:rFonts w:ascii="Arial" w:hAnsi="Arial" w:cs="Arial"/>
          <w:i/>
          <w:iCs/>
          <w:sz w:val="22"/>
          <w:szCs w:val="22"/>
        </w:rPr>
        <w:t>International journal of molecular sciences</w:t>
      </w:r>
      <w:r w:rsidRPr="00333251">
        <w:rPr>
          <w:rFonts w:ascii="Arial" w:hAnsi="Arial" w:cs="Arial"/>
          <w:sz w:val="22"/>
          <w:szCs w:val="22"/>
        </w:rPr>
        <w:t xml:space="preserve">, </w:t>
      </w:r>
      <w:r w:rsidRPr="00333251">
        <w:rPr>
          <w:rFonts w:ascii="Arial" w:hAnsi="Arial" w:cs="Arial"/>
          <w:i/>
          <w:iCs/>
          <w:sz w:val="22"/>
          <w:szCs w:val="22"/>
        </w:rPr>
        <w:t>21</w:t>
      </w:r>
      <w:r w:rsidRPr="00333251">
        <w:rPr>
          <w:rFonts w:ascii="Arial" w:hAnsi="Arial" w:cs="Arial"/>
          <w:sz w:val="22"/>
          <w:szCs w:val="22"/>
        </w:rPr>
        <w:t>(17), p.6275.</w:t>
      </w:r>
      <w:hyperlink r:id="rId14" w:history="1">
        <w:r w:rsidRPr="00333251">
          <w:rPr>
            <w:rStyle w:val="Hyperlink"/>
            <w:rFonts w:ascii="Arial" w:hAnsi="Arial" w:cs="Arial"/>
            <w:sz w:val="22"/>
            <w:szCs w:val="22"/>
          </w:rPr>
          <w:t>https://www.mdpi.com/1422-0067/21/17/6275/pdf</w:t>
        </w:r>
      </w:hyperlink>
    </w:p>
    <w:p w14:paraId="323D2BB5" w14:textId="77777777" w:rsidR="008E1491" w:rsidRPr="00333251" w:rsidRDefault="008E1491" w:rsidP="005103CC">
      <w:pPr>
        <w:spacing w:line="360" w:lineRule="auto"/>
        <w:rPr>
          <w:rFonts w:ascii="Arial" w:hAnsi="Arial" w:cs="Arial"/>
          <w:sz w:val="22"/>
          <w:szCs w:val="22"/>
        </w:rPr>
      </w:pPr>
      <w:r w:rsidRPr="005103CC">
        <w:rPr>
          <w:rFonts w:ascii="Arial" w:hAnsi="Arial" w:cs="Arial"/>
          <w:sz w:val="22"/>
          <w:szCs w:val="22"/>
        </w:rPr>
        <w:t>Guideline</w:t>
      </w:r>
      <w:r w:rsidRPr="00333251">
        <w:rPr>
          <w:rFonts w:ascii="Arial" w:hAnsi="Arial" w:cs="Arial"/>
          <w:sz w:val="22"/>
          <w:szCs w:val="22"/>
        </w:rPr>
        <w:t xml:space="preserve"> NG209, N.I.C.E., 2021. Tobacco: preventing uptake, promoting quitting and treating dependence (update). </w:t>
      </w:r>
      <w:r w:rsidRPr="00333251">
        <w:rPr>
          <w:rFonts w:ascii="Arial" w:hAnsi="Arial" w:cs="Arial"/>
          <w:i/>
          <w:iCs/>
          <w:sz w:val="22"/>
          <w:szCs w:val="22"/>
        </w:rPr>
        <w:t>Methods</w:t>
      </w:r>
      <w:r w:rsidRPr="00333251">
        <w:rPr>
          <w:rFonts w:ascii="Arial" w:hAnsi="Arial" w:cs="Arial"/>
          <w:sz w:val="22"/>
          <w:szCs w:val="22"/>
        </w:rPr>
        <w:t>.</w:t>
      </w:r>
      <w:hyperlink r:id="rId15" w:history="1">
        <w:r w:rsidRPr="00333251">
          <w:rPr>
            <w:rStyle w:val="Hyperlink"/>
            <w:rFonts w:ascii="Arial" w:hAnsi="Arial" w:cs="Arial"/>
            <w:sz w:val="22"/>
            <w:szCs w:val="22"/>
          </w:rPr>
          <w:t>https://www.ncbi.nlm.nih.gov/books/NBK589628/pdf/Bookshelf_NBK589628.pdf</w:t>
        </w:r>
      </w:hyperlink>
    </w:p>
    <w:p w14:paraId="6FC28110"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Guideline, N.I.C.E., 2022. Type 2 diabetes in adults: Management (update). </w:t>
      </w:r>
      <w:r w:rsidRPr="00333251">
        <w:rPr>
          <w:rFonts w:ascii="Arial" w:hAnsi="Arial" w:cs="Arial"/>
          <w:i/>
          <w:iCs/>
          <w:sz w:val="22"/>
          <w:szCs w:val="22"/>
        </w:rPr>
        <w:t>United Kingdom: National Institute for Health and Care Excellence</w:t>
      </w:r>
      <w:r w:rsidRPr="00333251">
        <w:rPr>
          <w:rFonts w:ascii="Arial" w:hAnsi="Arial" w:cs="Arial"/>
          <w:sz w:val="22"/>
          <w:szCs w:val="22"/>
        </w:rPr>
        <w:t>.</w:t>
      </w:r>
      <w:hyperlink r:id="rId16" w:history="1">
        <w:r w:rsidRPr="00333251">
          <w:rPr>
            <w:rStyle w:val="Hyperlink"/>
            <w:rFonts w:ascii="Arial" w:hAnsi="Arial" w:cs="Arial"/>
            <w:sz w:val="22"/>
            <w:szCs w:val="22"/>
          </w:rPr>
          <w:t>https://www.ncbi.nlm.nih.gov/books/NBK580244/bin/niceng28er3_bm1.pdf</w:t>
        </w:r>
      </w:hyperlink>
    </w:p>
    <w:p w14:paraId="13DE3980"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Hall, J.E. and Hall, M.E., 2020. </w:t>
      </w:r>
      <w:r w:rsidRPr="00333251">
        <w:rPr>
          <w:rFonts w:ascii="Arial" w:hAnsi="Arial" w:cs="Arial"/>
          <w:i/>
          <w:iCs/>
          <w:sz w:val="22"/>
          <w:szCs w:val="22"/>
        </w:rPr>
        <w:t>Guyton and Hall Textbook of Medical Physiology E-Book: Guyton and Hall Textbook of Medical Physiology E-Book</w:t>
      </w:r>
      <w:r w:rsidRPr="00333251">
        <w:rPr>
          <w:rFonts w:ascii="Arial" w:hAnsi="Arial" w:cs="Arial"/>
          <w:sz w:val="22"/>
          <w:szCs w:val="22"/>
        </w:rPr>
        <w:t>. Elsevier Health Sciences.</w:t>
      </w:r>
      <w:hyperlink r:id="rId17" w:history="1">
        <w:r w:rsidRPr="00333251">
          <w:rPr>
            <w:rStyle w:val="Hyperlink"/>
            <w:rFonts w:ascii="Arial" w:hAnsi="Arial" w:cs="Arial"/>
            <w:sz w:val="22"/>
            <w:szCs w:val="22"/>
          </w:rPr>
          <w:t>https://books.google.com/books?hl=en&amp;lr=&amp;id=H1rrDwAAQBAJ&amp;oi=fnd&amp;pg=PP1&amp;dq=Hall,+J.E.+and+Hall,+M.E.+(2020)+Guyton+and+Hall+Textbook+of+Medical+Physiology.+14th+edn.+Philadelphia:+Elsevier.&amp;ots=tK2vsXFx3k&amp;sig=z2N5PiDyp6zvPw53HYvm619Y3GU</w:t>
        </w:r>
      </w:hyperlink>
    </w:p>
    <w:p w14:paraId="4F50B28C"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Hossain, M.J., Al-Mamun, M. and Islam, M.R. (2024) ‘Diabetes mellitus, the fastest growing global public health concern: Early detection should be focused’, </w:t>
      </w:r>
      <w:r w:rsidRPr="00333251">
        <w:rPr>
          <w:rFonts w:ascii="Arial" w:hAnsi="Arial" w:cs="Arial"/>
          <w:i/>
          <w:iCs/>
          <w:sz w:val="22"/>
          <w:szCs w:val="22"/>
        </w:rPr>
        <w:t>Health Science Reports</w:t>
      </w:r>
      <w:r w:rsidRPr="00333251">
        <w:rPr>
          <w:rFonts w:ascii="Arial" w:hAnsi="Arial" w:cs="Arial"/>
          <w:sz w:val="22"/>
          <w:szCs w:val="22"/>
        </w:rPr>
        <w:t>, 7(3), e2004. Available at:</w:t>
      </w:r>
      <w:hyperlink r:id="rId18" w:history="1">
        <w:r w:rsidRPr="00333251">
          <w:rPr>
            <w:rStyle w:val="Hyperlink"/>
            <w:rFonts w:ascii="Arial" w:hAnsi="Arial" w:cs="Arial"/>
            <w:sz w:val="22"/>
            <w:szCs w:val="22"/>
          </w:rPr>
          <w:t xml:space="preserve"> https://doi.org/10.1002/hsr2.2004</w:t>
        </w:r>
      </w:hyperlink>
      <w:r w:rsidRPr="00333251">
        <w:rPr>
          <w:rFonts w:ascii="Arial" w:hAnsi="Arial" w:cs="Arial"/>
          <w:sz w:val="22"/>
          <w:szCs w:val="22"/>
        </w:rPr>
        <w:t xml:space="preserve"> (Accessed: 13 February 2026).</w:t>
      </w:r>
    </w:p>
    <w:p w14:paraId="274FE0EE"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Knowler, W.C., Barrett-Connor, E., Fowler, S.E., Hamman, R.F., Lachin, J.M., Walker, E.A., Nathan, D.M., Watson, P.G., Mendoza, J.T., Smith, K.A. and Caro, J., 2002. Reduction in the incidence of type 2 diabetes with lifestyle intervention or metformin.</w:t>
      </w:r>
      <w:hyperlink r:id="rId19" w:history="1">
        <w:r w:rsidRPr="00333251">
          <w:rPr>
            <w:rStyle w:val="Hyperlink"/>
            <w:rFonts w:ascii="Arial" w:hAnsi="Arial" w:cs="Arial"/>
            <w:sz w:val="22"/>
            <w:szCs w:val="22"/>
          </w:rPr>
          <w:t>https://jdc.jefferson.edu/cgi/viewcontent.cgi?article=1344&amp;context=medfp</w:t>
        </w:r>
      </w:hyperlink>
    </w:p>
    <w:p w14:paraId="3E74C91A"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NHS (2023) Type 2 diabetes. Available at: </w:t>
      </w:r>
      <w:hyperlink r:id="rId20" w:history="1">
        <w:r w:rsidRPr="00333251">
          <w:rPr>
            <w:rStyle w:val="Hyperlink"/>
            <w:rFonts w:ascii="Arial" w:hAnsi="Arial" w:cs="Arial"/>
            <w:sz w:val="22"/>
            <w:szCs w:val="22"/>
          </w:rPr>
          <w:t>https://www.nhs.uk/conditions/type-2-diabetes/</w:t>
        </w:r>
      </w:hyperlink>
      <w:r w:rsidRPr="00333251">
        <w:rPr>
          <w:rFonts w:ascii="Arial" w:hAnsi="Arial" w:cs="Arial"/>
          <w:sz w:val="22"/>
          <w:szCs w:val="22"/>
        </w:rPr>
        <w:t>.(Accessed: 15 January 2026).</w:t>
      </w:r>
    </w:p>
    <w:p w14:paraId="2153BE98"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Ojo, O., Ojo, O.O., Adebowale, F. and Wang, X.H., 2018. The effect of dietary </w:t>
      </w:r>
      <w:proofErr w:type="spellStart"/>
      <w:r w:rsidRPr="00333251">
        <w:rPr>
          <w:rFonts w:ascii="Arial" w:hAnsi="Arial" w:cs="Arial"/>
          <w:sz w:val="22"/>
          <w:szCs w:val="22"/>
        </w:rPr>
        <w:t>glycaemic</w:t>
      </w:r>
      <w:proofErr w:type="spellEnd"/>
      <w:r w:rsidRPr="00333251">
        <w:rPr>
          <w:rFonts w:ascii="Arial" w:hAnsi="Arial" w:cs="Arial"/>
          <w:sz w:val="22"/>
          <w:szCs w:val="22"/>
        </w:rPr>
        <w:t xml:space="preserve"> index on </w:t>
      </w:r>
      <w:proofErr w:type="spellStart"/>
      <w:r w:rsidRPr="00333251">
        <w:rPr>
          <w:rFonts w:ascii="Arial" w:hAnsi="Arial" w:cs="Arial"/>
          <w:sz w:val="22"/>
          <w:szCs w:val="22"/>
        </w:rPr>
        <w:t>glycaemia</w:t>
      </w:r>
      <w:proofErr w:type="spellEnd"/>
      <w:r w:rsidRPr="00333251">
        <w:rPr>
          <w:rFonts w:ascii="Arial" w:hAnsi="Arial" w:cs="Arial"/>
          <w:sz w:val="22"/>
          <w:szCs w:val="22"/>
        </w:rPr>
        <w:t xml:space="preserve"> in patients with type 2 diabetes: a systematic review and meta-analysis of randomized controlled trials. </w:t>
      </w:r>
      <w:r w:rsidRPr="00333251">
        <w:rPr>
          <w:rFonts w:ascii="Arial" w:hAnsi="Arial" w:cs="Arial"/>
          <w:i/>
          <w:iCs/>
          <w:sz w:val="22"/>
          <w:szCs w:val="22"/>
        </w:rPr>
        <w:t>nutrients</w:t>
      </w:r>
      <w:r w:rsidRPr="00333251">
        <w:rPr>
          <w:rFonts w:ascii="Arial" w:hAnsi="Arial" w:cs="Arial"/>
          <w:sz w:val="22"/>
          <w:szCs w:val="22"/>
        </w:rPr>
        <w:t xml:space="preserve">, </w:t>
      </w:r>
      <w:r w:rsidRPr="00333251">
        <w:rPr>
          <w:rFonts w:ascii="Arial" w:hAnsi="Arial" w:cs="Arial"/>
          <w:i/>
          <w:iCs/>
          <w:sz w:val="22"/>
          <w:szCs w:val="22"/>
        </w:rPr>
        <w:t>10</w:t>
      </w:r>
      <w:r w:rsidRPr="00333251">
        <w:rPr>
          <w:rFonts w:ascii="Arial" w:hAnsi="Arial" w:cs="Arial"/>
          <w:sz w:val="22"/>
          <w:szCs w:val="22"/>
        </w:rPr>
        <w:t>(3), p.373.</w:t>
      </w:r>
      <w:hyperlink r:id="rId21" w:history="1">
        <w:r w:rsidRPr="00333251">
          <w:rPr>
            <w:rStyle w:val="Hyperlink"/>
            <w:rFonts w:ascii="Arial" w:hAnsi="Arial" w:cs="Arial"/>
            <w:sz w:val="22"/>
            <w:szCs w:val="22"/>
          </w:rPr>
          <w:t>https://www.mdpi.com/2072-6643/10/3/373</w:t>
        </w:r>
      </w:hyperlink>
    </w:p>
    <w:p w14:paraId="09A8B54F" w14:textId="46686552"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Ryan, D.H. and Yockey, S.R., 2017. Weight loss and improvement in comorbidity: differences at 5%, 10%, 15%, and over. </w:t>
      </w:r>
      <w:r w:rsidRPr="00333251">
        <w:rPr>
          <w:rFonts w:ascii="Arial" w:hAnsi="Arial" w:cs="Arial"/>
          <w:i/>
          <w:iCs/>
          <w:sz w:val="22"/>
          <w:szCs w:val="22"/>
        </w:rPr>
        <w:t>Current obesity reports</w:t>
      </w:r>
      <w:r w:rsidRPr="00333251">
        <w:rPr>
          <w:rFonts w:ascii="Arial" w:hAnsi="Arial" w:cs="Arial"/>
          <w:sz w:val="22"/>
          <w:szCs w:val="22"/>
        </w:rPr>
        <w:t xml:space="preserve">, </w:t>
      </w:r>
      <w:r w:rsidRPr="00333251">
        <w:rPr>
          <w:rFonts w:ascii="Arial" w:hAnsi="Arial" w:cs="Arial"/>
          <w:i/>
          <w:iCs/>
          <w:sz w:val="22"/>
          <w:szCs w:val="22"/>
        </w:rPr>
        <w:t>6</w:t>
      </w:r>
      <w:r w:rsidRPr="00333251">
        <w:rPr>
          <w:rFonts w:ascii="Arial" w:hAnsi="Arial" w:cs="Arial"/>
          <w:sz w:val="22"/>
          <w:szCs w:val="22"/>
        </w:rPr>
        <w:t>(2), pp.187-194.</w:t>
      </w:r>
      <w:r w:rsidRPr="005103CC">
        <w:rPr>
          <w:rFonts w:ascii="Arial" w:hAnsi="Arial" w:cs="Arial"/>
          <w:sz w:val="22"/>
          <w:szCs w:val="22"/>
        </w:rPr>
        <w:t xml:space="preserve"> </w:t>
      </w:r>
      <w:hyperlink r:id="rId22" w:history="1">
        <w:r w:rsidRPr="00333251">
          <w:rPr>
            <w:rStyle w:val="Hyperlink"/>
            <w:rFonts w:ascii="Arial" w:hAnsi="Arial" w:cs="Arial"/>
            <w:sz w:val="22"/>
            <w:szCs w:val="22"/>
          </w:rPr>
          <w:t>https://pmc.ncbi.nlm.nih.gov/articles/PMC5497590/pdf/nihms872368.pdf</w:t>
        </w:r>
      </w:hyperlink>
    </w:p>
    <w:p w14:paraId="7B131F7F"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Umpierre, D., Ribeiro, P.A., Kramer, C.K., Leitao, C.B., Zucatti, A.T., Azevedo, M.J., Gross, J.L., Ribeiro, J.P. and Schaan, B.D., 2011. Physical activity advice only or structured exercise training and association with HbA1c levels in type 2 diabetes: a systematic review and meta-analysis. </w:t>
      </w:r>
      <w:r w:rsidRPr="00333251">
        <w:rPr>
          <w:rFonts w:ascii="Arial" w:hAnsi="Arial" w:cs="Arial"/>
          <w:i/>
          <w:iCs/>
          <w:sz w:val="22"/>
          <w:szCs w:val="22"/>
        </w:rPr>
        <w:t>Jama</w:t>
      </w:r>
      <w:r w:rsidRPr="00333251">
        <w:rPr>
          <w:rFonts w:ascii="Arial" w:hAnsi="Arial" w:cs="Arial"/>
          <w:sz w:val="22"/>
          <w:szCs w:val="22"/>
        </w:rPr>
        <w:t xml:space="preserve">, </w:t>
      </w:r>
      <w:r w:rsidRPr="00333251">
        <w:rPr>
          <w:rFonts w:ascii="Arial" w:hAnsi="Arial" w:cs="Arial"/>
          <w:i/>
          <w:iCs/>
          <w:sz w:val="22"/>
          <w:szCs w:val="22"/>
        </w:rPr>
        <w:t>305</w:t>
      </w:r>
      <w:r w:rsidRPr="00333251">
        <w:rPr>
          <w:rFonts w:ascii="Arial" w:hAnsi="Arial" w:cs="Arial"/>
          <w:sz w:val="22"/>
          <w:szCs w:val="22"/>
        </w:rPr>
        <w:t>(17), pp.1790-1799.</w:t>
      </w:r>
      <w:hyperlink r:id="rId23" w:history="1">
        <w:r w:rsidRPr="00333251">
          <w:rPr>
            <w:rStyle w:val="Hyperlink"/>
            <w:rFonts w:ascii="Arial" w:hAnsi="Arial" w:cs="Arial"/>
            <w:sz w:val="22"/>
            <w:szCs w:val="22"/>
          </w:rPr>
          <w:t>https://jamanetwork.com/journals/jama/articlepdf/899553/jcr15001_1790_1799.pdf</w:t>
        </w:r>
      </w:hyperlink>
    </w:p>
    <w:p w14:paraId="27AC499E"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Wilcox, G., 2005. Insulin and insulin resistance. </w:t>
      </w:r>
      <w:r w:rsidRPr="00333251">
        <w:rPr>
          <w:rFonts w:ascii="Arial" w:hAnsi="Arial" w:cs="Arial"/>
          <w:i/>
          <w:iCs/>
          <w:sz w:val="22"/>
          <w:szCs w:val="22"/>
        </w:rPr>
        <w:t>Clinical biochemist reviews</w:t>
      </w:r>
      <w:r w:rsidRPr="00333251">
        <w:rPr>
          <w:rFonts w:ascii="Arial" w:hAnsi="Arial" w:cs="Arial"/>
          <w:sz w:val="22"/>
          <w:szCs w:val="22"/>
        </w:rPr>
        <w:t xml:space="preserve">, </w:t>
      </w:r>
      <w:r w:rsidRPr="00333251">
        <w:rPr>
          <w:rFonts w:ascii="Arial" w:hAnsi="Arial" w:cs="Arial"/>
          <w:i/>
          <w:iCs/>
          <w:sz w:val="22"/>
          <w:szCs w:val="22"/>
        </w:rPr>
        <w:t>26</w:t>
      </w:r>
      <w:r w:rsidRPr="00333251">
        <w:rPr>
          <w:rFonts w:ascii="Arial" w:hAnsi="Arial" w:cs="Arial"/>
          <w:sz w:val="22"/>
          <w:szCs w:val="22"/>
        </w:rPr>
        <w:t>(2), p.19.</w:t>
      </w:r>
      <w:hyperlink r:id="rId24" w:history="1">
        <w:r w:rsidRPr="00333251">
          <w:rPr>
            <w:rStyle w:val="Hyperlink"/>
            <w:rFonts w:ascii="Arial" w:hAnsi="Arial" w:cs="Arial"/>
            <w:sz w:val="22"/>
            <w:szCs w:val="22"/>
          </w:rPr>
          <w:t>https://pmc.ncbi.nlm.nih.gov/articles/PMC1204764/pdf/cbr26_2pg019.pdf?utm_medium=email&amp;utm_source=transaction</w:t>
        </w:r>
      </w:hyperlink>
    </w:p>
    <w:p w14:paraId="1790FD41" w14:textId="77777777" w:rsidR="008E1491" w:rsidRPr="00333251" w:rsidRDefault="008E1491" w:rsidP="005103CC">
      <w:pPr>
        <w:spacing w:line="360" w:lineRule="auto"/>
        <w:rPr>
          <w:rFonts w:ascii="Arial" w:hAnsi="Arial" w:cs="Arial"/>
          <w:sz w:val="22"/>
          <w:szCs w:val="22"/>
        </w:rPr>
      </w:pPr>
      <w:r w:rsidRPr="00333251">
        <w:rPr>
          <w:rFonts w:ascii="Arial" w:hAnsi="Arial" w:cs="Arial"/>
          <w:sz w:val="22"/>
          <w:szCs w:val="22"/>
        </w:rPr>
        <w:t xml:space="preserve">Zhang, Y.B., Pan, X.F., Lu, Q., Wang, Y.X., Geng, T.T., Zhou, Y.F., Liao, L.M., Tu, Z.Z., Chen, J.X., Xia, P.F. and Wang, Y., 2022. Associations of combined healthy lifestyles with cancer morbidity and mortality among individuals with diabetes: results from five cohort studies in the USA, the UK and China. </w:t>
      </w:r>
      <w:proofErr w:type="spellStart"/>
      <w:r w:rsidRPr="00333251">
        <w:rPr>
          <w:rFonts w:ascii="Arial" w:hAnsi="Arial" w:cs="Arial"/>
          <w:i/>
          <w:iCs/>
          <w:sz w:val="22"/>
          <w:szCs w:val="22"/>
        </w:rPr>
        <w:t>Diabetologia</w:t>
      </w:r>
      <w:proofErr w:type="spellEnd"/>
      <w:r w:rsidRPr="00333251">
        <w:rPr>
          <w:rFonts w:ascii="Arial" w:hAnsi="Arial" w:cs="Arial"/>
          <w:sz w:val="22"/>
          <w:szCs w:val="22"/>
        </w:rPr>
        <w:t xml:space="preserve">, </w:t>
      </w:r>
      <w:r w:rsidRPr="00333251">
        <w:rPr>
          <w:rFonts w:ascii="Arial" w:hAnsi="Arial" w:cs="Arial"/>
          <w:i/>
          <w:iCs/>
          <w:sz w:val="22"/>
          <w:szCs w:val="22"/>
        </w:rPr>
        <w:t>65</w:t>
      </w:r>
      <w:r w:rsidRPr="00333251">
        <w:rPr>
          <w:rFonts w:ascii="Arial" w:hAnsi="Arial" w:cs="Arial"/>
          <w:sz w:val="22"/>
          <w:szCs w:val="22"/>
        </w:rPr>
        <w:t>(12), pp.2044-2055.</w:t>
      </w:r>
      <w:hyperlink r:id="rId25" w:history="1">
        <w:r w:rsidRPr="00333251">
          <w:rPr>
            <w:rStyle w:val="Hyperlink"/>
            <w:rFonts w:ascii="Arial" w:hAnsi="Arial" w:cs="Arial"/>
            <w:sz w:val="22"/>
            <w:szCs w:val="22"/>
          </w:rPr>
          <w:t>https://link.springer.com/article/10.1007/s00125-022-05754-x</w:t>
        </w:r>
      </w:hyperlink>
    </w:p>
    <w:sectPr w:rsidR="008E1491" w:rsidRPr="00333251">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91CB36" w14:textId="77777777" w:rsidR="002B5147" w:rsidRDefault="002B5147" w:rsidP="000E5072">
      <w:pPr>
        <w:spacing w:after="0" w:line="240" w:lineRule="auto"/>
      </w:pPr>
      <w:r>
        <w:separator/>
      </w:r>
    </w:p>
  </w:endnote>
  <w:endnote w:type="continuationSeparator" w:id="0">
    <w:p w14:paraId="7FF4B6EB" w14:textId="77777777" w:rsidR="002B5147" w:rsidRDefault="002B5147" w:rsidP="000E5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5554515"/>
      <w:docPartObj>
        <w:docPartGallery w:val="Page Numbers (Bottom of Page)"/>
        <w:docPartUnique/>
      </w:docPartObj>
    </w:sdtPr>
    <w:sdtEndPr>
      <w:rPr>
        <w:noProof/>
      </w:rPr>
    </w:sdtEndPr>
    <w:sdtContent>
      <w:p w14:paraId="3B63CC4C" w14:textId="0CBDFBCD" w:rsidR="000E5072" w:rsidRDefault="000E50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DC4615" w14:textId="77777777" w:rsidR="000E5072" w:rsidRDefault="000E5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1BD0A" w14:textId="77777777" w:rsidR="002B5147" w:rsidRDefault="002B5147" w:rsidP="000E5072">
      <w:pPr>
        <w:spacing w:after="0" w:line="240" w:lineRule="auto"/>
      </w:pPr>
      <w:r>
        <w:separator/>
      </w:r>
    </w:p>
  </w:footnote>
  <w:footnote w:type="continuationSeparator" w:id="0">
    <w:p w14:paraId="515F336E" w14:textId="77777777" w:rsidR="002B5147" w:rsidRDefault="002B5147" w:rsidP="000E50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251"/>
    <w:rsid w:val="00070CFA"/>
    <w:rsid w:val="000E5072"/>
    <w:rsid w:val="00156B0E"/>
    <w:rsid w:val="001A1FC1"/>
    <w:rsid w:val="002062F1"/>
    <w:rsid w:val="00207846"/>
    <w:rsid w:val="002B5147"/>
    <w:rsid w:val="002C2E2C"/>
    <w:rsid w:val="00301678"/>
    <w:rsid w:val="00333251"/>
    <w:rsid w:val="00342C61"/>
    <w:rsid w:val="004241C9"/>
    <w:rsid w:val="004C0837"/>
    <w:rsid w:val="005103CC"/>
    <w:rsid w:val="005221CE"/>
    <w:rsid w:val="00546EFE"/>
    <w:rsid w:val="00550A1F"/>
    <w:rsid w:val="005C6E61"/>
    <w:rsid w:val="00604200"/>
    <w:rsid w:val="00711EC7"/>
    <w:rsid w:val="007800AC"/>
    <w:rsid w:val="007E57A2"/>
    <w:rsid w:val="008E1491"/>
    <w:rsid w:val="00A30A24"/>
    <w:rsid w:val="00B276F0"/>
    <w:rsid w:val="00B952C8"/>
    <w:rsid w:val="00BE617E"/>
    <w:rsid w:val="00E24114"/>
    <w:rsid w:val="00E27372"/>
    <w:rsid w:val="00EF3B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536A6"/>
  <w15:chartTrackingRefBased/>
  <w15:docId w15:val="{5DFBA7B1-324E-4B5F-9093-4E3D662BB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25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3325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325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325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325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32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32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32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32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25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3325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325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325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325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32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32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32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3251"/>
    <w:rPr>
      <w:rFonts w:eastAsiaTheme="majorEastAsia" w:cstheme="majorBidi"/>
      <w:color w:val="272727" w:themeColor="text1" w:themeTint="D8"/>
    </w:rPr>
  </w:style>
  <w:style w:type="paragraph" w:styleId="Title">
    <w:name w:val="Title"/>
    <w:basedOn w:val="Normal"/>
    <w:next w:val="Normal"/>
    <w:link w:val="TitleChar"/>
    <w:uiPriority w:val="10"/>
    <w:qFormat/>
    <w:rsid w:val="003332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32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32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32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3251"/>
    <w:pPr>
      <w:spacing w:before="160"/>
      <w:jc w:val="center"/>
    </w:pPr>
    <w:rPr>
      <w:i/>
      <w:iCs/>
      <w:color w:val="404040" w:themeColor="text1" w:themeTint="BF"/>
    </w:rPr>
  </w:style>
  <w:style w:type="character" w:customStyle="1" w:styleId="QuoteChar">
    <w:name w:val="Quote Char"/>
    <w:basedOn w:val="DefaultParagraphFont"/>
    <w:link w:val="Quote"/>
    <w:uiPriority w:val="29"/>
    <w:rsid w:val="00333251"/>
    <w:rPr>
      <w:i/>
      <w:iCs/>
      <w:color w:val="404040" w:themeColor="text1" w:themeTint="BF"/>
    </w:rPr>
  </w:style>
  <w:style w:type="paragraph" w:styleId="ListParagraph">
    <w:name w:val="List Paragraph"/>
    <w:basedOn w:val="Normal"/>
    <w:uiPriority w:val="34"/>
    <w:qFormat/>
    <w:rsid w:val="00333251"/>
    <w:pPr>
      <w:ind w:left="720"/>
      <w:contextualSpacing/>
    </w:pPr>
  </w:style>
  <w:style w:type="character" w:styleId="IntenseEmphasis">
    <w:name w:val="Intense Emphasis"/>
    <w:basedOn w:val="DefaultParagraphFont"/>
    <w:uiPriority w:val="21"/>
    <w:qFormat/>
    <w:rsid w:val="00333251"/>
    <w:rPr>
      <w:i/>
      <w:iCs/>
      <w:color w:val="2F5496" w:themeColor="accent1" w:themeShade="BF"/>
    </w:rPr>
  </w:style>
  <w:style w:type="paragraph" w:styleId="IntenseQuote">
    <w:name w:val="Intense Quote"/>
    <w:basedOn w:val="Normal"/>
    <w:next w:val="Normal"/>
    <w:link w:val="IntenseQuoteChar"/>
    <w:uiPriority w:val="30"/>
    <w:qFormat/>
    <w:rsid w:val="0033325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3251"/>
    <w:rPr>
      <w:i/>
      <w:iCs/>
      <w:color w:val="2F5496" w:themeColor="accent1" w:themeShade="BF"/>
    </w:rPr>
  </w:style>
  <w:style w:type="character" w:styleId="IntenseReference">
    <w:name w:val="Intense Reference"/>
    <w:basedOn w:val="DefaultParagraphFont"/>
    <w:uiPriority w:val="32"/>
    <w:qFormat/>
    <w:rsid w:val="00333251"/>
    <w:rPr>
      <w:b/>
      <w:bCs/>
      <w:smallCaps/>
      <w:color w:val="2F5496" w:themeColor="accent1" w:themeShade="BF"/>
      <w:spacing w:val="5"/>
    </w:rPr>
  </w:style>
  <w:style w:type="character" w:styleId="Hyperlink">
    <w:name w:val="Hyperlink"/>
    <w:basedOn w:val="DefaultParagraphFont"/>
    <w:uiPriority w:val="99"/>
    <w:unhideWhenUsed/>
    <w:rsid w:val="00333251"/>
    <w:rPr>
      <w:color w:val="0563C1" w:themeColor="hyperlink"/>
      <w:u w:val="single"/>
    </w:rPr>
  </w:style>
  <w:style w:type="character" w:styleId="UnresolvedMention">
    <w:name w:val="Unresolved Mention"/>
    <w:basedOn w:val="DefaultParagraphFont"/>
    <w:uiPriority w:val="99"/>
    <w:semiHidden/>
    <w:unhideWhenUsed/>
    <w:rsid w:val="00333251"/>
    <w:rPr>
      <w:color w:val="605E5C"/>
      <w:shd w:val="clear" w:color="auto" w:fill="E1DFDD"/>
    </w:rPr>
  </w:style>
  <w:style w:type="paragraph" w:styleId="Header">
    <w:name w:val="header"/>
    <w:basedOn w:val="Normal"/>
    <w:link w:val="HeaderChar"/>
    <w:uiPriority w:val="99"/>
    <w:unhideWhenUsed/>
    <w:rsid w:val="000E50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5072"/>
  </w:style>
  <w:style w:type="paragraph" w:styleId="Footer">
    <w:name w:val="footer"/>
    <w:basedOn w:val="Normal"/>
    <w:link w:val="FooterChar"/>
    <w:uiPriority w:val="99"/>
    <w:unhideWhenUsed/>
    <w:rsid w:val="000E50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5072"/>
  </w:style>
  <w:style w:type="paragraph" w:styleId="TOCHeading">
    <w:name w:val="TOC Heading"/>
    <w:basedOn w:val="Heading1"/>
    <w:next w:val="Normal"/>
    <w:uiPriority w:val="39"/>
    <w:unhideWhenUsed/>
    <w:qFormat/>
    <w:rsid w:val="000E507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E5072"/>
    <w:pPr>
      <w:spacing w:after="100"/>
    </w:pPr>
  </w:style>
  <w:style w:type="paragraph" w:styleId="TOC2">
    <w:name w:val="toc 2"/>
    <w:basedOn w:val="Normal"/>
    <w:next w:val="Normal"/>
    <w:autoRedefine/>
    <w:uiPriority w:val="39"/>
    <w:unhideWhenUsed/>
    <w:rsid w:val="000E50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bioscientifica.com/downloadpdf/view/journals/ec/aop/EC-25-0742/EC-25-0742.pdf" TargetMode="External"/><Relationship Id="rId13" Type="http://schemas.openxmlformats.org/officeDocument/2006/relationships/hyperlink" Target="https://pmc.ncbi.nlm.nih.gov/articles/PMC7011201/pdf/dci190014.pdf" TargetMode="External"/><Relationship Id="rId18" Type="http://schemas.openxmlformats.org/officeDocument/2006/relationships/hyperlink" Target="https://doi.org/10.1002/hsr2.2004"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mdpi.com/2072-6643/10/3/373" TargetMode="External"/><Relationship Id="rId7" Type="http://schemas.openxmlformats.org/officeDocument/2006/relationships/hyperlink" Target="https://books.google.com/books?hl=en&amp;lr=&amp;id=ISdiEAAAQBAJ&amp;oi=fnd&amp;pg=PR32&amp;dq=Alberts,+B.,+Johnson,+A.,+Lewis,+J.,+Morgan,+D.,+Raff,+M.,+Roberts,+K.+and+Walter,+P.+(2022)+Molecular+Biology+of+the+Cell.+7th+edn.+New+York:+W.W.+Norton+%26+Company.&amp;ots=bij2HS6_Kx&amp;sig=hC1W0oNIjn5gnyjY2YdNg8A0l3E" TargetMode="External"/><Relationship Id="rId12" Type="http://schemas.openxmlformats.org/officeDocument/2006/relationships/hyperlink" Target="https://www.diabetes.org.uk/for-professionals/improving-care/clinical-recommendations-for-professionals/food-nutrition-lifestyle/evidence-based-nutrition-guidelines-for-the-prevention-and-management-of-diabetes" TargetMode="External"/><Relationship Id="rId17" Type="http://schemas.openxmlformats.org/officeDocument/2006/relationships/hyperlink" Target="https://books.google.com/books?hl=en&amp;lr=&amp;id=H1rrDwAAQBAJ&amp;oi=fnd&amp;pg=PP1&amp;dq=Hall,+J.E.+and+Hall,+M.E.+(2020)+Guyton+and+Hall+Textbook+of+Medical+Physiology.+14th+edn.+Philadelphia:+Elsevier.&amp;ots=tK2vsXFx3k&amp;sig=z2N5PiDyp6zvPw53HYvm619Y3GU" TargetMode="External"/><Relationship Id="rId25" Type="http://schemas.openxmlformats.org/officeDocument/2006/relationships/hyperlink" Target="https://link.springer.com/article/10.1007/s00125-022-05754-x" TargetMode="External"/><Relationship Id="rId2" Type="http://schemas.openxmlformats.org/officeDocument/2006/relationships/styles" Target="styles.xml"/><Relationship Id="rId16" Type="http://schemas.openxmlformats.org/officeDocument/2006/relationships/hyperlink" Target="https://www.ncbi.nlm.nih.gov/books/NBK580244/bin/niceng28er3_bm1.pdf" TargetMode="External"/><Relationship Id="rId20" Type="http://schemas.openxmlformats.org/officeDocument/2006/relationships/hyperlink" Target="https://www.nhs.uk/conditions/type-2-diabet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igaiin.sakura.ne.jp/sblo_files/saigaiin/image/Benefits20for20Type20220Diabetes20of.pdf" TargetMode="External"/><Relationship Id="rId24" Type="http://schemas.openxmlformats.org/officeDocument/2006/relationships/hyperlink" Target="https://pmc.ncbi.nlm.nih.gov/articles/PMC1204764/pdf/cbr26_2pg019.pdf?utm_medium=email&amp;utm_source=transaction" TargetMode="External"/><Relationship Id="rId5" Type="http://schemas.openxmlformats.org/officeDocument/2006/relationships/footnotes" Target="footnotes.xml"/><Relationship Id="rId15" Type="http://schemas.openxmlformats.org/officeDocument/2006/relationships/hyperlink" Target="https://www.ncbi.nlm.nih.gov/books/NBK589628/pdf/Bookshelf_NBK589628.pdf" TargetMode="External"/><Relationship Id="rId23" Type="http://schemas.openxmlformats.org/officeDocument/2006/relationships/hyperlink" Target="https://jamanetwork.com/journals/jama/articlepdf/899553/jcr15001_1790_1799.pdf" TargetMode="External"/><Relationship Id="rId28" Type="http://schemas.openxmlformats.org/officeDocument/2006/relationships/theme" Target="theme/theme1.xml"/><Relationship Id="rId10" Type="http://schemas.openxmlformats.org/officeDocument/2006/relationships/hyperlink" Target="https://pmc.ncbi.nlm.nih.gov/articles/PMC6908414/pdf/dc161728.pdf" TargetMode="External"/><Relationship Id="rId19" Type="http://schemas.openxmlformats.org/officeDocument/2006/relationships/hyperlink" Target="https://jdc.jefferson.edu/cgi/viewcontent.cgi?article=1344&amp;context=medfp" TargetMode="External"/><Relationship Id="rId4" Type="http://schemas.openxmlformats.org/officeDocument/2006/relationships/webSettings" Target="webSettings.xml"/><Relationship Id="rId9" Type="http://schemas.openxmlformats.org/officeDocument/2006/relationships/hyperlink" Target="https://pure.johnshopkins.edu/en/publications/2-classification-and-diagnosis-of-diabetes-standards-of-care-in-d" TargetMode="External"/><Relationship Id="rId14" Type="http://schemas.openxmlformats.org/officeDocument/2006/relationships/hyperlink" Target="https://www.mdpi.com/1422-0067/21/17/6275/pdf" TargetMode="External"/><Relationship Id="rId22" Type="http://schemas.openxmlformats.org/officeDocument/2006/relationships/hyperlink" Target="https://pmc.ncbi.nlm.nih.gov/articles/PMC5497590/pdf/nihms872368.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C387E6-5C2E-42E2-854B-3356E6ECF0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Pages>
  <Words>3637</Words>
  <Characters>20732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dina</dc:creator>
  <cp:keywords/>
  <dc:description/>
  <cp:lastModifiedBy>varisha Altash</cp:lastModifiedBy>
  <cp:revision>13</cp:revision>
  <dcterms:created xsi:type="dcterms:W3CDTF">2026-02-21T19:11:00Z</dcterms:created>
  <dcterms:modified xsi:type="dcterms:W3CDTF">2026-02-22T00:13:00Z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6f40e5a6-3a93-4622-a6fc-a42776dc0dd3</vt:lpwstr>
  </property>
</Properties>
</file>