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6948C" w14:textId="77777777" w:rsidR="002E78FE" w:rsidRPr="00E9275E" w:rsidRDefault="002E78FE" w:rsidP="00503809">
      <w:pPr>
        <w:spacing w:before="240" w:line="360" w:lineRule="auto"/>
        <w:jc w:val="center"/>
        <w:rPr>
          <w:rFonts w:asciiTheme="minorBidi" w:hAnsiTheme="minorBidi"/>
          <w:b/>
          <w:bCs/>
          <w:sz w:val="22"/>
          <w:szCs w:val="22"/>
          <w:lang w:val="en-GB"/>
        </w:rPr>
      </w:pPr>
    </w:p>
    <w:p w14:paraId="1F7609B6" w14:textId="77777777" w:rsidR="00503809" w:rsidRPr="00E9275E" w:rsidRDefault="00503809" w:rsidP="00503809">
      <w:pPr>
        <w:spacing w:before="240" w:line="360" w:lineRule="auto"/>
        <w:jc w:val="center"/>
        <w:rPr>
          <w:rFonts w:asciiTheme="minorBidi" w:hAnsiTheme="minorBidi"/>
          <w:b/>
          <w:bCs/>
          <w:sz w:val="22"/>
          <w:szCs w:val="22"/>
          <w:lang w:val="en-GB"/>
        </w:rPr>
      </w:pPr>
    </w:p>
    <w:p w14:paraId="19DE427D" w14:textId="65E864F5" w:rsidR="0087646B" w:rsidRPr="00E9275E" w:rsidRDefault="006B1F25"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Health Inequalities and Tuberculosis in Greater Manchester</w:t>
      </w:r>
    </w:p>
    <w:p w14:paraId="00B0F694" w14:textId="0B53688B" w:rsidR="006B1F25" w:rsidRPr="0040222B" w:rsidRDefault="006B1F25" w:rsidP="00503809">
      <w:pPr>
        <w:spacing w:before="240" w:line="360" w:lineRule="auto"/>
        <w:jc w:val="center"/>
        <w:rPr>
          <w:rFonts w:asciiTheme="minorBidi" w:hAnsiTheme="minorBidi"/>
          <w:b/>
          <w:bCs/>
          <w:sz w:val="22"/>
          <w:szCs w:val="22"/>
          <w:lang w:val="en-GB"/>
        </w:rPr>
      </w:pPr>
      <w:r w:rsidRPr="0040222B">
        <w:rPr>
          <w:rFonts w:asciiTheme="minorBidi" w:hAnsiTheme="minorBidi"/>
          <w:b/>
          <w:bCs/>
          <w:sz w:val="22"/>
          <w:szCs w:val="22"/>
          <w:lang w:val="en-GB"/>
        </w:rPr>
        <w:t>A Social Epidemiological and Public Health Analysis</w:t>
      </w:r>
    </w:p>
    <w:p w14:paraId="37F14059" w14:textId="031890C5" w:rsidR="008D3DFE" w:rsidRPr="00E9275E" w:rsidRDefault="008D3DFE" w:rsidP="00503809">
      <w:pPr>
        <w:spacing w:before="240" w:line="360" w:lineRule="auto"/>
        <w:jc w:val="center"/>
        <w:rPr>
          <w:rFonts w:asciiTheme="minorBidi" w:hAnsiTheme="minorBidi"/>
          <w:b/>
          <w:bCs/>
          <w:sz w:val="22"/>
          <w:szCs w:val="22"/>
          <w:lang w:val="en-GB"/>
        </w:rPr>
      </w:pPr>
    </w:p>
    <w:p w14:paraId="68309435"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Student Name: Naima Amin</w:t>
      </w:r>
    </w:p>
    <w:p w14:paraId="2AB2AAAB"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Student ID Number: 2222407</w:t>
      </w:r>
    </w:p>
    <w:p w14:paraId="234A2DCD"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Module Name: Social Epidemiology and Public Health Development</w:t>
      </w:r>
    </w:p>
    <w:p w14:paraId="6FCBD67B"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Module Code: LCHS7000</w:t>
      </w:r>
    </w:p>
    <w:p w14:paraId="79F011AF"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Module Lecturer: Dr Hamdi Hussain</w:t>
      </w:r>
    </w:p>
    <w:p w14:paraId="09E36116" w14:textId="77777777" w:rsidR="00130CB9" w:rsidRPr="00E9275E" w:rsidRDefault="00130CB9" w:rsidP="00503809">
      <w:pPr>
        <w:spacing w:before="240" w:line="360" w:lineRule="auto"/>
        <w:jc w:val="center"/>
        <w:rPr>
          <w:rFonts w:asciiTheme="minorBidi" w:hAnsiTheme="minorBidi"/>
          <w:b/>
          <w:bCs/>
          <w:sz w:val="22"/>
          <w:szCs w:val="22"/>
          <w:lang w:val="en-GB"/>
        </w:rPr>
      </w:pPr>
      <w:r w:rsidRPr="00E9275E">
        <w:rPr>
          <w:rFonts w:asciiTheme="minorBidi" w:hAnsiTheme="minorBidi"/>
          <w:b/>
          <w:bCs/>
          <w:sz w:val="22"/>
          <w:szCs w:val="22"/>
          <w:lang w:val="en-GB"/>
        </w:rPr>
        <w:t>Date of Submission: Monday, 23</w:t>
      </w:r>
      <w:r w:rsidRPr="00E9275E">
        <w:rPr>
          <w:rFonts w:asciiTheme="minorBidi" w:hAnsiTheme="minorBidi"/>
          <w:b/>
          <w:bCs/>
          <w:sz w:val="22"/>
          <w:szCs w:val="22"/>
          <w:vertAlign w:val="superscript"/>
          <w:lang w:val="en-GB"/>
        </w:rPr>
        <w:t>rd</w:t>
      </w:r>
      <w:r w:rsidRPr="00E9275E">
        <w:rPr>
          <w:rFonts w:asciiTheme="minorBidi" w:hAnsiTheme="minorBidi"/>
          <w:b/>
          <w:bCs/>
          <w:sz w:val="22"/>
          <w:szCs w:val="22"/>
          <w:lang w:val="en-GB"/>
        </w:rPr>
        <w:t xml:space="preserve"> March 2026</w:t>
      </w:r>
    </w:p>
    <w:p w14:paraId="024FDF36" w14:textId="77777777" w:rsidR="00B829E3" w:rsidRPr="00E9275E" w:rsidRDefault="00B829E3" w:rsidP="002E78FE">
      <w:pPr>
        <w:spacing w:before="240" w:line="360" w:lineRule="auto"/>
        <w:rPr>
          <w:rFonts w:asciiTheme="minorBidi" w:hAnsiTheme="minorBidi"/>
          <w:sz w:val="22"/>
          <w:szCs w:val="22"/>
          <w:lang w:val="en-GB"/>
        </w:rPr>
      </w:pPr>
    </w:p>
    <w:p w14:paraId="6F021F8C" w14:textId="0D0D6187" w:rsidR="003A1C2A" w:rsidRPr="00E9275E" w:rsidRDefault="003A1C2A" w:rsidP="002E78FE">
      <w:pPr>
        <w:pStyle w:val="NormalWeb"/>
        <w:spacing w:before="240" w:after="240" w:line="360" w:lineRule="auto"/>
        <w:rPr>
          <w:rFonts w:asciiTheme="minorBidi" w:hAnsiTheme="minorBidi" w:cstheme="minorBidi"/>
          <w:sz w:val="22"/>
          <w:szCs w:val="22"/>
          <w:lang w:val="en-GB"/>
        </w:rPr>
      </w:pPr>
    </w:p>
    <w:p w14:paraId="49F07E5F" w14:textId="77777777" w:rsidR="00400085" w:rsidRPr="00E9275E" w:rsidRDefault="00400085" w:rsidP="002E78FE">
      <w:pPr>
        <w:pStyle w:val="NormalWeb"/>
        <w:spacing w:before="240" w:after="240" w:line="360" w:lineRule="auto"/>
        <w:rPr>
          <w:rFonts w:asciiTheme="minorBidi" w:hAnsiTheme="minorBidi" w:cstheme="minorBidi"/>
          <w:sz w:val="22"/>
          <w:szCs w:val="22"/>
          <w:lang w:val="en-GB"/>
        </w:rPr>
      </w:pPr>
    </w:p>
    <w:p w14:paraId="118EFCC3" w14:textId="77777777" w:rsidR="00CA5006" w:rsidRPr="00E9275E" w:rsidRDefault="00CA5006" w:rsidP="002E78FE">
      <w:pPr>
        <w:pStyle w:val="NormalWeb"/>
        <w:spacing w:before="240" w:after="240" w:line="360" w:lineRule="auto"/>
        <w:rPr>
          <w:rFonts w:asciiTheme="minorBidi" w:hAnsiTheme="minorBidi" w:cstheme="minorBidi"/>
          <w:sz w:val="22"/>
          <w:szCs w:val="22"/>
          <w:lang w:val="en-GB"/>
        </w:rPr>
      </w:pPr>
    </w:p>
    <w:p w14:paraId="0F07B479" w14:textId="77777777" w:rsidR="00CA5006" w:rsidRPr="00E9275E" w:rsidRDefault="00CA5006" w:rsidP="002E78FE">
      <w:pPr>
        <w:pStyle w:val="NormalWeb"/>
        <w:spacing w:before="240" w:after="240" w:line="360" w:lineRule="auto"/>
        <w:rPr>
          <w:rFonts w:asciiTheme="minorBidi" w:hAnsiTheme="minorBidi" w:cstheme="minorBidi"/>
          <w:sz w:val="22"/>
          <w:szCs w:val="22"/>
          <w:lang w:val="en-GB"/>
        </w:rPr>
      </w:pPr>
    </w:p>
    <w:p w14:paraId="528301A0" w14:textId="77777777" w:rsidR="00CA5006" w:rsidRDefault="00CA5006" w:rsidP="002E78FE">
      <w:pPr>
        <w:pStyle w:val="NormalWeb"/>
        <w:spacing w:before="240" w:after="240" w:line="360" w:lineRule="auto"/>
        <w:rPr>
          <w:rFonts w:asciiTheme="minorBidi" w:hAnsiTheme="minorBidi" w:cstheme="minorBidi"/>
          <w:sz w:val="22"/>
          <w:szCs w:val="22"/>
          <w:lang w:val="en-GB"/>
        </w:rPr>
      </w:pPr>
    </w:p>
    <w:p w14:paraId="11DF8CB1" w14:textId="77777777" w:rsidR="00B06424" w:rsidRPr="00E9275E" w:rsidRDefault="00B06424" w:rsidP="002E78FE">
      <w:pPr>
        <w:pStyle w:val="NormalWeb"/>
        <w:spacing w:before="240" w:after="240" w:line="360" w:lineRule="auto"/>
        <w:rPr>
          <w:rFonts w:asciiTheme="minorBidi" w:hAnsiTheme="minorBidi" w:cstheme="minorBidi"/>
          <w:sz w:val="22"/>
          <w:szCs w:val="22"/>
          <w:lang w:val="en-GB"/>
        </w:rPr>
      </w:pPr>
    </w:p>
    <w:p w14:paraId="7C29411A" w14:textId="77777777" w:rsidR="00130CB9" w:rsidRPr="00E9275E" w:rsidRDefault="00130CB9" w:rsidP="002E78FE">
      <w:pPr>
        <w:pStyle w:val="NormalWeb"/>
        <w:spacing w:before="240" w:after="240" w:line="360" w:lineRule="auto"/>
        <w:rPr>
          <w:rFonts w:asciiTheme="minorBidi" w:hAnsiTheme="minorBidi" w:cstheme="minorBidi"/>
          <w:sz w:val="22"/>
          <w:szCs w:val="22"/>
          <w:lang w:val="en-GB"/>
        </w:rPr>
      </w:pPr>
    </w:p>
    <w:sdt>
      <w:sdtPr>
        <w:rPr>
          <w:rFonts w:asciiTheme="minorBidi" w:eastAsiaTheme="minorHAnsi" w:hAnsiTheme="minorBidi" w:cstheme="minorBidi"/>
          <w:b/>
          <w:bCs/>
          <w:color w:val="auto"/>
          <w:kern w:val="2"/>
          <w:sz w:val="22"/>
          <w:szCs w:val="22"/>
          <w:lang w:val="en-GB"/>
          <w14:ligatures w14:val="standardContextual"/>
        </w:rPr>
        <w:id w:val="1055209411"/>
        <w:docPartObj>
          <w:docPartGallery w:val="Table of Contents"/>
          <w:docPartUnique/>
        </w:docPartObj>
      </w:sdtPr>
      <w:sdtEndPr>
        <w:rPr>
          <w:rFonts w:eastAsiaTheme="minorEastAsia"/>
          <w:noProof/>
          <w:kern w:val="0"/>
          <w14:ligatures w14:val="none"/>
        </w:rPr>
      </w:sdtEndPr>
      <w:sdtContent>
        <w:p w14:paraId="317FF9A7" w14:textId="0E5F4484" w:rsidR="00212AA5" w:rsidRPr="00E9275E" w:rsidRDefault="00753326" w:rsidP="00503809">
          <w:pPr>
            <w:pStyle w:val="TOCHeading"/>
            <w:spacing w:after="240" w:line="360" w:lineRule="auto"/>
            <w:jc w:val="center"/>
            <w:rPr>
              <w:rFonts w:asciiTheme="minorBidi" w:eastAsiaTheme="minorHAnsi" w:hAnsiTheme="minorBidi" w:cstheme="minorBidi"/>
              <w:b/>
              <w:bCs/>
              <w:color w:val="auto"/>
              <w:kern w:val="2"/>
              <w:sz w:val="22"/>
              <w:szCs w:val="22"/>
              <w:lang w:val="en-GB"/>
              <w14:ligatures w14:val="standardContextual"/>
            </w:rPr>
          </w:pPr>
          <w:r w:rsidRPr="00E9275E">
            <w:rPr>
              <w:rFonts w:asciiTheme="minorBidi" w:hAnsiTheme="minorBidi" w:cstheme="minorBidi"/>
              <w:b/>
              <w:bCs/>
              <w:color w:val="auto"/>
              <w:sz w:val="22"/>
              <w:szCs w:val="22"/>
              <w:lang w:val="en-GB"/>
            </w:rPr>
            <w:t xml:space="preserve">Table of </w:t>
          </w:r>
          <w:r w:rsidR="00212AA5" w:rsidRPr="00E9275E">
            <w:rPr>
              <w:rFonts w:asciiTheme="minorBidi" w:hAnsiTheme="minorBidi" w:cstheme="minorBidi"/>
              <w:b/>
              <w:bCs/>
              <w:color w:val="auto"/>
              <w:sz w:val="22"/>
              <w:szCs w:val="22"/>
              <w:lang w:val="en-GB"/>
            </w:rPr>
            <w:t>Contents</w:t>
          </w:r>
        </w:p>
        <w:p w14:paraId="1059E42E" w14:textId="2CEDA882" w:rsidR="00212AA5" w:rsidRPr="00E9275E" w:rsidRDefault="00212AA5" w:rsidP="002E78FE">
          <w:pPr>
            <w:pStyle w:val="TOC1"/>
            <w:tabs>
              <w:tab w:val="left" w:pos="480"/>
              <w:tab w:val="right" w:leader="dot" w:pos="9350"/>
            </w:tabs>
            <w:spacing w:before="240" w:line="360" w:lineRule="auto"/>
            <w:rPr>
              <w:rFonts w:asciiTheme="minorBidi" w:hAnsiTheme="minorBidi"/>
              <w:b/>
              <w:bCs/>
              <w:noProof/>
              <w:sz w:val="22"/>
              <w:szCs w:val="22"/>
              <w:lang w:val="en-GB"/>
            </w:rPr>
          </w:pPr>
          <w:r w:rsidRPr="00E9275E">
            <w:rPr>
              <w:rFonts w:asciiTheme="minorBidi" w:hAnsiTheme="minorBidi"/>
              <w:b/>
              <w:bCs/>
              <w:sz w:val="22"/>
              <w:szCs w:val="22"/>
              <w:lang w:val="en-GB"/>
            </w:rPr>
            <w:fldChar w:fldCharType="begin"/>
          </w:r>
          <w:r w:rsidRPr="00E9275E">
            <w:rPr>
              <w:rFonts w:asciiTheme="minorBidi" w:hAnsiTheme="minorBidi"/>
              <w:b/>
              <w:bCs/>
              <w:sz w:val="22"/>
              <w:szCs w:val="22"/>
              <w:lang w:val="en-GB"/>
            </w:rPr>
            <w:instrText xml:space="preserve"> TOC \o "1-3" \h \z \u </w:instrText>
          </w:r>
          <w:r w:rsidRPr="00E9275E">
            <w:rPr>
              <w:rFonts w:asciiTheme="minorBidi" w:hAnsiTheme="minorBidi"/>
              <w:b/>
              <w:bCs/>
              <w:sz w:val="22"/>
              <w:szCs w:val="22"/>
              <w:lang w:val="en-GB"/>
            </w:rPr>
            <w:fldChar w:fldCharType="separate"/>
          </w:r>
          <w:hyperlink w:anchor="_Toc223743601" w:history="1">
            <w:r w:rsidRPr="00E9275E">
              <w:rPr>
                <w:rStyle w:val="Hyperlink"/>
                <w:rFonts w:asciiTheme="minorBidi" w:hAnsiTheme="minorBidi"/>
                <w:b/>
                <w:bCs/>
                <w:noProof/>
                <w:color w:val="auto"/>
                <w:sz w:val="22"/>
                <w:szCs w:val="22"/>
                <w:lang w:val="en-GB"/>
              </w:rPr>
              <w:t>1.</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Task 1: Ethnicity and Health Inequalities in United Kingdom</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_Toc223743601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4</w:t>
            </w:r>
            <w:r w:rsidRPr="00E9275E">
              <w:rPr>
                <w:rFonts w:asciiTheme="minorBidi" w:hAnsiTheme="minorBidi"/>
                <w:b/>
                <w:bCs/>
                <w:noProof/>
                <w:webHidden/>
                <w:sz w:val="22"/>
                <w:szCs w:val="22"/>
                <w:lang w:val="en-GB"/>
              </w:rPr>
              <w:fldChar w:fldCharType="end"/>
            </w:r>
          </w:hyperlink>
        </w:p>
        <w:p w14:paraId="639384FC" w14:textId="3E5A2445"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02" w:history="1">
            <w:r w:rsidRPr="00E9275E">
              <w:rPr>
                <w:rStyle w:val="Hyperlink"/>
                <w:rFonts w:asciiTheme="minorBidi" w:hAnsiTheme="minorBidi"/>
                <w:b/>
                <w:bCs/>
                <w:noProof/>
                <w:color w:val="auto"/>
                <w:sz w:val="22"/>
                <w:szCs w:val="22"/>
                <w:lang w:val="en-GB"/>
              </w:rPr>
              <w:t>1.1.</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Introduction</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_Toc223743602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4</w:t>
            </w:r>
            <w:r w:rsidRPr="00E9275E">
              <w:rPr>
                <w:rFonts w:asciiTheme="minorBidi" w:hAnsiTheme="minorBidi"/>
                <w:b/>
                <w:bCs/>
                <w:noProof/>
                <w:webHidden/>
                <w:sz w:val="22"/>
                <w:szCs w:val="22"/>
                <w:lang w:val="en-GB"/>
              </w:rPr>
              <w:fldChar w:fldCharType="end"/>
            </w:r>
          </w:hyperlink>
        </w:p>
        <w:p w14:paraId="2D61B44E" w14:textId="1FDBF142"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03" w:history="1">
            <w:r w:rsidRPr="00E9275E">
              <w:rPr>
                <w:rStyle w:val="Hyperlink"/>
                <w:rFonts w:asciiTheme="minorBidi" w:hAnsiTheme="minorBidi"/>
                <w:b/>
                <w:bCs/>
                <w:noProof/>
                <w:color w:val="auto"/>
                <w:sz w:val="22"/>
                <w:szCs w:val="22"/>
                <w:lang w:val="en-GB"/>
              </w:rPr>
              <w:t>1.2.</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Contextual Background and Underlying Factors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_Toc223743603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4</w:t>
            </w:r>
            <w:r w:rsidRPr="00E9275E">
              <w:rPr>
                <w:rFonts w:asciiTheme="minorBidi" w:hAnsiTheme="minorBidi"/>
                <w:b/>
                <w:bCs/>
                <w:noProof/>
                <w:webHidden/>
                <w:sz w:val="22"/>
                <w:szCs w:val="22"/>
                <w:lang w:val="en-GB"/>
              </w:rPr>
              <w:fldChar w:fldCharType="end"/>
            </w:r>
          </w:hyperlink>
        </w:p>
        <w:p w14:paraId="184ED860" w14:textId="31773DAB"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4" w:history="1">
            <w:r w:rsidRPr="00E9275E">
              <w:rPr>
                <w:rStyle w:val="Hyperlink"/>
                <w:rFonts w:asciiTheme="minorBidi" w:hAnsiTheme="minorBidi"/>
                <w:b/>
                <w:bCs/>
                <w:i/>
                <w:iCs/>
                <w:noProof/>
                <w:color w:val="auto"/>
                <w:sz w:val="22"/>
                <w:szCs w:val="22"/>
                <w:lang w:val="en-GB"/>
              </w:rPr>
              <w:t>1.2.1.</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Higher Rates of Tuberculosis in Ethnic Minority Populations</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_Toc223743604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4</w:t>
            </w:r>
            <w:r w:rsidRPr="00E9275E">
              <w:rPr>
                <w:rFonts w:asciiTheme="minorBidi" w:hAnsiTheme="minorBidi"/>
                <w:b/>
                <w:bCs/>
                <w:i/>
                <w:iCs/>
                <w:noProof/>
                <w:webHidden/>
                <w:sz w:val="22"/>
                <w:szCs w:val="22"/>
                <w:lang w:val="en-GB"/>
              </w:rPr>
              <w:fldChar w:fldCharType="end"/>
            </w:r>
          </w:hyperlink>
        </w:p>
        <w:p w14:paraId="23CF8BA8" w14:textId="08F00C91"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5" w:history="1">
            <w:r w:rsidRPr="00E9275E">
              <w:rPr>
                <w:rStyle w:val="Hyperlink"/>
                <w:rFonts w:asciiTheme="minorBidi" w:hAnsiTheme="minorBidi"/>
                <w:b/>
                <w:bCs/>
                <w:i/>
                <w:iCs/>
                <w:noProof/>
                <w:color w:val="auto"/>
                <w:sz w:val="22"/>
                <w:szCs w:val="22"/>
                <w:lang w:val="en-GB"/>
              </w:rPr>
              <w:t>1.2.2.</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Higher Rates of Diabetes</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_Toc223743605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5</w:t>
            </w:r>
            <w:r w:rsidRPr="00E9275E">
              <w:rPr>
                <w:rFonts w:asciiTheme="minorBidi" w:hAnsiTheme="minorBidi"/>
                <w:b/>
                <w:bCs/>
                <w:i/>
                <w:iCs/>
                <w:noProof/>
                <w:webHidden/>
                <w:sz w:val="22"/>
                <w:szCs w:val="22"/>
                <w:lang w:val="en-GB"/>
              </w:rPr>
              <w:fldChar w:fldCharType="end"/>
            </w:r>
          </w:hyperlink>
        </w:p>
        <w:p w14:paraId="6C2D6905" w14:textId="53864FE9"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6" w:history="1">
            <w:r w:rsidRPr="00E9275E">
              <w:rPr>
                <w:rStyle w:val="Hyperlink"/>
                <w:rFonts w:asciiTheme="minorBidi" w:hAnsiTheme="minorBidi"/>
                <w:b/>
                <w:bCs/>
                <w:i/>
                <w:iCs/>
                <w:noProof/>
                <w:color w:val="auto"/>
                <w:sz w:val="22"/>
                <w:szCs w:val="22"/>
                <w:lang w:val="en-GB"/>
              </w:rPr>
              <w:t>1.2.3.</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Cardiovascular Disease Disparities</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_Toc223743606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5</w:t>
            </w:r>
            <w:r w:rsidRPr="00E9275E">
              <w:rPr>
                <w:rFonts w:asciiTheme="minorBidi" w:hAnsiTheme="minorBidi"/>
                <w:b/>
                <w:bCs/>
                <w:i/>
                <w:iCs/>
                <w:noProof/>
                <w:webHidden/>
                <w:sz w:val="22"/>
                <w:szCs w:val="22"/>
                <w:lang w:val="en-GB"/>
              </w:rPr>
              <w:fldChar w:fldCharType="end"/>
            </w:r>
          </w:hyperlink>
        </w:p>
        <w:p w14:paraId="2522DF7A" w14:textId="392C640C"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7" w:history="1">
            <w:r w:rsidRPr="00E9275E">
              <w:rPr>
                <w:rStyle w:val="Hyperlink"/>
                <w:rFonts w:asciiTheme="minorBidi" w:hAnsiTheme="minorBidi"/>
                <w:b/>
                <w:bCs/>
                <w:i/>
                <w:iCs/>
                <w:noProof/>
                <w:color w:val="auto"/>
                <w:sz w:val="22"/>
                <w:szCs w:val="22"/>
                <w:lang w:val="en-GB"/>
              </w:rPr>
              <w:t>1.2.4.</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Poverty and Socioeconomic Disadvantage</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_Toc223743607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5</w:t>
            </w:r>
            <w:r w:rsidRPr="00E9275E">
              <w:rPr>
                <w:rFonts w:asciiTheme="minorBidi" w:hAnsiTheme="minorBidi"/>
                <w:b/>
                <w:bCs/>
                <w:i/>
                <w:iCs/>
                <w:noProof/>
                <w:webHidden/>
                <w:sz w:val="22"/>
                <w:szCs w:val="22"/>
                <w:lang w:val="en-GB"/>
              </w:rPr>
              <w:fldChar w:fldCharType="end"/>
            </w:r>
          </w:hyperlink>
        </w:p>
        <w:p w14:paraId="45E40C22" w14:textId="79B7C33D"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8" w:history="1">
            <w:r w:rsidRPr="00E9275E">
              <w:rPr>
                <w:rStyle w:val="Hyperlink"/>
                <w:rFonts w:asciiTheme="minorBidi" w:hAnsiTheme="minorBidi"/>
                <w:b/>
                <w:bCs/>
                <w:i/>
                <w:iCs/>
                <w:noProof/>
                <w:color w:val="auto"/>
                <w:sz w:val="22"/>
                <w:szCs w:val="22"/>
                <w:lang w:val="en-GB"/>
              </w:rPr>
              <w:t>1.2.5.</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Housing and Overcrowding</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_Toc223743608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6</w:t>
            </w:r>
            <w:r w:rsidRPr="00E9275E">
              <w:rPr>
                <w:rFonts w:asciiTheme="minorBidi" w:hAnsiTheme="minorBidi"/>
                <w:b/>
                <w:bCs/>
                <w:i/>
                <w:iCs/>
                <w:noProof/>
                <w:webHidden/>
                <w:sz w:val="22"/>
                <w:szCs w:val="22"/>
                <w:lang w:val="en-GB"/>
              </w:rPr>
              <w:fldChar w:fldCharType="end"/>
            </w:r>
          </w:hyperlink>
        </w:p>
        <w:p w14:paraId="58B252C3" w14:textId="24DD27AC" w:rsidR="00212AA5" w:rsidRPr="00E9275E" w:rsidRDefault="00212AA5" w:rsidP="002E78FE">
          <w:pPr>
            <w:pStyle w:val="TOC3"/>
            <w:tabs>
              <w:tab w:val="left" w:pos="1440"/>
              <w:tab w:val="right" w:leader="dot" w:pos="9350"/>
            </w:tabs>
            <w:spacing w:before="240" w:line="360" w:lineRule="auto"/>
            <w:rPr>
              <w:rFonts w:asciiTheme="minorBidi" w:hAnsiTheme="minorBidi"/>
              <w:b/>
              <w:bCs/>
              <w:i/>
              <w:iCs/>
              <w:noProof/>
              <w:sz w:val="22"/>
              <w:szCs w:val="22"/>
              <w:lang w:val="en-GB"/>
            </w:rPr>
          </w:pPr>
          <w:hyperlink w:anchor="_Toc223743609" w:history="1">
            <w:r w:rsidRPr="00E9275E">
              <w:rPr>
                <w:rStyle w:val="Hyperlink"/>
                <w:rFonts w:asciiTheme="minorBidi" w:hAnsiTheme="minorBidi"/>
                <w:b/>
                <w:bCs/>
                <w:i/>
                <w:iCs/>
                <w:noProof/>
                <w:color w:val="auto"/>
                <w:sz w:val="22"/>
                <w:szCs w:val="22"/>
                <w:lang w:val="en-GB"/>
              </w:rPr>
              <w:t>1.2.6.</w:t>
            </w:r>
            <w:r w:rsidRPr="00E9275E">
              <w:rPr>
                <w:rFonts w:asciiTheme="minorBidi" w:hAnsiTheme="minorBidi"/>
                <w:b/>
                <w:bCs/>
                <w:i/>
                <w:iCs/>
                <w:noProof/>
                <w:sz w:val="22"/>
                <w:szCs w:val="22"/>
                <w:lang w:val="en-GB"/>
              </w:rPr>
              <w:tab/>
            </w:r>
            <w:r w:rsidRPr="00E9275E">
              <w:rPr>
                <w:rStyle w:val="Hyperlink"/>
                <w:rFonts w:asciiTheme="minorBidi" w:hAnsiTheme="minorBidi"/>
                <w:b/>
                <w:bCs/>
                <w:i/>
                <w:iCs/>
                <w:noProof/>
                <w:color w:val="auto"/>
                <w:sz w:val="22"/>
                <w:szCs w:val="22"/>
                <w:lang w:val="en-GB"/>
              </w:rPr>
              <w:t>Barriers to Healthcare Access</w:t>
            </w:r>
            <w:r w:rsidRPr="00E9275E">
              <w:rPr>
                <w:rFonts w:asciiTheme="minorBidi" w:hAnsiTheme="minorBidi"/>
                <w:b/>
                <w:bCs/>
                <w:i/>
                <w:iCs/>
                <w:noProof/>
                <w:webHidden/>
                <w:sz w:val="22"/>
                <w:szCs w:val="22"/>
                <w:lang w:val="en-GB"/>
              </w:rPr>
              <w:tab/>
            </w:r>
            <w:r w:rsidRPr="00E9275E">
              <w:rPr>
                <w:rFonts w:asciiTheme="minorBidi" w:hAnsiTheme="minorBidi"/>
                <w:b/>
                <w:bCs/>
                <w:i/>
                <w:iCs/>
                <w:noProof/>
                <w:webHidden/>
                <w:sz w:val="22"/>
                <w:szCs w:val="22"/>
                <w:lang w:val="en-GB"/>
              </w:rPr>
              <w:fldChar w:fldCharType="begin"/>
            </w:r>
            <w:r w:rsidRPr="00E9275E">
              <w:rPr>
                <w:rFonts w:asciiTheme="minorBidi" w:hAnsiTheme="minorBidi"/>
                <w:b/>
                <w:bCs/>
                <w:i/>
                <w:iCs/>
                <w:noProof/>
                <w:webHidden/>
                <w:sz w:val="22"/>
                <w:szCs w:val="22"/>
                <w:lang w:val="en-GB"/>
              </w:rPr>
              <w:instrText xml:space="preserve"> PAGEREF _Toc223743609 \h </w:instrText>
            </w:r>
            <w:r w:rsidRPr="00E9275E">
              <w:rPr>
                <w:rFonts w:asciiTheme="minorBidi" w:hAnsiTheme="minorBidi"/>
                <w:b/>
                <w:bCs/>
                <w:i/>
                <w:iCs/>
                <w:noProof/>
                <w:webHidden/>
                <w:sz w:val="22"/>
                <w:szCs w:val="22"/>
                <w:lang w:val="en-GB"/>
              </w:rPr>
            </w:r>
            <w:r w:rsidRPr="00E9275E">
              <w:rPr>
                <w:rFonts w:asciiTheme="minorBidi" w:hAnsiTheme="minorBidi"/>
                <w:b/>
                <w:bCs/>
                <w:i/>
                <w:iCs/>
                <w:noProof/>
                <w:webHidden/>
                <w:sz w:val="22"/>
                <w:szCs w:val="22"/>
                <w:lang w:val="en-GB"/>
              </w:rPr>
              <w:fldChar w:fldCharType="separate"/>
            </w:r>
            <w:r w:rsidR="00D22294" w:rsidRPr="00E9275E">
              <w:rPr>
                <w:rFonts w:asciiTheme="minorBidi" w:hAnsiTheme="minorBidi"/>
                <w:b/>
                <w:bCs/>
                <w:i/>
                <w:iCs/>
                <w:noProof/>
                <w:webHidden/>
                <w:sz w:val="22"/>
                <w:szCs w:val="22"/>
                <w:lang w:val="en-GB"/>
              </w:rPr>
              <w:t>6</w:t>
            </w:r>
            <w:r w:rsidRPr="00E9275E">
              <w:rPr>
                <w:rFonts w:asciiTheme="minorBidi" w:hAnsiTheme="minorBidi"/>
                <w:b/>
                <w:bCs/>
                <w:i/>
                <w:iCs/>
                <w:noProof/>
                <w:webHidden/>
                <w:sz w:val="22"/>
                <w:szCs w:val="22"/>
                <w:lang w:val="en-GB"/>
              </w:rPr>
              <w:fldChar w:fldCharType="end"/>
            </w:r>
          </w:hyperlink>
        </w:p>
        <w:p w14:paraId="4C1DD795" w14:textId="6DDF3314"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0" w:history="1">
            <w:r w:rsidRPr="00E9275E">
              <w:rPr>
                <w:rStyle w:val="Hyperlink"/>
                <w:rFonts w:asciiTheme="minorBidi" w:hAnsiTheme="minorBidi"/>
                <w:b/>
                <w:bCs/>
                <w:noProof/>
                <w:color w:val="auto"/>
                <w:sz w:val="22"/>
                <w:szCs w:val="22"/>
                <w:lang w:val="en-GB"/>
              </w:rPr>
              <w:t>1.3.</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National Response to Reduce Inequalities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_Toc223743610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6</w:t>
            </w:r>
            <w:r w:rsidRPr="00E9275E">
              <w:rPr>
                <w:rFonts w:asciiTheme="minorBidi" w:hAnsiTheme="minorBidi"/>
                <w:b/>
                <w:bCs/>
                <w:noProof/>
                <w:webHidden/>
                <w:sz w:val="22"/>
                <w:szCs w:val="22"/>
                <w:lang w:val="en-GB"/>
              </w:rPr>
              <w:fldChar w:fldCharType="end"/>
            </w:r>
          </w:hyperlink>
        </w:p>
        <w:p w14:paraId="2FE459AE" w14:textId="408BB7C8"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1" w:history="1">
            <w:r w:rsidRPr="00E9275E">
              <w:rPr>
                <w:rStyle w:val="Hyperlink"/>
                <w:rFonts w:asciiTheme="minorBidi" w:hAnsiTheme="minorBidi"/>
                <w:b/>
                <w:bCs/>
                <w:noProof/>
                <w:color w:val="auto"/>
                <w:sz w:val="22"/>
                <w:szCs w:val="22"/>
                <w:lang w:val="en-GB"/>
              </w:rPr>
              <w:t>1.4.</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Organisation Supporting the Chosen Group</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_Toc223743611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7</w:t>
            </w:r>
            <w:r w:rsidRPr="00E9275E">
              <w:rPr>
                <w:rFonts w:asciiTheme="minorBidi" w:hAnsiTheme="minorBidi"/>
                <w:b/>
                <w:bCs/>
                <w:noProof/>
                <w:webHidden/>
                <w:sz w:val="22"/>
                <w:szCs w:val="22"/>
                <w:lang w:val="en-GB"/>
              </w:rPr>
              <w:fldChar w:fldCharType="end"/>
            </w:r>
          </w:hyperlink>
        </w:p>
        <w:p w14:paraId="665126ED" w14:textId="5096ABB5" w:rsidR="00212AA5" w:rsidRPr="00E9275E" w:rsidRDefault="00212AA5" w:rsidP="002E78FE">
          <w:pPr>
            <w:pStyle w:val="TOC1"/>
            <w:tabs>
              <w:tab w:val="left" w:pos="480"/>
              <w:tab w:val="right" w:leader="dot" w:pos="9350"/>
            </w:tabs>
            <w:spacing w:before="240" w:line="360" w:lineRule="auto"/>
            <w:rPr>
              <w:rFonts w:asciiTheme="minorBidi" w:hAnsiTheme="minorBidi"/>
              <w:b/>
              <w:bCs/>
              <w:noProof/>
              <w:sz w:val="22"/>
              <w:szCs w:val="22"/>
              <w:lang w:val="en-GB"/>
            </w:rPr>
          </w:pPr>
          <w:hyperlink w:anchor="_Toc223743612" w:history="1">
            <w:r w:rsidRPr="00E9275E">
              <w:rPr>
                <w:rStyle w:val="Hyperlink"/>
                <w:rFonts w:asciiTheme="minorBidi" w:hAnsiTheme="minorBidi"/>
                <w:b/>
                <w:bCs/>
                <w:noProof/>
                <w:color w:val="auto"/>
                <w:sz w:val="22"/>
                <w:szCs w:val="22"/>
                <w:lang w:val="en-GB"/>
              </w:rPr>
              <w:t>2.</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Task 2: Epidemiological Assessment and Public Health Management of Tuberculosis in Greater Manchester</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_Toc223743612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8</w:t>
            </w:r>
            <w:r w:rsidRPr="00E9275E">
              <w:rPr>
                <w:rFonts w:asciiTheme="minorBidi" w:hAnsiTheme="minorBidi"/>
                <w:b/>
                <w:bCs/>
                <w:noProof/>
                <w:webHidden/>
                <w:sz w:val="22"/>
                <w:szCs w:val="22"/>
                <w:lang w:val="en-GB"/>
              </w:rPr>
              <w:fldChar w:fldCharType="end"/>
            </w:r>
          </w:hyperlink>
        </w:p>
        <w:p w14:paraId="524F2D36" w14:textId="65EA895A"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3" w:history="1">
            <w:r w:rsidRPr="00E9275E">
              <w:rPr>
                <w:rStyle w:val="Hyperlink"/>
                <w:rFonts w:asciiTheme="minorBidi" w:hAnsiTheme="minorBidi"/>
                <w:b/>
                <w:bCs/>
                <w:noProof/>
                <w:color w:val="auto"/>
                <w:sz w:val="22"/>
                <w:szCs w:val="22"/>
                <w:lang w:val="en-GB"/>
              </w:rPr>
              <w:t>2.1.</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Introduction</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_Toc223743613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8</w:t>
            </w:r>
            <w:r w:rsidRPr="00E9275E">
              <w:rPr>
                <w:rFonts w:asciiTheme="minorBidi" w:hAnsiTheme="minorBidi"/>
                <w:b/>
                <w:bCs/>
                <w:noProof/>
                <w:webHidden/>
                <w:sz w:val="22"/>
                <w:szCs w:val="22"/>
                <w:lang w:val="en-GB"/>
              </w:rPr>
              <w:fldChar w:fldCharType="end"/>
            </w:r>
          </w:hyperlink>
        </w:p>
        <w:p w14:paraId="428645A9" w14:textId="2D57707C"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4" w:history="1">
            <w:r w:rsidRPr="00E9275E">
              <w:rPr>
                <w:rStyle w:val="Hyperlink"/>
                <w:rFonts w:asciiTheme="minorBidi" w:hAnsiTheme="minorBidi"/>
                <w:b/>
                <w:bCs/>
                <w:noProof/>
                <w:color w:val="auto"/>
                <w:sz w:val="22"/>
                <w:szCs w:val="22"/>
                <w:lang w:val="en-GB"/>
              </w:rPr>
              <w:t>2.2.</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Public Health Measures Using the 3 P’s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_Toc223743614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8</w:t>
            </w:r>
            <w:r w:rsidRPr="00E9275E">
              <w:rPr>
                <w:rFonts w:asciiTheme="minorBidi" w:hAnsiTheme="minorBidi"/>
                <w:b/>
                <w:bCs/>
                <w:noProof/>
                <w:webHidden/>
                <w:sz w:val="22"/>
                <w:szCs w:val="22"/>
                <w:lang w:val="en-GB"/>
              </w:rPr>
              <w:fldChar w:fldCharType="end"/>
            </w:r>
          </w:hyperlink>
        </w:p>
        <w:p w14:paraId="342B4474" w14:textId="50F698F2"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5" w:history="1">
            <w:r w:rsidRPr="00E9275E">
              <w:rPr>
                <w:rStyle w:val="Hyperlink"/>
                <w:rFonts w:asciiTheme="minorBidi" w:hAnsiTheme="minorBidi"/>
                <w:b/>
                <w:bCs/>
                <w:noProof/>
                <w:color w:val="auto"/>
                <w:sz w:val="22"/>
                <w:szCs w:val="22"/>
                <w:lang w:val="en-GB"/>
              </w:rPr>
              <w:t>2.3.</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Key Determinants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_Toc223743615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9</w:t>
            </w:r>
            <w:r w:rsidRPr="00E9275E">
              <w:rPr>
                <w:rFonts w:asciiTheme="minorBidi" w:hAnsiTheme="minorBidi"/>
                <w:b/>
                <w:bCs/>
                <w:noProof/>
                <w:webHidden/>
                <w:sz w:val="22"/>
                <w:szCs w:val="22"/>
                <w:lang w:val="en-GB"/>
              </w:rPr>
              <w:fldChar w:fldCharType="end"/>
            </w:r>
          </w:hyperlink>
        </w:p>
        <w:p w14:paraId="7AEDEABB" w14:textId="4F5B8306"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6" w:history="1">
            <w:r w:rsidRPr="00E9275E">
              <w:rPr>
                <w:rStyle w:val="Hyperlink"/>
                <w:rFonts w:asciiTheme="minorBidi" w:hAnsiTheme="minorBidi"/>
                <w:b/>
                <w:bCs/>
                <w:noProof/>
                <w:color w:val="auto"/>
                <w:sz w:val="22"/>
                <w:szCs w:val="22"/>
                <w:lang w:val="en-GB"/>
              </w:rPr>
              <w:t>2.4.</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Epidemiological Studies and Health Needs Assessment</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_Toc223743616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9</w:t>
            </w:r>
            <w:r w:rsidRPr="00E9275E">
              <w:rPr>
                <w:rFonts w:asciiTheme="minorBidi" w:hAnsiTheme="minorBidi"/>
                <w:b/>
                <w:bCs/>
                <w:noProof/>
                <w:webHidden/>
                <w:sz w:val="22"/>
                <w:szCs w:val="22"/>
                <w:lang w:val="en-GB"/>
              </w:rPr>
              <w:fldChar w:fldCharType="end"/>
            </w:r>
          </w:hyperlink>
        </w:p>
        <w:p w14:paraId="14530AE9" w14:textId="539DEA2A"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7" w:history="1">
            <w:r w:rsidRPr="00E9275E">
              <w:rPr>
                <w:rStyle w:val="Hyperlink"/>
                <w:rFonts w:asciiTheme="minorBidi" w:hAnsiTheme="minorBidi"/>
                <w:b/>
                <w:bCs/>
                <w:noProof/>
                <w:color w:val="auto"/>
                <w:sz w:val="22"/>
                <w:szCs w:val="22"/>
                <w:lang w:val="en-GB"/>
              </w:rPr>
              <w:t>2.5.</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Surveillance and Monitoring Systems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_Toc223743617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10</w:t>
            </w:r>
            <w:r w:rsidRPr="00E9275E">
              <w:rPr>
                <w:rFonts w:asciiTheme="minorBidi" w:hAnsiTheme="minorBidi"/>
                <w:b/>
                <w:bCs/>
                <w:noProof/>
                <w:webHidden/>
                <w:sz w:val="22"/>
                <w:szCs w:val="22"/>
                <w:lang w:val="en-GB"/>
              </w:rPr>
              <w:fldChar w:fldCharType="end"/>
            </w:r>
          </w:hyperlink>
        </w:p>
        <w:p w14:paraId="50D6539A" w14:textId="6FCE742C"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8" w:history="1">
            <w:r w:rsidRPr="00E9275E">
              <w:rPr>
                <w:rStyle w:val="Hyperlink"/>
                <w:rFonts w:asciiTheme="minorBidi" w:hAnsiTheme="minorBidi"/>
                <w:b/>
                <w:bCs/>
                <w:noProof/>
                <w:color w:val="auto"/>
                <w:sz w:val="22"/>
                <w:szCs w:val="22"/>
                <w:lang w:val="en-GB"/>
              </w:rPr>
              <w:t>2.6.</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Public Health Impact and Consequences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_Toc223743618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10</w:t>
            </w:r>
            <w:r w:rsidRPr="00E9275E">
              <w:rPr>
                <w:rFonts w:asciiTheme="minorBidi" w:hAnsiTheme="minorBidi"/>
                <w:b/>
                <w:bCs/>
                <w:noProof/>
                <w:webHidden/>
                <w:sz w:val="22"/>
                <w:szCs w:val="22"/>
                <w:lang w:val="en-GB"/>
              </w:rPr>
              <w:fldChar w:fldCharType="end"/>
            </w:r>
          </w:hyperlink>
        </w:p>
        <w:p w14:paraId="4952154F" w14:textId="3BA5E43C"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19" w:history="1">
            <w:r w:rsidRPr="00E9275E">
              <w:rPr>
                <w:rStyle w:val="Hyperlink"/>
                <w:rFonts w:asciiTheme="minorBidi" w:hAnsiTheme="minorBidi"/>
                <w:b/>
                <w:bCs/>
                <w:noProof/>
                <w:color w:val="auto"/>
                <w:sz w:val="22"/>
                <w:szCs w:val="22"/>
                <w:lang w:val="en-GB"/>
              </w:rPr>
              <w:t>2.7.</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Health Intervention Programme Design</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_Toc223743619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11</w:t>
            </w:r>
            <w:r w:rsidRPr="00E9275E">
              <w:rPr>
                <w:rFonts w:asciiTheme="minorBidi" w:hAnsiTheme="minorBidi"/>
                <w:b/>
                <w:bCs/>
                <w:noProof/>
                <w:webHidden/>
                <w:sz w:val="22"/>
                <w:szCs w:val="22"/>
                <w:lang w:val="en-GB"/>
              </w:rPr>
              <w:fldChar w:fldCharType="end"/>
            </w:r>
          </w:hyperlink>
        </w:p>
        <w:p w14:paraId="6D0853C9" w14:textId="35513516"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20" w:history="1">
            <w:r w:rsidRPr="00E9275E">
              <w:rPr>
                <w:rStyle w:val="Hyperlink"/>
                <w:rFonts w:asciiTheme="minorBidi" w:hAnsiTheme="minorBidi"/>
                <w:b/>
                <w:bCs/>
                <w:noProof/>
                <w:color w:val="auto"/>
                <w:sz w:val="22"/>
                <w:szCs w:val="22"/>
                <w:lang w:val="en-GB"/>
              </w:rPr>
              <w:t>2.8.</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Evaluation of Intervention</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_Toc223743620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11</w:t>
            </w:r>
            <w:r w:rsidRPr="00E9275E">
              <w:rPr>
                <w:rFonts w:asciiTheme="minorBidi" w:hAnsiTheme="minorBidi"/>
                <w:b/>
                <w:bCs/>
                <w:noProof/>
                <w:webHidden/>
                <w:sz w:val="22"/>
                <w:szCs w:val="22"/>
                <w:lang w:val="en-GB"/>
              </w:rPr>
              <w:fldChar w:fldCharType="end"/>
            </w:r>
          </w:hyperlink>
        </w:p>
        <w:p w14:paraId="738328EC" w14:textId="0AAEE003" w:rsidR="00212AA5" w:rsidRPr="00E9275E" w:rsidRDefault="00212AA5" w:rsidP="002E78FE">
          <w:pPr>
            <w:pStyle w:val="TOC2"/>
            <w:tabs>
              <w:tab w:val="left" w:pos="960"/>
              <w:tab w:val="right" w:leader="dot" w:pos="9350"/>
            </w:tabs>
            <w:spacing w:before="240" w:line="360" w:lineRule="auto"/>
            <w:rPr>
              <w:rFonts w:asciiTheme="minorBidi" w:hAnsiTheme="minorBidi"/>
              <w:b/>
              <w:bCs/>
              <w:noProof/>
              <w:sz w:val="22"/>
              <w:szCs w:val="22"/>
              <w:lang w:val="en-GB"/>
            </w:rPr>
          </w:pPr>
          <w:hyperlink w:anchor="_Toc223743621" w:history="1">
            <w:r w:rsidRPr="00E9275E">
              <w:rPr>
                <w:rStyle w:val="Hyperlink"/>
                <w:rFonts w:asciiTheme="minorBidi" w:hAnsiTheme="minorBidi"/>
                <w:b/>
                <w:bCs/>
                <w:noProof/>
                <w:color w:val="auto"/>
                <w:sz w:val="22"/>
                <w:szCs w:val="22"/>
                <w:lang w:val="en-GB"/>
              </w:rPr>
              <w:t>2.9.</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Strengths and Weaknesses of the Epidemiological Approach</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_Toc223743621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11</w:t>
            </w:r>
            <w:r w:rsidRPr="00E9275E">
              <w:rPr>
                <w:rFonts w:asciiTheme="minorBidi" w:hAnsiTheme="minorBidi"/>
                <w:b/>
                <w:bCs/>
                <w:noProof/>
                <w:webHidden/>
                <w:sz w:val="22"/>
                <w:szCs w:val="22"/>
                <w:lang w:val="en-GB"/>
              </w:rPr>
              <w:fldChar w:fldCharType="end"/>
            </w:r>
          </w:hyperlink>
        </w:p>
        <w:p w14:paraId="09C5DCF3" w14:textId="322FBA13" w:rsidR="00212AA5" w:rsidRPr="00E9275E" w:rsidRDefault="00212AA5" w:rsidP="002E78FE">
          <w:pPr>
            <w:pStyle w:val="TOC2"/>
            <w:tabs>
              <w:tab w:val="left" w:pos="1200"/>
              <w:tab w:val="right" w:leader="dot" w:pos="9350"/>
            </w:tabs>
            <w:spacing w:before="240" w:line="360" w:lineRule="auto"/>
            <w:rPr>
              <w:rFonts w:asciiTheme="minorBidi" w:hAnsiTheme="minorBidi"/>
              <w:b/>
              <w:bCs/>
              <w:noProof/>
              <w:sz w:val="22"/>
              <w:szCs w:val="22"/>
              <w:lang w:val="en-GB"/>
            </w:rPr>
          </w:pPr>
          <w:hyperlink w:anchor="_Toc223743622" w:history="1">
            <w:r w:rsidRPr="00E9275E">
              <w:rPr>
                <w:rStyle w:val="Hyperlink"/>
                <w:rFonts w:asciiTheme="minorBidi" w:hAnsiTheme="minorBidi"/>
                <w:b/>
                <w:bCs/>
                <w:noProof/>
                <w:color w:val="auto"/>
                <w:sz w:val="22"/>
                <w:szCs w:val="22"/>
                <w:lang w:val="en-GB"/>
              </w:rPr>
              <w:t>2.10.</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Conclusion</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_Toc223743622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12</w:t>
            </w:r>
            <w:r w:rsidRPr="00E9275E">
              <w:rPr>
                <w:rFonts w:asciiTheme="minorBidi" w:hAnsiTheme="minorBidi"/>
                <w:b/>
                <w:bCs/>
                <w:noProof/>
                <w:webHidden/>
                <w:sz w:val="22"/>
                <w:szCs w:val="22"/>
                <w:lang w:val="en-GB"/>
              </w:rPr>
              <w:fldChar w:fldCharType="end"/>
            </w:r>
          </w:hyperlink>
        </w:p>
        <w:p w14:paraId="06BA0975" w14:textId="77567DED" w:rsidR="00212AA5" w:rsidRPr="00E9275E" w:rsidRDefault="00212AA5" w:rsidP="002E78FE">
          <w:pPr>
            <w:pStyle w:val="TOC1"/>
            <w:tabs>
              <w:tab w:val="left" w:pos="480"/>
              <w:tab w:val="right" w:leader="dot" w:pos="9350"/>
            </w:tabs>
            <w:spacing w:before="240" w:line="360" w:lineRule="auto"/>
            <w:rPr>
              <w:rFonts w:asciiTheme="minorBidi" w:hAnsiTheme="minorBidi"/>
              <w:b/>
              <w:bCs/>
              <w:noProof/>
              <w:sz w:val="22"/>
              <w:szCs w:val="22"/>
              <w:lang w:val="en-GB"/>
            </w:rPr>
          </w:pPr>
          <w:hyperlink w:anchor="_Toc223743623" w:history="1">
            <w:r w:rsidRPr="00E9275E">
              <w:rPr>
                <w:rStyle w:val="Hyperlink"/>
                <w:rFonts w:asciiTheme="minorBidi" w:hAnsiTheme="minorBidi"/>
                <w:b/>
                <w:bCs/>
                <w:noProof/>
                <w:color w:val="auto"/>
                <w:sz w:val="22"/>
                <w:szCs w:val="22"/>
                <w:lang w:val="en-GB"/>
              </w:rPr>
              <w:t>3.</w:t>
            </w:r>
            <w:r w:rsidRPr="00E9275E">
              <w:rPr>
                <w:rFonts w:asciiTheme="minorBidi" w:hAnsiTheme="minorBidi"/>
                <w:b/>
                <w:bCs/>
                <w:noProof/>
                <w:sz w:val="22"/>
                <w:szCs w:val="22"/>
                <w:lang w:val="en-GB"/>
              </w:rPr>
              <w:tab/>
            </w:r>
            <w:r w:rsidRPr="00E9275E">
              <w:rPr>
                <w:rStyle w:val="Hyperlink"/>
                <w:rFonts w:asciiTheme="minorBidi" w:hAnsiTheme="minorBidi"/>
                <w:b/>
                <w:bCs/>
                <w:noProof/>
                <w:color w:val="auto"/>
                <w:sz w:val="22"/>
                <w:szCs w:val="22"/>
                <w:lang w:val="en-GB"/>
              </w:rPr>
              <w:t>References</w:t>
            </w:r>
            <w:r w:rsidRPr="00E9275E">
              <w:rPr>
                <w:rFonts w:asciiTheme="minorBidi" w:hAnsiTheme="minorBidi"/>
                <w:b/>
                <w:bCs/>
                <w:noProof/>
                <w:webHidden/>
                <w:sz w:val="22"/>
                <w:szCs w:val="22"/>
                <w:lang w:val="en-GB"/>
              </w:rPr>
              <w:tab/>
            </w:r>
            <w:r w:rsidRPr="00E9275E">
              <w:rPr>
                <w:rFonts w:asciiTheme="minorBidi" w:hAnsiTheme="minorBidi"/>
                <w:b/>
                <w:bCs/>
                <w:noProof/>
                <w:webHidden/>
                <w:sz w:val="22"/>
                <w:szCs w:val="22"/>
                <w:lang w:val="en-GB"/>
              </w:rPr>
              <w:fldChar w:fldCharType="begin"/>
            </w:r>
            <w:r w:rsidRPr="00E9275E">
              <w:rPr>
                <w:rFonts w:asciiTheme="minorBidi" w:hAnsiTheme="minorBidi"/>
                <w:b/>
                <w:bCs/>
                <w:noProof/>
                <w:webHidden/>
                <w:sz w:val="22"/>
                <w:szCs w:val="22"/>
                <w:lang w:val="en-GB"/>
              </w:rPr>
              <w:instrText xml:space="preserve"> PAGEREF _Toc223743623 \h </w:instrText>
            </w:r>
            <w:r w:rsidRPr="00E9275E">
              <w:rPr>
                <w:rFonts w:asciiTheme="minorBidi" w:hAnsiTheme="minorBidi"/>
                <w:b/>
                <w:bCs/>
                <w:noProof/>
                <w:webHidden/>
                <w:sz w:val="22"/>
                <w:szCs w:val="22"/>
                <w:lang w:val="en-GB"/>
              </w:rPr>
            </w:r>
            <w:r w:rsidRPr="00E9275E">
              <w:rPr>
                <w:rFonts w:asciiTheme="minorBidi" w:hAnsiTheme="minorBidi"/>
                <w:b/>
                <w:bCs/>
                <w:noProof/>
                <w:webHidden/>
                <w:sz w:val="22"/>
                <w:szCs w:val="22"/>
                <w:lang w:val="en-GB"/>
              </w:rPr>
              <w:fldChar w:fldCharType="separate"/>
            </w:r>
            <w:r w:rsidR="00D22294" w:rsidRPr="00E9275E">
              <w:rPr>
                <w:rFonts w:asciiTheme="minorBidi" w:hAnsiTheme="minorBidi"/>
                <w:b/>
                <w:bCs/>
                <w:noProof/>
                <w:webHidden/>
                <w:sz w:val="22"/>
                <w:szCs w:val="22"/>
                <w:lang w:val="en-GB"/>
              </w:rPr>
              <w:t>13</w:t>
            </w:r>
            <w:r w:rsidRPr="00E9275E">
              <w:rPr>
                <w:rFonts w:asciiTheme="minorBidi" w:hAnsiTheme="minorBidi"/>
                <w:b/>
                <w:bCs/>
                <w:noProof/>
                <w:webHidden/>
                <w:sz w:val="22"/>
                <w:szCs w:val="22"/>
                <w:lang w:val="en-GB"/>
              </w:rPr>
              <w:fldChar w:fldCharType="end"/>
            </w:r>
          </w:hyperlink>
        </w:p>
        <w:p w14:paraId="159957AF" w14:textId="48F426AD" w:rsidR="00212AA5" w:rsidRPr="00E9275E" w:rsidRDefault="00212AA5" w:rsidP="002E78FE">
          <w:pPr>
            <w:spacing w:before="240" w:after="100" w:line="360" w:lineRule="auto"/>
            <w:rPr>
              <w:rFonts w:asciiTheme="minorBidi" w:hAnsiTheme="minorBidi"/>
              <w:b/>
              <w:bCs/>
              <w:sz w:val="22"/>
              <w:szCs w:val="22"/>
              <w:lang w:val="en-GB"/>
            </w:rPr>
          </w:pPr>
          <w:r w:rsidRPr="00E9275E">
            <w:rPr>
              <w:rFonts w:asciiTheme="minorBidi" w:hAnsiTheme="minorBidi"/>
              <w:b/>
              <w:bCs/>
              <w:noProof/>
              <w:sz w:val="22"/>
              <w:szCs w:val="22"/>
              <w:lang w:val="en-GB"/>
            </w:rPr>
            <w:fldChar w:fldCharType="end"/>
          </w:r>
        </w:p>
      </w:sdtContent>
    </w:sdt>
    <w:p w14:paraId="2DB6EE54" w14:textId="77777777" w:rsidR="00CA5006" w:rsidRPr="00E9275E" w:rsidRDefault="00CA5006" w:rsidP="002E78FE">
      <w:pPr>
        <w:pStyle w:val="NormalWeb"/>
        <w:spacing w:before="240" w:after="240" w:line="360" w:lineRule="auto"/>
        <w:rPr>
          <w:rFonts w:asciiTheme="minorBidi" w:hAnsiTheme="minorBidi" w:cstheme="minorBidi"/>
          <w:sz w:val="22"/>
          <w:szCs w:val="22"/>
          <w:lang w:val="en-GB"/>
        </w:rPr>
      </w:pPr>
    </w:p>
    <w:p w14:paraId="214C46EF"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62A9CE8D"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1BEE5E8B"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0DC6D135"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3DAC4F5C"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75A0AE5E"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44E6CE54"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6C8CEAA6"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0DD512FD"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4B63E680"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4BA8D56E"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640F03B7" w14:textId="77777777" w:rsidR="00FF2C77" w:rsidRPr="00E9275E" w:rsidRDefault="00FF2C77" w:rsidP="002E78FE">
      <w:pPr>
        <w:pStyle w:val="NormalWeb"/>
        <w:spacing w:before="240" w:after="240" w:line="360" w:lineRule="auto"/>
        <w:rPr>
          <w:rFonts w:asciiTheme="minorBidi" w:hAnsiTheme="minorBidi" w:cstheme="minorBidi"/>
          <w:sz w:val="22"/>
          <w:szCs w:val="22"/>
          <w:lang w:val="en-GB"/>
        </w:rPr>
      </w:pPr>
    </w:p>
    <w:p w14:paraId="0AA0E3AD" w14:textId="1F8FF071" w:rsidR="005D3CFB" w:rsidRPr="00E9275E" w:rsidRDefault="00BB1167" w:rsidP="00B64841">
      <w:pPr>
        <w:pStyle w:val="Heading1"/>
        <w:numPr>
          <w:ilvl w:val="0"/>
          <w:numId w:val="6"/>
        </w:numPr>
        <w:spacing w:line="360" w:lineRule="auto"/>
        <w:rPr>
          <w:rFonts w:asciiTheme="minorBidi" w:hAnsiTheme="minorBidi" w:cstheme="minorBidi"/>
          <w:b/>
          <w:bCs/>
          <w:color w:val="auto"/>
          <w:sz w:val="22"/>
          <w:szCs w:val="22"/>
          <w:lang w:val="en-GB"/>
        </w:rPr>
      </w:pPr>
      <w:bookmarkStart w:id="0" w:name="_Toc223743601"/>
      <w:r w:rsidRPr="00E9275E">
        <w:rPr>
          <w:rFonts w:asciiTheme="minorBidi" w:hAnsiTheme="minorBidi" w:cstheme="minorBidi"/>
          <w:b/>
          <w:bCs/>
          <w:color w:val="auto"/>
          <w:sz w:val="22"/>
          <w:szCs w:val="22"/>
          <w:lang w:val="en-GB"/>
        </w:rPr>
        <w:lastRenderedPageBreak/>
        <w:t xml:space="preserve">Task </w:t>
      </w:r>
      <w:r w:rsidR="00E96B02" w:rsidRPr="00E9275E">
        <w:rPr>
          <w:rFonts w:asciiTheme="minorBidi" w:hAnsiTheme="minorBidi" w:cstheme="minorBidi"/>
          <w:b/>
          <w:bCs/>
          <w:color w:val="auto"/>
          <w:sz w:val="22"/>
          <w:szCs w:val="22"/>
          <w:lang w:val="en-GB"/>
        </w:rPr>
        <w:t>1</w:t>
      </w:r>
      <w:r w:rsidR="00840FE0" w:rsidRPr="00E9275E">
        <w:rPr>
          <w:rFonts w:asciiTheme="minorBidi" w:hAnsiTheme="minorBidi" w:cstheme="minorBidi"/>
          <w:b/>
          <w:bCs/>
          <w:color w:val="auto"/>
          <w:sz w:val="22"/>
          <w:szCs w:val="22"/>
          <w:lang w:val="en-GB"/>
        </w:rPr>
        <w:t>:</w:t>
      </w:r>
      <w:r w:rsidR="00572CF4" w:rsidRPr="00E9275E">
        <w:rPr>
          <w:rFonts w:asciiTheme="minorBidi" w:hAnsiTheme="minorBidi" w:cstheme="minorBidi"/>
          <w:b/>
          <w:bCs/>
          <w:color w:val="auto"/>
          <w:sz w:val="22"/>
          <w:szCs w:val="22"/>
          <w:lang w:val="en-GB"/>
        </w:rPr>
        <w:t xml:space="preserve"> </w:t>
      </w:r>
      <w:r w:rsidR="005D3CFB" w:rsidRPr="00E9275E">
        <w:rPr>
          <w:rFonts w:asciiTheme="minorBidi" w:hAnsiTheme="minorBidi" w:cstheme="minorBidi"/>
          <w:b/>
          <w:bCs/>
          <w:color w:val="auto"/>
          <w:sz w:val="22"/>
          <w:szCs w:val="22"/>
          <w:lang w:val="en-GB"/>
        </w:rPr>
        <w:t>Ethnicity and Health Inequalities in United Kingdom</w:t>
      </w:r>
      <w:bookmarkEnd w:id="0"/>
    </w:p>
    <w:p w14:paraId="7FF05204" w14:textId="27F7067C" w:rsidR="00000666" w:rsidRPr="00E9275E" w:rsidRDefault="00000666" w:rsidP="00B64841">
      <w:pPr>
        <w:pStyle w:val="Heading2"/>
        <w:numPr>
          <w:ilvl w:val="1"/>
          <w:numId w:val="8"/>
        </w:numPr>
        <w:spacing w:before="360" w:line="360" w:lineRule="auto"/>
        <w:rPr>
          <w:rFonts w:asciiTheme="minorBidi" w:hAnsiTheme="minorBidi" w:cstheme="minorBidi"/>
          <w:b/>
          <w:bCs/>
          <w:color w:val="auto"/>
          <w:sz w:val="22"/>
          <w:szCs w:val="22"/>
          <w:lang w:val="en-GB"/>
        </w:rPr>
      </w:pPr>
      <w:bookmarkStart w:id="1" w:name="_Toc223743602"/>
      <w:r w:rsidRPr="00E9275E">
        <w:rPr>
          <w:rFonts w:asciiTheme="minorBidi" w:hAnsiTheme="minorBidi" w:cstheme="minorBidi"/>
          <w:b/>
          <w:bCs/>
          <w:color w:val="auto"/>
          <w:sz w:val="22"/>
          <w:szCs w:val="22"/>
          <w:lang w:val="en-GB"/>
        </w:rPr>
        <w:t>Introduction</w:t>
      </w:r>
      <w:bookmarkEnd w:id="1"/>
    </w:p>
    <w:p w14:paraId="41874DC7" w14:textId="3DE757FA" w:rsidR="00000666" w:rsidRPr="00E9275E" w:rsidRDefault="001B6D2B"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Ethnicity is cultural, linguistic, kinship, and national identity among people that influence the social experience and health outcomes of a particular group of people</w:t>
      </w:r>
      <w:r w:rsidR="00E13D9B" w:rsidRPr="00E9275E">
        <w:rPr>
          <w:rFonts w:asciiTheme="minorBidi" w:hAnsiTheme="minorBidi"/>
          <w:sz w:val="22"/>
          <w:szCs w:val="22"/>
          <w:lang w:val="en-GB"/>
        </w:rPr>
        <w:t xml:space="preserve"> (Cleveland, 2025)</w:t>
      </w:r>
      <w:r w:rsidRPr="00E9275E">
        <w:rPr>
          <w:rFonts w:asciiTheme="minorBidi" w:hAnsiTheme="minorBidi"/>
          <w:sz w:val="22"/>
          <w:szCs w:val="22"/>
          <w:lang w:val="en-GB"/>
        </w:rPr>
        <w:t xml:space="preserve">. </w:t>
      </w:r>
      <w:r w:rsidR="002F6F74" w:rsidRPr="00E9275E">
        <w:rPr>
          <w:rFonts w:asciiTheme="minorBidi" w:hAnsiTheme="minorBidi"/>
          <w:sz w:val="22"/>
          <w:szCs w:val="22"/>
          <w:lang w:val="en-GB"/>
        </w:rPr>
        <w:t xml:space="preserve">The concept of inequality of health may be defined as the </w:t>
      </w:r>
      <w:r w:rsidR="00B64841" w:rsidRPr="00E9275E">
        <w:rPr>
          <w:rFonts w:asciiTheme="minorBidi" w:hAnsiTheme="minorBidi"/>
          <w:sz w:val="22"/>
          <w:szCs w:val="22"/>
          <w:lang w:val="en-GB"/>
        </w:rPr>
        <w:t>disproportion</w:t>
      </w:r>
      <w:r w:rsidR="002F6F74" w:rsidRPr="00E9275E">
        <w:rPr>
          <w:rFonts w:asciiTheme="minorBidi" w:hAnsiTheme="minorBidi"/>
          <w:sz w:val="22"/>
          <w:szCs w:val="22"/>
          <w:lang w:val="en-GB"/>
        </w:rPr>
        <w:t xml:space="preserve"> in the health statuses of populations of people that are unequal and preventable (WHO, 2018). The structural and social determinants of health such as poverty, access to housing and health care usually have negative influence on the ethnic minority groups in the United Kingdom and this might lead to poor health outcomes. </w:t>
      </w:r>
      <w:r w:rsidRPr="00E9275E">
        <w:rPr>
          <w:rFonts w:asciiTheme="minorBidi" w:hAnsiTheme="minorBidi"/>
          <w:sz w:val="22"/>
          <w:szCs w:val="22"/>
          <w:lang w:val="en-GB"/>
        </w:rPr>
        <w:t xml:space="preserve"> The Dahlgren and Whitehead model explicates health outcomes through multi-layered factors such as personal behaviours, social network, existence circumstance and broad socioeconomic setups</w:t>
      </w:r>
      <w:r w:rsidR="007405FD" w:rsidRPr="00E9275E">
        <w:rPr>
          <w:rFonts w:asciiTheme="minorBidi" w:hAnsiTheme="minorBidi"/>
          <w:sz w:val="22"/>
          <w:szCs w:val="22"/>
          <w:lang w:val="en-GB"/>
        </w:rPr>
        <w:t xml:space="preserve"> (Dahlgren and Whitehead, 2021)</w:t>
      </w:r>
      <w:r w:rsidRPr="00E9275E">
        <w:rPr>
          <w:rFonts w:asciiTheme="minorBidi" w:hAnsiTheme="minorBidi"/>
          <w:sz w:val="22"/>
          <w:szCs w:val="22"/>
          <w:lang w:val="en-GB"/>
        </w:rPr>
        <w:t xml:space="preserve">. </w:t>
      </w:r>
      <w:r w:rsidR="00AC13A4" w:rsidRPr="00E9275E">
        <w:rPr>
          <w:rFonts w:asciiTheme="minorBidi" w:hAnsiTheme="minorBidi"/>
          <w:sz w:val="22"/>
          <w:szCs w:val="22"/>
          <w:lang w:val="en-GB"/>
        </w:rPr>
        <w:t>Causes of disparity, inequality and healthcare barriers can also be seen as reasons that cause variations in prevalence and mortality rates of diseases among ethnic minorities. These inequalities render the social determinants to impact the health outcomes of the different ethnic groups in the UK.</w:t>
      </w:r>
    </w:p>
    <w:p w14:paraId="17BEEB94" w14:textId="092706B9" w:rsidR="00000666" w:rsidRPr="00E9275E" w:rsidRDefault="00000666" w:rsidP="0056288F">
      <w:pPr>
        <w:pStyle w:val="Heading2"/>
        <w:numPr>
          <w:ilvl w:val="1"/>
          <w:numId w:val="8"/>
        </w:numPr>
        <w:spacing w:before="360" w:line="360" w:lineRule="auto"/>
        <w:rPr>
          <w:rFonts w:asciiTheme="minorBidi" w:hAnsiTheme="minorBidi" w:cstheme="minorBidi"/>
          <w:b/>
          <w:bCs/>
          <w:color w:val="auto"/>
          <w:sz w:val="22"/>
          <w:szCs w:val="22"/>
          <w:lang w:val="en-GB"/>
        </w:rPr>
      </w:pPr>
      <w:bookmarkStart w:id="2" w:name="_Toc223743603"/>
      <w:r w:rsidRPr="00E9275E">
        <w:rPr>
          <w:rFonts w:asciiTheme="minorBidi" w:hAnsiTheme="minorBidi" w:cstheme="minorBidi"/>
          <w:b/>
          <w:bCs/>
          <w:color w:val="auto"/>
          <w:sz w:val="22"/>
          <w:szCs w:val="22"/>
          <w:lang w:val="en-GB"/>
        </w:rPr>
        <w:t>Contextual Background and Underlying Factors</w:t>
      </w:r>
      <w:bookmarkEnd w:id="2"/>
    </w:p>
    <w:p w14:paraId="15D1AB0E" w14:textId="71E4DAE2" w:rsidR="00000666" w:rsidRPr="00E9275E" w:rsidRDefault="00000666" w:rsidP="002E78FE">
      <w:pPr>
        <w:pStyle w:val="Heading3"/>
        <w:numPr>
          <w:ilvl w:val="2"/>
          <w:numId w:val="6"/>
        </w:numPr>
        <w:spacing w:before="360" w:line="360" w:lineRule="auto"/>
        <w:rPr>
          <w:rFonts w:asciiTheme="minorBidi" w:eastAsiaTheme="minorEastAsia" w:hAnsiTheme="minorBidi" w:cstheme="minorBidi"/>
          <w:b/>
          <w:bCs/>
          <w:color w:val="auto"/>
          <w:sz w:val="22"/>
          <w:szCs w:val="22"/>
          <w:lang w:val="en-GB"/>
        </w:rPr>
      </w:pPr>
      <w:bookmarkStart w:id="3" w:name="_Toc223743604"/>
      <w:r w:rsidRPr="00E9275E">
        <w:rPr>
          <w:rFonts w:asciiTheme="minorBidi" w:eastAsiaTheme="minorEastAsia" w:hAnsiTheme="minorBidi" w:cstheme="minorBidi"/>
          <w:b/>
          <w:bCs/>
          <w:color w:val="auto"/>
          <w:sz w:val="22"/>
          <w:szCs w:val="22"/>
          <w:lang w:val="en-GB"/>
        </w:rPr>
        <w:t>Higher Rates of Tuberculosis in Ethnic Minority Population</w:t>
      </w:r>
      <w:r w:rsidR="007C0443" w:rsidRPr="00E9275E">
        <w:rPr>
          <w:rFonts w:asciiTheme="minorBidi" w:eastAsiaTheme="minorEastAsia" w:hAnsiTheme="minorBidi" w:cstheme="minorBidi"/>
          <w:b/>
          <w:bCs/>
          <w:color w:val="auto"/>
          <w:sz w:val="22"/>
          <w:szCs w:val="22"/>
          <w:lang w:val="en-GB"/>
        </w:rPr>
        <w:t>s</w:t>
      </w:r>
      <w:bookmarkEnd w:id="3"/>
    </w:p>
    <w:p w14:paraId="249FF9DD" w14:textId="74AD61A3" w:rsidR="004A4D91" w:rsidRPr="00E9275E" w:rsidRDefault="00F15C47"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E</w:t>
      </w:r>
      <w:r w:rsidR="00663E2F" w:rsidRPr="00E9275E">
        <w:rPr>
          <w:rFonts w:asciiTheme="minorBidi" w:hAnsiTheme="minorBidi"/>
          <w:sz w:val="22"/>
          <w:szCs w:val="22"/>
          <w:lang w:val="en-GB"/>
        </w:rPr>
        <w:t xml:space="preserve">thnic disparity in the United Kingdom regarding Tuberculosis (TB) among ethnic minorities of the population </w:t>
      </w:r>
      <w:r w:rsidR="009107E4" w:rsidRPr="00E9275E">
        <w:rPr>
          <w:rFonts w:asciiTheme="minorBidi" w:hAnsiTheme="minorBidi"/>
          <w:sz w:val="22"/>
          <w:szCs w:val="22"/>
          <w:lang w:val="en-GB"/>
        </w:rPr>
        <w:t xml:space="preserve">is still prevalent </w:t>
      </w:r>
      <w:r w:rsidR="00663E2F" w:rsidRPr="00E9275E">
        <w:rPr>
          <w:rFonts w:asciiTheme="minorBidi" w:hAnsiTheme="minorBidi"/>
          <w:sz w:val="22"/>
          <w:szCs w:val="22"/>
          <w:lang w:val="en-GB"/>
        </w:rPr>
        <w:t>(</w:t>
      </w:r>
      <w:proofErr w:type="spellStart"/>
      <w:r w:rsidR="00663E2F" w:rsidRPr="00E9275E">
        <w:rPr>
          <w:rFonts w:asciiTheme="minorBidi" w:hAnsiTheme="minorBidi"/>
          <w:sz w:val="22"/>
          <w:szCs w:val="22"/>
          <w:lang w:val="en-GB"/>
        </w:rPr>
        <w:t>Aidsmap</w:t>
      </w:r>
      <w:proofErr w:type="spellEnd"/>
      <w:r w:rsidR="00663E2F" w:rsidRPr="00E9275E">
        <w:rPr>
          <w:rFonts w:asciiTheme="minorBidi" w:hAnsiTheme="minorBidi"/>
          <w:sz w:val="22"/>
          <w:szCs w:val="22"/>
          <w:lang w:val="en-GB"/>
        </w:rPr>
        <w:t xml:space="preserve">, 2023). According to the UK Health Security Agency almost 80 percent of all current cases of TB in England are among non-UK-born residents, and particularly individuals born in South Asia and the sub-Saharan African region (EATG, 2024). It is approximately 40.1 cases per 100,000 population on non-UK born </w:t>
      </w:r>
      <w:r w:rsidR="002769FE" w:rsidRPr="00E9275E">
        <w:rPr>
          <w:rFonts w:asciiTheme="minorBidi" w:hAnsiTheme="minorBidi"/>
          <w:sz w:val="22"/>
          <w:szCs w:val="22"/>
          <w:lang w:val="en-GB"/>
        </w:rPr>
        <w:t>individuals,</w:t>
      </w:r>
      <w:r w:rsidR="00663E2F" w:rsidRPr="00E9275E">
        <w:rPr>
          <w:rFonts w:asciiTheme="minorBidi" w:hAnsiTheme="minorBidi"/>
          <w:sz w:val="22"/>
          <w:szCs w:val="22"/>
          <w:lang w:val="en-GB"/>
        </w:rPr>
        <w:t xml:space="preserve"> and this is the opposite of the less than 1 rate per 100,000 on UK born individuals (GOV.UK, 2024).</w:t>
      </w:r>
      <w:r w:rsidR="00A35E01" w:rsidRPr="00E9275E">
        <w:rPr>
          <w:rFonts w:asciiTheme="minorBidi" w:hAnsiTheme="minorBidi"/>
          <w:sz w:val="22"/>
          <w:szCs w:val="22"/>
          <w:lang w:val="en-GB"/>
        </w:rPr>
        <w:t xml:space="preserve"> </w:t>
      </w:r>
      <w:r w:rsidR="00A52EDF" w:rsidRPr="00E9275E">
        <w:rPr>
          <w:rFonts w:asciiTheme="minorBidi" w:hAnsiTheme="minorBidi"/>
          <w:sz w:val="22"/>
          <w:szCs w:val="22"/>
          <w:lang w:val="en-GB"/>
        </w:rPr>
        <w:t>Such differences are a manifestation of social determinants like migration of high burden countries, congested housing and late diagnosis.</w:t>
      </w:r>
    </w:p>
    <w:p w14:paraId="6F9446D9" w14:textId="47935086" w:rsidR="00000666" w:rsidRPr="00E9275E" w:rsidRDefault="00000666" w:rsidP="002E78FE">
      <w:pPr>
        <w:pStyle w:val="Heading3"/>
        <w:numPr>
          <w:ilvl w:val="2"/>
          <w:numId w:val="6"/>
        </w:numPr>
        <w:spacing w:before="360" w:line="360" w:lineRule="auto"/>
        <w:rPr>
          <w:rFonts w:asciiTheme="minorBidi" w:hAnsiTheme="minorBidi" w:cstheme="minorBidi"/>
          <w:b/>
          <w:bCs/>
          <w:color w:val="auto"/>
          <w:sz w:val="22"/>
          <w:szCs w:val="22"/>
          <w:lang w:val="en-GB"/>
        </w:rPr>
      </w:pPr>
      <w:bookmarkStart w:id="4" w:name="_Toc223743605"/>
      <w:r w:rsidRPr="00E9275E">
        <w:rPr>
          <w:rFonts w:asciiTheme="minorBidi" w:hAnsiTheme="minorBidi" w:cstheme="minorBidi"/>
          <w:b/>
          <w:bCs/>
          <w:color w:val="auto"/>
          <w:sz w:val="22"/>
          <w:szCs w:val="22"/>
          <w:lang w:val="en-GB"/>
        </w:rPr>
        <w:t>Higher Rates of Diabetes</w:t>
      </w:r>
      <w:bookmarkEnd w:id="4"/>
    </w:p>
    <w:p w14:paraId="266EE8FF" w14:textId="2FFAFD35" w:rsidR="00000666" w:rsidRPr="00E9275E" w:rsidRDefault="0061479B"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In the UK, ethnic minorities are disproportionately affected by type 2 diabetes. The studies indicate that populations of South Asia are two to six times more inclined to have type 2 </w:t>
      </w:r>
      <w:r w:rsidRPr="00E9275E">
        <w:rPr>
          <w:rFonts w:asciiTheme="minorBidi" w:hAnsiTheme="minorBidi"/>
          <w:sz w:val="22"/>
          <w:szCs w:val="22"/>
          <w:lang w:val="en-GB"/>
        </w:rPr>
        <w:lastRenderedPageBreak/>
        <w:t>diabetes than Whites of Europe</w:t>
      </w:r>
      <w:r w:rsidR="0092129D" w:rsidRPr="00E9275E">
        <w:rPr>
          <w:rFonts w:asciiTheme="minorBidi" w:hAnsiTheme="minorBidi"/>
          <w:sz w:val="22"/>
          <w:szCs w:val="22"/>
          <w:lang w:val="en-GB"/>
        </w:rPr>
        <w:t xml:space="preserve"> (</w:t>
      </w:r>
      <w:proofErr w:type="spellStart"/>
      <w:r w:rsidR="0092129D" w:rsidRPr="00E9275E">
        <w:rPr>
          <w:rFonts w:asciiTheme="minorBidi" w:hAnsiTheme="minorBidi"/>
          <w:sz w:val="22"/>
          <w:szCs w:val="22"/>
          <w:lang w:val="en-GB"/>
        </w:rPr>
        <w:t>BrJCardiol</w:t>
      </w:r>
      <w:proofErr w:type="spellEnd"/>
      <w:r w:rsidR="0092129D" w:rsidRPr="00E9275E">
        <w:rPr>
          <w:rFonts w:asciiTheme="minorBidi" w:hAnsiTheme="minorBidi"/>
          <w:sz w:val="22"/>
          <w:szCs w:val="22"/>
          <w:lang w:val="en-GB"/>
        </w:rPr>
        <w:t>, 2018)</w:t>
      </w:r>
      <w:r w:rsidRPr="00E9275E">
        <w:rPr>
          <w:rFonts w:asciiTheme="minorBidi" w:hAnsiTheme="minorBidi"/>
          <w:sz w:val="22"/>
          <w:szCs w:val="22"/>
          <w:lang w:val="en-GB"/>
        </w:rPr>
        <w:t>.</w:t>
      </w:r>
      <w:r w:rsidR="006A1A07" w:rsidRPr="00E9275E">
        <w:rPr>
          <w:rFonts w:asciiTheme="minorBidi" w:hAnsiTheme="minorBidi"/>
          <w:sz w:val="22"/>
          <w:szCs w:val="22"/>
          <w:lang w:val="en-GB"/>
        </w:rPr>
        <w:t xml:space="preserve"> </w:t>
      </w:r>
      <w:r w:rsidRPr="00E9275E">
        <w:rPr>
          <w:rFonts w:asciiTheme="minorBidi" w:hAnsiTheme="minorBidi"/>
          <w:sz w:val="22"/>
          <w:szCs w:val="22"/>
          <w:lang w:val="en-GB"/>
        </w:rPr>
        <w:t>There is also national data on the prevalence of pre-diabetes, which shows Black and Asian populations suffer more with pre-diabetes (22% vs. 10% on Whites)</w:t>
      </w:r>
      <w:r w:rsidR="001E5E4B" w:rsidRPr="00E9275E">
        <w:rPr>
          <w:rFonts w:asciiTheme="minorBidi" w:hAnsiTheme="minorBidi"/>
          <w:sz w:val="22"/>
          <w:szCs w:val="22"/>
          <w:lang w:val="en-GB"/>
        </w:rPr>
        <w:t xml:space="preserve"> (ONS, 2024)</w:t>
      </w:r>
      <w:r w:rsidRPr="00E9275E">
        <w:rPr>
          <w:rFonts w:asciiTheme="minorBidi" w:hAnsiTheme="minorBidi"/>
          <w:sz w:val="22"/>
          <w:szCs w:val="22"/>
          <w:lang w:val="en-GB"/>
        </w:rPr>
        <w:t>.</w:t>
      </w:r>
      <w:r w:rsidR="00CB37C6" w:rsidRPr="00E9275E">
        <w:rPr>
          <w:rFonts w:asciiTheme="minorBidi" w:hAnsiTheme="minorBidi"/>
          <w:sz w:val="22"/>
          <w:szCs w:val="22"/>
          <w:lang w:val="en-GB"/>
        </w:rPr>
        <w:t xml:space="preserve"> </w:t>
      </w:r>
      <w:r w:rsidR="005E7ACB" w:rsidRPr="00E9275E">
        <w:rPr>
          <w:rFonts w:asciiTheme="minorBidi" w:hAnsiTheme="minorBidi"/>
          <w:sz w:val="22"/>
          <w:szCs w:val="22"/>
          <w:lang w:val="en-GB"/>
        </w:rPr>
        <w:t>Such differences are attributed to genetic inclination, dietary pattern and socioeconomic status in culture. Besides, people of South Asian and black origin are at higher risk of developing diabetes earlier, and this leads to the patients having high likelihoods of ending up in severe complications such as cardiovascular and kidney failure in the long term (Kanaya, 2023).</w:t>
      </w:r>
    </w:p>
    <w:p w14:paraId="34F6717F" w14:textId="0932A086" w:rsidR="00000666" w:rsidRPr="00E9275E" w:rsidRDefault="00000666" w:rsidP="002E78FE">
      <w:pPr>
        <w:pStyle w:val="Heading3"/>
        <w:numPr>
          <w:ilvl w:val="2"/>
          <w:numId w:val="6"/>
        </w:numPr>
        <w:spacing w:before="360" w:line="360" w:lineRule="auto"/>
        <w:rPr>
          <w:rFonts w:asciiTheme="minorBidi" w:hAnsiTheme="minorBidi" w:cstheme="minorBidi"/>
          <w:b/>
          <w:bCs/>
          <w:color w:val="auto"/>
          <w:sz w:val="22"/>
          <w:szCs w:val="22"/>
          <w:lang w:val="en-GB"/>
        </w:rPr>
      </w:pPr>
      <w:bookmarkStart w:id="5" w:name="_Toc223743606"/>
      <w:r w:rsidRPr="00E9275E">
        <w:rPr>
          <w:rFonts w:asciiTheme="minorBidi" w:hAnsiTheme="minorBidi" w:cstheme="minorBidi"/>
          <w:b/>
          <w:bCs/>
          <w:color w:val="auto"/>
          <w:sz w:val="22"/>
          <w:szCs w:val="22"/>
          <w:lang w:val="en-GB"/>
        </w:rPr>
        <w:t>Cardiovascular Disease Disparities</w:t>
      </w:r>
      <w:bookmarkEnd w:id="5"/>
    </w:p>
    <w:p w14:paraId="6D6CECCD" w14:textId="48E82EBA" w:rsidR="00000666" w:rsidRPr="00E9275E" w:rsidRDefault="006F0583"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The UK has a high ethnic inequality in cardiovascular disease (CVD). South Asians are almost twice as prone to contract coronary heart disease compared to their White European counterparts (Mehta, 2024). According to government health statistics, the prevalence of cardiovascular disease is also high among Pakistani and Bangladeshi people (Gov.UK, 2021). All these disparities have assorted risk factors including diabetes, high blood pressure, overweight and poverty. Low access to preventive healthcare services and health promotion programmes that are culturally appropriate also contribute to the high rates of cardiovascular mortality of ethnic minority groups.</w:t>
      </w:r>
    </w:p>
    <w:p w14:paraId="646D0079" w14:textId="199A7902" w:rsidR="00000666" w:rsidRPr="00E9275E" w:rsidRDefault="00000666" w:rsidP="002E78FE">
      <w:pPr>
        <w:pStyle w:val="Heading3"/>
        <w:numPr>
          <w:ilvl w:val="2"/>
          <w:numId w:val="6"/>
        </w:numPr>
        <w:spacing w:before="360" w:line="360" w:lineRule="auto"/>
        <w:rPr>
          <w:rFonts w:asciiTheme="minorBidi" w:hAnsiTheme="minorBidi" w:cstheme="minorBidi"/>
          <w:b/>
          <w:bCs/>
          <w:color w:val="auto"/>
          <w:sz w:val="22"/>
          <w:szCs w:val="22"/>
          <w:lang w:val="en-GB"/>
        </w:rPr>
      </w:pPr>
      <w:bookmarkStart w:id="6" w:name="_Toc223743607"/>
      <w:r w:rsidRPr="00E9275E">
        <w:rPr>
          <w:rFonts w:asciiTheme="minorBidi" w:hAnsiTheme="minorBidi" w:cstheme="minorBidi"/>
          <w:b/>
          <w:bCs/>
          <w:color w:val="auto"/>
          <w:sz w:val="22"/>
          <w:szCs w:val="22"/>
          <w:lang w:val="en-GB"/>
        </w:rPr>
        <w:t>Poverty and Socioeconomic Disadvantage</w:t>
      </w:r>
      <w:bookmarkEnd w:id="6"/>
    </w:p>
    <w:p w14:paraId="44B802FD" w14:textId="701E9906" w:rsidR="00000666" w:rsidRPr="00E9275E" w:rsidRDefault="00E14E33"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Socioeconomic inequality is one of the determinants of the health disparity of ethnic minorities. It is demonstrated that people who live in deprived areas experience significantly worse health outcomes and are more exposed to having chronic diseases.</w:t>
      </w:r>
      <w:r w:rsidR="006574C4" w:rsidRPr="00E9275E">
        <w:rPr>
          <w:rFonts w:asciiTheme="minorBidi" w:hAnsiTheme="minorBidi"/>
          <w:sz w:val="22"/>
          <w:szCs w:val="22"/>
          <w:lang w:val="en-GB"/>
        </w:rPr>
        <w:t xml:space="preserve"> The research in the field of public health indicates that individuals living in the most impoverished communities are almost twice as prone to be hospitalised in instances of infectious diseases as opposed to that of the less deprived communities</w:t>
      </w:r>
      <w:r w:rsidR="008654A9" w:rsidRPr="00E9275E">
        <w:rPr>
          <w:rFonts w:asciiTheme="minorBidi" w:hAnsiTheme="minorBidi"/>
          <w:sz w:val="22"/>
          <w:szCs w:val="22"/>
          <w:lang w:val="en-GB"/>
        </w:rPr>
        <w:t xml:space="preserve"> (Neville, 2025)</w:t>
      </w:r>
      <w:r w:rsidR="006574C4" w:rsidRPr="00E9275E">
        <w:rPr>
          <w:rFonts w:asciiTheme="minorBidi" w:hAnsiTheme="minorBidi"/>
          <w:sz w:val="22"/>
          <w:szCs w:val="22"/>
          <w:lang w:val="en-GB"/>
        </w:rPr>
        <w:t>.</w:t>
      </w:r>
      <w:r w:rsidR="0006359B" w:rsidRPr="00E9275E">
        <w:rPr>
          <w:rFonts w:asciiTheme="minorBidi" w:hAnsiTheme="minorBidi"/>
          <w:sz w:val="22"/>
          <w:szCs w:val="22"/>
          <w:lang w:val="en-GB"/>
        </w:rPr>
        <w:t xml:space="preserve"> </w:t>
      </w:r>
      <w:r w:rsidR="006574C4" w:rsidRPr="00E9275E">
        <w:rPr>
          <w:rFonts w:asciiTheme="minorBidi" w:hAnsiTheme="minorBidi"/>
          <w:sz w:val="22"/>
          <w:szCs w:val="22"/>
          <w:lang w:val="en-GB"/>
        </w:rPr>
        <w:t>The Marmot Review focuses on the fact that income, employment and education are very influential determinants of health and thus make a social gradient in health in populations</w:t>
      </w:r>
      <w:r w:rsidR="0041460B" w:rsidRPr="00E9275E">
        <w:rPr>
          <w:rFonts w:asciiTheme="minorBidi" w:hAnsiTheme="minorBidi"/>
          <w:sz w:val="22"/>
          <w:szCs w:val="22"/>
          <w:lang w:val="en-GB"/>
        </w:rPr>
        <w:t xml:space="preserve"> (Marmot, 2010)</w:t>
      </w:r>
      <w:r w:rsidR="006574C4" w:rsidRPr="00E9275E">
        <w:rPr>
          <w:rFonts w:asciiTheme="minorBidi" w:hAnsiTheme="minorBidi"/>
          <w:sz w:val="22"/>
          <w:szCs w:val="22"/>
          <w:lang w:val="en-GB"/>
        </w:rPr>
        <w:t>.</w:t>
      </w:r>
    </w:p>
    <w:p w14:paraId="403E9A0D" w14:textId="167C0773" w:rsidR="00000666" w:rsidRPr="00E9275E" w:rsidRDefault="00000666" w:rsidP="002E78FE">
      <w:pPr>
        <w:pStyle w:val="Heading3"/>
        <w:numPr>
          <w:ilvl w:val="2"/>
          <w:numId w:val="6"/>
        </w:numPr>
        <w:spacing w:before="360" w:line="360" w:lineRule="auto"/>
        <w:rPr>
          <w:rFonts w:asciiTheme="minorBidi" w:hAnsiTheme="minorBidi" w:cstheme="minorBidi"/>
          <w:b/>
          <w:bCs/>
          <w:color w:val="auto"/>
          <w:sz w:val="22"/>
          <w:szCs w:val="22"/>
          <w:lang w:val="en-GB"/>
        </w:rPr>
      </w:pPr>
      <w:bookmarkStart w:id="7" w:name="_Toc223743608"/>
      <w:r w:rsidRPr="00E9275E">
        <w:rPr>
          <w:rFonts w:asciiTheme="minorBidi" w:hAnsiTheme="minorBidi" w:cstheme="minorBidi"/>
          <w:b/>
          <w:bCs/>
          <w:color w:val="auto"/>
          <w:sz w:val="22"/>
          <w:szCs w:val="22"/>
          <w:lang w:val="en-GB"/>
        </w:rPr>
        <w:t>Housing and Overcrowding</w:t>
      </w:r>
      <w:bookmarkEnd w:id="7"/>
    </w:p>
    <w:p w14:paraId="3CA8B7AB" w14:textId="4933FA70" w:rsidR="00000666" w:rsidRPr="00E9275E" w:rsidRDefault="00B05BE8"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Inequality in housing contributes significantly to the determination of health outcomes in ethnic minority societies. The housing conditions are overcrowded, which is a risk factor in infectious </w:t>
      </w:r>
      <w:r w:rsidRPr="00E9275E">
        <w:rPr>
          <w:rFonts w:asciiTheme="minorBidi" w:hAnsiTheme="minorBidi"/>
          <w:sz w:val="22"/>
          <w:szCs w:val="22"/>
          <w:lang w:val="en-GB"/>
        </w:rPr>
        <w:lastRenderedPageBreak/>
        <w:t>diseases like tuberculosis due to the provision of an avenue for spreading the disease through the air</w:t>
      </w:r>
      <w:r w:rsidR="00FC582D" w:rsidRPr="00E9275E">
        <w:rPr>
          <w:rFonts w:asciiTheme="minorBidi" w:hAnsiTheme="minorBidi"/>
          <w:sz w:val="22"/>
          <w:szCs w:val="22"/>
          <w:lang w:val="en-GB"/>
        </w:rPr>
        <w:t xml:space="preserve"> (Lee et al., 2022)</w:t>
      </w:r>
      <w:r w:rsidRPr="00E9275E">
        <w:rPr>
          <w:rFonts w:asciiTheme="minorBidi" w:hAnsiTheme="minorBidi"/>
          <w:sz w:val="22"/>
          <w:szCs w:val="22"/>
          <w:lang w:val="en-GB"/>
        </w:rPr>
        <w:t>. The evidence of poor housing, environmental contamination and access to greener areas in relation to respiratory and infectious conditions is present in research on health in the disadvantaged groups</w:t>
      </w:r>
      <w:r w:rsidR="003E3762" w:rsidRPr="00E9275E">
        <w:rPr>
          <w:rFonts w:asciiTheme="minorBidi" w:hAnsiTheme="minorBidi"/>
          <w:sz w:val="22"/>
          <w:szCs w:val="22"/>
          <w:lang w:val="en-GB"/>
        </w:rPr>
        <w:t xml:space="preserve"> (Rana, 2025)</w:t>
      </w:r>
      <w:r w:rsidRPr="00E9275E">
        <w:rPr>
          <w:rFonts w:asciiTheme="minorBidi" w:hAnsiTheme="minorBidi"/>
          <w:sz w:val="22"/>
          <w:szCs w:val="22"/>
          <w:lang w:val="en-GB"/>
        </w:rPr>
        <w:t>.</w:t>
      </w:r>
      <w:r w:rsidR="008679F1" w:rsidRPr="00E9275E">
        <w:rPr>
          <w:rFonts w:asciiTheme="minorBidi" w:hAnsiTheme="minorBidi"/>
          <w:sz w:val="22"/>
          <w:szCs w:val="22"/>
          <w:lang w:val="en-GB"/>
        </w:rPr>
        <w:t xml:space="preserve"> </w:t>
      </w:r>
      <w:r w:rsidR="00D82CC1" w:rsidRPr="00E9275E">
        <w:rPr>
          <w:rFonts w:asciiTheme="minorBidi" w:hAnsiTheme="minorBidi"/>
          <w:sz w:val="22"/>
          <w:szCs w:val="22"/>
          <w:lang w:val="en-GB"/>
        </w:rPr>
        <w:t>The minority ethnic communities are concentrated more on those cities with a high population density and less housing supply, they are more exposed to the environmental health hazard, and the health gap is worsened as well.</w:t>
      </w:r>
    </w:p>
    <w:p w14:paraId="7B9CA1C1" w14:textId="091E54E3" w:rsidR="00000666" w:rsidRPr="00E9275E" w:rsidRDefault="00000666" w:rsidP="002E78FE">
      <w:pPr>
        <w:pStyle w:val="Heading3"/>
        <w:numPr>
          <w:ilvl w:val="2"/>
          <w:numId w:val="6"/>
        </w:numPr>
        <w:spacing w:before="360" w:line="360" w:lineRule="auto"/>
        <w:rPr>
          <w:rFonts w:asciiTheme="minorBidi" w:hAnsiTheme="minorBidi" w:cstheme="minorBidi"/>
          <w:b/>
          <w:bCs/>
          <w:color w:val="auto"/>
          <w:sz w:val="22"/>
          <w:szCs w:val="22"/>
          <w:lang w:val="en-GB"/>
        </w:rPr>
      </w:pPr>
      <w:bookmarkStart w:id="8" w:name="_Toc223743609"/>
      <w:r w:rsidRPr="00E9275E">
        <w:rPr>
          <w:rFonts w:asciiTheme="minorBidi" w:hAnsiTheme="minorBidi" w:cstheme="minorBidi"/>
          <w:b/>
          <w:bCs/>
          <w:color w:val="auto"/>
          <w:sz w:val="22"/>
          <w:szCs w:val="22"/>
          <w:lang w:val="en-GB"/>
        </w:rPr>
        <w:t>Barriers to Healthcare Acces</w:t>
      </w:r>
      <w:r w:rsidR="00AD6F8B" w:rsidRPr="00E9275E">
        <w:rPr>
          <w:rFonts w:asciiTheme="minorBidi" w:hAnsiTheme="minorBidi" w:cstheme="minorBidi"/>
          <w:b/>
          <w:bCs/>
          <w:color w:val="auto"/>
          <w:sz w:val="22"/>
          <w:szCs w:val="22"/>
          <w:lang w:val="en-GB"/>
        </w:rPr>
        <w:t>s</w:t>
      </w:r>
      <w:bookmarkEnd w:id="8"/>
    </w:p>
    <w:p w14:paraId="42F66C50" w14:textId="2E0E0285" w:rsidR="00000666" w:rsidRPr="00E9275E" w:rsidRDefault="004E4652"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The ethnic minor population may perceive themselves as being discriminated when they follow the route of seeking health services in the UK. </w:t>
      </w:r>
      <w:r w:rsidR="00046275" w:rsidRPr="00E9275E">
        <w:rPr>
          <w:rFonts w:asciiTheme="minorBidi" w:hAnsiTheme="minorBidi"/>
          <w:sz w:val="22"/>
          <w:szCs w:val="22"/>
          <w:lang w:val="en-GB"/>
        </w:rPr>
        <w:t xml:space="preserve"> </w:t>
      </w:r>
      <w:r w:rsidR="00C3253E" w:rsidRPr="00E9275E">
        <w:rPr>
          <w:rFonts w:asciiTheme="minorBidi" w:hAnsiTheme="minorBidi"/>
          <w:sz w:val="22"/>
          <w:szCs w:val="22"/>
          <w:lang w:val="en-GB"/>
        </w:rPr>
        <w:t>U</w:t>
      </w:r>
      <w:r w:rsidR="00046275" w:rsidRPr="00E9275E">
        <w:rPr>
          <w:rFonts w:asciiTheme="minorBidi" w:hAnsiTheme="minorBidi"/>
          <w:sz w:val="22"/>
          <w:szCs w:val="22"/>
          <w:lang w:val="en-GB"/>
        </w:rPr>
        <w:t xml:space="preserve">nequal access to healthcare positively influences worsened health. </w:t>
      </w:r>
      <w:r w:rsidR="00D819C7" w:rsidRPr="00E9275E">
        <w:rPr>
          <w:rFonts w:asciiTheme="minorBidi" w:hAnsiTheme="minorBidi"/>
          <w:sz w:val="22"/>
          <w:szCs w:val="22"/>
          <w:lang w:val="en-GB"/>
        </w:rPr>
        <w:t>T</w:t>
      </w:r>
      <w:r w:rsidR="00046275" w:rsidRPr="00E9275E">
        <w:rPr>
          <w:rFonts w:asciiTheme="minorBidi" w:hAnsiTheme="minorBidi"/>
          <w:sz w:val="22"/>
          <w:szCs w:val="22"/>
          <w:lang w:val="en-GB"/>
        </w:rPr>
        <w:t>here are some differences in access to diabetes technologies, such that Blacks and South Asians are much less likely to be equipped with continuous glucose monitoring devices than White people</w:t>
      </w:r>
      <w:r w:rsidR="00126982" w:rsidRPr="00E9275E">
        <w:rPr>
          <w:rFonts w:asciiTheme="minorBidi" w:hAnsiTheme="minorBidi"/>
          <w:sz w:val="22"/>
          <w:szCs w:val="22"/>
          <w:lang w:val="en-GB"/>
        </w:rPr>
        <w:t xml:space="preserve"> (Thomas, 2026)</w:t>
      </w:r>
      <w:r w:rsidR="00046275" w:rsidRPr="00E9275E">
        <w:rPr>
          <w:rFonts w:asciiTheme="minorBidi" w:hAnsiTheme="minorBidi"/>
          <w:sz w:val="22"/>
          <w:szCs w:val="22"/>
          <w:lang w:val="en-GB"/>
        </w:rPr>
        <w:t>.</w:t>
      </w:r>
      <w:r w:rsidR="00222225" w:rsidRPr="00E9275E">
        <w:rPr>
          <w:rFonts w:asciiTheme="minorBidi" w:hAnsiTheme="minorBidi"/>
          <w:sz w:val="22"/>
          <w:szCs w:val="22"/>
          <w:lang w:val="en-GB"/>
        </w:rPr>
        <w:t xml:space="preserve"> </w:t>
      </w:r>
      <w:r w:rsidR="00046275" w:rsidRPr="00E9275E">
        <w:rPr>
          <w:rFonts w:asciiTheme="minorBidi" w:hAnsiTheme="minorBidi"/>
          <w:sz w:val="22"/>
          <w:szCs w:val="22"/>
          <w:lang w:val="en-GB"/>
        </w:rPr>
        <w:t>The barriers of language, the cultural differences and distrust of the healthcare systems may postpone the diagnosis and treatment. These obstacles shed light on the effects of the determinants of health services on healthcare usage in ethnic minorities.</w:t>
      </w:r>
    </w:p>
    <w:p w14:paraId="333A8430" w14:textId="1FADF233" w:rsidR="00000666" w:rsidRPr="00E9275E" w:rsidRDefault="00000666" w:rsidP="002E78FE">
      <w:pPr>
        <w:pStyle w:val="Heading2"/>
        <w:numPr>
          <w:ilvl w:val="1"/>
          <w:numId w:val="6"/>
        </w:numPr>
        <w:spacing w:before="360" w:line="360" w:lineRule="auto"/>
        <w:rPr>
          <w:rFonts w:asciiTheme="minorBidi" w:hAnsiTheme="minorBidi" w:cstheme="minorBidi"/>
          <w:b/>
          <w:bCs/>
          <w:color w:val="auto"/>
          <w:sz w:val="22"/>
          <w:szCs w:val="22"/>
          <w:lang w:val="en-GB"/>
        </w:rPr>
      </w:pPr>
      <w:bookmarkStart w:id="9" w:name="_Toc223743610"/>
      <w:r w:rsidRPr="00E9275E">
        <w:rPr>
          <w:rFonts w:asciiTheme="minorBidi" w:hAnsiTheme="minorBidi" w:cstheme="minorBidi"/>
          <w:b/>
          <w:bCs/>
          <w:color w:val="auto"/>
          <w:sz w:val="22"/>
          <w:szCs w:val="22"/>
          <w:lang w:val="en-GB"/>
        </w:rPr>
        <w:t>National Response to Reduce Inequalitie</w:t>
      </w:r>
      <w:r w:rsidR="006C1022" w:rsidRPr="00E9275E">
        <w:rPr>
          <w:rFonts w:asciiTheme="minorBidi" w:hAnsiTheme="minorBidi" w:cstheme="minorBidi"/>
          <w:b/>
          <w:bCs/>
          <w:color w:val="auto"/>
          <w:sz w:val="22"/>
          <w:szCs w:val="22"/>
          <w:lang w:val="en-GB"/>
        </w:rPr>
        <w:t>s</w:t>
      </w:r>
      <w:bookmarkEnd w:id="9"/>
    </w:p>
    <w:p w14:paraId="732D5190" w14:textId="77C0DABA" w:rsidR="002213C5" w:rsidRPr="00E9275E" w:rsidRDefault="002213C5"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In the UK, governmental approaches have been taken at the national level to curtail health disparities among ethnic minority groups of the population. Among the greater efforts is the NHS Core20PLUS5 programme, which is aimed at the 20% most deprived of the population, and it focuses on people who are vulnerable, like ethnic minorities</w:t>
      </w:r>
      <w:r w:rsidR="007C58E2" w:rsidRPr="00E9275E">
        <w:rPr>
          <w:rFonts w:asciiTheme="minorBidi" w:hAnsiTheme="minorBidi"/>
          <w:sz w:val="22"/>
          <w:szCs w:val="22"/>
          <w:lang w:val="en-GB"/>
        </w:rPr>
        <w:t xml:space="preserve"> (NHS England, 2021)</w:t>
      </w:r>
      <w:r w:rsidRPr="00E9275E">
        <w:rPr>
          <w:rFonts w:asciiTheme="minorBidi" w:hAnsiTheme="minorBidi"/>
          <w:sz w:val="22"/>
          <w:szCs w:val="22"/>
          <w:lang w:val="en-GB"/>
        </w:rPr>
        <w:t>. The programme is oriented to the enhancement of the results in such essential areas as cardiovascular disease, cancer and mental health.</w:t>
      </w:r>
    </w:p>
    <w:p w14:paraId="2C9F0856" w14:textId="2E926B34" w:rsidR="002213C5" w:rsidRPr="00E9275E" w:rsidRDefault="002213C5"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UK Tuberculosis Action Plan</w:t>
      </w:r>
      <w:r w:rsidR="00A77FE9" w:rsidRPr="00E9275E">
        <w:rPr>
          <w:rFonts w:asciiTheme="minorBidi" w:hAnsiTheme="minorBidi"/>
          <w:sz w:val="22"/>
          <w:szCs w:val="22"/>
          <w:lang w:val="en-GB"/>
        </w:rPr>
        <w:t xml:space="preserve"> </w:t>
      </w:r>
      <w:r w:rsidRPr="00E9275E">
        <w:rPr>
          <w:rFonts w:asciiTheme="minorBidi" w:hAnsiTheme="minorBidi"/>
          <w:sz w:val="22"/>
          <w:szCs w:val="22"/>
          <w:lang w:val="en-GB"/>
        </w:rPr>
        <w:t>proposes the UK Health Security Agency in terms of mitigating the incidence of TB by early diagnosing, screening the high-risk population and enhancing treatment services</w:t>
      </w:r>
      <w:r w:rsidR="00820537" w:rsidRPr="00E9275E">
        <w:rPr>
          <w:rFonts w:asciiTheme="minorBidi" w:hAnsiTheme="minorBidi"/>
          <w:sz w:val="22"/>
          <w:szCs w:val="22"/>
          <w:lang w:val="en-GB"/>
        </w:rPr>
        <w:t xml:space="preserve"> (UK Health Security Agency, 2023)</w:t>
      </w:r>
      <w:r w:rsidRPr="00E9275E">
        <w:rPr>
          <w:rFonts w:asciiTheme="minorBidi" w:hAnsiTheme="minorBidi"/>
          <w:sz w:val="22"/>
          <w:szCs w:val="22"/>
          <w:lang w:val="en-GB"/>
        </w:rPr>
        <w:t>. The latest statistics indicate that TB incidence rose by 10.7</w:t>
      </w:r>
      <w:r w:rsidR="0004580E" w:rsidRPr="00E9275E">
        <w:rPr>
          <w:rFonts w:asciiTheme="minorBidi" w:hAnsiTheme="minorBidi"/>
          <w:sz w:val="22"/>
          <w:szCs w:val="22"/>
          <w:lang w:val="en-GB"/>
        </w:rPr>
        <w:t xml:space="preserve">% </w:t>
      </w:r>
      <w:r w:rsidRPr="00E9275E">
        <w:rPr>
          <w:rFonts w:asciiTheme="minorBidi" w:hAnsiTheme="minorBidi"/>
          <w:sz w:val="22"/>
          <w:szCs w:val="22"/>
          <w:lang w:val="en-GB"/>
        </w:rPr>
        <w:t>in England in 2023, which proves the relevance of specific interventions</w:t>
      </w:r>
      <w:r w:rsidR="0036166A" w:rsidRPr="00E9275E">
        <w:rPr>
          <w:rFonts w:asciiTheme="minorBidi" w:hAnsiTheme="minorBidi"/>
          <w:sz w:val="22"/>
          <w:szCs w:val="22"/>
          <w:lang w:val="en-GB"/>
        </w:rPr>
        <w:t xml:space="preserve"> </w:t>
      </w:r>
      <w:r w:rsidR="00A6086E" w:rsidRPr="00E9275E">
        <w:rPr>
          <w:rFonts w:asciiTheme="minorBidi" w:hAnsiTheme="minorBidi"/>
          <w:sz w:val="22"/>
          <w:szCs w:val="22"/>
          <w:lang w:val="en-GB"/>
        </w:rPr>
        <w:t>(EATG, 2024)</w:t>
      </w:r>
      <w:r w:rsidRPr="00E9275E">
        <w:rPr>
          <w:rFonts w:asciiTheme="minorBidi" w:hAnsiTheme="minorBidi"/>
          <w:sz w:val="22"/>
          <w:szCs w:val="22"/>
          <w:lang w:val="en-GB"/>
        </w:rPr>
        <w:t>.</w:t>
      </w:r>
    </w:p>
    <w:p w14:paraId="66EDEECA" w14:textId="767A32B1" w:rsidR="00000666" w:rsidRPr="00E9275E" w:rsidRDefault="002213C5"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lastRenderedPageBreak/>
        <w:t>These national policies are based on the Marmot Review idea that focuses on tackling the social determinants of health and diminishing health inequalities by aligning coordinated strategies in the form of public health.</w:t>
      </w:r>
    </w:p>
    <w:p w14:paraId="2E32C361" w14:textId="4FC7DC4A" w:rsidR="00000666" w:rsidRPr="00E9275E" w:rsidRDefault="00000666" w:rsidP="002E78FE">
      <w:pPr>
        <w:pStyle w:val="Heading2"/>
        <w:numPr>
          <w:ilvl w:val="1"/>
          <w:numId w:val="6"/>
        </w:numPr>
        <w:spacing w:before="360" w:line="360" w:lineRule="auto"/>
        <w:rPr>
          <w:rFonts w:asciiTheme="minorBidi" w:hAnsiTheme="minorBidi" w:cstheme="minorBidi"/>
          <w:b/>
          <w:bCs/>
          <w:color w:val="auto"/>
          <w:sz w:val="22"/>
          <w:szCs w:val="22"/>
          <w:lang w:val="en-GB"/>
        </w:rPr>
      </w:pPr>
      <w:bookmarkStart w:id="10" w:name="_Toc223743611"/>
      <w:r w:rsidRPr="00E9275E">
        <w:rPr>
          <w:rFonts w:asciiTheme="minorBidi" w:hAnsiTheme="minorBidi" w:cstheme="minorBidi"/>
          <w:b/>
          <w:bCs/>
          <w:color w:val="auto"/>
          <w:sz w:val="22"/>
          <w:szCs w:val="22"/>
          <w:lang w:val="en-GB"/>
        </w:rPr>
        <w:t>Organisation Supporting the Chosen Group</w:t>
      </w:r>
      <w:bookmarkEnd w:id="10"/>
    </w:p>
    <w:p w14:paraId="20A03094" w14:textId="11D1352B" w:rsidR="003B331C" w:rsidRPr="00E9275E" w:rsidRDefault="00C943C6" w:rsidP="00CB1B9A">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TB Alert is a non-profit organisation in the UK whose aim is to eradicate tuberculosis and assist vulnerable communities in the country who are affected by the disease</w:t>
      </w:r>
      <w:r w:rsidR="00195E9E" w:rsidRPr="00E9275E">
        <w:rPr>
          <w:rFonts w:asciiTheme="minorBidi" w:hAnsiTheme="minorBidi"/>
          <w:sz w:val="22"/>
          <w:szCs w:val="22"/>
          <w:lang w:val="en-GB"/>
        </w:rPr>
        <w:t xml:space="preserve"> (TB Alert, 2025)</w:t>
      </w:r>
      <w:r w:rsidRPr="00E9275E">
        <w:rPr>
          <w:rFonts w:asciiTheme="minorBidi" w:hAnsiTheme="minorBidi"/>
          <w:sz w:val="22"/>
          <w:szCs w:val="22"/>
          <w:lang w:val="en-GB"/>
        </w:rPr>
        <w:t>. Community education programmes, public campaigns and research are other ways that the organisation attempts to create awareness on TB. TB Alert also collaborates with healthcare workers in enhancing early diagnosis and adherence to treatment of the high-risk groups, especially migrants and ethnic minority groups that are disproportionately infected with tuberculosis.</w:t>
      </w:r>
    </w:p>
    <w:p w14:paraId="633B997A" w14:textId="423F1530" w:rsidR="00F73F3B" w:rsidRPr="00E9275E" w:rsidRDefault="00216FEC" w:rsidP="002E78FE">
      <w:pPr>
        <w:pStyle w:val="Heading1"/>
        <w:numPr>
          <w:ilvl w:val="0"/>
          <w:numId w:val="6"/>
        </w:numPr>
        <w:spacing w:line="360" w:lineRule="auto"/>
        <w:rPr>
          <w:rFonts w:asciiTheme="minorBidi" w:hAnsiTheme="minorBidi" w:cstheme="minorBidi"/>
          <w:b/>
          <w:bCs/>
          <w:color w:val="auto"/>
          <w:sz w:val="22"/>
          <w:szCs w:val="22"/>
          <w:lang w:val="en-GB"/>
        </w:rPr>
      </w:pPr>
      <w:bookmarkStart w:id="11" w:name="_Toc223743612"/>
      <w:r w:rsidRPr="00E9275E">
        <w:rPr>
          <w:rFonts w:asciiTheme="minorBidi" w:hAnsiTheme="minorBidi" w:cstheme="minorBidi"/>
          <w:b/>
          <w:bCs/>
          <w:color w:val="auto"/>
          <w:sz w:val="22"/>
          <w:szCs w:val="22"/>
          <w:lang w:val="en-GB"/>
        </w:rPr>
        <w:t>Task 2: Epidemiological Assessment and Public Health Management of Tuberculosis in Greater Manchester</w:t>
      </w:r>
      <w:bookmarkEnd w:id="11"/>
    </w:p>
    <w:p w14:paraId="4815C81A" w14:textId="088E1D36" w:rsidR="00C205E8" w:rsidRPr="00E9275E" w:rsidRDefault="00C205E8" w:rsidP="003B331C">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2" w:name="_Toc223743613"/>
      <w:r w:rsidRPr="00E9275E">
        <w:rPr>
          <w:rStyle w:val="Strong"/>
          <w:rFonts w:asciiTheme="minorBidi" w:hAnsiTheme="minorBidi" w:cstheme="minorBidi"/>
          <w:color w:val="auto"/>
          <w:sz w:val="22"/>
          <w:szCs w:val="22"/>
          <w:lang w:val="en-GB"/>
        </w:rPr>
        <w:t>Introduction</w:t>
      </w:r>
      <w:bookmarkEnd w:id="12"/>
    </w:p>
    <w:p w14:paraId="0C68CDFE" w14:textId="321164B1" w:rsidR="00AD3919" w:rsidRPr="00E9275E" w:rsidRDefault="00F238DF"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Tuberculosis (TB) is an infectious disease that is communicable and has its causes as Mycobacterium tuberculosis, and it is transmitted mainly to the lungs, however, it can be transmitted to other organs (CDC, 2025). According to the World Health Organisation, TB is currently infecting 10.8 million individuals all around the world and claiming the lives of long-term patients, around 1.25 million (WHO, 2025).</w:t>
      </w:r>
      <w:r w:rsidR="00E03EAA" w:rsidRPr="00E9275E">
        <w:rPr>
          <w:rFonts w:asciiTheme="minorBidi" w:hAnsiTheme="minorBidi"/>
          <w:sz w:val="22"/>
          <w:szCs w:val="22"/>
          <w:lang w:val="en-GB"/>
        </w:rPr>
        <w:t xml:space="preserve"> TB incidence in the United Kingdom is not high in comparison with the high-burden countries and is still an ongoing issue of public health concern. In England, 5,490 cases of TB were reported by the UK Health Security Agency, which is a rate of incidence of 9.4 per 100,000 population</w:t>
      </w:r>
      <w:r w:rsidR="003B7DA9" w:rsidRPr="00E9275E">
        <w:rPr>
          <w:rFonts w:asciiTheme="minorBidi" w:hAnsiTheme="minorBidi"/>
          <w:sz w:val="22"/>
          <w:szCs w:val="22"/>
          <w:lang w:val="en-GB"/>
        </w:rPr>
        <w:t xml:space="preserve"> (GOV.UK, 2025)</w:t>
      </w:r>
      <w:r w:rsidR="00E03EAA" w:rsidRPr="00E9275E">
        <w:rPr>
          <w:rFonts w:asciiTheme="minorBidi" w:hAnsiTheme="minorBidi"/>
          <w:sz w:val="22"/>
          <w:szCs w:val="22"/>
          <w:lang w:val="en-GB"/>
        </w:rPr>
        <w:t xml:space="preserve">. Greater Manchester is specifically relevant since the city of Manchester has the highest TB rate in the </w:t>
      </w:r>
      <w:r w:rsidR="00497146" w:rsidRPr="00E9275E">
        <w:rPr>
          <w:rFonts w:asciiTheme="minorBidi" w:hAnsiTheme="minorBidi"/>
          <w:sz w:val="22"/>
          <w:szCs w:val="22"/>
          <w:lang w:val="en-GB"/>
        </w:rPr>
        <w:t>Northwest</w:t>
      </w:r>
      <w:r w:rsidR="00E03EAA" w:rsidRPr="00E9275E">
        <w:rPr>
          <w:rFonts w:asciiTheme="minorBidi" w:hAnsiTheme="minorBidi"/>
          <w:sz w:val="22"/>
          <w:szCs w:val="22"/>
          <w:lang w:val="en-GB"/>
        </w:rPr>
        <w:t xml:space="preserve"> region, and the local reports on public health of the population show TB as being closely correlated with deprivation and migration patterns</w:t>
      </w:r>
      <w:r w:rsidR="002F3DF3" w:rsidRPr="00E9275E">
        <w:rPr>
          <w:rFonts w:asciiTheme="minorBidi" w:hAnsiTheme="minorBidi"/>
          <w:sz w:val="22"/>
          <w:szCs w:val="22"/>
          <w:lang w:val="en-GB"/>
        </w:rPr>
        <w:t xml:space="preserve"> (Gov.UK, 2023)</w:t>
      </w:r>
      <w:r w:rsidR="00E03EAA" w:rsidRPr="00E9275E">
        <w:rPr>
          <w:rFonts w:asciiTheme="minorBidi" w:hAnsiTheme="minorBidi"/>
          <w:sz w:val="22"/>
          <w:szCs w:val="22"/>
          <w:lang w:val="en-GB"/>
        </w:rPr>
        <w:t xml:space="preserve">. Epidemiologically, TB is a disease that is best analysed in terms of incidence, prevalence, and population risk factors </w:t>
      </w:r>
      <w:proofErr w:type="gramStart"/>
      <w:r w:rsidR="00E03EAA" w:rsidRPr="00E9275E">
        <w:rPr>
          <w:rFonts w:asciiTheme="minorBidi" w:hAnsiTheme="minorBidi"/>
          <w:sz w:val="22"/>
          <w:szCs w:val="22"/>
          <w:lang w:val="en-GB"/>
        </w:rPr>
        <w:t>so as to</w:t>
      </w:r>
      <w:proofErr w:type="gramEnd"/>
      <w:r w:rsidR="00E03EAA" w:rsidRPr="00E9275E">
        <w:rPr>
          <w:rFonts w:asciiTheme="minorBidi" w:hAnsiTheme="minorBidi"/>
          <w:sz w:val="22"/>
          <w:szCs w:val="22"/>
          <w:lang w:val="en-GB"/>
        </w:rPr>
        <w:t xml:space="preserve"> identify at-risk groups and formulate specific interventions.</w:t>
      </w:r>
    </w:p>
    <w:p w14:paraId="548AF332" w14:textId="60CAFEE1" w:rsidR="00C205E8" w:rsidRPr="00E9275E" w:rsidRDefault="00C205E8" w:rsidP="00497146">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3" w:name="_Toc223743614"/>
      <w:r w:rsidRPr="00E9275E">
        <w:rPr>
          <w:rStyle w:val="Strong"/>
          <w:rFonts w:asciiTheme="minorBidi" w:hAnsiTheme="minorBidi" w:cstheme="minorBidi"/>
          <w:color w:val="auto"/>
          <w:sz w:val="22"/>
          <w:szCs w:val="22"/>
          <w:lang w:val="en-GB"/>
        </w:rPr>
        <w:lastRenderedPageBreak/>
        <w:t>Public Health Measures Using the 3 P’s</w:t>
      </w:r>
      <w:bookmarkEnd w:id="13"/>
    </w:p>
    <w:p w14:paraId="64274752" w14:textId="46F64774" w:rsidR="00602A68" w:rsidRPr="00E9275E" w:rsidRDefault="003271C3"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Social and environmental determinants of health have a close relationship to tuberculosis. In England, over 80% of TB cases were in people who were born outside the UK, indicating the impact of migration from high-incidence countries</w:t>
      </w:r>
      <w:r w:rsidR="00656EE2" w:rsidRPr="00E9275E">
        <w:rPr>
          <w:rFonts w:asciiTheme="minorBidi" w:hAnsiTheme="minorBidi"/>
          <w:sz w:val="22"/>
          <w:szCs w:val="22"/>
          <w:lang w:val="en-GB"/>
        </w:rPr>
        <w:t xml:space="preserve"> (Harris, 2025)</w:t>
      </w:r>
      <w:r w:rsidRPr="00E9275E">
        <w:rPr>
          <w:rFonts w:asciiTheme="minorBidi" w:hAnsiTheme="minorBidi"/>
          <w:sz w:val="22"/>
          <w:szCs w:val="22"/>
          <w:lang w:val="en-GB"/>
        </w:rPr>
        <w:t>. Socioeconomic deprivation is a significant contributory factor as well</w:t>
      </w:r>
      <w:r w:rsidR="00D135CE" w:rsidRPr="00E9275E">
        <w:rPr>
          <w:rFonts w:asciiTheme="minorBidi" w:hAnsiTheme="minorBidi"/>
          <w:sz w:val="22"/>
          <w:szCs w:val="22"/>
          <w:lang w:val="en-GB"/>
        </w:rPr>
        <w:t xml:space="preserve"> as</w:t>
      </w:r>
      <w:r w:rsidRPr="00E9275E">
        <w:rPr>
          <w:rFonts w:asciiTheme="minorBidi" w:hAnsiTheme="minorBidi"/>
          <w:sz w:val="22"/>
          <w:szCs w:val="22"/>
          <w:lang w:val="en-GB"/>
        </w:rPr>
        <w:t xml:space="preserve"> the TB rates are more than five times higher in the most deprived regions than in the least deprived regions</w:t>
      </w:r>
      <w:r w:rsidR="00C607D6" w:rsidRPr="00E9275E">
        <w:rPr>
          <w:rFonts w:asciiTheme="minorBidi" w:hAnsiTheme="minorBidi"/>
          <w:sz w:val="22"/>
          <w:szCs w:val="22"/>
          <w:lang w:val="en-GB"/>
        </w:rPr>
        <w:t xml:space="preserve"> (Gavi, 2025)</w:t>
      </w:r>
      <w:r w:rsidRPr="00E9275E">
        <w:rPr>
          <w:rFonts w:asciiTheme="minorBidi" w:hAnsiTheme="minorBidi"/>
          <w:sz w:val="22"/>
          <w:szCs w:val="22"/>
          <w:lang w:val="en-GB"/>
        </w:rPr>
        <w:t>. There are high chances of surviving transmission due to poor housing conditions and overcrowding, since TB is transmitted by respiratory droplets in congested spaces. Other affected health conditions like HIV infection, diabetes and other immunocompromising diseases predispose an individual to TB infection. Homelessness and less access to healthcare services, as well as substance misuse, also lead to a slow diagnosis and treatment</w:t>
      </w:r>
      <w:r w:rsidR="00DB3D3D" w:rsidRPr="00E9275E">
        <w:rPr>
          <w:rFonts w:asciiTheme="minorBidi" w:hAnsiTheme="minorBidi"/>
          <w:sz w:val="22"/>
          <w:szCs w:val="22"/>
          <w:lang w:val="en-GB"/>
        </w:rPr>
        <w:t xml:space="preserve"> (Miler et al., 2021)</w:t>
      </w:r>
      <w:r w:rsidRPr="00E9275E">
        <w:rPr>
          <w:rFonts w:asciiTheme="minorBidi" w:hAnsiTheme="minorBidi"/>
          <w:sz w:val="22"/>
          <w:szCs w:val="22"/>
          <w:lang w:val="en-GB"/>
        </w:rPr>
        <w:t>. The Dahlgren and Whitehead model of health determinants can be used to depict the interaction of these broader social and environmental factors in relation to their contribution to disease risk, in addition to their individual role in influencing risk</w:t>
      </w:r>
      <w:r w:rsidR="00BF44D8" w:rsidRPr="00E9275E">
        <w:rPr>
          <w:rFonts w:asciiTheme="minorBidi" w:hAnsiTheme="minorBidi"/>
          <w:sz w:val="22"/>
          <w:szCs w:val="22"/>
          <w:lang w:val="en-GB"/>
        </w:rPr>
        <w:t xml:space="preserve"> (Dahlgren and Whitehead, 2021)</w:t>
      </w:r>
      <w:r w:rsidRPr="00E9275E">
        <w:rPr>
          <w:rFonts w:asciiTheme="minorBidi" w:hAnsiTheme="minorBidi"/>
          <w:sz w:val="22"/>
          <w:szCs w:val="22"/>
          <w:lang w:val="en-GB"/>
        </w:rPr>
        <w:t>.</w:t>
      </w:r>
    </w:p>
    <w:p w14:paraId="3C4840C8" w14:textId="2AB25652" w:rsidR="004B61F3" w:rsidRPr="00E9275E" w:rsidRDefault="00C205E8" w:rsidP="00670571">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4" w:name="_Toc223743615"/>
      <w:r w:rsidRPr="00E9275E">
        <w:rPr>
          <w:rStyle w:val="Strong"/>
          <w:rFonts w:asciiTheme="minorBidi" w:hAnsiTheme="minorBidi" w:cstheme="minorBidi"/>
          <w:color w:val="auto"/>
          <w:sz w:val="22"/>
          <w:szCs w:val="22"/>
          <w:lang w:val="en-GB"/>
        </w:rPr>
        <w:t>Key Determinants</w:t>
      </w:r>
      <w:bookmarkEnd w:id="14"/>
    </w:p>
    <w:p w14:paraId="548141DF" w14:textId="3349926F" w:rsidR="00930692" w:rsidRPr="00E9275E" w:rsidRDefault="005E2A0B"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Epidemiology research is essential to determine the most impacted groups of the population with tuberculosis and respond to the needs of the populace with the aid of the health authority. The pattern of diseases is studied using the constructs of time, place and person, where descriptive epidemiology enables the researcher to find areas that are susceptible to TB and groups that have high rates</w:t>
      </w:r>
      <w:r w:rsidR="00F52CAC" w:rsidRPr="00E9275E">
        <w:rPr>
          <w:rFonts w:asciiTheme="minorBidi" w:hAnsiTheme="minorBidi"/>
          <w:sz w:val="22"/>
          <w:szCs w:val="22"/>
          <w:lang w:val="en-GB"/>
        </w:rPr>
        <w:t xml:space="preserve"> (CDC, 2019)</w:t>
      </w:r>
      <w:r w:rsidRPr="00E9275E">
        <w:rPr>
          <w:rFonts w:asciiTheme="minorBidi" w:hAnsiTheme="minorBidi"/>
          <w:sz w:val="22"/>
          <w:szCs w:val="22"/>
          <w:lang w:val="en-GB"/>
        </w:rPr>
        <w:t>. In England, the rates of TB surveillance indicate that there are elevated rates in big cities like London, Birmingham and Manchester</w:t>
      </w:r>
      <w:r w:rsidR="003751B9" w:rsidRPr="00E9275E">
        <w:rPr>
          <w:rFonts w:asciiTheme="minorBidi" w:hAnsiTheme="minorBidi"/>
          <w:sz w:val="22"/>
          <w:szCs w:val="22"/>
          <w:lang w:val="en-GB"/>
        </w:rPr>
        <w:t xml:space="preserve"> (Cleveland, 2025)</w:t>
      </w:r>
      <w:r w:rsidRPr="00E9275E">
        <w:rPr>
          <w:rFonts w:asciiTheme="minorBidi" w:hAnsiTheme="minorBidi"/>
          <w:sz w:val="22"/>
          <w:szCs w:val="22"/>
          <w:lang w:val="en-GB"/>
        </w:rPr>
        <w:t>. Cohort and case-control studies, as well as various other analytical methods of epidemiology, are used to identify the risk factors related to the infection, among them the status of migration, deprivation and housing conditions. The requirement of service and resource allocation is assessed by means of health needs. The typology of need suggested by Bradshaw classifies need normative, identified through epidemiological evidence, expressed and comparative</w:t>
      </w:r>
      <w:r w:rsidR="00D005C4" w:rsidRPr="00E9275E">
        <w:rPr>
          <w:rFonts w:asciiTheme="minorBidi" w:hAnsiTheme="minorBidi"/>
          <w:sz w:val="22"/>
          <w:szCs w:val="22"/>
          <w:lang w:val="en-GB"/>
        </w:rPr>
        <w:t xml:space="preserve"> </w:t>
      </w:r>
      <w:r w:rsidR="0058552F" w:rsidRPr="00E9275E">
        <w:rPr>
          <w:rFonts w:asciiTheme="minorBidi" w:hAnsiTheme="minorBidi"/>
          <w:sz w:val="22"/>
          <w:szCs w:val="22"/>
          <w:lang w:val="en-GB"/>
        </w:rPr>
        <w:t>(Bradshaw, 1972</w:t>
      </w:r>
      <w:r w:rsidR="00D96831" w:rsidRPr="00E9275E">
        <w:rPr>
          <w:rFonts w:asciiTheme="minorBidi" w:hAnsiTheme="minorBidi"/>
          <w:sz w:val="22"/>
          <w:szCs w:val="22"/>
          <w:lang w:val="en-GB"/>
        </w:rPr>
        <w:t xml:space="preserve">). </w:t>
      </w:r>
      <w:r w:rsidR="004A4F27" w:rsidRPr="00E9275E">
        <w:rPr>
          <w:rFonts w:asciiTheme="minorBidi" w:eastAsia="Times New Roman" w:hAnsiTheme="minorBidi"/>
          <w:sz w:val="22"/>
          <w:szCs w:val="22"/>
          <w:lang w:val="en-GB"/>
        </w:rPr>
        <w:t xml:space="preserve"> </w:t>
      </w:r>
      <w:r w:rsidR="004A4F27" w:rsidRPr="00E9275E">
        <w:rPr>
          <w:rFonts w:asciiTheme="minorBidi" w:hAnsiTheme="minorBidi"/>
          <w:sz w:val="22"/>
          <w:szCs w:val="22"/>
          <w:lang w:val="en-GB"/>
        </w:rPr>
        <w:t xml:space="preserve">According to the local authority of Greater Manchester, the local health report on TB states that the migrant population and the individuals residing within the deprived neighbourhoods are being disproportionately affected by the disease and that the screening and prevention strategies will be different </w:t>
      </w:r>
      <w:r w:rsidR="00F41583" w:rsidRPr="00E9275E">
        <w:rPr>
          <w:rFonts w:asciiTheme="minorBidi" w:hAnsiTheme="minorBidi"/>
          <w:sz w:val="22"/>
          <w:szCs w:val="22"/>
          <w:lang w:val="en-GB"/>
        </w:rPr>
        <w:t>(Manchester.gov.uk</w:t>
      </w:r>
      <w:r w:rsidR="004A4F27" w:rsidRPr="00E9275E">
        <w:rPr>
          <w:rFonts w:asciiTheme="minorBidi" w:hAnsiTheme="minorBidi"/>
          <w:sz w:val="22"/>
          <w:szCs w:val="22"/>
          <w:lang w:val="en-GB"/>
        </w:rPr>
        <w:t>, 2024).</w:t>
      </w:r>
    </w:p>
    <w:p w14:paraId="41E297A7" w14:textId="76D8ED32" w:rsidR="00C205E8" w:rsidRPr="00E9275E" w:rsidRDefault="00C205E8" w:rsidP="00F030B2">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5" w:name="_Toc223743616"/>
      <w:r w:rsidRPr="00E9275E">
        <w:rPr>
          <w:rStyle w:val="Strong"/>
          <w:rFonts w:asciiTheme="minorBidi" w:hAnsiTheme="minorBidi" w:cstheme="minorBidi"/>
          <w:color w:val="auto"/>
          <w:sz w:val="22"/>
          <w:szCs w:val="22"/>
          <w:lang w:val="en-GB"/>
        </w:rPr>
        <w:lastRenderedPageBreak/>
        <w:t>Epidemiological Studies and Health Needs Assessment</w:t>
      </w:r>
      <w:bookmarkEnd w:id="15"/>
    </w:p>
    <w:p w14:paraId="5279BBC4" w14:textId="38BB1CE0" w:rsidR="005C5C82" w:rsidRPr="00E9275E" w:rsidRDefault="006F5B18"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Surveillance and monitoring systems are required to control TB. The National Tuberculosis Surveillance System is a system of collecting information about cases of TB and their demographic features, treatment results, and risk factors, organised by the UK Health Security Agency in England</w:t>
      </w:r>
      <w:r w:rsidR="009D7BBC" w:rsidRPr="00E9275E">
        <w:rPr>
          <w:rFonts w:asciiTheme="minorBidi" w:hAnsiTheme="minorBidi"/>
          <w:sz w:val="22"/>
          <w:szCs w:val="22"/>
          <w:lang w:val="en-GB"/>
        </w:rPr>
        <w:t xml:space="preserve"> (Health.gov, 2018)</w:t>
      </w:r>
      <w:r w:rsidRPr="00E9275E">
        <w:rPr>
          <w:rFonts w:asciiTheme="minorBidi" w:hAnsiTheme="minorBidi"/>
          <w:sz w:val="22"/>
          <w:szCs w:val="22"/>
          <w:lang w:val="en-GB"/>
        </w:rPr>
        <w:t>. The practising healthcare givers have a legal obligation to report TB cases, which allows tracking down of trends in the disease</w:t>
      </w:r>
      <w:r w:rsidR="000A6241" w:rsidRPr="00E9275E">
        <w:rPr>
          <w:rFonts w:asciiTheme="minorBidi" w:hAnsiTheme="minorBidi"/>
          <w:sz w:val="22"/>
          <w:szCs w:val="22"/>
          <w:lang w:val="en-GB"/>
        </w:rPr>
        <w:t xml:space="preserve">, </w:t>
      </w:r>
      <w:r w:rsidRPr="00E9275E">
        <w:rPr>
          <w:rFonts w:asciiTheme="minorBidi" w:hAnsiTheme="minorBidi"/>
          <w:sz w:val="22"/>
          <w:szCs w:val="22"/>
          <w:lang w:val="en-GB"/>
        </w:rPr>
        <w:t>inform</w:t>
      </w:r>
      <w:r w:rsidR="00F342DB" w:rsidRPr="00E9275E">
        <w:rPr>
          <w:rFonts w:asciiTheme="minorBidi" w:hAnsiTheme="minorBidi"/>
          <w:sz w:val="22"/>
          <w:szCs w:val="22"/>
          <w:lang w:val="en-GB"/>
        </w:rPr>
        <w:t>ing</w:t>
      </w:r>
      <w:r w:rsidRPr="00E9275E">
        <w:rPr>
          <w:rFonts w:asciiTheme="minorBidi" w:hAnsiTheme="minorBidi"/>
          <w:sz w:val="22"/>
          <w:szCs w:val="22"/>
          <w:lang w:val="en-GB"/>
        </w:rPr>
        <w:t xml:space="preserve"> the national strategies related to the reduction of the incidence of TB and enhances its treatment outcomes</w:t>
      </w:r>
      <w:r w:rsidR="00162AEF" w:rsidRPr="00E9275E">
        <w:rPr>
          <w:rFonts w:asciiTheme="minorBidi" w:hAnsiTheme="minorBidi"/>
          <w:sz w:val="22"/>
          <w:szCs w:val="22"/>
          <w:lang w:val="en-GB"/>
        </w:rPr>
        <w:t xml:space="preserve">. </w:t>
      </w:r>
      <w:r w:rsidRPr="00E9275E">
        <w:rPr>
          <w:rFonts w:asciiTheme="minorBidi" w:hAnsiTheme="minorBidi"/>
          <w:sz w:val="22"/>
          <w:szCs w:val="22"/>
          <w:lang w:val="en-GB"/>
        </w:rPr>
        <w:t>Hospital reporting systems, as well as laboratory data, are other forms of collecting information in the NHS. On the international level, the WHO Global TB Database is a collection of data provided by nations all over the world to track the progress towards the elimination goals in TB</w:t>
      </w:r>
      <w:r w:rsidR="00D4504C" w:rsidRPr="00E9275E">
        <w:rPr>
          <w:rFonts w:asciiTheme="minorBidi" w:hAnsiTheme="minorBidi"/>
          <w:sz w:val="22"/>
          <w:szCs w:val="22"/>
          <w:lang w:val="en-GB"/>
        </w:rPr>
        <w:t xml:space="preserve"> (</w:t>
      </w:r>
      <w:r w:rsidR="00541548" w:rsidRPr="00E9275E">
        <w:rPr>
          <w:rFonts w:asciiTheme="minorBidi" w:hAnsiTheme="minorBidi"/>
          <w:sz w:val="22"/>
          <w:szCs w:val="22"/>
          <w:lang w:val="en-GB"/>
        </w:rPr>
        <w:t>WHO,</w:t>
      </w:r>
      <w:r w:rsidR="00D4504C" w:rsidRPr="00E9275E">
        <w:rPr>
          <w:rFonts w:asciiTheme="minorBidi" w:hAnsiTheme="minorBidi"/>
          <w:sz w:val="22"/>
          <w:szCs w:val="22"/>
          <w:lang w:val="en-GB"/>
        </w:rPr>
        <w:t xml:space="preserve"> 2025)</w:t>
      </w:r>
      <w:r w:rsidRPr="00E9275E">
        <w:rPr>
          <w:rFonts w:asciiTheme="minorBidi" w:hAnsiTheme="minorBidi"/>
          <w:sz w:val="22"/>
          <w:szCs w:val="22"/>
          <w:lang w:val="en-GB"/>
        </w:rPr>
        <w:t xml:space="preserve">. Outbreaks need surveillance systems to establish incidence and analyse the effectiveness of the interventions of the public health system. </w:t>
      </w:r>
      <w:r w:rsidR="00C739EB" w:rsidRPr="00E9275E">
        <w:rPr>
          <w:rFonts w:asciiTheme="minorBidi" w:hAnsiTheme="minorBidi"/>
          <w:sz w:val="22"/>
          <w:szCs w:val="22"/>
          <w:lang w:val="en-GB"/>
        </w:rPr>
        <w:t>However, underreporting and later late-diagnosis may still affect the validity of the epidemiology data.</w:t>
      </w:r>
    </w:p>
    <w:p w14:paraId="43E54324" w14:textId="3E1CBA7C" w:rsidR="00C205E8" w:rsidRPr="00E9275E" w:rsidRDefault="00C205E8" w:rsidP="0013631A">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6" w:name="_Toc223743617"/>
      <w:r w:rsidRPr="00E9275E">
        <w:rPr>
          <w:rStyle w:val="Strong"/>
          <w:rFonts w:asciiTheme="minorBidi" w:hAnsiTheme="minorBidi" w:cstheme="minorBidi"/>
          <w:color w:val="auto"/>
          <w:sz w:val="22"/>
          <w:szCs w:val="22"/>
          <w:lang w:val="en-GB"/>
        </w:rPr>
        <w:t>Surveillance and Monitoring Systems</w:t>
      </w:r>
      <w:bookmarkEnd w:id="16"/>
    </w:p>
    <w:p w14:paraId="7B194CAF" w14:textId="409ADDFB" w:rsidR="00D02FD5" w:rsidRPr="00E9275E" w:rsidRDefault="001B64FC"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Tuberculosis has severe health, social and economic implications. Active TB infection in the short term may result in a serious respiratory disease that requires isolation and hospitalisation to avoid spreading</w:t>
      </w:r>
      <w:r w:rsidR="00E77215" w:rsidRPr="00E9275E">
        <w:rPr>
          <w:rFonts w:asciiTheme="minorBidi" w:hAnsiTheme="minorBidi"/>
          <w:sz w:val="22"/>
          <w:szCs w:val="22"/>
          <w:lang w:val="en-GB"/>
        </w:rPr>
        <w:t xml:space="preserve"> (NHS, 2023)</w:t>
      </w:r>
      <w:r w:rsidRPr="00E9275E">
        <w:rPr>
          <w:rFonts w:asciiTheme="minorBidi" w:hAnsiTheme="minorBidi"/>
          <w:sz w:val="22"/>
          <w:szCs w:val="22"/>
          <w:lang w:val="en-GB"/>
        </w:rPr>
        <w:t xml:space="preserve">. Left unjoined, TB </w:t>
      </w:r>
      <w:proofErr w:type="gramStart"/>
      <w:r w:rsidRPr="00E9275E">
        <w:rPr>
          <w:rFonts w:asciiTheme="minorBidi" w:hAnsiTheme="minorBidi"/>
          <w:sz w:val="22"/>
          <w:szCs w:val="22"/>
          <w:lang w:val="en-GB"/>
        </w:rPr>
        <w:t>is capable of spreading</w:t>
      </w:r>
      <w:proofErr w:type="gramEnd"/>
      <w:r w:rsidRPr="00E9275E">
        <w:rPr>
          <w:rFonts w:asciiTheme="minorBidi" w:hAnsiTheme="minorBidi"/>
          <w:sz w:val="22"/>
          <w:szCs w:val="22"/>
          <w:lang w:val="en-GB"/>
        </w:rPr>
        <w:t xml:space="preserve"> both at home and in society</w:t>
      </w:r>
      <w:r w:rsidR="00470E0C" w:rsidRPr="00E9275E">
        <w:rPr>
          <w:rFonts w:asciiTheme="minorBidi" w:hAnsiTheme="minorBidi"/>
          <w:sz w:val="22"/>
          <w:szCs w:val="22"/>
          <w:lang w:val="en-GB"/>
        </w:rPr>
        <w:t xml:space="preserve"> as </w:t>
      </w:r>
      <w:r w:rsidRPr="00E9275E">
        <w:rPr>
          <w:rFonts w:asciiTheme="minorBidi" w:hAnsiTheme="minorBidi"/>
          <w:sz w:val="22"/>
          <w:szCs w:val="22"/>
          <w:lang w:val="en-GB"/>
        </w:rPr>
        <w:t>TB can lead to permanent damage to the lungs, diminished quality of life and high mortality rates in the long term. TB can also cause social stigma besides physical health impacts, thus taking away the motivation of individuals to receive medical attention or pursue treatment. The economic burden is also huge since long-term treatment that takes at least six months would need healthcare facilities and can influence the working ability of an individual</w:t>
      </w:r>
      <w:r w:rsidR="00AD105F" w:rsidRPr="00E9275E">
        <w:rPr>
          <w:rFonts w:asciiTheme="minorBidi" w:hAnsiTheme="minorBidi"/>
          <w:sz w:val="22"/>
          <w:szCs w:val="22"/>
          <w:lang w:val="en-GB"/>
        </w:rPr>
        <w:t xml:space="preserve"> (Wells, Waseem and </w:t>
      </w:r>
      <w:proofErr w:type="spellStart"/>
      <w:r w:rsidR="00AD105F" w:rsidRPr="00E9275E">
        <w:rPr>
          <w:rFonts w:asciiTheme="minorBidi" w:hAnsiTheme="minorBidi"/>
          <w:sz w:val="22"/>
          <w:szCs w:val="22"/>
          <w:lang w:val="en-GB"/>
        </w:rPr>
        <w:t>Scheening</w:t>
      </w:r>
      <w:proofErr w:type="spellEnd"/>
      <w:r w:rsidR="00AD105F" w:rsidRPr="00E9275E">
        <w:rPr>
          <w:rFonts w:asciiTheme="minorBidi" w:hAnsiTheme="minorBidi"/>
          <w:sz w:val="22"/>
          <w:szCs w:val="22"/>
          <w:lang w:val="en-GB"/>
        </w:rPr>
        <w:t>, 2024)</w:t>
      </w:r>
      <w:r w:rsidRPr="00E9275E">
        <w:rPr>
          <w:rFonts w:asciiTheme="minorBidi" w:hAnsiTheme="minorBidi"/>
          <w:sz w:val="22"/>
          <w:szCs w:val="22"/>
          <w:lang w:val="en-GB"/>
        </w:rPr>
        <w:t>. These implications indicate the necessity of early diagnosis, compliance with treatment and effective interventions of public health.</w:t>
      </w:r>
    </w:p>
    <w:p w14:paraId="3482E9C9" w14:textId="7C576A0B" w:rsidR="00C205E8" w:rsidRPr="00E9275E" w:rsidRDefault="00C205E8" w:rsidP="008F1707">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7" w:name="_Toc223743618"/>
      <w:r w:rsidRPr="00E9275E">
        <w:rPr>
          <w:rStyle w:val="Strong"/>
          <w:rFonts w:asciiTheme="minorBidi" w:hAnsiTheme="minorBidi" w:cstheme="minorBidi"/>
          <w:color w:val="auto"/>
          <w:sz w:val="22"/>
          <w:szCs w:val="22"/>
          <w:lang w:val="en-GB"/>
        </w:rPr>
        <w:t>Public Health Impact and Consequences</w:t>
      </w:r>
      <w:bookmarkEnd w:id="17"/>
    </w:p>
    <w:p w14:paraId="565B24F7" w14:textId="48798D97" w:rsidR="00F62F0B" w:rsidRPr="00E9275E" w:rsidRDefault="00254C16"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A community-based TB screening and awareness among the high-risk groups in Greater Manchester would be a good way to promote proper public health. The programme can be focused on the migrant populations, the population that lives in the disadvantaged areas and the homeless persons. </w:t>
      </w:r>
      <w:r w:rsidR="008A7DCF" w:rsidRPr="00E9275E">
        <w:rPr>
          <w:rFonts w:asciiTheme="minorBidi" w:hAnsiTheme="minorBidi"/>
          <w:sz w:val="22"/>
          <w:szCs w:val="22"/>
          <w:lang w:val="en-GB"/>
        </w:rPr>
        <w:t xml:space="preserve"> Late TB infection and active disease testing could be accessed by utilising </w:t>
      </w:r>
      <w:r w:rsidR="008A7DCF" w:rsidRPr="00E9275E">
        <w:rPr>
          <w:rFonts w:asciiTheme="minorBidi" w:hAnsiTheme="minorBidi"/>
          <w:sz w:val="22"/>
          <w:szCs w:val="22"/>
          <w:lang w:val="en-GB"/>
        </w:rPr>
        <w:lastRenderedPageBreak/>
        <w:t>mobile screening clinics</w:t>
      </w:r>
      <w:r w:rsidR="00CA2140" w:rsidRPr="00E9275E">
        <w:rPr>
          <w:rFonts w:asciiTheme="minorBidi" w:hAnsiTheme="minorBidi"/>
          <w:sz w:val="22"/>
          <w:szCs w:val="22"/>
          <w:lang w:val="en-GB"/>
        </w:rPr>
        <w:t xml:space="preserve"> (Wei et al., 2025)</w:t>
      </w:r>
      <w:r w:rsidR="008A7DCF" w:rsidRPr="00E9275E">
        <w:rPr>
          <w:rFonts w:asciiTheme="minorBidi" w:hAnsiTheme="minorBidi"/>
          <w:sz w:val="22"/>
          <w:szCs w:val="22"/>
          <w:lang w:val="en-GB"/>
        </w:rPr>
        <w:t>. Awareness of TB symptoms and early healthcare-seeking behaviour might be enhanced by the educational campaigns that are composed of community organisations and local health services. These social marketing approaches may be employed to address the individual communities with linguistic diversity. This intervention would also be in collaboration with the local authorities, charities and primary healthcare providers to have continuity of care among people diagnosed with TB.</w:t>
      </w:r>
    </w:p>
    <w:p w14:paraId="111A6199" w14:textId="73597C6F" w:rsidR="00C205E8" w:rsidRPr="00E9275E" w:rsidRDefault="00C205E8" w:rsidP="00A33B22">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8" w:name="_Toc223743619"/>
      <w:r w:rsidRPr="00E9275E">
        <w:rPr>
          <w:rStyle w:val="Strong"/>
          <w:rFonts w:asciiTheme="minorBidi" w:hAnsiTheme="minorBidi" w:cstheme="minorBidi"/>
          <w:color w:val="auto"/>
          <w:sz w:val="22"/>
          <w:szCs w:val="22"/>
          <w:lang w:val="en-GB"/>
        </w:rPr>
        <w:t>Health Intervention Programme Design</w:t>
      </w:r>
      <w:bookmarkEnd w:id="18"/>
    </w:p>
    <w:p w14:paraId="26644C99" w14:textId="73A07613" w:rsidR="005E46F0" w:rsidRPr="00E9275E" w:rsidRDefault="00A23281"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Assessment is necessary to identify the effectiveness of a TB intervention programme. The most important indicators would be the decrease in TB cases, greater application of screening and better treatment adherence. The UKHSA surveillance data may be utilised to monitor variation in TB notifications mentioned before and after intervention</w:t>
      </w:r>
      <w:r w:rsidR="00865471" w:rsidRPr="00E9275E">
        <w:rPr>
          <w:rFonts w:asciiTheme="minorBidi" w:hAnsiTheme="minorBidi"/>
          <w:sz w:val="22"/>
          <w:szCs w:val="22"/>
          <w:lang w:val="en-GB"/>
        </w:rPr>
        <w:t xml:space="preserve"> (PHE, 2021)</w:t>
      </w:r>
      <w:r w:rsidRPr="00E9275E">
        <w:rPr>
          <w:rFonts w:asciiTheme="minorBidi" w:hAnsiTheme="minorBidi"/>
          <w:sz w:val="22"/>
          <w:szCs w:val="22"/>
          <w:lang w:val="en-GB"/>
        </w:rPr>
        <w:t>. The rate of treatment completion is of special importance as the incomplete treatment may cause drug-resistant TB. Keeping the level of public awareness and healthcare use in specific client communities would also aid in measuring the success of the programme.</w:t>
      </w:r>
    </w:p>
    <w:p w14:paraId="09CED961" w14:textId="6C838427" w:rsidR="00C205E8" w:rsidRPr="00E9275E" w:rsidRDefault="00C205E8" w:rsidP="00161C38">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19" w:name="_Toc223743620"/>
      <w:r w:rsidRPr="00E9275E">
        <w:rPr>
          <w:rStyle w:val="Strong"/>
          <w:rFonts w:asciiTheme="minorBidi" w:hAnsiTheme="minorBidi" w:cstheme="minorBidi"/>
          <w:color w:val="auto"/>
          <w:sz w:val="22"/>
          <w:szCs w:val="22"/>
          <w:lang w:val="en-GB"/>
        </w:rPr>
        <w:t>Evaluation of Intervention</w:t>
      </w:r>
      <w:bookmarkEnd w:id="19"/>
    </w:p>
    <w:p w14:paraId="58417016" w14:textId="12B148A6" w:rsidR="00ED40F6" w:rsidRPr="00E9275E" w:rsidRDefault="00087EC7"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Assessment </w:t>
      </w:r>
      <w:r w:rsidR="001278D6" w:rsidRPr="00E9275E">
        <w:rPr>
          <w:rFonts w:asciiTheme="minorBidi" w:hAnsiTheme="minorBidi"/>
          <w:sz w:val="22"/>
          <w:szCs w:val="22"/>
          <w:lang w:val="en-GB"/>
        </w:rPr>
        <w:t>must</w:t>
      </w:r>
      <w:r w:rsidRPr="00E9275E">
        <w:rPr>
          <w:rFonts w:asciiTheme="minorBidi" w:hAnsiTheme="minorBidi"/>
          <w:sz w:val="22"/>
          <w:szCs w:val="22"/>
          <w:lang w:val="en-GB"/>
        </w:rPr>
        <w:t xml:space="preserve"> be applied to prove the effectiveness of a TB intervention programme. The important indicators would be to experience a decrease in the incidence of TB, the screening uptake, and the rates of treatment taken. The UKHSA surveillance data may be used to measure change in TB notification </w:t>
      </w:r>
      <w:r w:rsidR="001278D6" w:rsidRPr="00E9275E">
        <w:rPr>
          <w:rFonts w:asciiTheme="minorBidi" w:hAnsiTheme="minorBidi"/>
          <w:sz w:val="22"/>
          <w:szCs w:val="22"/>
          <w:lang w:val="en-GB"/>
        </w:rPr>
        <w:t>pre-</w:t>
      </w:r>
      <w:r w:rsidRPr="00E9275E">
        <w:rPr>
          <w:rFonts w:asciiTheme="minorBidi" w:hAnsiTheme="minorBidi"/>
          <w:sz w:val="22"/>
          <w:szCs w:val="22"/>
          <w:lang w:val="en-GB"/>
        </w:rPr>
        <w:t xml:space="preserve"> and post-implementation of the intervention. The completion rates of the treatment are of great concern since the completion of the treatment cannot be done completely, which results in the development of drug-resistant TB</w:t>
      </w:r>
      <w:r w:rsidR="00A06D04" w:rsidRPr="00E9275E">
        <w:rPr>
          <w:rFonts w:asciiTheme="minorBidi" w:hAnsiTheme="minorBidi"/>
          <w:sz w:val="22"/>
          <w:szCs w:val="22"/>
          <w:lang w:val="en-GB"/>
        </w:rPr>
        <w:t xml:space="preserve"> (Mase and Chorba, 2019)</w:t>
      </w:r>
      <w:r w:rsidRPr="00E9275E">
        <w:rPr>
          <w:rFonts w:asciiTheme="minorBidi" w:hAnsiTheme="minorBidi"/>
          <w:sz w:val="22"/>
          <w:szCs w:val="22"/>
          <w:lang w:val="en-GB"/>
        </w:rPr>
        <w:t>. Follow-up of community awareness and use of health care services would also contribute to evaluating the effectiveness of the programme.</w:t>
      </w:r>
    </w:p>
    <w:p w14:paraId="51305887" w14:textId="7E82A283" w:rsidR="00C205E8" w:rsidRPr="00E9275E" w:rsidRDefault="00C205E8" w:rsidP="00B97C7A">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20" w:name="_Toc223743621"/>
      <w:r w:rsidRPr="00E9275E">
        <w:rPr>
          <w:rStyle w:val="Strong"/>
          <w:rFonts w:asciiTheme="minorBidi" w:hAnsiTheme="minorBidi" w:cstheme="minorBidi"/>
          <w:color w:val="auto"/>
          <w:sz w:val="22"/>
          <w:szCs w:val="22"/>
          <w:lang w:val="en-GB"/>
        </w:rPr>
        <w:t>Strengths and Weaknesses of the Epidemiological Approach</w:t>
      </w:r>
      <w:bookmarkEnd w:id="20"/>
    </w:p>
    <w:p w14:paraId="08125B5E" w14:textId="444D79C4" w:rsidR="000E7D35" w:rsidRPr="00E9275E" w:rsidRDefault="00B21C42"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The epidemiological method offers an orderly manner of examining the trends of diseases and determining the populations that are at risk. The data from surveillance allows the public health authorities to follow the incidence of TB and the efficacy of actions</w:t>
      </w:r>
      <w:r w:rsidR="00A5701E" w:rsidRPr="00E9275E">
        <w:rPr>
          <w:rFonts w:asciiTheme="minorBidi" w:hAnsiTheme="minorBidi"/>
          <w:sz w:val="22"/>
          <w:szCs w:val="22"/>
          <w:lang w:val="en-GB"/>
        </w:rPr>
        <w:t xml:space="preserve"> (FAO, 2025)</w:t>
      </w:r>
      <w:r w:rsidRPr="00E9275E">
        <w:rPr>
          <w:rFonts w:asciiTheme="minorBidi" w:hAnsiTheme="minorBidi"/>
          <w:sz w:val="22"/>
          <w:szCs w:val="22"/>
          <w:lang w:val="en-GB"/>
        </w:rPr>
        <w:t xml:space="preserve">. Nevertheless, </w:t>
      </w:r>
      <w:r w:rsidR="00981F72" w:rsidRPr="00E9275E">
        <w:rPr>
          <w:rFonts w:asciiTheme="minorBidi" w:hAnsiTheme="minorBidi"/>
          <w:sz w:val="22"/>
          <w:szCs w:val="22"/>
          <w:lang w:val="en-GB"/>
        </w:rPr>
        <w:t>t</w:t>
      </w:r>
      <w:r w:rsidRPr="00E9275E">
        <w:rPr>
          <w:rFonts w:asciiTheme="minorBidi" w:hAnsiTheme="minorBidi"/>
          <w:sz w:val="22"/>
          <w:szCs w:val="22"/>
          <w:lang w:val="en-GB"/>
        </w:rPr>
        <w:t xml:space="preserve">here can also be underreporting, where people do not get services in healthcare, or the cases </w:t>
      </w:r>
      <w:r w:rsidRPr="00E9275E">
        <w:rPr>
          <w:rFonts w:asciiTheme="minorBidi" w:hAnsiTheme="minorBidi"/>
          <w:sz w:val="22"/>
          <w:szCs w:val="22"/>
          <w:lang w:val="en-GB"/>
        </w:rPr>
        <w:lastRenderedPageBreak/>
        <w:t>are not diagnosed. The healthcare access of migrant populations can become an obstacle, resulting in the delay of the diagnosis process and incompleteness of data. Moreover, epidemiological studies can determine the relationship between risk factors and diseases, yet not always the cause-and-effect relationship</w:t>
      </w:r>
      <w:r w:rsidR="00887A83" w:rsidRPr="00E9275E">
        <w:rPr>
          <w:rFonts w:asciiTheme="minorBidi" w:hAnsiTheme="minorBidi"/>
          <w:sz w:val="22"/>
          <w:szCs w:val="22"/>
          <w:lang w:val="en-GB"/>
        </w:rPr>
        <w:t xml:space="preserve"> (Jin et al., 2017)</w:t>
      </w:r>
      <w:r w:rsidRPr="00E9275E">
        <w:rPr>
          <w:rFonts w:asciiTheme="minorBidi" w:hAnsiTheme="minorBidi"/>
          <w:sz w:val="22"/>
          <w:szCs w:val="22"/>
          <w:lang w:val="en-GB"/>
        </w:rPr>
        <w:t>. Such constraints underscore the importance of supplementary qualitative research and community involvement in structuring the way the community should be approached to promote health.</w:t>
      </w:r>
    </w:p>
    <w:p w14:paraId="7A14A95F" w14:textId="0B962A7A" w:rsidR="00C205E8" w:rsidRPr="00E9275E" w:rsidRDefault="00C205E8" w:rsidP="006C3BDC">
      <w:pPr>
        <w:pStyle w:val="Heading2"/>
        <w:numPr>
          <w:ilvl w:val="1"/>
          <w:numId w:val="9"/>
        </w:numPr>
        <w:spacing w:before="360" w:line="360" w:lineRule="auto"/>
        <w:rPr>
          <w:rStyle w:val="Strong"/>
          <w:rFonts w:asciiTheme="minorBidi" w:hAnsiTheme="minorBidi" w:cstheme="minorBidi"/>
          <w:color w:val="auto"/>
          <w:sz w:val="22"/>
          <w:szCs w:val="22"/>
          <w:lang w:val="en-GB"/>
        </w:rPr>
      </w:pPr>
      <w:bookmarkStart w:id="21" w:name="_Toc223743622"/>
      <w:r w:rsidRPr="00E9275E">
        <w:rPr>
          <w:rStyle w:val="Strong"/>
          <w:rFonts w:asciiTheme="minorBidi" w:hAnsiTheme="minorBidi" w:cstheme="minorBidi"/>
          <w:color w:val="auto"/>
          <w:sz w:val="22"/>
          <w:szCs w:val="22"/>
          <w:lang w:val="en-GB"/>
        </w:rPr>
        <w:t>Conclusion</w:t>
      </w:r>
      <w:bookmarkEnd w:id="21"/>
    </w:p>
    <w:p w14:paraId="32A408EA" w14:textId="02873C3E" w:rsidR="00ED779D" w:rsidRPr="00E9275E" w:rsidRDefault="00ED779D" w:rsidP="002E78FE">
      <w:pPr>
        <w:spacing w:before="360" w:after="80" w:line="360" w:lineRule="auto"/>
        <w:rPr>
          <w:rFonts w:asciiTheme="minorBidi" w:hAnsiTheme="minorBidi"/>
          <w:sz w:val="22"/>
          <w:szCs w:val="22"/>
          <w:lang w:val="en-GB"/>
        </w:rPr>
      </w:pPr>
      <w:r w:rsidRPr="00E9275E">
        <w:rPr>
          <w:rFonts w:asciiTheme="minorBidi" w:hAnsiTheme="minorBidi"/>
          <w:sz w:val="22"/>
          <w:szCs w:val="22"/>
          <w:lang w:val="en-GB"/>
        </w:rPr>
        <w:t xml:space="preserve">Tuberculosis is a major societal health concern at the international level as well as in the UK. </w:t>
      </w:r>
      <w:r w:rsidR="00D54F85" w:rsidRPr="00E9275E">
        <w:rPr>
          <w:rFonts w:asciiTheme="minorBidi" w:hAnsiTheme="minorBidi"/>
          <w:sz w:val="22"/>
          <w:szCs w:val="22"/>
          <w:lang w:val="en-GB"/>
        </w:rPr>
        <w:t xml:space="preserve">TB is closely related to such a social determinant as poverty, migration and housing status. Greater Manchester has higher rates of TB than the rest of the </w:t>
      </w:r>
      <w:r w:rsidR="00717E9D" w:rsidRPr="00E9275E">
        <w:rPr>
          <w:rFonts w:asciiTheme="minorBidi" w:hAnsiTheme="minorBidi"/>
          <w:sz w:val="22"/>
          <w:szCs w:val="22"/>
          <w:lang w:val="en-GB"/>
        </w:rPr>
        <w:t>Northwest</w:t>
      </w:r>
      <w:r w:rsidR="00D54F85" w:rsidRPr="00E9275E">
        <w:rPr>
          <w:rFonts w:asciiTheme="minorBidi" w:hAnsiTheme="minorBidi"/>
          <w:sz w:val="22"/>
          <w:szCs w:val="22"/>
          <w:lang w:val="en-GB"/>
        </w:rPr>
        <w:t xml:space="preserve"> and this emphasises the importance of more local interventions. </w:t>
      </w:r>
      <w:r w:rsidRPr="00E9275E">
        <w:rPr>
          <w:rFonts w:asciiTheme="minorBidi" w:hAnsiTheme="minorBidi"/>
          <w:sz w:val="22"/>
          <w:szCs w:val="22"/>
          <w:lang w:val="en-GB"/>
        </w:rPr>
        <w:t xml:space="preserve"> The prevention, protection and promotion intervention to work towards effective TB control will be facilitated with surveillance and support policies based on evidence. The key interventions to lower the incidence of TB and enhance the health outcomes of the population are the enhancement of screening programmes, better access to healthcare and the underlying social determinants.</w:t>
      </w:r>
    </w:p>
    <w:p w14:paraId="397BAADC" w14:textId="77777777" w:rsidR="00872071" w:rsidRPr="00E9275E" w:rsidRDefault="00872071" w:rsidP="002E78FE">
      <w:pPr>
        <w:spacing w:before="360" w:after="80" w:line="360" w:lineRule="auto"/>
        <w:rPr>
          <w:rFonts w:asciiTheme="minorBidi" w:hAnsiTheme="minorBidi"/>
          <w:sz w:val="22"/>
          <w:szCs w:val="22"/>
          <w:lang w:val="en-GB"/>
        </w:rPr>
      </w:pPr>
    </w:p>
    <w:p w14:paraId="0C4A1332" w14:textId="77777777" w:rsidR="00872071" w:rsidRPr="00E9275E" w:rsidRDefault="00872071" w:rsidP="002E78FE">
      <w:pPr>
        <w:spacing w:before="360" w:after="80" w:line="360" w:lineRule="auto"/>
        <w:rPr>
          <w:rFonts w:asciiTheme="minorBidi" w:hAnsiTheme="minorBidi"/>
          <w:sz w:val="22"/>
          <w:szCs w:val="22"/>
          <w:lang w:val="en-GB"/>
        </w:rPr>
      </w:pPr>
    </w:p>
    <w:p w14:paraId="66666361" w14:textId="77777777" w:rsidR="00872071" w:rsidRDefault="00872071" w:rsidP="002E78FE">
      <w:pPr>
        <w:spacing w:before="360" w:after="80" w:line="360" w:lineRule="auto"/>
        <w:rPr>
          <w:rFonts w:asciiTheme="minorBidi" w:hAnsiTheme="minorBidi"/>
          <w:sz w:val="22"/>
          <w:szCs w:val="22"/>
          <w:lang w:val="en-GB"/>
        </w:rPr>
      </w:pPr>
    </w:p>
    <w:p w14:paraId="270A595E" w14:textId="77777777" w:rsidR="00CE48CB" w:rsidRDefault="00CE48CB" w:rsidP="002E78FE">
      <w:pPr>
        <w:spacing w:before="360" w:after="80" w:line="360" w:lineRule="auto"/>
        <w:rPr>
          <w:rFonts w:asciiTheme="minorBidi" w:hAnsiTheme="minorBidi"/>
          <w:sz w:val="22"/>
          <w:szCs w:val="22"/>
          <w:lang w:val="en-GB"/>
        </w:rPr>
      </w:pPr>
    </w:p>
    <w:p w14:paraId="3D300867" w14:textId="77777777" w:rsidR="00CE48CB" w:rsidRDefault="00CE48CB" w:rsidP="002E78FE">
      <w:pPr>
        <w:spacing w:before="360" w:after="80" w:line="360" w:lineRule="auto"/>
        <w:rPr>
          <w:rFonts w:asciiTheme="minorBidi" w:hAnsiTheme="minorBidi"/>
          <w:sz w:val="22"/>
          <w:szCs w:val="22"/>
          <w:lang w:val="en-GB"/>
        </w:rPr>
      </w:pPr>
    </w:p>
    <w:p w14:paraId="1DBADAB5" w14:textId="77777777" w:rsidR="00CE48CB" w:rsidRPr="00E9275E" w:rsidRDefault="00CE48CB" w:rsidP="002E78FE">
      <w:pPr>
        <w:spacing w:before="360" w:after="80" w:line="360" w:lineRule="auto"/>
        <w:rPr>
          <w:rFonts w:asciiTheme="minorBidi" w:hAnsiTheme="minorBidi"/>
          <w:sz w:val="22"/>
          <w:szCs w:val="22"/>
          <w:lang w:val="en-GB"/>
        </w:rPr>
      </w:pPr>
    </w:p>
    <w:p w14:paraId="5BAD87A0" w14:textId="77777777" w:rsidR="00872071" w:rsidRPr="00E9275E" w:rsidRDefault="00872071" w:rsidP="002E78FE">
      <w:pPr>
        <w:spacing w:before="360" w:after="80" w:line="360" w:lineRule="auto"/>
        <w:rPr>
          <w:rFonts w:asciiTheme="minorBidi" w:hAnsiTheme="minorBidi"/>
          <w:sz w:val="22"/>
          <w:szCs w:val="22"/>
          <w:lang w:val="en-GB"/>
        </w:rPr>
      </w:pPr>
    </w:p>
    <w:p w14:paraId="36241E9E" w14:textId="5D0259FF" w:rsidR="00EE5525" w:rsidRPr="00E9275E" w:rsidRDefault="008B474F" w:rsidP="002E78FE">
      <w:pPr>
        <w:pStyle w:val="Heading1"/>
        <w:numPr>
          <w:ilvl w:val="0"/>
          <w:numId w:val="6"/>
        </w:numPr>
        <w:spacing w:line="360" w:lineRule="auto"/>
        <w:rPr>
          <w:rFonts w:asciiTheme="minorBidi" w:hAnsiTheme="minorBidi" w:cstheme="minorBidi"/>
          <w:b/>
          <w:bCs/>
          <w:color w:val="auto"/>
          <w:sz w:val="22"/>
          <w:szCs w:val="22"/>
          <w:lang w:val="en-GB"/>
        </w:rPr>
      </w:pPr>
      <w:bookmarkStart w:id="22" w:name="_Toc223743623"/>
      <w:r w:rsidRPr="00E9275E">
        <w:rPr>
          <w:rFonts w:asciiTheme="minorBidi" w:hAnsiTheme="minorBidi" w:cstheme="minorBidi"/>
          <w:b/>
          <w:bCs/>
          <w:color w:val="auto"/>
          <w:sz w:val="22"/>
          <w:szCs w:val="22"/>
          <w:lang w:val="en-GB"/>
        </w:rPr>
        <w:lastRenderedPageBreak/>
        <w:t>References</w:t>
      </w:r>
      <w:bookmarkEnd w:id="22"/>
    </w:p>
    <w:p w14:paraId="43E2D6A7"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proofErr w:type="spellStart"/>
      <w:r w:rsidRPr="00E9275E">
        <w:rPr>
          <w:rFonts w:asciiTheme="minorBidi" w:hAnsiTheme="minorBidi" w:cstheme="minorBidi"/>
          <w:sz w:val="22"/>
          <w:szCs w:val="22"/>
          <w:lang w:val="en-GB"/>
        </w:rPr>
        <w:t>Aidsmap</w:t>
      </w:r>
      <w:proofErr w:type="spellEnd"/>
      <w:r w:rsidRPr="00E9275E">
        <w:rPr>
          <w:rFonts w:asciiTheme="minorBidi" w:hAnsiTheme="minorBidi" w:cstheme="minorBidi"/>
          <w:sz w:val="22"/>
          <w:szCs w:val="22"/>
          <w:lang w:val="en-GB"/>
        </w:rPr>
        <w:t xml:space="preserve"> (2023). </w:t>
      </w:r>
      <w:r w:rsidRPr="00E9275E">
        <w:rPr>
          <w:rFonts w:asciiTheme="minorBidi" w:hAnsiTheme="minorBidi" w:cstheme="minorBidi"/>
          <w:i/>
          <w:iCs/>
          <w:sz w:val="22"/>
          <w:szCs w:val="22"/>
          <w:lang w:val="en-GB"/>
        </w:rPr>
        <w:t>Tuberculosis still much more common in people with HIV in high-income settings</w:t>
      </w:r>
      <w:r w:rsidRPr="00E9275E">
        <w:rPr>
          <w:rFonts w:asciiTheme="minorBidi" w:hAnsiTheme="minorBidi" w:cstheme="minorBidi"/>
          <w:sz w:val="22"/>
          <w:szCs w:val="22"/>
          <w:lang w:val="en-GB"/>
        </w:rPr>
        <w:t>. [online] aidsmap.com. Available at: https://www.aidsmap.com/news/dec-2023/tuberculosis-still-much-more-common-people-hiv-high-income-settings [Accessed 6 Mar. 2026].</w:t>
      </w:r>
    </w:p>
    <w:p w14:paraId="7051A9E5"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Bradshaw, J. (1972). </w:t>
      </w:r>
      <w:r w:rsidRPr="00E9275E">
        <w:rPr>
          <w:rFonts w:asciiTheme="minorBidi" w:hAnsiTheme="minorBidi" w:cstheme="minorBidi"/>
          <w:i/>
          <w:iCs/>
          <w:sz w:val="22"/>
          <w:szCs w:val="22"/>
          <w:lang w:val="en-GB"/>
        </w:rPr>
        <w:t>(PDF) A Taxonomy of Social Need</w:t>
      </w:r>
      <w:r w:rsidRPr="00E9275E">
        <w:rPr>
          <w:rFonts w:asciiTheme="minorBidi" w:hAnsiTheme="minorBidi" w:cstheme="minorBidi"/>
          <w:sz w:val="22"/>
          <w:szCs w:val="22"/>
          <w:lang w:val="en-GB"/>
        </w:rPr>
        <w:t>. [online] ResearchGate. Available at: https://www.researchgate.net/publication/248031221_A_Taxonomy_of_Social_Need.</w:t>
      </w:r>
    </w:p>
    <w:p w14:paraId="07EF9F3F"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proofErr w:type="spellStart"/>
      <w:r w:rsidRPr="00E9275E">
        <w:rPr>
          <w:rFonts w:asciiTheme="minorBidi" w:hAnsiTheme="minorBidi" w:cstheme="minorBidi"/>
          <w:sz w:val="22"/>
          <w:szCs w:val="22"/>
          <w:lang w:val="en-GB"/>
        </w:rPr>
        <w:t>BrJCardiol</w:t>
      </w:r>
      <w:proofErr w:type="spellEnd"/>
      <w:r w:rsidRPr="00E9275E">
        <w:rPr>
          <w:rFonts w:asciiTheme="minorBidi" w:hAnsiTheme="minorBidi" w:cstheme="minorBidi"/>
          <w:sz w:val="22"/>
          <w:szCs w:val="22"/>
          <w:lang w:val="en-GB"/>
        </w:rPr>
        <w:t xml:space="preserve"> (2018). </w:t>
      </w:r>
      <w:r w:rsidRPr="00E9275E">
        <w:rPr>
          <w:rFonts w:asciiTheme="minorBidi" w:hAnsiTheme="minorBidi" w:cstheme="minorBidi"/>
          <w:i/>
          <w:iCs/>
          <w:sz w:val="22"/>
          <w:szCs w:val="22"/>
          <w:lang w:val="en-GB"/>
        </w:rPr>
        <w:t>Diabetes and cardiovascular risk in UK South Asians: an overview</w:t>
      </w:r>
      <w:r w:rsidRPr="00E9275E">
        <w:rPr>
          <w:rFonts w:asciiTheme="minorBidi" w:hAnsiTheme="minorBidi" w:cstheme="minorBidi"/>
          <w:sz w:val="22"/>
          <w:szCs w:val="22"/>
          <w:lang w:val="en-GB"/>
        </w:rPr>
        <w:t>. [online] bjcardio.co.uk. Available at: https://bjcardio.co.uk/2018/09/diabetes-cvd-supplement-2-diabetes-and-cardiovascular-risk-in-uk-south-asians-an-overview.</w:t>
      </w:r>
    </w:p>
    <w:p w14:paraId="0EBCDA7A"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CDC (2019). </w:t>
      </w:r>
      <w:r w:rsidRPr="00E9275E">
        <w:rPr>
          <w:rFonts w:asciiTheme="minorBidi" w:hAnsiTheme="minorBidi" w:cstheme="minorBidi"/>
          <w:i/>
          <w:iCs/>
          <w:sz w:val="22"/>
          <w:szCs w:val="22"/>
          <w:lang w:val="en-GB"/>
        </w:rPr>
        <w:t>Principles of epidemiology</w:t>
      </w:r>
      <w:r w:rsidRPr="00E9275E">
        <w:rPr>
          <w:rFonts w:asciiTheme="minorBidi" w:hAnsiTheme="minorBidi" w:cstheme="minorBidi"/>
          <w:sz w:val="22"/>
          <w:szCs w:val="22"/>
          <w:lang w:val="en-GB"/>
        </w:rPr>
        <w:t xml:space="preserve">. [online] </w:t>
      </w:r>
      <w:proofErr w:type="spellStart"/>
      <w:r w:rsidRPr="00E9275E">
        <w:rPr>
          <w:rFonts w:asciiTheme="minorBidi" w:hAnsiTheme="minorBidi" w:cstheme="minorBidi"/>
          <w:sz w:val="22"/>
          <w:szCs w:val="22"/>
          <w:lang w:val="en-GB"/>
        </w:rPr>
        <w:t>Centers</w:t>
      </w:r>
      <w:proofErr w:type="spellEnd"/>
      <w:r w:rsidRPr="00E9275E">
        <w:rPr>
          <w:rFonts w:asciiTheme="minorBidi" w:hAnsiTheme="minorBidi" w:cstheme="minorBidi"/>
          <w:sz w:val="22"/>
          <w:szCs w:val="22"/>
          <w:lang w:val="en-GB"/>
        </w:rPr>
        <w:t xml:space="preserve"> for Disease Control and Prevention. Available at: https://www.cdc.gov/csels/dsepd/ss1978/lesson1/section6.html.</w:t>
      </w:r>
    </w:p>
    <w:p w14:paraId="7E1642B3"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CDC (2025). </w:t>
      </w:r>
      <w:r w:rsidRPr="00E9275E">
        <w:rPr>
          <w:rFonts w:asciiTheme="minorBidi" w:hAnsiTheme="minorBidi" w:cstheme="minorBidi"/>
          <w:i/>
          <w:iCs/>
          <w:sz w:val="22"/>
          <w:szCs w:val="22"/>
          <w:lang w:val="en-GB"/>
        </w:rPr>
        <w:t>Tuberculosis: Causes and How It Spreads</w:t>
      </w:r>
      <w:r w:rsidRPr="00E9275E">
        <w:rPr>
          <w:rFonts w:asciiTheme="minorBidi" w:hAnsiTheme="minorBidi" w:cstheme="minorBidi"/>
          <w:sz w:val="22"/>
          <w:szCs w:val="22"/>
          <w:lang w:val="en-GB"/>
        </w:rPr>
        <w:t>. [online] Tuberculosis (TB). Available at: https://www.cdc.gov/tb/causes/index.html.</w:t>
      </w:r>
    </w:p>
    <w:p w14:paraId="3709B8B3"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Cleveland, M. (2025). The social identity and psychology of mixed-race individuals: An international study. </w:t>
      </w:r>
      <w:r w:rsidRPr="00E9275E">
        <w:rPr>
          <w:rFonts w:asciiTheme="minorBidi" w:hAnsiTheme="minorBidi" w:cstheme="minorBidi"/>
          <w:i/>
          <w:iCs/>
          <w:sz w:val="22"/>
          <w:szCs w:val="22"/>
          <w:lang w:val="en-GB"/>
        </w:rPr>
        <w:t>International Journal of Intercultural Relations</w:t>
      </w:r>
      <w:r w:rsidRPr="00E9275E">
        <w:rPr>
          <w:rFonts w:asciiTheme="minorBidi" w:hAnsiTheme="minorBidi" w:cstheme="minorBidi"/>
          <w:sz w:val="22"/>
          <w:szCs w:val="22"/>
          <w:lang w:val="en-GB"/>
        </w:rPr>
        <w:t xml:space="preserve">, [online] 108, p.102239.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://doi.org/10.1016/j.ijintrel.2025.102239</w:t>
      </w:r>
      <w:proofErr w:type="gramEnd"/>
      <w:r w:rsidRPr="00E9275E">
        <w:rPr>
          <w:rFonts w:asciiTheme="minorBidi" w:hAnsiTheme="minorBidi" w:cstheme="minorBidi"/>
          <w:sz w:val="22"/>
          <w:szCs w:val="22"/>
          <w:lang w:val="en-GB"/>
        </w:rPr>
        <w:t>.</w:t>
      </w:r>
    </w:p>
    <w:p w14:paraId="0AFF859F"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Clyde (2025). </w:t>
      </w:r>
      <w:r w:rsidRPr="00E9275E">
        <w:rPr>
          <w:rFonts w:asciiTheme="minorBidi" w:hAnsiTheme="minorBidi" w:cstheme="minorBidi"/>
          <w:i/>
          <w:iCs/>
          <w:sz w:val="22"/>
          <w:szCs w:val="22"/>
          <w:lang w:val="en-GB"/>
        </w:rPr>
        <w:t>TB cases on the rise in England</w:t>
      </w:r>
      <w:r w:rsidRPr="00E9275E">
        <w:rPr>
          <w:rFonts w:asciiTheme="minorBidi" w:hAnsiTheme="minorBidi" w:cstheme="minorBidi"/>
          <w:sz w:val="22"/>
          <w:szCs w:val="22"/>
          <w:lang w:val="en-GB"/>
        </w:rPr>
        <w:t>. [online] Clydeco.com. Available at: https://www.clydeco.com/en/insights/2025/05/tb-cases-on-the-rise-in-england [Accessed 6 Mar. 2026].</w:t>
      </w:r>
    </w:p>
    <w:p w14:paraId="07B5C908"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Dahlgren, G. and Whitehead, M. (2021). The Dahlgren-Whitehead Model of Health Determinants: 30 Years on and Still Chasing Rainbows. </w:t>
      </w:r>
      <w:r w:rsidRPr="00E9275E">
        <w:rPr>
          <w:rFonts w:asciiTheme="minorBidi" w:hAnsiTheme="minorBidi" w:cstheme="minorBidi"/>
          <w:i/>
          <w:iCs/>
          <w:sz w:val="22"/>
          <w:szCs w:val="22"/>
          <w:lang w:val="en-GB"/>
        </w:rPr>
        <w:t>Public Health</w:t>
      </w:r>
      <w:r w:rsidRPr="00E9275E">
        <w:rPr>
          <w:rFonts w:asciiTheme="minorBidi" w:hAnsiTheme="minorBidi" w:cstheme="minorBidi"/>
          <w:sz w:val="22"/>
          <w:szCs w:val="22"/>
          <w:lang w:val="en-GB"/>
        </w:rPr>
        <w:t xml:space="preserve">, [online] 199(1), pp.20–24.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://doi.org/10.1016/j.puhe.2021.08.009</w:t>
      </w:r>
      <w:proofErr w:type="gramEnd"/>
      <w:r w:rsidRPr="00E9275E">
        <w:rPr>
          <w:rFonts w:asciiTheme="minorBidi" w:hAnsiTheme="minorBidi" w:cstheme="minorBidi"/>
          <w:sz w:val="22"/>
          <w:szCs w:val="22"/>
          <w:lang w:val="en-GB"/>
        </w:rPr>
        <w:t>.</w:t>
      </w:r>
    </w:p>
    <w:p w14:paraId="63EDE815"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EATG (2024). </w:t>
      </w:r>
      <w:r w:rsidRPr="00E9275E">
        <w:rPr>
          <w:rFonts w:asciiTheme="minorBidi" w:hAnsiTheme="minorBidi" w:cstheme="minorBidi"/>
          <w:i/>
          <w:iCs/>
          <w:sz w:val="22"/>
          <w:szCs w:val="22"/>
          <w:lang w:val="en-GB"/>
        </w:rPr>
        <w:t>TB cases rise in England | EATG</w:t>
      </w:r>
      <w:r w:rsidRPr="00E9275E">
        <w:rPr>
          <w:rFonts w:asciiTheme="minorBidi" w:hAnsiTheme="minorBidi" w:cstheme="minorBidi"/>
          <w:sz w:val="22"/>
          <w:szCs w:val="22"/>
          <w:lang w:val="en-GB"/>
        </w:rPr>
        <w:t>. [online] EATG. Available at: https://www.eatg.org/hiv-news/tb-cases-rise-in-england/.</w:t>
      </w:r>
    </w:p>
    <w:p w14:paraId="38ED65F7"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FAO (2025). </w:t>
      </w:r>
      <w:r w:rsidRPr="00E9275E">
        <w:rPr>
          <w:rFonts w:asciiTheme="minorBidi" w:hAnsiTheme="minorBidi" w:cstheme="minorBidi"/>
          <w:i/>
          <w:iCs/>
          <w:sz w:val="22"/>
          <w:szCs w:val="22"/>
          <w:lang w:val="en-GB"/>
        </w:rPr>
        <w:t>4. The epidemiological approach to investigating disease problems</w:t>
      </w:r>
      <w:r w:rsidRPr="00E9275E">
        <w:rPr>
          <w:rFonts w:asciiTheme="minorBidi" w:hAnsiTheme="minorBidi" w:cstheme="minorBidi"/>
          <w:sz w:val="22"/>
          <w:szCs w:val="22"/>
          <w:lang w:val="en-GB"/>
        </w:rPr>
        <w:t>. [online] Fao.org. Available at: https://openknowledge.fao.org/server/api/core/bitstreams/0eb5ac30-b171-4727-b512-5ab7977d8dee/content/x5436e06.htm.</w:t>
      </w:r>
    </w:p>
    <w:p w14:paraId="066D83A2"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lastRenderedPageBreak/>
        <w:t xml:space="preserve">Gavi (2025). </w:t>
      </w:r>
      <w:r w:rsidRPr="00E9275E">
        <w:rPr>
          <w:rFonts w:asciiTheme="minorBidi" w:hAnsiTheme="minorBidi" w:cstheme="minorBidi"/>
          <w:i/>
          <w:iCs/>
          <w:sz w:val="22"/>
          <w:szCs w:val="22"/>
          <w:lang w:val="en-GB"/>
        </w:rPr>
        <w:t>Why increasing rates of tuberculosis in the UK and US should concern everyone</w:t>
      </w:r>
      <w:r w:rsidRPr="00E9275E">
        <w:rPr>
          <w:rFonts w:asciiTheme="minorBidi" w:hAnsiTheme="minorBidi" w:cstheme="minorBidi"/>
          <w:sz w:val="22"/>
          <w:szCs w:val="22"/>
          <w:lang w:val="en-GB"/>
        </w:rPr>
        <w:t>. [online] Gavi.org. Available at: https://www.gavi.org/vaccineswork/why-increasing-rates-tuberculosis-uk-and-us-should-concern-everyone [Accessed 6 Mar. 2026].</w:t>
      </w:r>
    </w:p>
    <w:p w14:paraId="325F9B98"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GOV.UK (2024). </w:t>
      </w:r>
      <w:r w:rsidRPr="00E9275E">
        <w:rPr>
          <w:rFonts w:asciiTheme="minorBidi" w:hAnsiTheme="minorBidi" w:cstheme="minorBidi"/>
          <w:i/>
          <w:iCs/>
          <w:sz w:val="22"/>
          <w:szCs w:val="22"/>
          <w:lang w:val="en-GB"/>
        </w:rPr>
        <w:t>Tuberculosis incidence and epidemiology, England, 2023</w:t>
      </w:r>
      <w:r w:rsidRPr="00E9275E">
        <w:rPr>
          <w:rFonts w:asciiTheme="minorBidi" w:hAnsiTheme="minorBidi" w:cstheme="minorBidi"/>
          <w:sz w:val="22"/>
          <w:szCs w:val="22"/>
          <w:lang w:val="en-GB"/>
        </w:rPr>
        <w:t xml:space="preserve">. [online] GOV.UK. Available at: </w:t>
      </w:r>
      <w:proofErr w:type="gramStart"/>
      <w:r w:rsidRPr="00E9275E">
        <w:rPr>
          <w:rFonts w:asciiTheme="minorBidi" w:hAnsiTheme="minorBidi" w:cstheme="minorBidi"/>
          <w:sz w:val="22"/>
          <w:szCs w:val="22"/>
          <w:lang w:val="en-GB"/>
        </w:rPr>
        <w:t>https://www.gov.uk/government/publications/tuberculosis-in-england-2024-report/tuberculosis-incidence-and-epidemiology-england-2023?.</w:t>
      </w:r>
      <w:proofErr w:type="gramEnd"/>
    </w:p>
    <w:p w14:paraId="18E0E379"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GOV.UK (2025). </w:t>
      </w:r>
      <w:r w:rsidRPr="00E9275E">
        <w:rPr>
          <w:rFonts w:asciiTheme="minorBidi" w:hAnsiTheme="minorBidi" w:cstheme="minorBidi"/>
          <w:i/>
          <w:iCs/>
          <w:sz w:val="22"/>
          <w:szCs w:val="22"/>
          <w:lang w:val="en-GB"/>
        </w:rPr>
        <w:t>1. Tuberculosis incidence and epidemiology, England, 2024</w:t>
      </w:r>
      <w:r w:rsidRPr="00E9275E">
        <w:rPr>
          <w:rFonts w:asciiTheme="minorBidi" w:hAnsiTheme="minorBidi" w:cstheme="minorBidi"/>
          <w:sz w:val="22"/>
          <w:szCs w:val="22"/>
          <w:lang w:val="en-GB"/>
        </w:rPr>
        <w:t>. [online] GOV.UK. Available at: https://www.gov.uk/government/publications/tuberculosis-in-england-2025-report/1-tuberculosis-incidence-and-epidemiology-england-2024.</w:t>
      </w:r>
    </w:p>
    <w:p w14:paraId="068356DA"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Gov.UK (2021). </w:t>
      </w:r>
      <w:r w:rsidRPr="00E9275E">
        <w:rPr>
          <w:rFonts w:asciiTheme="minorBidi" w:hAnsiTheme="minorBidi" w:cstheme="minorBidi"/>
          <w:i/>
          <w:iCs/>
          <w:sz w:val="22"/>
          <w:szCs w:val="22"/>
          <w:lang w:val="en-GB"/>
        </w:rPr>
        <w:t>Ethnic disparities in the major causes of mortality and their risk factors – a rapid review</w:t>
      </w:r>
      <w:r w:rsidRPr="00E9275E">
        <w:rPr>
          <w:rFonts w:asciiTheme="minorBidi" w:hAnsiTheme="minorBidi" w:cstheme="minorBidi"/>
          <w:sz w:val="22"/>
          <w:szCs w:val="22"/>
          <w:lang w:val="en-GB"/>
        </w:rPr>
        <w:t>. [online] GOV.UK. Available at: https://www.gov.uk/government/publications/the-report-of-the-commission-on-race-and-ethnic-disparities-supporting-research/ethnic-disparities-in-the-major-causes-of-mortality-and-their-risk-factors-by-dr-raghib-ali-et-al.</w:t>
      </w:r>
    </w:p>
    <w:p w14:paraId="77A79E04"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Gov.UK (2023). </w:t>
      </w:r>
      <w:proofErr w:type="gramStart"/>
      <w:r w:rsidRPr="00E9275E">
        <w:rPr>
          <w:rFonts w:asciiTheme="minorBidi" w:hAnsiTheme="minorBidi" w:cstheme="minorBidi"/>
          <w:i/>
          <w:iCs/>
          <w:sz w:val="22"/>
          <w:szCs w:val="22"/>
          <w:lang w:val="en-GB"/>
        </w:rPr>
        <w:t>North West</w:t>
      </w:r>
      <w:proofErr w:type="gramEnd"/>
      <w:r w:rsidRPr="00E9275E">
        <w:rPr>
          <w:rFonts w:asciiTheme="minorBidi" w:hAnsiTheme="minorBidi" w:cstheme="minorBidi"/>
          <w:i/>
          <w:iCs/>
          <w:sz w:val="22"/>
          <w:szCs w:val="22"/>
          <w:lang w:val="en-GB"/>
        </w:rPr>
        <w:t>: tuberculosis in 2023</w:t>
      </w:r>
      <w:r w:rsidRPr="00E9275E">
        <w:rPr>
          <w:rFonts w:asciiTheme="minorBidi" w:hAnsiTheme="minorBidi" w:cstheme="minorBidi"/>
          <w:sz w:val="22"/>
          <w:szCs w:val="22"/>
          <w:lang w:val="en-GB"/>
        </w:rPr>
        <w:t>. [online] GOV.UK. Available at: https://www.gov.uk/government/publications/tuberculosis-tb-regional-reports-2023/north-west-tuberculosis-in-2023.</w:t>
      </w:r>
    </w:p>
    <w:p w14:paraId="746601D3"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Harris, S. (2025). </w:t>
      </w:r>
      <w:r w:rsidRPr="00E9275E">
        <w:rPr>
          <w:rFonts w:asciiTheme="minorBidi" w:hAnsiTheme="minorBidi" w:cstheme="minorBidi"/>
          <w:i/>
          <w:iCs/>
          <w:sz w:val="22"/>
          <w:szCs w:val="22"/>
          <w:lang w:val="en-GB"/>
        </w:rPr>
        <w:t>Why Have Tuberculosis Rates Increased in England?</w:t>
      </w:r>
      <w:r w:rsidRPr="00E9275E">
        <w:rPr>
          <w:rFonts w:asciiTheme="minorBidi" w:hAnsiTheme="minorBidi" w:cstheme="minorBidi"/>
          <w:sz w:val="22"/>
          <w:szCs w:val="22"/>
          <w:lang w:val="en-GB"/>
        </w:rPr>
        <w:t xml:space="preserve"> [online] Medscape. Available at: https://www.medscape.com/viewarticle/why-have-tuberculosis-rates-increased-england-2025a100028p.</w:t>
      </w:r>
    </w:p>
    <w:p w14:paraId="0860FDF5"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Health.gov (2018). </w:t>
      </w:r>
      <w:r w:rsidRPr="00E9275E">
        <w:rPr>
          <w:rFonts w:asciiTheme="minorBidi" w:hAnsiTheme="minorBidi" w:cstheme="minorBidi"/>
          <w:i/>
          <w:iCs/>
          <w:sz w:val="22"/>
          <w:szCs w:val="22"/>
          <w:lang w:val="en-GB"/>
        </w:rPr>
        <w:t>National Tuberculosis Surveillance System (NTSS) - Healthy People 2030 | odphp.health.gov</w:t>
      </w:r>
      <w:r w:rsidRPr="00E9275E">
        <w:rPr>
          <w:rFonts w:asciiTheme="minorBidi" w:hAnsiTheme="minorBidi" w:cstheme="minorBidi"/>
          <w:sz w:val="22"/>
          <w:szCs w:val="22"/>
          <w:lang w:val="en-GB"/>
        </w:rPr>
        <w:t>. [online] Health.gov. Available at: https://odphp.health.gov/healthypeople/objectives-and-data/data-sources-and-methods/data-sources/national-tuberculosis-surveillance-system-ntss.</w:t>
      </w:r>
    </w:p>
    <w:p w14:paraId="0BFB4EB0"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Jin, J., Zhou, S., Xu, Q. and An, J. (2017). Identification of risk factors in epidemiologic study based on ROC curve and network. </w:t>
      </w:r>
      <w:r w:rsidRPr="00E9275E">
        <w:rPr>
          <w:rFonts w:asciiTheme="minorBidi" w:hAnsiTheme="minorBidi" w:cstheme="minorBidi"/>
          <w:i/>
          <w:iCs/>
          <w:sz w:val="22"/>
          <w:szCs w:val="22"/>
          <w:lang w:val="en-GB"/>
        </w:rPr>
        <w:t>Scientific Reports</w:t>
      </w:r>
      <w:r w:rsidRPr="00E9275E">
        <w:rPr>
          <w:rFonts w:asciiTheme="minorBidi" w:hAnsiTheme="minorBidi" w:cstheme="minorBidi"/>
          <w:sz w:val="22"/>
          <w:szCs w:val="22"/>
          <w:lang w:val="en-GB"/>
        </w:rPr>
        <w:t xml:space="preserve">, 7(1).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://doi.org/10.1038/srep46655</w:t>
      </w:r>
      <w:proofErr w:type="gramEnd"/>
      <w:r w:rsidRPr="00E9275E">
        <w:rPr>
          <w:rFonts w:asciiTheme="minorBidi" w:hAnsiTheme="minorBidi" w:cstheme="minorBidi"/>
          <w:sz w:val="22"/>
          <w:szCs w:val="22"/>
          <w:lang w:val="en-GB"/>
        </w:rPr>
        <w:t>.</w:t>
      </w:r>
    </w:p>
    <w:p w14:paraId="43066FA2"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Kanaya, A.M. (2023). Diabetes in South Asians: Uncovering Novel Risk Factors With Longitudinal Epidemiologic Data: Kelly West Award Lecture 2023. </w:t>
      </w:r>
      <w:r w:rsidRPr="00E9275E">
        <w:rPr>
          <w:rFonts w:asciiTheme="minorBidi" w:hAnsiTheme="minorBidi" w:cstheme="minorBidi"/>
          <w:i/>
          <w:iCs/>
          <w:sz w:val="22"/>
          <w:szCs w:val="22"/>
          <w:lang w:val="en-GB"/>
        </w:rPr>
        <w:t>Diabetes Care</w:t>
      </w:r>
      <w:r w:rsidRPr="00E9275E">
        <w:rPr>
          <w:rFonts w:asciiTheme="minorBidi" w:hAnsiTheme="minorBidi" w:cstheme="minorBidi"/>
          <w:sz w:val="22"/>
          <w:szCs w:val="22"/>
          <w:lang w:val="en-GB"/>
        </w:rPr>
        <w:t xml:space="preserve">, [online] 47(1), pp.7–16.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://doi.org/10.2337/dci23-0068</w:t>
      </w:r>
      <w:proofErr w:type="gramEnd"/>
      <w:r w:rsidRPr="00E9275E">
        <w:rPr>
          <w:rFonts w:asciiTheme="minorBidi" w:hAnsiTheme="minorBidi" w:cstheme="minorBidi"/>
          <w:sz w:val="22"/>
          <w:szCs w:val="22"/>
          <w:lang w:val="en-GB"/>
        </w:rPr>
        <w:t>.</w:t>
      </w:r>
    </w:p>
    <w:p w14:paraId="68F56E72"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lastRenderedPageBreak/>
        <w:t xml:space="preserve">Lee, J.-Y., Kwon, N., Goo, G. and Cho, S. (2022). Inadequate housing and pulmonary tuberculosis: a systematic review. </w:t>
      </w:r>
      <w:r w:rsidRPr="00E9275E">
        <w:rPr>
          <w:rFonts w:asciiTheme="minorBidi" w:hAnsiTheme="minorBidi" w:cstheme="minorBidi"/>
          <w:i/>
          <w:iCs/>
          <w:sz w:val="22"/>
          <w:szCs w:val="22"/>
          <w:lang w:val="en-GB"/>
        </w:rPr>
        <w:t>BMC Public Health</w:t>
      </w:r>
      <w:r w:rsidRPr="00E9275E">
        <w:rPr>
          <w:rFonts w:asciiTheme="minorBidi" w:hAnsiTheme="minorBidi" w:cstheme="minorBidi"/>
          <w:sz w:val="22"/>
          <w:szCs w:val="22"/>
          <w:lang w:val="en-GB"/>
        </w:rPr>
        <w:t xml:space="preserve">, [online] 22(1).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://doi.org/10.1186/s12889-022-12879-6</w:t>
      </w:r>
      <w:proofErr w:type="gramEnd"/>
      <w:r w:rsidRPr="00E9275E">
        <w:rPr>
          <w:rFonts w:asciiTheme="minorBidi" w:hAnsiTheme="minorBidi" w:cstheme="minorBidi"/>
          <w:sz w:val="22"/>
          <w:szCs w:val="22"/>
          <w:lang w:val="en-GB"/>
        </w:rPr>
        <w:t>.</w:t>
      </w:r>
    </w:p>
    <w:p w14:paraId="2A9AE807"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Manchester.gov.uk (2024). </w:t>
      </w:r>
      <w:r w:rsidRPr="00E9275E">
        <w:rPr>
          <w:rFonts w:asciiTheme="minorBidi" w:hAnsiTheme="minorBidi" w:cstheme="minorBidi"/>
          <w:i/>
          <w:iCs/>
          <w:sz w:val="22"/>
          <w:szCs w:val="22"/>
          <w:lang w:val="en-GB"/>
        </w:rPr>
        <w:t>Topic summary on tuberculosis | Manchester City Council</w:t>
      </w:r>
      <w:r w:rsidRPr="00E9275E">
        <w:rPr>
          <w:rFonts w:asciiTheme="minorBidi" w:hAnsiTheme="minorBidi" w:cstheme="minorBidi"/>
          <w:sz w:val="22"/>
          <w:szCs w:val="22"/>
          <w:lang w:val="en-GB"/>
        </w:rPr>
        <w:t>. [online] Manchester.gov.uk. Available at: https://www.manchester.gov.uk/directory_record/468346/topic_summary_on_tuberculosis [Accessed 6 Mar. 2026].</w:t>
      </w:r>
    </w:p>
    <w:p w14:paraId="13C41B81"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Marmot, M. (2010). </w:t>
      </w:r>
      <w:r w:rsidRPr="00E9275E">
        <w:rPr>
          <w:rFonts w:asciiTheme="minorBidi" w:hAnsiTheme="minorBidi" w:cstheme="minorBidi"/>
          <w:i/>
          <w:iCs/>
          <w:sz w:val="22"/>
          <w:szCs w:val="22"/>
          <w:lang w:val="en-GB"/>
        </w:rPr>
        <w:t>Fair Society Healthy Lives (The Marmot Review)</w:t>
      </w:r>
      <w:r w:rsidRPr="00E9275E">
        <w:rPr>
          <w:rFonts w:asciiTheme="minorBidi" w:hAnsiTheme="minorBidi" w:cstheme="minorBidi"/>
          <w:sz w:val="22"/>
          <w:szCs w:val="22"/>
          <w:lang w:val="en-GB"/>
        </w:rPr>
        <w:t>. [online] Institute of Health Equity. Available at: https://www.instituteofhealthequity.org/resources-reports/fair-society-healthy-lives-the-marmot-review.</w:t>
      </w:r>
    </w:p>
    <w:p w14:paraId="655FD7DD"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Mase, S.R. and Chorba, T. (2019). Treatment of Drug-Resistant Tuberculosis. </w:t>
      </w:r>
      <w:r w:rsidRPr="00E9275E">
        <w:rPr>
          <w:rFonts w:asciiTheme="minorBidi" w:hAnsiTheme="minorBidi" w:cstheme="minorBidi"/>
          <w:i/>
          <w:iCs/>
          <w:sz w:val="22"/>
          <w:szCs w:val="22"/>
          <w:lang w:val="en-GB"/>
        </w:rPr>
        <w:t>Clinics in Chest Medicine</w:t>
      </w:r>
      <w:r w:rsidRPr="00E9275E">
        <w:rPr>
          <w:rFonts w:asciiTheme="minorBidi" w:hAnsiTheme="minorBidi" w:cstheme="minorBidi"/>
          <w:sz w:val="22"/>
          <w:szCs w:val="22"/>
          <w:lang w:val="en-GB"/>
        </w:rPr>
        <w:t xml:space="preserve">, 40(4), pp.775–795.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://doi.org/10.1016/j.ccm.2019.08.002</w:t>
      </w:r>
      <w:proofErr w:type="gramEnd"/>
      <w:r w:rsidRPr="00E9275E">
        <w:rPr>
          <w:rFonts w:asciiTheme="minorBidi" w:hAnsiTheme="minorBidi" w:cstheme="minorBidi"/>
          <w:sz w:val="22"/>
          <w:szCs w:val="22"/>
          <w:lang w:val="en-GB"/>
        </w:rPr>
        <w:t>.</w:t>
      </w:r>
    </w:p>
    <w:p w14:paraId="28E91560"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Mehta, K. (2024). </w:t>
      </w:r>
      <w:r w:rsidRPr="00E9275E">
        <w:rPr>
          <w:rFonts w:asciiTheme="minorBidi" w:hAnsiTheme="minorBidi" w:cstheme="minorBidi"/>
          <w:i/>
          <w:iCs/>
          <w:sz w:val="22"/>
          <w:szCs w:val="22"/>
          <w:lang w:val="en-GB"/>
        </w:rPr>
        <w:t>South Asians almost twice as likely to develop coronary heart disease than White Europeans</w:t>
      </w:r>
      <w:r w:rsidRPr="00E9275E">
        <w:rPr>
          <w:rFonts w:asciiTheme="minorBidi" w:hAnsiTheme="minorBidi" w:cstheme="minorBidi"/>
          <w:sz w:val="22"/>
          <w:szCs w:val="22"/>
          <w:lang w:val="en-GB"/>
        </w:rPr>
        <w:t>. [online] www.bhf.org.uk. Available at: https://www.bhf.org.uk/what-we-do/news-from-the-bhf/news-archive/2024/june/south-asians-almost-twice-as-likely-to-develop-coronary-heart-disease-than-white-europeans.</w:t>
      </w:r>
    </w:p>
    <w:p w14:paraId="10E5C06C"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Miler, J.A., Carver, H., Masterton, W., Parkes, T., Maden, M., Jones, L. and </w:t>
      </w:r>
      <w:proofErr w:type="spellStart"/>
      <w:r w:rsidRPr="00E9275E">
        <w:rPr>
          <w:rFonts w:asciiTheme="minorBidi" w:hAnsiTheme="minorBidi" w:cstheme="minorBidi"/>
          <w:sz w:val="22"/>
          <w:szCs w:val="22"/>
          <w:lang w:val="en-GB"/>
        </w:rPr>
        <w:t>Sumnall</w:t>
      </w:r>
      <w:proofErr w:type="spellEnd"/>
      <w:r w:rsidRPr="00E9275E">
        <w:rPr>
          <w:rFonts w:asciiTheme="minorBidi" w:hAnsiTheme="minorBidi" w:cstheme="minorBidi"/>
          <w:sz w:val="22"/>
          <w:szCs w:val="22"/>
          <w:lang w:val="en-GB"/>
        </w:rPr>
        <w:t xml:space="preserve">, H. (2021). What treatment and services are effective for people who are homeless and use drugs? A systematic ‘review of </w:t>
      </w:r>
      <w:proofErr w:type="gramStart"/>
      <w:r w:rsidRPr="00E9275E">
        <w:rPr>
          <w:rFonts w:asciiTheme="minorBidi" w:hAnsiTheme="minorBidi" w:cstheme="minorBidi"/>
          <w:sz w:val="22"/>
          <w:szCs w:val="22"/>
          <w:lang w:val="en-GB"/>
        </w:rPr>
        <w:t>reviews’</w:t>
      </w:r>
      <w:proofErr w:type="gramEnd"/>
      <w:r w:rsidRPr="00E9275E">
        <w:rPr>
          <w:rFonts w:asciiTheme="minorBidi" w:hAnsiTheme="minorBidi" w:cstheme="minorBidi"/>
          <w:sz w:val="22"/>
          <w:szCs w:val="22"/>
          <w:lang w:val="en-GB"/>
        </w:rPr>
        <w:t xml:space="preserve">. </w:t>
      </w:r>
      <w:r w:rsidRPr="00E9275E">
        <w:rPr>
          <w:rFonts w:asciiTheme="minorBidi" w:hAnsiTheme="minorBidi" w:cstheme="minorBidi"/>
          <w:i/>
          <w:iCs/>
          <w:sz w:val="22"/>
          <w:szCs w:val="22"/>
          <w:lang w:val="en-GB"/>
        </w:rPr>
        <w:t>PLOS ONE</w:t>
      </w:r>
      <w:r w:rsidRPr="00E9275E">
        <w:rPr>
          <w:rFonts w:asciiTheme="minorBidi" w:hAnsiTheme="minorBidi" w:cstheme="minorBidi"/>
          <w:sz w:val="22"/>
          <w:szCs w:val="22"/>
          <w:lang w:val="en-GB"/>
        </w:rPr>
        <w:t xml:space="preserve">, 16(7), p.e0254729.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://doi.org/10.1371/journal.pone.0254729</w:t>
      </w:r>
      <w:proofErr w:type="gramEnd"/>
      <w:r w:rsidRPr="00E9275E">
        <w:rPr>
          <w:rFonts w:asciiTheme="minorBidi" w:hAnsiTheme="minorBidi" w:cstheme="minorBidi"/>
          <w:sz w:val="22"/>
          <w:szCs w:val="22"/>
          <w:lang w:val="en-GB"/>
        </w:rPr>
        <w:t>.</w:t>
      </w:r>
    </w:p>
    <w:p w14:paraId="591399B8"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Neville, S. (2025). </w:t>
      </w:r>
      <w:r w:rsidRPr="00E9275E">
        <w:rPr>
          <w:rFonts w:asciiTheme="minorBidi" w:hAnsiTheme="minorBidi" w:cstheme="minorBidi"/>
          <w:i/>
          <w:iCs/>
          <w:sz w:val="22"/>
          <w:szCs w:val="22"/>
          <w:lang w:val="en-GB"/>
        </w:rPr>
        <w:t>UK agency finds stark inequalities in health protection</w:t>
      </w:r>
      <w:r w:rsidRPr="00E9275E">
        <w:rPr>
          <w:rFonts w:asciiTheme="minorBidi" w:hAnsiTheme="minorBidi" w:cstheme="minorBidi"/>
          <w:sz w:val="22"/>
          <w:szCs w:val="22"/>
          <w:lang w:val="en-GB"/>
        </w:rPr>
        <w:t>. [online] @FinancialTimes. Available at: https://www.ft.com/content/dc229b9b-3ebe-44e8-b3f0-cf3419f47aa4.</w:t>
      </w:r>
    </w:p>
    <w:p w14:paraId="5FFD014E"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NHS (2023). </w:t>
      </w:r>
      <w:r w:rsidRPr="00E9275E">
        <w:rPr>
          <w:rFonts w:asciiTheme="minorBidi" w:hAnsiTheme="minorBidi" w:cstheme="minorBidi"/>
          <w:i/>
          <w:iCs/>
          <w:sz w:val="22"/>
          <w:szCs w:val="22"/>
          <w:lang w:val="en-GB"/>
        </w:rPr>
        <w:t>Tuberculosis (TB)</w:t>
      </w:r>
      <w:r w:rsidRPr="00E9275E">
        <w:rPr>
          <w:rFonts w:asciiTheme="minorBidi" w:hAnsiTheme="minorBidi" w:cstheme="minorBidi"/>
          <w:sz w:val="22"/>
          <w:szCs w:val="22"/>
          <w:lang w:val="en-GB"/>
        </w:rPr>
        <w:t>. [online] NHS. Available at: https://www.nhs.uk/conditions/tuberculosis-tb/.</w:t>
      </w:r>
    </w:p>
    <w:p w14:paraId="082808E5"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NHS England (2021). </w:t>
      </w:r>
      <w:r w:rsidRPr="00E9275E">
        <w:rPr>
          <w:rFonts w:asciiTheme="minorBidi" w:hAnsiTheme="minorBidi" w:cstheme="minorBidi"/>
          <w:i/>
          <w:iCs/>
          <w:sz w:val="22"/>
          <w:szCs w:val="22"/>
          <w:lang w:val="en-GB"/>
        </w:rPr>
        <w:t>Core20PLUS5 an Approach to Reducing Health Inequalities</w:t>
      </w:r>
      <w:r w:rsidRPr="00E9275E">
        <w:rPr>
          <w:rFonts w:asciiTheme="minorBidi" w:hAnsiTheme="minorBidi" w:cstheme="minorBidi"/>
          <w:sz w:val="22"/>
          <w:szCs w:val="22"/>
          <w:lang w:val="en-GB"/>
        </w:rPr>
        <w:t>. [online] www.england.nhs.uk. Available at: https://www.england.nhs.uk/about/equality/equality-hub/national-healthcare-inequalities-improvement-programme/core20plus5/.</w:t>
      </w:r>
    </w:p>
    <w:p w14:paraId="02EA00D4"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lastRenderedPageBreak/>
        <w:t xml:space="preserve">ONS (2024). </w:t>
      </w:r>
      <w:r w:rsidRPr="00E9275E">
        <w:rPr>
          <w:rFonts w:asciiTheme="minorBidi" w:hAnsiTheme="minorBidi" w:cstheme="minorBidi"/>
          <w:i/>
          <w:iCs/>
          <w:sz w:val="22"/>
          <w:szCs w:val="22"/>
          <w:lang w:val="en-GB"/>
        </w:rPr>
        <w:t>Risk factors for pre-diabetes and undiagnosed type 2 diabetes in England - Office for National Statistics</w:t>
      </w:r>
      <w:r w:rsidRPr="00E9275E">
        <w:rPr>
          <w:rFonts w:asciiTheme="minorBidi" w:hAnsiTheme="minorBidi" w:cstheme="minorBidi"/>
          <w:sz w:val="22"/>
          <w:szCs w:val="22"/>
          <w:lang w:val="en-GB"/>
        </w:rPr>
        <w:t>. [online] www.ons.gov.uk. Available at: https://www.ons.gov.uk/peoplepopulationandcommunity/healthandsocialcare/healthinequalities/bulletins/riskfactorsforprediabetesandundiagnosedtype2diabetesinengland/2013to2019.</w:t>
      </w:r>
    </w:p>
    <w:p w14:paraId="662E6B01"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PHE (2021). </w:t>
      </w:r>
      <w:r w:rsidRPr="00E9275E">
        <w:rPr>
          <w:rFonts w:asciiTheme="minorBidi" w:hAnsiTheme="minorBidi" w:cstheme="minorBidi"/>
          <w:i/>
          <w:iCs/>
          <w:sz w:val="22"/>
          <w:szCs w:val="22"/>
          <w:lang w:val="en-GB"/>
        </w:rPr>
        <w:t>Public Health Profiles</w:t>
      </w:r>
      <w:r w:rsidRPr="00E9275E">
        <w:rPr>
          <w:rFonts w:asciiTheme="minorBidi" w:hAnsiTheme="minorBidi" w:cstheme="minorBidi"/>
          <w:sz w:val="22"/>
          <w:szCs w:val="22"/>
          <w:lang w:val="en-GB"/>
        </w:rPr>
        <w:t>. [online] Phe.org.uk. Available at: https://fingertips.phe.org.uk/profile/tb-monitoring.</w:t>
      </w:r>
    </w:p>
    <w:p w14:paraId="1DCBE2BB"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Rana, K. (2025). Sustainable Housing as a Social Determinant of Health and Wellbeing. </w:t>
      </w:r>
      <w:r w:rsidRPr="00E9275E">
        <w:rPr>
          <w:rFonts w:asciiTheme="minorBidi" w:hAnsiTheme="minorBidi" w:cstheme="minorBidi"/>
          <w:i/>
          <w:iCs/>
          <w:sz w:val="22"/>
          <w:szCs w:val="22"/>
          <w:lang w:val="en-GB"/>
        </w:rPr>
        <w:t>Sustainability</w:t>
      </w:r>
      <w:r w:rsidRPr="00E9275E">
        <w:rPr>
          <w:rFonts w:asciiTheme="minorBidi" w:hAnsiTheme="minorBidi" w:cstheme="minorBidi"/>
          <w:sz w:val="22"/>
          <w:szCs w:val="22"/>
          <w:lang w:val="en-GB"/>
        </w:rPr>
        <w:t xml:space="preserve">, [online] 17(16), pp.7519–7519.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://doi.org/10.3390/su17167519</w:t>
      </w:r>
      <w:proofErr w:type="gramEnd"/>
      <w:r w:rsidRPr="00E9275E">
        <w:rPr>
          <w:rFonts w:asciiTheme="minorBidi" w:hAnsiTheme="minorBidi" w:cstheme="minorBidi"/>
          <w:sz w:val="22"/>
          <w:szCs w:val="22"/>
          <w:lang w:val="en-GB"/>
        </w:rPr>
        <w:t>.</w:t>
      </w:r>
    </w:p>
    <w:p w14:paraId="31C5D07D"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TB Alert (2025). </w:t>
      </w:r>
      <w:r w:rsidRPr="00E9275E">
        <w:rPr>
          <w:rFonts w:asciiTheme="minorBidi" w:hAnsiTheme="minorBidi" w:cstheme="minorBidi"/>
          <w:i/>
          <w:iCs/>
          <w:sz w:val="22"/>
          <w:szCs w:val="22"/>
          <w:lang w:val="en-GB"/>
        </w:rPr>
        <w:t>TB Alert - for a future without tuberculosis</w:t>
      </w:r>
      <w:r w:rsidRPr="00E9275E">
        <w:rPr>
          <w:rFonts w:asciiTheme="minorBidi" w:hAnsiTheme="minorBidi" w:cstheme="minorBidi"/>
          <w:sz w:val="22"/>
          <w:szCs w:val="22"/>
          <w:lang w:val="en-GB"/>
        </w:rPr>
        <w:t>. [online] TB Alert. Available at: https://www.tbalert.org/.</w:t>
      </w:r>
    </w:p>
    <w:p w14:paraId="0CDC19DD"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Thomas, T. (2026). </w:t>
      </w:r>
      <w:r w:rsidRPr="00E9275E">
        <w:rPr>
          <w:rFonts w:asciiTheme="minorBidi" w:hAnsiTheme="minorBidi" w:cstheme="minorBidi"/>
          <w:i/>
          <w:iCs/>
          <w:sz w:val="22"/>
          <w:szCs w:val="22"/>
          <w:lang w:val="en-GB"/>
        </w:rPr>
        <w:t>Ethnic minorities in England less likely to have access to diabetes tech – study</w:t>
      </w:r>
      <w:r w:rsidRPr="00E9275E">
        <w:rPr>
          <w:rFonts w:asciiTheme="minorBidi" w:hAnsiTheme="minorBidi" w:cstheme="minorBidi"/>
          <w:sz w:val="22"/>
          <w:szCs w:val="22"/>
          <w:lang w:val="en-GB"/>
        </w:rPr>
        <w:t>. [online] the Guardian. Available at: https://www.theguardian.com/society/2026/jan/01/ethnic-minorities-in-england-less-likely-to-have-access-to-diabetes-tech-study.</w:t>
      </w:r>
    </w:p>
    <w:p w14:paraId="72D8ED94"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UK Health Security Agency (2023). </w:t>
      </w:r>
      <w:r w:rsidRPr="00E9275E">
        <w:rPr>
          <w:rFonts w:asciiTheme="minorBidi" w:hAnsiTheme="minorBidi" w:cstheme="minorBidi"/>
          <w:i/>
          <w:iCs/>
          <w:sz w:val="22"/>
          <w:szCs w:val="22"/>
          <w:lang w:val="en-GB"/>
        </w:rPr>
        <w:t>Tuberculosis (TB): action plan for England, 2021 to 2026</w:t>
      </w:r>
      <w:r w:rsidRPr="00E9275E">
        <w:rPr>
          <w:rFonts w:asciiTheme="minorBidi" w:hAnsiTheme="minorBidi" w:cstheme="minorBidi"/>
          <w:sz w:val="22"/>
          <w:szCs w:val="22"/>
          <w:lang w:val="en-GB"/>
        </w:rPr>
        <w:t>. [online] GOV.UK. Available at: https://www.gov.uk/government/publications/tuberculosis-tb-action-plan-for-england/tuberculosis-tb-action-plan-for-england-2021-to-2026.</w:t>
      </w:r>
    </w:p>
    <w:p w14:paraId="071F2CBF"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Wei, X., Liang, D., Zhang, Z., Thorpe, K.E., Zhou, L., Zhao, J., Qin, H., Liang, X., Cui, Z., Huang, Y., Huang, L. and Lin, M. (2025). Active case finding using mobile vans with artificial intelligence aided radiology tests and sputum collection for rapid diagnostic tests to reduce tuberculosis prevalence among high-risk population in rural China: Protocol for a pragmatic trial. </w:t>
      </w:r>
      <w:r w:rsidRPr="00E9275E">
        <w:rPr>
          <w:rFonts w:asciiTheme="minorBidi" w:hAnsiTheme="minorBidi" w:cstheme="minorBidi"/>
          <w:i/>
          <w:iCs/>
          <w:sz w:val="22"/>
          <w:szCs w:val="22"/>
          <w:lang w:val="en-GB"/>
        </w:rPr>
        <w:t>PLOS ONE</w:t>
      </w:r>
      <w:r w:rsidRPr="00E9275E">
        <w:rPr>
          <w:rFonts w:asciiTheme="minorBidi" w:hAnsiTheme="minorBidi" w:cstheme="minorBidi"/>
          <w:sz w:val="22"/>
          <w:szCs w:val="22"/>
          <w:lang w:val="en-GB"/>
        </w:rPr>
        <w:t xml:space="preserve">, [online] 20(4), p.e0316073.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://doi.org/10.1371/journal.pone.0316073</w:t>
      </w:r>
      <w:proofErr w:type="gramEnd"/>
      <w:r w:rsidRPr="00E9275E">
        <w:rPr>
          <w:rFonts w:asciiTheme="minorBidi" w:hAnsiTheme="minorBidi" w:cstheme="minorBidi"/>
          <w:sz w:val="22"/>
          <w:szCs w:val="22"/>
          <w:lang w:val="en-GB"/>
        </w:rPr>
        <w:t>.</w:t>
      </w:r>
    </w:p>
    <w:p w14:paraId="5204571B"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Wells, W.A., Waseem, S. and </w:t>
      </w:r>
      <w:proofErr w:type="spellStart"/>
      <w:r w:rsidRPr="00E9275E">
        <w:rPr>
          <w:rFonts w:asciiTheme="minorBidi" w:hAnsiTheme="minorBidi" w:cstheme="minorBidi"/>
          <w:sz w:val="22"/>
          <w:szCs w:val="22"/>
          <w:lang w:val="en-GB"/>
        </w:rPr>
        <w:t>Scheening</w:t>
      </w:r>
      <w:proofErr w:type="spellEnd"/>
      <w:r w:rsidRPr="00E9275E">
        <w:rPr>
          <w:rFonts w:asciiTheme="minorBidi" w:hAnsiTheme="minorBidi" w:cstheme="minorBidi"/>
          <w:sz w:val="22"/>
          <w:szCs w:val="22"/>
          <w:lang w:val="en-GB"/>
        </w:rPr>
        <w:t xml:space="preserve">, S. (2024). The intersection of TB and health financing: defining needs and opportunities. </w:t>
      </w:r>
      <w:r w:rsidRPr="00E9275E">
        <w:rPr>
          <w:rFonts w:asciiTheme="minorBidi" w:hAnsiTheme="minorBidi" w:cstheme="minorBidi"/>
          <w:i/>
          <w:iCs/>
          <w:sz w:val="22"/>
          <w:szCs w:val="22"/>
          <w:lang w:val="en-GB"/>
        </w:rPr>
        <w:t>IJTLD OPEN</w:t>
      </w:r>
      <w:r w:rsidRPr="00E9275E">
        <w:rPr>
          <w:rFonts w:asciiTheme="minorBidi" w:hAnsiTheme="minorBidi" w:cstheme="minorBidi"/>
          <w:sz w:val="22"/>
          <w:szCs w:val="22"/>
          <w:lang w:val="en-GB"/>
        </w:rPr>
        <w:t xml:space="preserve">, 1(9), pp.375–383. </w:t>
      </w:r>
      <w:proofErr w:type="spellStart"/>
      <w:proofErr w:type="gramStart"/>
      <w:r w:rsidRPr="00E9275E">
        <w:rPr>
          <w:rFonts w:asciiTheme="minorBidi" w:hAnsiTheme="minorBidi" w:cstheme="minorBidi"/>
          <w:sz w:val="22"/>
          <w:szCs w:val="22"/>
          <w:lang w:val="en-GB"/>
        </w:rPr>
        <w:t>doi:https</w:t>
      </w:r>
      <w:proofErr w:type="spellEnd"/>
      <w:r w:rsidRPr="00E9275E">
        <w:rPr>
          <w:rFonts w:asciiTheme="minorBidi" w:hAnsiTheme="minorBidi" w:cstheme="minorBidi"/>
          <w:sz w:val="22"/>
          <w:szCs w:val="22"/>
          <w:lang w:val="en-GB"/>
        </w:rPr>
        <w:t>://doi.org/10.5588/ijtldopen.24.0324</w:t>
      </w:r>
      <w:proofErr w:type="gramEnd"/>
      <w:r w:rsidRPr="00E9275E">
        <w:rPr>
          <w:rFonts w:asciiTheme="minorBidi" w:hAnsiTheme="minorBidi" w:cstheme="minorBidi"/>
          <w:sz w:val="22"/>
          <w:szCs w:val="22"/>
          <w:lang w:val="en-GB"/>
        </w:rPr>
        <w:t>.</w:t>
      </w:r>
    </w:p>
    <w:p w14:paraId="0B8E77BC"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WHO (2018). </w:t>
      </w:r>
      <w:r w:rsidRPr="00E9275E">
        <w:rPr>
          <w:rFonts w:asciiTheme="minorBidi" w:hAnsiTheme="minorBidi" w:cstheme="minorBidi"/>
          <w:i/>
          <w:iCs/>
          <w:sz w:val="22"/>
          <w:szCs w:val="22"/>
          <w:lang w:val="en-GB"/>
        </w:rPr>
        <w:t>Health inequities and their causes</w:t>
      </w:r>
      <w:r w:rsidRPr="00E9275E">
        <w:rPr>
          <w:rFonts w:asciiTheme="minorBidi" w:hAnsiTheme="minorBidi" w:cstheme="minorBidi"/>
          <w:sz w:val="22"/>
          <w:szCs w:val="22"/>
          <w:lang w:val="en-GB"/>
        </w:rPr>
        <w:t>. [online] World Health Organization. Available at: https://www.who.int/news-room/facts-in-pictures/detail/health-inequities-and-their-causes.</w:t>
      </w:r>
    </w:p>
    <w:p w14:paraId="7394215D" w14:textId="77777777" w:rsidR="003B165C"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lastRenderedPageBreak/>
        <w:t xml:space="preserve">WHO (2025). </w:t>
      </w:r>
      <w:r w:rsidRPr="00E9275E">
        <w:rPr>
          <w:rFonts w:asciiTheme="minorBidi" w:hAnsiTheme="minorBidi" w:cstheme="minorBidi"/>
          <w:i/>
          <w:iCs/>
          <w:sz w:val="22"/>
          <w:szCs w:val="22"/>
          <w:lang w:val="en-GB"/>
        </w:rPr>
        <w:t>Tuberculosis</w:t>
      </w:r>
      <w:r w:rsidRPr="00E9275E">
        <w:rPr>
          <w:rFonts w:asciiTheme="minorBidi" w:hAnsiTheme="minorBidi" w:cstheme="minorBidi"/>
          <w:sz w:val="22"/>
          <w:szCs w:val="22"/>
          <w:lang w:val="en-GB"/>
        </w:rPr>
        <w:t>. [online] World Health Organization. Available at: https://www.who.int/news-room/fact-sheets/detail/tuberculosis.</w:t>
      </w:r>
    </w:p>
    <w:p w14:paraId="5F4CAE1E" w14:textId="5348312C" w:rsidR="00613454" w:rsidRPr="00E9275E" w:rsidRDefault="003B165C" w:rsidP="002E78FE">
      <w:pPr>
        <w:pStyle w:val="NormalWeb"/>
        <w:spacing w:before="240" w:after="240" w:line="360" w:lineRule="auto"/>
        <w:rPr>
          <w:rFonts w:asciiTheme="minorBidi" w:hAnsiTheme="minorBidi" w:cstheme="minorBidi"/>
          <w:sz w:val="22"/>
          <w:szCs w:val="22"/>
          <w:lang w:val="en-GB"/>
        </w:rPr>
      </w:pPr>
      <w:r w:rsidRPr="00E9275E">
        <w:rPr>
          <w:rFonts w:asciiTheme="minorBidi" w:hAnsiTheme="minorBidi" w:cstheme="minorBidi"/>
          <w:sz w:val="22"/>
          <w:szCs w:val="22"/>
          <w:lang w:val="en-GB"/>
        </w:rPr>
        <w:t xml:space="preserve">WHO (2025). </w:t>
      </w:r>
      <w:r w:rsidRPr="00E9275E">
        <w:rPr>
          <w:rFonts w:asciiTheme="minorBidi" w:hAnsiTheme="minorBidi" w:cstheme="minorBidi"/>
          <w:i/>
          <w:iCs/>
          <w:sz w:val="22"/>
          <w:szCs w:val="22"/>
          <w:lang w:val="en-GB"/>
        </w:rPr>
        <w:t>Global Tuberculosis Report 2025</w:t>
      </w:r>
      <w:r w:rsidRPr="00E9275E">
        <w:rPr>
          <w:rFonts w:asciiTheme="minorBidi" w:hAnsiTheme="minorBidi" w:cstheme="minorBidi"/>
          <w:sz w:val="22"/>
          <w:szCs w:val="22"/>
          <w:lang w:val="en-GB"/>
        </w:rPr>
        <w:t>. [online] Who.int. Available at: https://www.who.int/teams/global-programme-on-tuberculosis-and-lung-health/tb-reports/global-tuberculosis-report-2025.</w:t>
      </w:r>
    </w:p>
    <w:sectPr w:rsidR="00613454" w:rsidRPr="00E9275E" w:rsidSect="00130CB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821618" w14:textId="77777777" w:rsidR="002E57BC" w:rsidRDefault="002E57BC" w:rsidP="00B45DD4">
      <w:pPr>
        <w:spacing w:after="0" w:line="240" w:lineRule="auto"/>
      </w:pPr>
      <w:r>
        <w:separator/>
      </w:r>
    </w:p>
  </w:endnote>
  <w:endnote w:type="continuationSeparator" w:id="0">
    <w:p w14:paraId="571F638D" w14:textId="77777777" w:rsidR="002E57BC" w:rsidRDefault="002E57BC" w:rsidP="00B45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4053365"/>
      <w:docPartObj>
        <w:docPartGallery w:val="Page Numbers (Bottom of Page)"/>
        <w:docPartUnique/>
      </w:docPartObj>
    </w:sdtPr>
    <w:sdtContent>
      <w:p w14:paraId="4EA617EC" w14:textId="7FDEF94A" w:rsidR="00130CB9" w:rsidRDefault="00130CB9">
        <w:pPr>
          <w:pStyle w:val="Footer"/>
          <w:jc w:val="right"/>
        </w:pPr>
        <w:r>
          <w:fldChar w:fldCharType="begin"/>
        </w:r>
        <w:r>
          <w:instrText>PAGE   \* MERGEFORMAT</w:instrText>
        </w:r>
        <w:r>
          <w:fldChar w:fldCharType="separate"/>
        </w:r>
        <w:r>
          <w:rPr>
            <w:lang w:val="de-DE"/>
          </w:rPr>
          <w:t>2</w:t>
        </w:r>
        <w:r>
          <w:fldChar w:fldCharType="end"/>
        </w:r>
      </w:p>
    </w:sdtContent>
  </w:sdt>
  <w:p w14:paraId="15476399" w14:textId="77777777" w:rsidR="00130CB9" w:rsidRDefault="00130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E1DC1" w14:textId="77777777" w:rsidR="002E57BC" w:rsidRDefault="002E57BC" w:rsidP="00B45DD4">
      <w:pPr>
        <w:spacing w:after="0" w:line="240" w:lineRule="auto"/>
      </w:pPr>
      <w:r>
        <w:separator/>
      </w:r>
    </w:p>
  </w:footnote>
  <w:footnote w:type="continuationSeparator" w:id="0">
    <w:p w14:paraId="411A814F" w14:textId="77777777" w:rsidR="002E57BC" w:rsidRDefault="002E57BC" w:rsidP="00B45D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A7380"/>
    <w:multiLevelType w:val="multilevel"/>
    <w:tmpl w:val="E326E06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95221EB"/>
    <w:multiLevelType w:val="multilevel"/>
    <w:tmpl w:val="E326E06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E567340"/>
    <w:multiLevelType w:val="multilevel"/>
    <w:tmpl w:val="F344367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800" w:hanging="1440"/>
      </w:pPr>
      <w:rPr>
        <w:rFonts w:hint="default"/>
        <w:sz w:val="28"/>
      </w:rPr>
    </w:lvl>
    <w:lvl w:ilvl="5">
      <w:start w:val="1"/>
      <w:numFmt w:val="decimal"/>
      <w:isLgl/>
      <w:lvlText w:val="%1.%2.%3.%4.%5.%6."/>
      <w:lvlJc w:val="left"/>
      <w:pPr>
        <w:ind w:left="1800" w:hanging="1440"/>
      </w:pPr>
      <w:rPr>
        <w:rFonts w:hint="default"/>
        <w:sz w:val="28"/>
      </w:rPr>
    </w:lvl>
    <w:lvl w:ilvl="6">
      <w:start w:val="1"/>
      <w:numFmt w:val="decimal"/>
      <w:isLgl/>
      <w:lvlText w:val="%1.%2.%3.%4.%5.%6.%7."/>
      <w:lvlJc w:val="left"/>
      <w:pPr>
        <w:ind w:left="2160" w:hanging="1800"/>
      </w:pPr>
      <w:rPr>
        <w:rFonts w:hint="default"/>
        <w:sz w:val="28"/>
      </w:rPr>
    </w:lvl>
    <w:lvl w:ilvl="7">
      <w:start w:val="1"/>
      <w:numFmt w:val="decimal"/>
      <w:isLgl/>
      <w:lvlText w:val="%1.%2.%3.%4.%5.%6.%7.%8."/>
      <w:lvlJc w:val="left"/>
      <w:pPr>
        <w:ind w:left="2520" w:hanging="2160"/>
      </w:pPr>
      <w:rPr>
        <w:rFonts w:hint="default"/>
        <w:sz w:val="28"/>
      </w:rPr>
    </w:lvl>
    <w:lvl w:ilvl="8">
      <w:start w:val="1"/>
      <w:numFmt w:val="decimal"/>
      <w:isLgl/>
      <w:lvlText w:val="%1.%2.%3.%4.%5.%6.%7.%8.%9."/>
      <w:lvlJc w:val="left"/>
      <w:pPr>
        <w:ind w:left="2520" w:hanging="2160"/>
      </w:pPr>
      <w:rPr>
        <w:rFonts w:hint="default"/>
        <w:sz w:val="28"/>
      </w:rPr>
    </w:lvl>
  </w:abstractNum>
  <w:abstractNum w:abstractNumId="3" w15:restartNumberingAfterBreak="0">
    <w:nsid w:val="34462300"/>
    <w:multiLevelType w:val="multilevel"/>
    <w:tmpl w:val="D4A2FC2C"/>
    <w:lvl w:ilvl="0">
      <w:start w:val="1"/>
      <w:numFmt w:val="decimal"/>
      <w:lvlText w:val="%1."/>
      <w:lvlJc w:val="left"/>
      <w:pPr>
        <w:ind w:left="585" w:hanging="585"/>
      </w:pPr>
      <w:rPr>
        <w:rFonts w:eastAsiaTheme="majorEastAsia" w:cstheme="majorBidi" w:hint="default"/>
        <w:b/>
        <w:color w:val="2F5496" w:themeColor="accent1" w:themeShade="BF"/>
      </w:rPr>
    </w:lvl>
    <w:lvl w:ilvl="1">
      <w:start w:val="2"/>
      <w:numFmt w:val="decimal"/>
      <w:lvlText w:val="%1.%2."/>
      <w:lvlJc w:val="left"/>
      <w:pPr>
        <w:ind w:left="720" w:hanging="720"/>
      </w:pPr>
      <w:rPr>
        <w:rFonts w:eastAsiaTheme="majorEastAsia" w:cstheme="majorBidi" w:hint="default"/>
        <w:b/>
        <w:color w:val="2F5496" w:themeColor="accent1" w:themeShade="BF"/>
      </w:rPr>
    </w:lvl>
    <w:lvl w:ilvl="2">
      <w:start w:val="3"/>
      <w:numFmt w:val="decimal"/>
      <w:lvlText w:val="%1.%2.%3."/>
      <w:lvlJc w:val="left"/>
      <w:pPr>
        <w:ind w:left="720" w:hanging="720"/>
      </w:pPr>
      <w:rPr>
        <w:rFonts w:eastAsiaTheme="majorEastAsia" w:cstheme="majorBidi" w:hint="default"/>
        <w:b/>
        <w:color w:val="2F5496" w:themeColor="accent1" w:themeShade="BF"/>
      </w:rPr>
    </w:lvl>
    <w:lvl w:ilvl="3">
      <w:start w:val="1"/>
      <w:numFmt w:val="decimal"/>
      <w:lvlText w:val="%1.%2.%3.%4."/>
      <w:lvlJc w:val="left"/>
      <w:pPr>
        <w:ind w:left="1080" w:hanging="1080"/>
      </w:pPr>
      <w:rPr>
        <w:rFonts w:eastAsiaTheme="majorEastAsia" w:cstheme="majorBidi" w:hint="default"/>
        <w:b/>
        <w:color w:val="2F5496" w:themeColor="accent1" w:themeShade="BF"/>
      </w:rPr>
    </w:lvl>
    <w:lvl w:ilvl="4">
      <w:start w:val="1"/>
      <w:numFmt w:val="decimal"/>
      <w:lvlText w:val="%1.%2.%3.%4.%5."/>
      <w:lvlJc w:val="left"/>
      <w:pPr>
        <w:ind w:left="1080" w:hanging="1080"/>
      </w:pPr>
      <w:rPr>
        <w:rFonts w:eastAsiaTheme="majorEastAsia" w:cstheme="majorBidi" w:hint="default"/>
        <w:b/>
        <w:color w:val="2F5496" w:themeColor="accent1" w:themeShade="BF"/>
      </w:rPr>
    </w:lvl>
    <w:lvl w:ilvl="5">
      <w:start w:val="1"/>
      <w:numFmt w:val="decimal"/>
      <w:lvlText w:val="%1.%2.%3.%4.%5.%6."/>
      <w:lvlJc w:val="left"/>
      <w:pPr>
        <w:ind w:left="1440" w:hanging="1440"/>
      </w:pPr>
      <w:rPr>
        <w:rFonts w:eastAsiaTheme="majorEastAsia" w:cstheme="majorBidi" w:hint="default"/>
        <w:b/>
        <w:color w:val="2F5496" w:themeColor="accent1" w:themeShade="BF"/>
      </w:rPr>
    </w:lvl>
    <w:lvl w:ilvl="6">
      <w:start w:val="1"/>
      <w:numFmt w:val="decimal"/>
      <w:lvlText w:val="%1.%2.%3.%4.%5.%6.%7."/>
      <w:lvlJc w:val="left"/>
      <w:pPr>
        <w:ind w:left="1440" w:hanging="1440"/>
      </w:pPr>
      <w:rPr>
        <w:rFonts w:eastAsiaTheme="majorEastAsia" w:cstheme="majorBidi" w:hint="default"/>
        <w:b/>
        <w:color w:val="2F5496" w:themeColor="accent1" w:themeShade="BF"/>
      </w:rPr>
    </w:lvl>
    <w:lvl w:ilvl="7">
      <w:start w:val="1"/>
      <w:numFmt w:val="decimal"/>
      <w:lvlText w:val="%1.%2.%3.%4.%5.%6.%7.%8."/>
      <w:lvlJc w:val="left"/>
      <w:pPr>
        <w:ind w:left="1800" w:hanging="1800"/>
      </w:pPr>
      <w:rPr>
        <w:rFonts w:eastAsiaTheme="majorEastAsia" w:cstheme="majorBidi" w:hint="default"/>
        <w:b/>
        <w:color w:val="2F5496" w:themeColor="accent1" w:themeShade="BF"/>
      </w:rPr>
    </w:lvl>
    <w:lvl w:ilvl="8">
      <w:start w:val="1"/>
      <w:numFmt w:val="decimal"/>
      <w:lvlText w:val="%1.%2.%3.%4.%5.%6.%7.%8.%9."/>
      <w:lvlJc w:val="left"/>
      <w:pPr>
        <w:ind w:left="2160" w:hanging="2160"/>
      </w:pPr>
      <w:rPr>
        <w:rFonts w:eastAsiaTheme="majorEastAsia" w:cstheme="majorBidi" w:hint="default"/>
        <w:b/>
        <w:color w:val="2F5496" w:themeColor="accent1" w:themeShade="BF"/>
      </w:rPr>
    </w:lvl>
  </w:abstractNum>
  <w:abstractNum w:abstractNumId="4" w15:restartNumberingAfterBreak="0">
    <w:nsid w:val="3FE0349F"/>
    <w:multiLevelType w:val="multilevel"/>
    <w:tmpl w:val="E326E06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9D04877"/>
    <w:multiLevelType w:val="multilevel"/>
    <w:tmpl w:val="CD22121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A354D98"/>
    <w:multiLevelType w:val="multilevel"/>
    <w:tmpl w:val="3AAEB6F2"/>
    <w:lvl w:ilvl="0">
      <w:start w:val="1"/>
      <w:numFmt w:val="decimal"/>
      <w:lvlText w:val="%1."/>
      <w:lvlJc w:val="left"/>
      <w:pPr>
        <w:ind w:left="567" w:hanging="567"/>
      </w:pPr>
      <w:rPr>
        <w:rFonts w:hint="default"/>
      </w:rPr>
    </w:lvl>
    <w:lvl w:ilvl="1">
      <w:start w:val="1"/>
      <w:numFmt w:val="decimal"/>
      <w:isLgl/>
      <w:lvlText w:val="%1.%2."/>
      <w:lvlJc w:val="left"/>
      <w:pPr>
        <w:ind w:left="1080" w:hanging="720"/>
      </w:pPr>
      <w:rPr>
        <w:rFonts w:hint="default"/>
        <w:b/>
        <w:bCs/>
        <w:sz w:val="24"/>
        <w:szCs w:val="22"/>
      </w:rPr>
    </w:lvl>
    <w:lvl w:ilvl="2">
      <w:start w:val="1"/>
      <w:numFmt w:val="decimal"/>
      <w:isLgl/>
      <w:lvlText w:val="%1.%2.%3."/>
      <w:lvlJc w:val="left"/>
      <w:pPr>
        <w:ind w:left="1080" w:hanging="720"/>
      </w:pPr>
      <w:rPr>
        <w:rFonts w:hint="default"/>
        <w:sz w:val="24"/>
        <w:szCs w:val="24"/>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800" w:hanging="1440"/>
      </w:pPr>
      <w:rPr>
        <w:rFonts w:hint="default"/>
        <w:sz w:val="28"/>
      </w:rPr>
    </w:lvl>
    <w:lvl w:ilvl="5">
      <w:start w:val="1"/>
      <w:numFmt w:val="decimal"/>
      <w:isLgl/>
      <w:lvlText w:val="%1.%2.%3.%4.%5.%6."/>
      <w:lvlJc w:val="left"/>
      <w:pPr>
        <w:ind w:left="1800" w:hanging="1440"/>
      </w:pPr>
      <w:rPr>
        <w:rFonts w:hint="default"/>
        <w:sz w:val="28"/>
      </w:rPr>
    </w:lvl>
    <w:lvl w:ilvl="6">
      <w:start w:val="1"/>
      <w:numFmt w:val="decimal"/>
      <w:isLgl/>
      <w:lvlText w:val="%1.%2.%3.%4.%5.%6.%7."/>
      <w:lvlJc w:val="left"/>
      <w:pPr>
        <w:ind w:left="2160" w:hanging="1800"/>
      </w:pPr>
      <w:rPr>
        <w:rFonts w:hint="default"/>
        <w:sz w:val="28"/>
      </w:rPr>
    </w:lvl>
    <w:lvl w:ilvl="7">
      <w:start w:val="1"/>
      <w:numFmt w:val="decimal"/>
      <w:isLgl/>
      <w:lvlText w:val="%1.%2.%3.%4.%5.%6.%7.%8."/>
      <w:lvlJc w:val="left"/>
      <w:pPr>
        <w:ind w:left="2520" w:hanging="2160"/>
      </w:pPr>
      <w:rPr>
        <w:rFonts w:hint="default"/>
        <w:sz w:val="28"/>
      </w:rPr>
    </w:lvl>
    <w:lvl w:ilvl="8">
      <w:start w:val="1"/>
      <w:numFmt w:val="decimal"/>
      <w:isLgl/>
      <w:lvlText w:val="%1.%2.%3.%4.%5.%6.%7.%8.%9."/>
      <w:lvlJc w:val="left"/>
      <w:pPr>
        <w:ind w:left="2520" w:hanging="2160"/>
      </w:pPr>
      <w:rPr>
        <w:rFonts w:hint="default"/>
        <w:sz w:val="28"/>
      </w:rPr>
    </w:lvl>
  </w:abstractNum>
  <w:num w:numId="1" w16cid:durableId="36249236">
    <w:abstractNumId w:val="5"/>
  </w:num>
  <w:num w:numId="2" w16cid:durableId="395934498">
    <w:abstractNumId w:val="0"/>
  </w:num>
  <w:num w:numId="3" w16cid:durableId="1468936196">
    <w:abstractNumId w:val="4"/>
  </w:num>
  <w:num w:numId="4" w16cid:durableId="1533106646">
    <w:abstractNumId w:val="3"/>
  </w:num>
  <w:num w:numId="5" w16cid:durableId="163740537">
    <w:abstractNumId w:val="1"/>
  </w:num>
  <w:num w:numId="6" w16cid:durableId="713389459">
    <w:abstractNumId w:val="6"/>
  </w:num>
  <w:num w:numId="7" w16cid:durableId="1118184490">
    <w:abstractNumId w:val="2"/>
  </w:num>
  <w:num w:numId="8" w16cid:durableId="1734422864">
    <w:abstractNumId w:val="6"/>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hint="default"/>
          <w:b/>
          <w:bCs/>
          <w:sz w:val="24"/>
          <w:szCs w:val="22"/>
        </w:rPr>
      </w:lvl>
    </w:lvlOverride>
    <w:lvlOverride w:ilvl="2">
      <w:lvl w:ilvl="2">
        <w:start w:val="1"/>
        <w:numFmt w:val="decimal"/>
        <w:isLgl/>
        <w:lvlText w:val="%1.%2.%3."/>
        <w:lvlJc w:val="left"/>
        <w:pPr>
          <w:ind w:left="1080" w:hanging="720"/>
        </w:pPr>
        <w:rPr>
          <w:rFonts w:hint="default"/>
          <w:sz w:val="28"/>
        </w:rPr>
      </w:lvl>
    </w:lvlOverride>
    <w:lvlOverride w:ilvl="3">
      <w:lvl w:ilvl="3">
        <w:start w:val="1"/>
        <w:numFmt w:val="decimal"/>
        <w:isLgl/>
        <w:lvlText w:val="%1.%2.%3.%4."/>
        <w:lvlJc w:val="left"/>
        <w:pPr>
          <w:ind w:left="1440" w:hanging="1080"/>
        </w:pPr>
        <w:rPr>
          <w:rFonts w:hint="default"/>
          <w:sz w:val="28"/>
        </w:rPr>
      </w:lvl>
    </w:lvlOverride>
    <w:lvlOverride w:ilvl="4">
      <w:lvl w:ilvl="4">
        <w:start w:val="1"/>
        <w:numFmt w:val="decimal"/>
        <w:isLgl/>
        <w:lvlText w:val="%1.%2.%3.%4.%5."/>
        <w:lvlJc w:val="left"/>
        <w:pPr>
          <w:ind w:left="1800" w:hanging="1440"/>
        </w:pPr>
        <w:rPr>
          <w:rFonts w:hint="default"/>
          <w:sz w:val="28"/>
        </w:rPr>
      </w:lvl>
    </w:lvlOverride>
    <w:lvlOverride w:ilvl="5">
      <w:lvl w:ilvl="5">
        <w:start w:val="1"/>
        <w:numFmt w:val="decimal"/>
        <w:isLgl/>
        <w:lvlText w:val="%1.%2.%3.%4.%5.%6."/>
        <w:lvlJc w:val="left"/>
        <w:pPr>
          <w:ind w:left="1800" w:hanging="1440"/>
        </w:pPr>
        <w:rPr>
          <w:rFonts w:hint="default"/>
          <w:sz w:val="28"/>
        </w:rPr>
      </w:lvl>
    </w:lvlOverride>
    <w:lvlOverride w:ilvl="6">
      <w:lvl w:ilvl="6">
        <w:start w:val="1"/>
        <w:numFmt w:val="decimal"/>
        <w:isLgl/>
        <w:lvlText w:val="%1.%2.%3.%4.%5.%6.%7."/>
        <w:lvlJc w:val="left"/>
        <w:pPr>
          <w:ind w:left="2160" w:hanging="1800"/>
        </w:pPr>
        <w:rPr>
          <w:rFonts w:hint="default"/>
          <w:sz w:val="28"/>
        </w:rPr>
      </w:lvl>
    </w:lvlOverride>
    <w:lvlOverride w:ilvl="7">
      <w:lvl w:ilvl="7">
        <w:start w:val="1"/>
        <w:numFmt w:val="decimal"/>
        <w:isLgl/>
        <w:lvlText w:val="%1.%2.%3.%4.%5.%6.%7.%8."/>
        <w:lvlJc w:val="left"/>
        <w:pPr>
          <w:ind w:left="2520" w:hanging="2160"/>
        </w:pPr>
        <w:rPr>
          <w:rFonts w:hint="default"/>
          <w:sz w:val="28"/>
        </w:rPr>
      </w:lvl>
    </w:lvlOverride>
    <w:lvlOverride w:ilvl="8">
      <w:lvl w:ilvl="8">
        <w:start w:val="1"/>
        <w:numFmt w:val="decimal"/>
        <w:isLgl/>
        <w:lvlText w:val="%1.%2.%3.%4.%5.%6.%7.%8.%9."/>
        <w:lvlJc w:val="left"/>
        <w:pPr>
          <w:ind w:left="2520" w:hanging="2160"/>
        </w:pPr>
        <w:rPr>
          <w:rFonts w:hint="default"/>
          <w:sz w:val="28"/>
        </w:rPr>
      </w:lvl>
    </w:lvlOverride>
  </w:num>
  <w:num w:numId="9" w16cid:durableId="1729038067">
    <w:abstractNumId w:val="6"/>
    <w:lvlOverride w:ilvl="0">
      <w:lvl w:ilvl="0">
        <w:start w:val="1"/>
        <w:numFmt w:val="decimal"/>
        <w:lvlText w:val="%1."/>
        <w:lvlJc w:val="left"/>
        <w:pPr>
          <w:ind w:left="567" w:hanging="567"/>
        </w:pPr>
        <w:rPr>
          <w:rFonts w:hint="default"/>
        </w:rPr>
      </w:lvl>
    </w:lvlOverride>
    <w:lvlOverride w:ilvl="1">
      <w:lvl w:ilvl="1">
        <w:start w:val="1"/>
        <w:numFmt w:val="decimal"/>
        <w:isLgl/>
        <w:lvlText w:val="%1.%2."/>
        <w:lvlJc w:val="left"/>
        <w:pPr>
          <w:ind w:left="567" w:hanging="567"/>
        </w:pPr>
        <w:rPr>
          <w:rFonts w:hint="default"/>
          <w:b/>
          <w:bCs/>
          <w:sz w:val="24"/>
          <w:szCs w:val="22"/>
        </w:rPr>
      </w:lvl>
    </w:lvlOverride>
    <w:lvlOverride w:ilvl="2">
      <w:lvl w:ilvl="2">
        <w:start w:val="1"/>
        <w:numFmt w:val="decimal"/>
        <w:isLgl/>
        <w:lvlText w:val="%1.%2.%3."/>
        <w:lvlJc w:val="left"/>
        <w:pPr>
          <w:ind w:left="1080" w:hanging="720"/>
        </w:pPr>
        <w:rPr>
          <w:rFonts w:hint="default"/>
          <w:sz w:val="24"/>
          <w:szCs w:val="24"/>
        </w:rPr>
      </w:lvl>
    </w:lvlOverride>
    <w:lvlOverride w:ilvl="3">
      <w:lvl w:ilvl="3">
        <w:start w:val="1"/>
        <w:numFmt w:val="decimal"/>
        <w:isLgl/>
        <w:lvlText w:val="%1.%2.%3.%4."/>
        <w:lvlJc w:val="left"/>
        <w:pPr>
          <w:ind w:left="1440" w:hanging="1080"/>
        </w:pPr>
        <w:rPr>
          <w:rFonts w:hint="default"/>
          <w:sz w:val="28"/>
        </w:rPr>
      </w:lvl>
    </w:lvlOverride>
    <w:lvlOverride w:ilvl="4">
      <w:lvl w:ilvl="4">
        <w:start w:val="1"/>
        <w:numFmt w:val="decimal"/>
        <w:isLgl/>
        <w:lvlText w:val="%1.%2.%3.%4.%5."/>
        <w:lvlJc w:val="left"/>
        <w:pPr>
          <w:ind w:left="1800" w:hanging="1440"/>
        </w:pPr>
        <w:rPr>
          <w:rFonts w:hint="default"/>
          <w:sz w:val="28"/>
        </w:rPr>
      </w:lvl>
    </w:lvlOverride>
    <w:lvlOverride w:ilvl="5">
      <w:lvl w:ilvl="5">
        <w:start w:val="1"/>
        <w:numFmt w:val="decimal"/>
        <w:isLgl/>
        <w:lvlText w:val="%1.%2.%3.%4.%5.%6."/>
        <w:lvlJc w:val="left"/>
        <w:pPr>
          <w:ind w:left="1800" w:hanging="1440"/>
        </w:pPr>
        <w:rPr>
          <w:rFonts w:hint="default"/>
          <w:sz w:val="28"/>
        </w:rPr>
      </w:lvl>
    </w:lvlOverride>
    <w:lvlOverride w:ilvl="6">
      <w:lvl w:ilvl="6">
        <w:start w:val="1"/>
        <w:numFmt w:val="decimal"/>
        <w:isLgl/>
        <w:lvlText w:val="%1.%2.%3.%4.%5.%6.%7."/>
        <w:lvlJc w:val="left"/>
        <w:pPr>
          <w:ind w:left="2160" w:hanging="1800"/>
        </w:pPr>
        <w:rPr>
          <w:rFonts w:hint="default"/>
          <w:sz w:val="28"/>
        </w:rPr>
      </w:lvl>
    </w:lvlOverride>
    <w:lvlOverride w:ilvl="7">
      <w:lvl w:ilvl="7">
        <w:start w:val="1"/>
        <w:numFmt w:val="decimal"/>
        <w:isLgl/>
        <w:lvlText w:val="%1.%2.%3.%4.%5.%6.%7.%8."/>
        <w:lvlJc w:val="left"/>
        <w:pPr>
          <w:ind w:left="2520" w:hanging="2160"/>
        </w:pPr>
        <w:rPr>
          <w:rFonts w:hint="default"/>
          <w:sz w:val="28"/>
        </w:rPr>
      </w:lvl>
    </w:lvlOverride>
    <w:lvlOverride w:ilvl="8">
      <w:lvl w:ilvl="8">
        <w:start w:val="1"/>
        <w:numFmt w:val="decimal"/>
        <w:isLgl/>
        <w:lvlText w:val="%1.%2.%3.%4.%5.%6.%7.%8.%9."/>
        <w:lvlJc w:val="left"/>
        <w:pPr>
          <w:ind w:left="2520" w:hanging="2160"/>
        </w:pPr>
        <w:rPr>
          <w:rFonts w:hint="default"/>
          <w:sz w:val="28"/>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B5"/>
    <w:rsid w:val="00000666"/>
    <w:rsid w:val="000052C3"/>
    <w:rsid w:val="000058A4"/>
    <w:rsid w:val="00013D01"/>
    <w:rsid w:val="0002307D"/>
    <w:rsid w:val="00023455"/>
    <w:rsid w:val="000243F8"/>
    <w:rsid w:val="00026731"/>
    <w:rsid w:val="000328A1"/>
    <w:rsid w:val="000356F2"/>
    <w:rsid w:val="00035DA0"/>
    <w:rsid w:val="00037056"/>
    <w:rsid w:val="000422A8"/>
    <w:rsid w:val="0004573D"/>
    <w:rsid w:val="0004580E"/>
    <w:rsid w:val="00046275"/>
    <w:rsid w:val="0005371F"/>
    <w:rsid w:val="00053EB4"/>
    <w:rsid w:val="00055164"/>
    <w:rsid w:val="00057A4D"/>
    <w:rsid w:val="0006359B"/>
    <w:rsid w:val="000733B6"/>
    <w:rsid w:val="0007572B"/>
    <w:rsid w:val="00083229"/>
    <w:rsid w:val="00085A77"/>
    <w:rsid w:val="00087EC7"/>
    <w:rsid w:val="000A3951"/>
    <w:rsid w:val="000A52C4"/>
    <w:rsid w:val="000A6241"/>
    <w:rsid w:val="000B02C2"/>
    <w:rsid w:val="000D7149"/>
    <w:rsid w:val="000E192D"/>
    <w:rsid w:val="000E3141"/>
    <w:rsid w:val="000E4FC0"/>
    <w:rsid w:val="000E5567"/>
    <w:rsid w:val="000E7B5B"/>
    <w:rsid w:val="000E7D35"/>
    <w:rsid w:val="000F3649"/>
    <w:rsid w:val="000F36B8"/>
    <w:rsid w:val="000F7823"/>
    <w:rsid w:val="00103AF5"/>
    <w:rsid w:val="00110102"/>
    <w:rsid w:val="001105B3"/>
    <w:rsid w:val="00111DAF"/>
    <w:rsid w:val="00117F63"/>
    <w:rsid w:val="0012011A"/>
    <w:rsid w:val="00121AF1"/>
    <w:rsid w:val="00122287"/>
    <w:rsid w:val="00123C8F"/>
    <w:rsid w:val="0012448A"/>
    <w:rsid w:val="001258A0"/>
    <w:rsid w:val="00126982"/>
    <w:rsid w:val="001278D6"/>
    <w:rsid w:val="00130CB9"/>
    <w:rsid w:val="00130D8A"/>
    <w:rsid w:val="001329A6"/>
    <w:rsid w:val="00135BE0"/>
    <w:rsid w:val="0013631A"/>
    <w:rsid w:val="00136357"/>
    <w:rsid w:val="00146C68"/>
    <w:rsid w:val="00146DF4"/>
    <w:rsid w:val="00147A28"/>
    <w:rsid w:val="00147D16"/>
    <w:rsid w:val="00155B77"/>
    <w:rsid w:val="00156152"/>
    <w:rsid w:val="00161C38"/>
    <w:rsid w:val="0016241C"/>
    <w:rsid w:val="001628E9"/>
    <w:rsid w:val="00162AEF"/>
    <w:rsid w:val="00163C37"/>
    <w:rsid w:val="00164AA1"/>
    <w:rsid w:val="00167A19"/>
    <w:rsid w:val="001716FA"/>
    <w:rsid w:val="0017182F"/>
    <w:rsid w:val="00172903"/>
    <w:rsid w:val="00174384"/>
    <w:rsid w:val="00180391"/>
    <w:rsid w:val="00181B21"/>
    <w:rsid w:val="00183F64"/>
    <w:rsid w:val="00184CE2"/>
    <w:rsid w:val="00187208"/>
    <w:rsid w:val="001911DE"/>
    <w:rsid w:val="0019524C"/>
    <w:rsid w:val="00195E9E"/>
    <w:rsid w:val="0019616E"/>
    <w:rsid w:val="0019780D"/>
    <w:rsid w:val="001A4BCF"/>
    <w:rsid w:val="001B2535"/>
    <w:rsid w:val="001B64FC"/>
    <w:rsid w:val="001B6D2B"/>
    <w:rsid w:val="001C2DA6"/>
    <w:rsid w:val="001C30AD"/>
    <w:rsid w:val="001C5B0E"/>
    <w:rsid w:val="001D3B2F"/>
    <w:rsid w:val="001E4B99"/>
    <w:rsid w:val="001E5E4B"/>
    <w:rsid w:val="001E62A8"/>
    <w:rsid w:val="001F1AEA"/>
    <w:rsid w:val="001F3221"/>
    <w:rsid w:val="00207EB3"/>
    <w:rsid w:val="002125D1"/>
    <w:rsid w:val="00212AA5"/>
    <w:rsid w:val="00213691"/>
    <w:rsid w:val="00213FEC"/>
    <w:rsid w:val="0021668A"/>
    <w:rsid w:val="00216FEC"/>
    <w:rsid w:val="002213C5"/>
    <w:rsid w:val="00222225"/>
    <w:rsid w:val="00231BF9"/>
    <w:rsid w:val="00235A50"/>
    <w:rsid w:val="002363E6"/>
    <w:rsid w:val="00237B94"/>
    <w:rsid w:val="0024586E"/>
    <w:rsid w:val="00246145"/>
    <w:rsid w:val="0024782C"/>
    <w:rsid w:val="00251C92"/>
    <w:rsid w:val="002530DC"/>
    <w:rsid w:val="00254051"/>
    <w:rsid w:val="00254C16"/>
    <w:rsid w:val="00262AFF"/>
    <w:rsid w:val="0026610D"/>
    <w:rsid w:val="00272F9D"/>
    <w:rsid w:val="002747A2"/>
    <w:rsid w:val="002769FE"/>
    <w:rsid w:val="00282A27"/>
    <w:rsid w:val="00282EDE"/>
    <w:rsid w:val="00283BDB"/>
    <w:rsid w:val="00285510"/>
    <w:rsid w:val="00285F21"/>
    <w:rsid w:val="00286295"/>
    <w:rsid w:val="00287A80"/>
    <w:rsid w:val="00290FB2"/>
    <w:rsid w:val="00294E5C"/>
    <w:rsid w:val="002A3B5F"/>
    <w:rsid w:val="002A5762"/>
    <w:rsid w:val="002A6DB5"/>
    <w:rsid w:val="002B10D7"/>
    <w:rsid w:val="002B1CF3"/>
    <w:rsid w:val="002C02CE"/>
    <w:rsid w:val="002C145F"/>
    <w:rsid w:val="002D07C2"/>
    <w:rsid w:val="002D4711"/>
    <w:rsid w:val="002E107D"/>
    <w:rsid w:val="002E25CA"/>
    <w:rsid w:val="002E57BC"/>
    <w:rsid w:val="002E78FE"/>
    <w:rsid w:val="002F1CD0"/>
    <w:rsid w:val="002F3DF3"/>
    <w:rsid w:val="002F6F74"/>
    <w:rsid w:val="002F78B3"/>
    <w:rsid w:val="003001F9"/>
    <w:rsid w:val="00302BD1"/>
    <w:rsid w:val="0030469D"/>
    <w:rsid w:val="0030638A"/>
    <w:rsid w:val="00321ED0"/>
    <w:rsid w:val="0032271F"/>
    <w:rsid w:val="003230E0"/>
    <w:rsid w:val="0032416B"/>
    <w:rsid w:val="00325224"/>
    <w:rsid w:val="003252A7"/>
    <w:rsid w:val="003271C3"/>
    <w:rsid w:val="00327AD8"/>
    <w:rsid w:val="003322CC"/>
    <w:rsid w:val="00332BD5"/>
    <w:rsid w:val="00337BB5"/>
    <w:rsid w:val="00340ECD"/>
    <w:rsid w:val="00340F17"/>
    <w:rsid w:val="00345B78"/>
    <w:rsid w:val="0035531A"/>
    <w:rsid w:val="00360D0D"/>
    <w:rsid w:val="003610F7"/>
    <w:rsid w:val="0036166A"/>
    <w:rsid w:val="00362F92"/>
    <w:rsid w:val="00366AB4"/>
    <w:rsid w:val="0036723C"/>
    <w:rsid w:val="003706B5"/>
    <w:rsid w:val="00370C60"/>
    <w:rsid w:val="00372C5B"/>
    <w:rsid w:val="003751B9"/>
    <w:rsid w:val="003827B7"/>
    <w:rsid w:val="0038415C"/>
    <w:rsid w:val="0038469F"/>
    <w:rsid w:val="00387028"/>
    <w:rsid w:val="0039177B"/>
    <w:rsid w:val="003955AA"/>
    <w:rsid w:val="00397664"/>
    <w:rsid w:val="003A1C2A"/>
    <w:rsid w:val="003B165C"/>
    <w:rsid w:val="003B331C"/>
    <w:rsid w:val="003B33EC"/>
    <w:rsid w:val="003B6000"/>
    <w:rsid w:val="003B6868"/>
    <w:rsid w:val="003B7DA9"/>
    <w:rsid w:val="003C64C6"/>
    <w:rsid w:val="003C738A"/>
    <w:rsid w:val="003D128B"/>
    <w:rsid w:val="003D51BF"/>
    <w:rsid w:val="003D5A12"/>
    <w:rsid w:val="003E240C"/>
    <w:rsid w:val="003E28E6"/>
    <w:rsid w:val="003E3762"/>
    <w:rsid w:val="003E5AFD"/>
    <w:rsid w:val="003E6E50"/>
    <w:rsid w:val="003F02A6"/>
    <w:rsid w:val="003F5429"/>
    <w:rsid w:val="003F5BB1"/>
    <w:rsid w:val="003F5BF2"/>
    <w:rsid w:val="003F6622"/>
    <w:rsid w:val="00400085"/>
    <w:rsid w:val="00401054"/>
    <w:rsid w:val="0040222B"/>
    <w:rsid w:val="0041460B"/>
    <w:rsid w:val="004217FE"/>
    <w:rsid w:val="00425333"/>
    <w:rsid w:val="004262D9"/>
    <w:rsid w:val="00427EAA"/>
    <w:rsid w:val="00432AE6"/>
    <w:rsid w:val="00434C7F"/>
    <w:rsid w:val="0044205C"/>
    <w:rsid w:val="00442C98"/>
    <w:rsid w:val="004508CC"/>
    <w:rsid w:val="00456B1C"/>
    <w:rsid w:val="0045798B"/>
    <w:rsid w:val="00467C38"/>
    <w:rsid w:val="00470E0C"/>
    <w:rsid w:val="0047138A"/>
    <w:rsid w:val="00471434"/>
    <w:rsid w:val="00471948"/>
    <w:rsid w:val="00472894"/>
    <w:rsid w:val="00472E4B"/>
    <w:rsid w:val="00473FB2"/>
    <w:rsid w:val="004775D8"/>
    <w:rsid w:val="0048048E"/>
    <w:rsid w:val="0048253E"/>
    <w:rsid w:val="00482BD8"/>
    <w:rsid w:val="00482F80"/>
    <w:rsid w:val="0048590B"/>
    <w:rsid w:val="00493FF0"/>
    <w:rsid w:val="00497146"/>
    <w:rsid w:val="004A1D3E"/>
    <w:rsid w:val="004A31CA"/>
    <w:rsid w:val="004A4D91"/>
    <w:rsid w:val="004A4F27"/>
    <w:rsid w:val="004B1606"/>
    <w:rsid w:val="004B61F3"/>
    <w:rsid w:val="004B775A"/>
    <w:rsid w:val="004C33D5"/>
    <w:rsid w:val="004C5230"/>
    <w:rsid w:val="004C6447"/>
    <w:rsid w:val="004D065B"/>
    <w:rsid w:val="004D24D6"/>
    <w:rsid w:val="004D4E60"/>
    <w:rsid w:val="004E1B20"/>
    <w:rsid w:val="004E35CE"/>
    <w:rsid w:val="004E4652"/>
    <w:rsid w:val="004E7C20"/>
    <w:rsid w:val="004F3BC0"/>
    <w:rsid w:val="004F4C70"/>
    <w:rsid w:val="00503809"/>
    <w:rsid w:val="00507E65"/>
    <w:rsid w:val="005117C0"/>
    <w:rsid w:val="00520CDE"/>
    <w:rsid w:val="005225FB"/>
    <w:rsid w:val="00527D03"/>
    <w:rsid w:val="00530628"/>
    <w:rsid w:val="0053118D"/>
    <w:rsid w:val="005350FD"/>
    <w:rsid w:val="00535202"/>
    <w:rsid w:val="005374CA"/>
    <w:rsid w:val="00541548"/>
    <w:rsid w:val="005429CD"/>
    <w:rsid w:val="00543331"/>
    <w:rsid w:val="005554D7"/>
    <w:rsid w:val="00555F64"/>
    <w:rsid w:val="0056288F"/>
    <w:rsid w:val="00562A92"/>
    <w:rsid w:val="0056754D"/>
    <w:rsid w:val="00570B31"/>
    <w:rsid w:val="00572327"/>
    <w:rsid w:val="00572CF4"/>
    <w:rsid w:val="005734F9"/>
    <w:rsid w:val="005772A6"/>
    <w:rsid w:val="00577901"/>
    <w:rsid w:val="0057792F"/>
    <w:rsid w:val="00584A69"/>
    <w:rsid w:val="0058552F"/>
    <w:rsid w:val="00587021"/>
    <w:rsid w:val="005905AB"/>
    <w:rsid w:val="005906F7"/>
    <w:rsid w:val="00591F51"/>
    <w:rsid w:val="00596E5D"/>
    <w:rsid w:val="005A1525"/>
    <w:rsid w:val="005A1E72"/>
    <w:rsid w:val="005A2925"/>
    <w:rsid w:val="005A5243"/>
    <w:rsid w:val="005A7AEC"/>
    <w:rsid w:val="005B09E5"/>
    <w:rsid w:val="005B3622"/>
    <w:rsid w:val="005B3F88"/>
    <w:rsid w:val="005B42E8"/>
    <w:rsid w:val="005C551E"/>
    <w:rsid w:val="005C5C82"/>
    <w:rsid w:val="005C6D7D"/>
    <w:rsid w:val="005D32B0"/>
    <w:rsid w:val="005D3CFB"/>
    <w:rsid w:val="005D3D41"/>
    <w:rsid w:val="005E1326"/>
    <w:rsid w:val="005E2A0B"/>
    <w:rsid w:val="005E46F0"/>
    <w:rsid w:val="005E4991"/>
    <w:rsid w:val="005E5942"/>
    <w:rsid w:val="005E7ACB"/>
    <w:rsid w:val="005E7F32"/>
    <w:rsid w:val="005F3648"/>
    <w:rsid w:val="005F39E2"/>
    <w:rsid w:val="00602A68"/>
    <w:rsid w:val="006069CF"/>
    <w:rsid w:val="00613454"/>
    <w:rsid w:val="0061479B"/>
    <w:rsid w:val="00615372"/>
    <w:rsid w:val="0061697B"/>
    <w:rsid w:val="00625CCA"/>
    <w:rsid w:val="00642C7B"/>
    <w:rsid w:val="00644A70"/>
    <w:rsid w:val="00645724"/>
    <w:rsid w:val="00646CAA"/>
    <w:rsid w:val="00647D54"/>
    <w:rsid w:val="0065251F"/>
    <w:rsid w:val="006529EC"/>
    <w:rsid w:val="00654C2A"/>
    <w:rsid w:val="00655D96"/>
    <w:rsid w:val="00656ADC"/>
    <w:rsid w:val="00656EE2"/>
    <w:rsid w:val="006574C4"/>
    <w:rsid w:val="00663E2F"/>
    <w:rsid w:val="00664182"/>
    <w:rsid w:val="0066440A"/>
    <w:rsid w:val="00664970"/>
    <w:rsid w:val="006672EA"/>
    <w:rsid w:val="0066790B"/>
    <w:rsid w:val="00670571"/>
    <w:rsid w:val="00670C5D"/>
    <w:rsid w:val="00672482"/>
    <w:rsid w:val="006746F0"/>
    <w:rsid w:val="006768B5"/>
    <w:rsid w:val="0068174C"/>
    <w:rsid w:val="00682A11"/>
    <w:rsid w:val="00683DA9"/>
    <w:rsid w:val="006865E3"/>
    <w:rsid w:val="00691244"/>
    <w:rsid w:val="00696A0F"/>
    <w:rsid w:val="006976A3"/>
    <w:rsid w:val="006A1A07"/>
    <w:rsid w:val="006A3FE8"/>
    <w:rsid w:val="006B0119"/>
    <w:rsid w:val="006B106E"/>
    <w:rsid w:val="006B1F25"/>
    <w:rsid w:val="006B410E"/>
    <w:rsid w:val="006C0F8F"/>
    <w:rsid w:val="006C1022"/>
    <w:rsid w:val="006C3BDC"/>
    <w:rsid w:val="006C439D"/>
    <w:rsid w:val="006E4A64"/>
    <w:rsid w:val="006F0583"/>
    <w:rsid w:val="006F26C0"/>
    <w:rsid w:val="006F5B18"/>
    <w:rsid w:val="006F6F16"/>
    <w:rsid w:val="00700ABB"/>
    <w:rsid w:val="00702F9D"/>
    <w:rsid w:val="007055FC"/>
    <w:rsid w:val="00705CD1"/>
    <w:rsid w:val="00717AB0"/>
    <w:rsid w:val="00717E9D"/>
    <w:rsid w:val="00720434"/>
    <w:rsid w:val="0072258D"/>
    <w:rsid w:val="0072319F"/>
    <w:rsid w:val="007245DC"/>
    <w:rsid w:val="00725DFF"/>
    <w:rsid w:val="0073150F"/>
    <w:rsid w:val="00731587"/>
    <w:rsid w:val="00731A85"/>
    <w:rsid w:val="007405FD"/>
    <w:rsid w:val="00750603"/>
    <w:rsid w:val="00750691"/>
    <w:rsid w:val="00751C43"/>
    <w:rsid w:val="00752C93"/>
    <w:rsid w:val="00753326"/>
    <w:rsid w:val="00755BB8"/>
    <w:rsid w:val="00765B63"/>
    <w:rsid w:val="00766546"/>
    <w:rsid w:val="00767DB3"/>
    <w:rsid w:val="007700AF"/>
    <w:rsid w:val="00770413"/>
    <w:rsid w:val="007737D5"/>
    <w:rsid w:val="007742DF"/>
    <w:rsid w:val="00781F3D"/>
    <w:rsid w:val="00784626"/>
    <w:rsid w:val="00786817"/>
    <w:rsid w:val="00793997"/>
    <w:rsid w:val="007A6A51"/>
    <w:rsid w:val="007B26A5"/>
    <w:rsid w:val="007B2E0E"/>
    <w:rsid w:val="007B47FF"/>
    <w:rsid w:val="007B5F43"/>
    <w:rsid w:val="007C0443"/>
    <w:rsid w:val="007C203E"/>
    <w:rsid w:val="007C58E2"/>
    <w:rsid w:val="007C6FAA"/>
    <w:rsid w:val="007C77E7"/>
    <w:rsid w:val="007D1BF8"/>
    <w:rsid w:val="007D3F5D"/>
    <w:rsid w:val="007E1D43"/>
    <w:rsid w:val="007E25C1"/>
    <w:rsid w:val="007E58DD"/>
    <w:rsid w:val="007F49C2"/>
    <w:rsid w:val="008002AC"/>
    <w:rsid w:val="0080343E"/>
    <w:rsid w:val="008123A2"/>
    <w:rsid w:val="00820537"/>
    <w:rsid w:val="00821650"/>
    <w:rsid w:val="00821FFF"/>
    <w:rsid w:val="00822739"/>
    <w:rsid w:val="00822B8B"/>
    <w:rsid w:val="00824BE5"/>
    <w:rsid w:val="008258F1"/>
    <w:rsid w:val="00826819"/>
    <w:rsid w:val="00827D2F"/>
    <w:rsid w:val="008301DE"/>
    <w:rsid w:val="008340F0"/>
    <w:rsid w:val="00834A9E"/>
    <w:rsid w:val="00837177"/>
    <w:rsid w:val="0083780E"/>
    <w:rsid w:val="00837A44"/>
    <w:rsid w:val="00840FE0"/>
    <w:rsid w:val="0084290E"/>
    <w:rsid w:val="008452AF"/>
    <w:rsid w:val="00845CFF"/>
    <w:rsid w:val="00851F7C"/>
    <w:rsid w:val="00854A51"/>
    <w:rsid w:val="0086098E"/>
    <w:rsid w:val="00861C53"/>
    <w:rsid w:val="0086235E"/>
    <w:rsid w:val="00863028"/>
    <w:rsid w:val="00864C63"/>
    <w:rsid w:val="00865471"/>
    <w:rsid w:val="008654A9"/>
    <w:rsid w:val="008674B8"/>
    <w:rsid w:val="008679F1"/>
    <w:rsid w:val="00872071"/>
    <w:rsid w:val="00873730"/>
    <w:rsid w:val="0087460C"/>
    <w:rsid w:val="0087646B"/>
    <w:rsid w:val="00883249"/>
    <w:rsid w:val="008835BB"/>
    <w:rsid w:val="00887A83"/>
    <w:rsid w:val="00895E4E"/>
    <w:rsid w:val="00897834"/>
    <w:rsid w:val="008A0DE6"/>
    <w:rsid w:val="008A1D15"/>
    <w:rsid w:val="008A7572"/>
    <w:rsid w:val="008A7DCF"/>
    <w:rsid w:val="008B474F"/>
    <w:rsid w:val="008B487E"/>
    <w:rsid w:val="008B5F94"/>
    <w:rsid w:val="008C02E9"/>
    <w:rsid w:val="008C075E"/>
    <w:rsid w:val="008C17FD"/>
    <w:rsid w:val="008C2EA4"/>
    <w:rsid w:val="008D0BEA"/>
    <w:rsid w:val="008D3A02"/>
    <w:rsid w:val="008D3DFE"/>
    <w:rsid w:val="008E4370"/>
    <w:rsid w:val="008F1707"/>
    <w:rsid w:val="008F629F"/>
    <w:rsid w:val="0090294A"/>
    <w:rsid w:val="009070CA"/>
    <w:rsid w:val="009107E4"/>
    <w:rsid w:val="0091168C"/>
    <w:rsid w:val="009117C6"/>
    <w:rsid w:val="00913471"/>
    <w:rsid w:val="00914FA6"/>
    <w:rsid w:val="00915C9C"/>
    <w:rsid w:val="009168EE"/>
    <w:rsid w:val="009170AF"/>
    <w:rsid w:val="009176A6"/>
    <w:rsid w:val="0092129D"/>
    <w:rsid w:val="00921CB3"/>
    <w:rsid w:val="00922487"/>
    <w:rsid w:val="00923144"/>
    <w:rsid w:val="00926411"/>
    <w:rsid w:val="00926413"/>
    <w:rsid w:val="00930692"/>
    <w:rsid w:val="00932D1E"/>
    <w:rsid w:val="00941F48"/>
    <w:rsid w:val="009426F5"/>
    <w:rsid w:val="00943F14"/>
    <w:rsid w:val="009450EC"/>
    <w:rsid w:val="00945BE7"/>
    <w:rsid w:val="0094677D"/>
    <w:rsid w:val="009469A8"/>
    <w:rsid w:val="009478D1"/>
    <w:rsid w:val="00947EAA"/>
    <w:rsid w:val="009540AD"/>
    <w:rsid w:val="00966A9F"/>
    <w:rsid w:val="00971EA9"/>
    <w:rsid w:val="009723F7"/>
    <w:rsid w:val="00972AE1"/>
    <w:rsid w:val="00973BFE"/>
    <w:rsid w:val="0097675E"/>
    <w:rsid w:val="009815F2"/>
    <w:rsid w:val="00981F72"/>
    <w:rsid w:val="009830D9"/>
    <w:rsid w:val="00987F5C"/>
    <w:rsid w:val="00997469"/>
    <w:rsid w:val="009A0BDE"/>
    <w:rsid w:val="009A15CC"/>
    <w:rsid w:val="009A308B"/>
    <w:rsid w:val="009C07EF"/>
    <w:rsid w:val="009C1C45"/>
    <w:rsid w:val="009C1D3B"/>
    <w:rsid w:val="009C6EDF"/>
    <w:rsid w:val="009D030C"/>
    <w:rsid w:val="009D0C5B"/>
    <w:rsid w:val="009D7BBC"/>
    <w:rsid w:val="009E2810"/>
    <w:rsid w:val="009E49CD"/>
    <w:rsid w:val="009F2902"/>
    <w:rsid w:val="009F6890"/>
    <w:rsid w:val="009F7F41"/>
    <w:rsid w:val="00A0282A"/>
    <w:rsid w:val="00A0381C"/>
    <w:rsid w:val="00A06D04"/>
    <w:rsid w:val="00A10A1B"/>
    <w:rsid w:val="00A12422"/>
    <w:rsid w:val="00A16CB4"/>
    <w:rsid w:val="00A16E88"/>
    <w:rsid w:val="00A17A03"/>
    <w:rsid w:val="00A17DA1"/>
    <w:rsid w:val="00A22B8E"/>
    <w:rsid w:val="00A22D6C"/>
    <w:rsid w:val="00A23281"/>
    <w:rsid w:val="00A24EFD"/>
    <w:rsid w:val="00A33B22"/>
    <w:rsid w:val="00A35820"/>
    <w:rsid w:val="00A35E01"/>
    <w:rsid w:val="00A4051E"/>
    <w:rsid w:val="00A44310"/>
    <w:rsid w:val="00A466B0"/>
    <w:rsid w:val="00A50A95"/>
    <w:rsid w:val="00A52EDF"/>
    <w:rsid w:val="00A5620D"/>
    <w:rsid w:val="00A5701E"/>
    <w:rsid w:val="00A57A73"/>
    <w:rsid w:val="00A6086E"/>
    <w:rsid w:val="00A631CA"/>
    <w:rsid w:val="00A660CF"/>
    <w:rsid w:val="00A77FE9"/>
    <w:rsid w:val="00A82AAE"/>
    <w:rsid w:val="00A85A21"/>
    <w:rsid w:val="00A87B41"/>
    <w:rsid w:val="00A93A46"/>
    <w:rsid w:val="00AA1ED1"/>
    <w:rsid w:val="00AA276B"/>
    <w:rsid w:val="00AB0DA4"/>
    <w:rsid w:val="00AB78BE"/>
    <w:rsid w:val="00AC13A4"/>
    <w:rsid w:val="00AC3B9D"/>
    <w:rsid w:val="00AD105F"/>
    <w:rsid w:val="00AD30DC"/>
    <w:rsid w:val="00AD361F"/>
    <w:rsid w:val="00AD3919"/>
    <w:rsid w:val="00AD4A1D"/>
    <w:rsid w:val="00AD6F8B"/>
    <w:rsid w:val="00AD7989"/>
    <w:rsid w:val="00AE1FD0"/>
    <w:rsid w:val="00AE3801"/>
    <w:rsid w:val="00AF3523"/>
    <w:rsid w:val="00B03F15"/>
    <w:rsid w:val="00B05BE8"/>
    <w:rsid w:val="00B06424"/>
    <w:rsid w:val="00B1618A"/>
    <w:rsid w:val="00B21C42"/>
    <w:rsid w:val="00B2208A"/>
    <w:rsid w:val="00B251F0"/>
    <w:rsid w:val="00B25694"/>
    <w:rsid w:val="00B2601E"/>
    <w:rsid w:val="00B26319"/>
    <w:rsid w:val="00B275C9"/>
    <w:rsid w:val="00B36355"/>
    <w:rsid w:val="00B42C4A"/>
    <w:rsid w:val="00B45DD4"/>
    <w:rsid w:val="00B46A79"/>
    <w:rsid w:val="00B514BA"/>
    <w:rsid w:val="00B53945"/>
    <w:rsid w:val="00B57C04"/>
    <w:rsid w:val="00B61A74"/>
    <w:rsid w:val="00B64841"/>
    <w:rsid w:val="00B722C6"/>
    <w:rsid w:val="00B734C1"/>
    <w:rsid w:val="00B772C3"/>
    <w:rsid w:val="00B77DAC"/>
    <w:rsid w:val="00B80631"/>
    <w:rsid w:val="00B82114"/>
    <w:rsid w:val="00B829E3"/>
    <w:rsid w:val="00B9239C"/>
    <w:rsid w:val="00B94B87"/>
    <w:rsid w:val="00B96E0F"/>
    <w:rsid w:val="00B97C7A"/>
    <w:rsid w:val="00BA3FB7"/>
    <w:rsid w:val="00BA4602"/>
    <w:rsid w:val="00BB1167"/>
    <w:rsid w:val="00BB3369"/>
    <w:rsid w:val="00BB3768"/>
    <w:rsid w:val="00BB449A"/>
    <w:rsid w:val="00BC0A37"/>
    <w:rsid w:val="00BC5D49"/>
    <w:rsid w:val="00BC5EA3"/>
    <w:rsid w:val="00BC79F6"/>
    <w:rsid w:val="00BD36CC"/>
    <w:rsid w:val="00BD529C"/>
    <w:rsid w:val="00BD5EE0"/>
    <w:rsid w:val="00BD66DD"/>
    <w:rsid w:val="00BE4C79"/>
    <w:rsid w:val="00BE4D5B"/>
    <w:rsid w:val="00BE6359"/>
    <w:rsid w:val="00BE796D"/>
    <w:rsid w:val="00BF115B"/>
    <w:rsid w:val="00BF3E53"/>
    <w:rsid w:val="00BF448C"/>
    <w:rsid w:val="00BF44D8"/>
    <w:rsid w:val="00BF77FD"/>
    <w:rsid w:val="00BF7EA3"/>
    <w:rsid w:val="00C0091B"/>
    <w:rsid w:val="00C07FFC"/>
    <w:rsid w:val="00C103B9"/>
    <w:rsid w:val="00C15672"/>
    <w:rsid w:val="00C205E8"/>
    <w:rsid w:val="00C21EB5"/>
    <w:rsid w:val="00C26477"/>
    <w:rsid w:val="00C314F1"/>
    <w:rsid w:val="00C3253E"/>
    <w:rsid w:val="00C333E5"/>
    <w:rsid w:val="00C45996"/>
    <w:rsid w:val="00C47224"/>
    <w:rsid w:val="00C47CB7"/>
    <w:rsid w:val="00C514A3"/>
    <w:rsid w:val="00C56315"/>
    <w:rsid w:val="00C56F95"/>
    <w:rsid w:val="00C5798D"/>
    <w:rsid w:val="00C607D6"/>
    <w:rsid w:val="00C61DCA"/>
    <w:rsid w:val="00C631B0"/>
    <w:rsid w:val="00C66669"/>
    <w:rsid w:val="00C739EB"/>
    <w:rsid w:val="00C7772B"/>
    <w:rsid w:val="00C812A7"/>
    <w:rsid w:val="00C81E51"/>
    <w:rsid w:val="00C833F6"/>
    <w:rsid w:val="00C871CF"/>
    <w:rsid w:val="00C9368E"/>
    <w:rsid w:val="00C943C6"/>
    <w:rsid w:val="00C95F2A"/>
    <w:rsid w:val="00C969F6"/>
    <w:rsid w:val="00C97D7B"/>
    <w:rsid w:val="00CA2140"/>
    <w:rsid w:val="00CA2314"/>
    <w:rsid w:val="00CA2CDF"/>
    <w:rsid w:val="00CA3AAE"/>
    <w:rsid w:val="00CA3D28"/>
    <w:rsid w:val="00CA5006"/>
    <w:rsid w:val="00CB16A0"/>
    <w:rsid w:val="00CB1B9A"/>
    <w:rsid w:val="00CB37C6"/>
    <w:rsid w:val="00CC176F"/>
    <w:rsid w:val="00CC1880"/>
    <w:rsid w:val="00CC59A5"/>
    <w:rsid w:val="00CC76FD"/>
    <w:rsid w:val="00CD2A87"/>
    <w:rsid w:val="00CD3AAA"/>
    <w:rsid w:val="00CD7B95"/>
    <w:rsid w:val="00CE48CB"/>
    <w:rsid w:val="00CE6497"/>
    <w:rsid w:val="00CE79C4"/>
    <w:rsid w:val="00CF0679"/>
    <w:rsid w:val="00CF17A3"/>
    <w:rsid w:val="00CF256F"/>
    <w:rsid w:val="00CF5CBC"/>
    <w:rsid w:val="00D005C4"/>
    <w:rsid w:val="00D02FD5"/>
    <w:rsid w:val="00D06761"/>
    <w:rsid w:val="00D120FB"/>
    <w:rsid w:val="00D135CE"/>
    <w:rsid w:val="00D15C46"/>
    <w:rsid w:val="00D22294"/>
    <w:rsid w:val="00D2495E"/>
    <w:rsid w:val="00D258F0"/>
    <w:rsid w:val="00D25E52"/>
    <w:rsid w:val="00D274BF"/>
    <w:rsid w:val="00D277A7"/>
    <w:rsid w:val="00D33048"/>
    <w:rsid w:val="00D33CFA"/>
    <w:rsid w:val="00D3788E"/>
    <w:rsid w:val="00D43883"/>
    <w:rsid w:val="00D4504C"/>
    <w:rsid w:val="00D5111A"/>
    <w:rsid w:val="00D54F85"/>
    <w:rsid w:val="00D64E02"/>
    <w:rsid w:val="00D65339"/>
    <w:rsid w:val="00D66D63"/>
    <w:rsid w:val="00D67370"/>
    <w:rsid w:val="00D6790D"/>
    <w:rsid w:val="00D73733"/>
    <w:rsid w:val="00D75CE6"/>
    <w:rsid w:val="00D76B30"/>
    <w:rsid w:val="00D816A1"/>
    <w:rsid w:val="00D819C7"/>
    <w:rsid w:val="00D82066"/>
    <w:rsid w:val="00D82CC1"/>
    <w:rsid w:val="00D83F67"/>
    <w:rsid w:val="00D85DD2"/>
    <w:rsid w:val="00D928D8"/>
    <w:rsid w:val="00D95713"/>
    <w:rsid w:val="00D96831"/>
    <w:rsid w:val="00D96A98"/>
    <w:rsid w:val="00D9746E"/>
    <w:rsid w:val="00DA173B"/>
    <w:rsid w:val="00DA595A"/>
    <w:rsid w:val="00DA60E2"/>
    <w:rsid w:val="00DB31CB"/>
    <w:rsid w:val="00DB3D3D"/>
    <w:rsid w:val="00DB7C41"/>
    <w:rsid w:val="00DC27C2"/>
    <w:rsid w:val="00DC5625"/>
    <w:rsid w:val="00DD1D28"/>
    <w:rsid w:val="00DD6844"/>
    <w:rsid w:val="00DE1688"/>
    <w:rsid w:val="00DE418D"/>
    <w:rsid w:val="00DE4553"/>
    <w:rsid w:val="00DE579C"/>
    <w:rsid w:val="00DF120D"/>
    <w:rsid w:val="00DF3843"/>
    <w:rsid w:val="00E031D3"/>
    <w:rsid w:val="00E03EAA"/>
    <w:rsid w:val="00E11544"/>
    <w:rsid w:val="00E118BE"/>
    <w:rsid w:val="00E122D4"/>
    <w:rsid w:val="00E13D9B"/>
    <w:rsid w:val="00E14E33"/>
    <w:rsid w:val="00E21144"/>
    <w:rsid w:val="00E237E8"/>
    <w:rsid w:val="00E2715A"/>
    <w:rsid w:val="00E34660"/>
    <w:rsid w:val="00E451DD"/>
    <w:rsid w:val="00E514BA"/>
    <w:rsid w:val="00E567C0"/>
    <w:rsid w:val="00E62401"/>
    <w:rsid w:val="00E6514D"/>
    <w:rsid w:val="00E660C1"/>
    <w:rsid w:val="00E67288"/>
    <w:rsid w:val="00E71C90"/>
    <w:rsid w:val="00E77100"/>
    <w:rsid w:val="00E77215"/>
    <w:rsid w:val="00E80D7E"/>
    <w:rsid w:val="00E80FBB"/>
    <w:rsid w:val="00E86537"/>
    <w:rsid w:val="00E86C87"/>
    <w:rsid w:val="00E90626"/>
    <w:rsid w:val="00E91E80"/>
    <w:rsid w:val="00E9275E"/>
    <w:rsid w:val="00E942AE"/>
    <w:rsid w:val="00E969EB"/>
    <w:rsid w:val="00E96B02"/>
    <w:rsid w:val="00E96FEB"/>
    <w:rsid w:val="00EA26A3"/>
    <w:rsid w:val="00EA2A2B"/>
    <w:rsid w:val="00EA2D70"/>
    <w:rsid w:val="00EA5A2B"/>
    <w:rsid w:val="00EA66CD"/>
    <w:rsid w:val="00EB0AFE"/>
    <w:rsid w:val="00EB4CEA"/>
    <w:rsid w:val="00EB57A7"/>
    <w:rsid w:val="00EC0262"/>
    <w:rsid w:val="00EC3F12"/>
    <w:rsid w:val="00EC4679"/>
    <w:rsid w:val="00EC6BC5"/>
    <w:rsid w:val="00EC761C"/>
    <w:rsid w:val="00ED0F11"/>
    <w:rsid w:val="00ED40F6"/>
    <w:rsid w:val="00ED67F2"/>
    <w:rsid w:val="00ED73E0"/>
    <w:rsid w:val="00ED779D"/>
    <w:rsid w:val="00EE32BE"/>
    <w:rsid w:val="00EE5525"/>
    <w:rsid w:val="00EF067F"/>
    <w:rsid w:val="00EF12E5"/>
    <w:rsid w:val="00F0132A"/>
    <w:rsid w:val="00F028C2"/>
    <w:rsid w:val="00F030B2"/>
    <w:rsid w:val="00F03E3A"/>
    <w:rsid w:val="00F057B4"/>
    <w:rsid w:val="00F107F6"/>
    <w:rsid w:val="00F121F4"/>
    <w:rsid w:val="00F133D7"/>
    <w:rsid w:val="00F13AE0"/>
    <w:rsid w:val="00F15C47"/>
    <w:rsid w:val="00F238DF"/>
    <w:rsid w:val="00F27B84"/>
    <w:rsid w:val="00F31DF4"/>
    <w:rsid w:val="00F32718"/>
    <w:rsid w:val="00F342DB"/>
    <w:rsid w:val="00F364AD"/>
    <w:rsid w:val="00F40114"/>
    <w:rsid w:val="00F40ACA"/>
    <w:rsid w:val="00F40E7E"/>
    <w:rsid w:val="00F41583"/>
    <w:rsid w:val="00F522DA"/>
    <w:rsid w:val="00F52CAC"/>
    <w:rsid w:val="00F62F0B"/>
    <w:rsid w:val="00F65ABE"/>
    <w:rsid w:val="00F7087D"/>
    <w:rsid w:val="00F7315F"/>
    <w:rsid w:val="00F73F3B"/>
    <w:rsid w:val="00F772BE"/>
    <w:rsid w:val="00F7764D"/>
    <w:rsid w:val="00F81D67"/>
    <w:rsid w:val="00F8200E"/>
    <w:rsid w:val="00F93449"/>
    <w:rsid w:val="00F9555D"/>
    <w:rsid w:val="00F96FE3"/>
    <w:rsid w:val="00F97552"/>
    <w:rsid w:val="00FA23BE"/>
    <w:rsid w:val="00FB4F6F"/>
    <w:rsid w:val="00FB7F15"/>
    <w:rsid w:val="00FC0398"/>
    <w:rsid w:val="00FC1134"/>
    <w:rsid w:val="00FC3C27"/>
    <w:rsid w:val="00FC582D"/>
    <w:rsid w:val="00FC6BF4"/>
    <w:rsid w:val="00FE0E25"/>
    <w:rsid w:val="00FE1AA9"/>
    <w:rsid w:val="00FE345D"/>
    <w:rsid w:val="00FE7744"/>
    <w:rsid w:val="00FF107D"/>
    <w:rsid w:val="00FF2C77"/>
    <w:rsid w:val="00FF39B8"/>
    <w:rsid w:val="00FF44D6"/>
    <w:rsid w:val="00FF560F"/>
    <w:rsid w:val="00FF573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4EF4"/>
  <w15:chartTrackingRefBased/>
  <w15:docId w15:val="{8DEBFB7E-C40B-4663-8EC1-732522C6E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CB9"/>
  </w:style>
  <w:style w:type="paragraph" w:styleId="Heading1">
    <w:name w:val="heading 1"/>
    <w:basedOn w:val="Normal"/>
    <w:next w:val="Normal"/>
    <w:link w:val="Heading1Char"/>
    <w:uiPriority w:val="9"/>
    <w:qFormat/>
    <w:rsid w:val="00130CB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0CB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30CB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30CB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30CB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30CB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30CB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30CB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30CB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C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0CB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30CB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30CB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30CB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30CB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30CB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30CB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30CB9"/>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130CB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30CB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30CB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30CB9"/>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30CB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30CB9"/>
    <w:rPr>
      <w:i/>
      <w:iCs/>
      <w:color w:val="404040" w:themeColor="text1" w:themeTint="BF"/>
    </w:rPr>
  </w:style>
  <w:style w:type="paragraph" w:styleId="ListParagraph">
    <w:name w:val="List Paragraph"/>
    <w:basedOn w:val="Normal"/>
    <w:uiPriority w:val="34"/>
    <w:qFormat/>
    <w:rsid w:val="00337BB5"/>
    <w:pPr>
      <w:ind w:left="720"/>
      <w:contextualSpacing/>
    </w:pPr>
  </w:style>
  <w:style w:type="character" w:styleId="IntenseEmphasis">
    <w:name w:val="Intense Emphasis"/>
    <w:basedOn w:val="DefaultParagraphFont"/>
    <w:uiPriority w:val="21"/>
    <w:qFormat/>
    <w:rsid w:val="00130CB9"/>
    <w:rPr>
      <w:b/>
      <w:bCs/>
      <w:i/>
      <w:iCs/>
    </w:rPr>
  </w:style>
  <w:style w:type="paragraph" w:styleId="IntenseQuote">
    <w:name w:val="Intense Quote"/>
    <w:basedOn w:val="Normal"/>
    <w:next w:val="Normal"/>
    <w:link w:val="IntenseQuoteChar"/>
    <w:uiPriority w:val="30"/>
    <w:qFormat/>
    <w:rsid w:val="00130CB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30CB9"/>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130CB9"/>
    <w:rPr>
      <w:b/>
      <w:bCs/>
      <w:smallCaps/>
      <w:spacing w:val="5"/>
      <w:u w:val="single"/>
    </w:rPr>
  </w:style>
  <w:style w:type="paragraph" w:styleId="Header">
    <w:name w:val="header"/>
    <w:basedOn w:val="Normal"/>
    <w:link w:val="HeaderChar"/>
    <w:uiPriority w:val="99"/>
    <w:unhideWhenUsed/>
    <w:rsid w:val="00B45D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DD4"/>
    <w:rPr>
      <w:rFonts w:ascii="Arial" w:hAnsi="Arial"/>
      <w:sz w:val="24"/>
    </w:rPr>
  </w:style>
  <w:style w:type="paragraph" w:styleId="Footer">
    <w:name w:val="footer"/>
    <w:basedOn w:val="Normal"/>
    <w:link w:val="FooterChar"/>
    <w:uiPriority w:val="99"/>
    <w:unhideWhenUsed/>
    <w:rsid w:val="00B45D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DD4"/>
    <w:rPr>
      <w:rFonts w:ascii="Arial" w:hAnsi="Arial"/>
      <w:sz w:val="24"/>
    </w:rPr>
  </w:style>
  <w:style w:type="paragraph" w:styleId="TOCHeading">
    <w:name w:val="TOC Heading"/>
    <w:basedOn w:val="Heading1"/>
    <w:next w:val="Normal"/>
    <w:uiPriority w:val="39"/>
    <w:unhideWhenUsed/>
    <w:qFormat/>
    <w:rsid w:val="00130CB9"/>
    <w:pPr>
      <w:outlineLvl w:val="9"/>
    </w:pPr>
  </w:style>
  <w:style w:type="paragraph" w:styleId="TOC1">
    <w:name w:val="toc 1"/>
    <w:basedOn w:val="Normal"/>
    <w:next w:val="Normal"/>
    <w:autoRedefine/>
    <w:uiPriority w:val="39"/>
    <w:unhideWhenUsed/>
    <w:rsid w:val="00A660CF"/>
    <w:pPr>
      <w:spacing w:after="100"/>
    </w:pPr>
  </w:style>
  <w:style w:type="paragraph" w:styleId="TOC2">
    <w:name w:val="toc 2"/>
    <w:basedOn w:val="Normal"/>
    <w:next w:val="Normal"/>
    <w:autoRedefine/>
    <w:uiPriority w:val="39"/>
    <w:unhideWhenUsed/>
    <w:rsid w:val="00A660CF"/>
    <w:pPr>
      <w:spacing w:after="100"/>
      <w:ind w:left="240"/>
    </w:pPr>
  </w:style>
  <w:style w:type="paragraph" w:styleId="TOC3">
    <w:name w:val="toc 3"/>
    <w:basedOn w:val="Normal"/>
    <w:next w:val="Normal"/>
    <w:autoRedefine/>
    <w:uiPriority w:val="39"/>
    <w:unhideWhenUsed/>
    <w:rsid w:val="00A660CF"/>
    <w:pPr>
      <w:spacing w:after="100"/>
      <w:ind w:left="480"/>
    </w:pPr>
  </w:style>
  <w:style w:type="character" w:styleId="Hyperlink">
    <w:name w:val="Hyperlink"/>
    <w:basedOn w:val="DefaultParagraphFont"/>
    <w:uiPriority w:val="99"/>
    <w:unhideWhenUsed/>
    <w:rsid w:val="00A660CF"/>
    <w:rPr>
      <w:color w:val="0563C1" w:themeColor="hyperlink"/>
      <w:u w:val="single"/>
    </w:rPr>
  </w:style>
  <w:style w:type="character" w:styleId="UnresolvedMention">
    <w:name w:val="Unresolved Mention"/>
    <w:basedOn w:val="DefaultParagraphFont"/>
    <w:uiPriority w:val="99"/>
    <w:semiHidden/>
    <w:unhideWhenUsed/>
    <w:rsid w:val="00174384"/>
    <w:rPr>
      <w:color w:val="605E5C"/>
      <w:shd w:val="clear" w:color="auto" w:fill="E1DFDD"/>
    </w:rPr>
  </w:style>
  <w:style w:type="paragraph" w:styleId="NormalWeb">
    <w:name w:val="Normal (Web)"/>
    <w:basedOn w:val="Normal"/>
    <w:uiPriority w:val="99"/>
    <w:unhideWhenUsed/>
    <w:rsid w:val="00731A85"/>
    <w:rPr>
      <w:rFonts w:ascii="Times New Roman" w:hAnsi="Times New Roman" w:cs="Times New Roman"/>
      <w:szCs w:val="24"/>
    </w:rPr>
  </w:style>
  <w:style w:type="character" w:styleId="Strong">
    <w:name w:val="Strong"/>
    <w:basedOn w:val="DefaultParagraphFont"/>
    <w:uiPriority w:val="22"/>
    <w:qFormat/>
    <w:rsid w:val="00130CB9"/>
    <w:rPr>
      <w:b/>
      <w:bCs/>
    </w:rPr>
  </w:style>
  <w:style w:type="character" w:styleId="Emphasis">
    <w:name w:val="Emphasis"/>
    <w:basedOn w:val="DefaultParagraphFont"/>
    <w:uiPriority w:val="20"/>
    <w:qFormat/>
    <w:rsid w:val="00130CB9"/>
    <w:rPr>
      <w:i/>
      <w:iCs/>
    </w:rPr>
  </w:style>
  <w:style w:type="paragraph" w:styleId="Caption">
    <w:name w:val="caption"/>
    <w:basedOn w:val="Normal"/>
    <w:next w:val="Normal"/>
    <w:uiPriority w:val="35"/>
    <w:semiHidden/>
    <w:unhideWhenUsed/>
    <w:qFormat/>
    <w:rsid w:val="00130CB9"/>
    <w:pPr>
      <w:spacing w:line="240" w:lineRule="auto"/>
    </w:pPr>
    <w:rPr>
      <w:b/>
      <w:bCs/>
      <w:smallCaps/>
      <w:color w:val="595959" w:themeColor="text1" w:themeTint="A6"/>
      <w:spacing w:val="6"/>
    </w:rPr>
  </w:style>
  <w:style w:type="paragraph" w:styleId="NoSpacing">
    <w:name w:val="No Spacing"/>
    <w:uiPriority w:val="1"/>
    <w:qFormat/>
    <w:rsid w:val="00130CB9"/>
    <w:pPr>
      <w:spacing w:after="0" w:line="240" w:lineRule="auto"/>
    </w:pPr>
  </w:style>
  <w:style w:type="character" w:styleId="SubtleEmphasis">
    <w:name w:val="Subtle Emphasis"/>
    <w:basedOn w:val="DefaultParagraphFont"/>
    <w:uiPriority w:val="19"/>
    <w:qFormat/>
    <w:rsid w:val="00130CB9"/>
    <w:rPr>
      <w:i/>
      <w:iCs/>
      <w:color w:val="404040" w:themeColor="text1" w:themeTint="BF"/>
    </w:rPr>
  </w:style>
  <w:style w:type="character" w:styleId="SubtleReference">
    <w:name w:val="Subtle Reference"/>
    <w:basedOn w:val="DefaultParagraphFont"/>
    <w:uiPriority w:val="31"/>
    <w:qFormat/>
    <w:rsid w:val="00130CB9"/>
    <w:rPr>
      <w:smallCaps/>
      <w:color w:val="404040" w:themeColor="text1" w:themeTint="BF"/>
      <w:u w:val="single" w:color="7F7F7F" w:themeColor="text1" w:themeTint="80"/>
    </w:rPr>
  </w:style>
  <w:style w:type="character" w:styleId="BookTitle">
    <w:name w:val="Book Title"/>
    <w:basedOn w:val="DefaultParagraphFont"/>
    <w:uiPriority w:val="33"/>
    <w:qFormat/>
    <w:rsid w:val="00130CB9"/>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16215-0F4F-4338-9775-E60651D40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4318</Words>
  <Characters>24617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Amin</dc:creator>
  <cp:keywords/>
  <dc:description/>
  <cp:lastModifiedBy>Naima Amin (2222407)</cp:lastModifiedBy>
  <cp:revision>5</cp:revision>
  <dcterms:created xsi:type="dcterms:W3CDTF">2026-03-08T18:16:00Z</dcterms:created>
  <dcterms:modified xsi:type="dcterms:W3CDTF">2026-03-16T15:04:00Z</dcterms:modified>
</cp:coreProperties>
</file>