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A6490" w14:textId="77777777" w:rsidR="00C93C3A" w:rsidRPr="00812591" w:rsidRDefault="00DB5B20" w:rsidP="004342D4">
      <w:pPr>
        <w:pStyle w:val="BodyText"/>
        <w:mirrorIndents/>
        <w:jc w:val="center"/>
        <w:rPr>
          <w:rFonts w:cs="Arial"/>
          <w:sz w:val="20"/>
        </w:rPr>
      </w:pPr>
      <w:r>
        <w:rPr>
          <w:noProof/>
        </w:rPr>
        <w:drawing>
          <wp:inline distT="0" distB="0" distL="0" distR="0" wp14:anchorId="29EB9A1F" wp14:editId="08CD2163">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51C0C380" w14:textId="77777777" w:rsidR="00C93C3A" w:rsidRDefault="00C93C3A" w:rsidP="00DA52F0">
      <w:pPr>
        <w:pStyle w:val="BodyText"/>
        <w:mirrorIndents/>
        <w:rPr>
          <w:rFonts w:cs="Arial"/>
          <w:sz w:val="20"/>
        </w:rPr>
      </w:pPr>
    </w:p>
    <w:p w14:paraId="6B18E182" w14:textId="77777777" w:rsidR="00141A69" w:rsidRPr="00812591" w:rsidRDefault="00141A69" w:rsidP="00DA52F0">
      <w:pPr>
        <w:pStyle w:val="BodyText"/>
        <w:mirrorIndents/>
        <w:rPr>
          <w:rFonts w:cs="Arial"/>
          <w:sz w:val="20"/>
        </w:rPr>
      </w:pPr>
    </w:p>
    <w:p w14:paraId="34903A87" w14:textId="77777777" w:rsidR="00141A69" w:rsidRPr="00055CD7" w:rsidRDefault="00DB5B20" w:rsidP="00055C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jc w:val="center"/>
        <w:rPr>
          <w:rFonts w:eastAsia="Arial Unicode MS" w:cs="Arial"/>
          <w:b/>
          <w:color w:val="0070C0"/>
          <w:sz w:val="28"/>
          <w:szCs w:val="28"/>
        </w:rPr>
      </w:pPr>
      <w:r w:rsidRPr="00055CD7">
        <w:rPr>
          <w:rFonts w:eastAsia="Arial Unicode MS" w:cs="Arial"/>
          <w:b/>
          <w:color w:val="0070C0"/>
          <w:sz w:val="28"/>
          <w:szCs w:val="28"/>
        </w:rPr>
        <w:t xml:space="preserve">The Role of Continuous Glucose Monitoring Systems (Libre and Dexcom) in Improving Diabetes Management at Home </w:t>
      </w:r>
    </w:p>
    <w:p w14:paraId="1C222217" w14:textId="77777777" w:rsidR="00055CD7" w:rsidRDefault="00055CD7" w:rsidP="00055C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
          <w:color w:val="0070C0"/>
          <w:sz w:val="28"/>
          <w:szCs w:val="28"/>
        </w:rPr>
      </w:pPr>
    </w:p>
    <w:p w14:paraId="7E5D7550" w14:textId="5D2BA878" w:rsidR="008825E0" w:rsidRDefault="006D62E9" w:rsidP="006D62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jc w:val="center"/>
        <w:rPr>
          <w:rFonts w:eastAsia="Arial Unicode MS" w:cs="Arial"/>
          <w:b/>
          <w:color w:val="0070C0"/>
          <w:sz w:val="28"/>
          <w:szCs w:val="28"/>
        </w:rPr>
      </w:pPr>
      <w:r>
        <w:rPr>
          <w:rFonts w:eastAsia="Arial Unicode MS" w:cs="Arial"/>
          <w:b/>
          <w:color w:val="0070C0"/>
          <w:sz w:val="28"/>
          <w:szCs w:val="28"/>
        </w:rPr>
        <w:t xml:space="preserve">Student Name: </w:t>
      </w:r>
      <w:r w:rsidRPr="006D62E9">
        <w:rPr>
          <w:rFonts w:eastAsia="Arial Unicode MS" w:cs="Arial"/>
          <w:b/>
          <w:color w:val="0070C0"/>
          <w:sz w:val="28"/>
          <w:szCs w:val="28"/>
        </w:rPr>
        <w:t>Niculina Carmen Butnaru</w:t>
      </w:r>
    </w:p>
    <w:p w14:paraId="0FA101CA" w14:textId="3CD7A98F" w:rsidR="006D62E9" w:rsidRPr="006D62E9" w:rsidRDefault="006D62E9" w:rsidP="006D62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jc w:val="center"/>
        <w:rPr>
          <w:rFonts w:eastAsia="Arial Unicode MS" w:cs="Arial"/>
          <w:b/>
          <w:color w:val="0070C0"/>
          <w:sz w:val="28"/>
          <w:szCs w:val="28"/>
        </w:rPr>
      </w:pPr>
      <w:r w:rsidRPr="006D62E9">
        <w:rPr>
          <w:rFonts w:eastAsia="Arial Unicode MS" w:cs="Arial"/>
          <w:b/>
          <w:color w:val="0070C0"/>
          <w:sz w:val="28"/>
          <w:szCs w:val="28"/>
        </w:rPr>
        <w:t>Student ID: 2241990</w:t>
      </w:r>
    </w:p>
    <w:p w14:paraId="626A810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sz w:val="40"/>
          <w:szCs w:val="40"/>
        </w:rPr>
      </w:pPr>
    </w:p>
    <w:p w14:paraId="2AE52397" w14:textId="51820EFE" w:rsidR="00141A69" w:rsidRPr="00055CD7" w:rsidRDefault="00DB5B2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sz w:val="24"/>
          <w:szCs w:val="24"/>
        </w:rPr>
      </w:pPr>
      <w:r w:rsidRPr="00055CD7">
        <w:rPr>
          <w:rFonts w:eastAsia="Arial Unicode MS" w:cs="Arial"/>
          <w:b/>
          <w:bCs/>
          <w:sz w:val="24"/>
          <w:szCs w:val="24"/>
        </w:rPr>
        <w:t>Supervisor’s name</w:t>
      </w:r>
      <w:r w:rsidRPr="00055CD7">
        <w:rPr>
          <w:rFonts w:eastAsia="Arial Unicode MS" w:cs="Arial"/>
          <w:sz w:val="24"/>
          <w:szCs w:val="24"/>
        </w:rPr>
        <w:t>:</w:t>
      </w:r>
      <w:r w:rsidR="006D62E9">
        <w:rPr>
          <w:rFonts w:eastAsia="Arial Unicode MS" w:cs="Arial"/>
          <w:sz w:val="24"/>
          <w:szCs w:val="24"/>
        </w:rPr>
        <w:t xml:space="preserve"> </w:t>
      </w:r>
      <w:r w:rsidR="006D62E9" w:rsidRPr="006D62E9">
        <w:rPr>
          <w:rFonts w:eastAsia="Arial Unicode MS" w:cs="Arial"/>
          <w:sz w:val="24"/>
          <w:szCs w:val="24"/>
        </w:rPr>
        <w:t>Chloe Harries</w:t>
      </w:r>
    </w:p>
    <w:p w14:paraId="33933238"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sz w:val="40"/>
          <w:szCs w:val="40"/>
        </w:rPr>
      </w:pPr>
    </w:p>
    <w:p w14:paraId="30FA6A6F" w14:textId="77777777" w:rsidR="00141A69" w:rsidRPr="008825E0" w:rsidRDefault="00DB5B2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jc w:val="center"/>
        <w:rPr>
          <w:rFonts w:eastAsia="Arial Unicode MS" w:cs="Arial"/>
          <w:sz w:val="32"/>
          <w:szCs w:val="32"/>
        </w:rPr>
      </w:pPr>
      <w:r w:rsidRPr="00055CD7">
        <w:rPr>
          <w:rFonts w:eastAsia="Arial Unicode MS" w:cs="Arial"/>
          <w:sz w:val="28"/>
          <w:szCs w:val="28"/>
        </w:rPr>
        <w:t>Dissertation submitted as part of the requirements for the award BSc (Hons) Health and Social Care</w:t>
      </w:r>
      <w:r w:rsidR="00C9301E">
        <w:rPr>
          <w:rFonts w:eastAsia="Arial Unicode MS" w:cs="Arial"/>
          <w:sz w:val="28"/>
          <w:szCs w:val="28"/>
        </w:rPr>
        <w:t>.</w:t>
      </w:r>
      <w:r w:rsidRPr="00055CD7">
        <w:rPr>
          <w:rFonts w:eastAsia="Arial Unicode MS" w:cs="Arial"/>
          <w:sz w:val="28"/>
          <w:szCs w:val="28"/>
        </w:rPr>
        <w:t xml:space="preserve"> </w:t>
      </w:r>
    </w:p>
    <w:p w14:paraId="11D1E0DF"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3BAC757F"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62246299" w14:textId="1B498AA8" w:rsidR="00141A69" w:rsidRPr="00141A69" w:rsidRDefault="006D62E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jc w:val="center"/>
        <w:rPr>
          <w:rFonts w:eastAsia="Arial Unicode MS" w:cs="Arial"/>
          <w:b/>
          <w:bCs/>
          <w:color w:val="0070C0"/>
        </w:rPr>
      </w:pPr>
      <w:r>
        <w:rPr>
          <w:rFonts w:eastAsia="Arial Unicode MS" w:cs="Arial"/>
          <w:b/>
          <w:bCs/>
          <w:color w:val="0070C0"/>
        </w:rPr>
        <w:t>March, 2026</w:t>
      </w:r>
    </w:p>
    <w:p w14:paraId="28E7832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549EC3B5" w14:textId="77777777" w:rsidR="003F2B6D" w:rsidRDefault="00DB5B20" w:rsidP="00DA52F0">
      <w:pPr>
        <w:rPr>
          <w:rFonts w:eastAsia="Times New Roman" w:cs="Arial"/>
          <w:b/>
          <w:sz w:val="20"/>
          <w:szCs w:val="20"/>
        </w:rPr>
      </w:pPr>
      <w:r>
        <w:rPr>
          <w:rFonts w:eastAsia="Times New Roman" w:cs="Arial"/>
          <w:b/>
          <w:sz w:val="20"/>
          <w:szCs w:val="20"/>
        </w:rPr>
        <w:br w:type="page"/>
      </w:r>
    </w:p>
    <w:p w14:paraId="69C6E978" w14:textId="77777777" w:rsidR="005C2C7A" w:rsidRPr="00812591" w:rsidRDefault="00DB5B20" w:rsidP="00DA52F0">
      <w:pPr>
        <w:pStyle w:val="Heading1"/>
      </w:pPr>
      <w:bookmarkStart w:id="0" w:name="_Toc225702875"/>
      <w:r w:rsidRPr="00812591">
        <w:lastRenderedPageBreak/>
        <w:t>DECLARATION</w:t>
      </w:r>
      <w:bookmarkEnd w:id="0"/>
    </w:p>
    <w:p w14:paraId="0EF77DF5" w14:textId="77777777" w:rsidR="005C2C7A" w:rsidRPr="00812591" w:rsidRDefault="005C2C7A" w:rsidP="00DA52F0">
      <w:pPr>
        <w:mirrorIndents/>
        <w:rPr>
          <w:rFonts w:eastAsia="Times New Roman" w:cs="Arial"/>
          <w:sz w:val="20"/>
          <w:szCs w:val="20"/>
        </w:rPr>
      </w:pPr>
    </w:p>
    <w:p w14:paraId="47A7DFEB" w14:textId="77777777" w:rsidR="005C2C7A" w:rsidRPr="002B4534" w:rsidRDefault="00DB5B20" w:rsidP="00DA52F0">
      <w:pPr>
        <w:mirrorIndents/>
        <w:rPr>
          <w:rFonts w:eastAsia="Times New Roman" w:cs="Arial"/>
          <w:sz w:val="24"/>
          <w:szCs w:val="24"/>
        </w:rPr>
      </w:pPr>
      <w:r w:rsidRPr="002B4534">
        <w:rPr>
          <w:rFonts w:eastAsia="Times New Roman" w:cs="Arial"/>
          <w:sz w:val="24"/>
          <w:szCs w:val="24"/>
        </w:rPr>
        <w:t>This work has not previously been accepted in substance for any degree and is not being concurrently submitted in candidature for any degree</w:t>
      </w:r>
      <w:r w:rsidR="002B4534" w:rsidRPr="002B4534">
        <w:rPr>
          <w:rFonts w:eastAsia="Times New Roman" w:cs="Arial"/>
          <w:sz w:val="24"/>
          <w:szCs w:val="24"/>
        </w:rPr>
        <w:t>.</w:t>
      </w:r>
    </w:p>
    <w:p w14:paraId="0E4611E4" w14:textId="77777777" w:rsidR="00055CD7" w:rsidRDefault="00055CD7" w:rsidP="00DA52F0">
      <w:pPr>
        <w:mirrorIndents/>
        <w:rPr>
          <w:rFonts w:eastAsia="Times New Roman" w:cs="Arial"/>
          <w:sz w:val="24"/>
          <w:szCs w:val="24"/>
        </w:rPr>
      </w:pPr>
    </w:p>
    <w:p w14:paraId="3129114D" w14:textId="1822ECA3" w:rsidR="00055CD7" w:rsidRPr="002B4534" w:rsidRDefault="00DB5B20" w:rsidP="00055CD7">
      <w:pPr>
        <w:mirrorIndents/>
        <w:rPr>
          <w:rFonts w:eastAsia="Times New Roman" w:cs="Arial"/>
          <w:sz w:val="24"/>
          <w:szCs w:val="24"/>
        </w:rPr>
      </w:pPr>
      <w:r w:rsidRPr="002B4534">
        <w:rPr>
          <w:rFonts w:eastAsia="Times New Roman" w:cs="Arial"/>
          <w:sz w:val="24"/>
          <w:szCs w:val="24"/>
        </w:rPr>
        <w:t>Signed…</w:t>
      </w:r>
      <w:r w:rsidR="006D62E9" w:rsidRPr="006D62E9">
        <w:t xml:space="preserve"> </w:t>
      </w:r>
      <w:r w:rsidR="006D62E9" w:rsidRPr="006D62E9">
        <w:rPr>
          <w:rFonts w:eastAsia="Times New Roman" w:cs="Arial"/>
          <w:sz w:val="24"/>
          <w:szCs w:val="24"/>
        </w:rPr>
        <w:t xml:space="preserve">Niculina Carmen Butnaru </w:t>
      </w:r>
      <w:r w:rsidRPr="002B4534">
        <w:rPr>
          <w:rFonts w:eastAsia="Times New Roman" w:cs="Arial"/>
          <w:sz w:val="24"/>
          <w:szCs w:val="24"/>
        </w:rPr>
        <w:t>……………………………………</w:t>
      </w:r>
      <w:r>
        <w:rPr>
          <w:rFonts w:eastAsia="Times New Roman" w:cs="Arial"/>
          <w:sz w:val="24"/>
          <w:szCs w:val="24"/>
        </w:rPr>
        <w:t xml:space="preserve">  </w:t>
      </w:r>
      <w:r w:rsidRPr="002B4534">
        <w:rPr>
          <w:rFonts w:eastAsia="Times New Roman" w:cs="Arial"/>
          <w:sz w:val="24"/>
          <w:szCs w:val="24"/>
        </w:rPr>
        <w:t>Date…</w:t>
      </w:r>
      <w:r w:rsidR="006D62E9">
        <w:rPr>
          <w:rFonts w:eastAsia="Times New Roman" w:cs="Arial"/>
          <w:sz w:val="24"/>
          <w:szCs w:val="24"/>
        </w:rPr>
        <w:t>29 March 2026</w:t>
      </w:r>
      <w:r w:rsidRPr="002B4534">
        <w:rPr>
          <w:rFonts w:eastAsia="Times New Roman" w:cs="Arial"/>
          <w:sz w:val="24"/>
          <w:szCs w:val="24"/>
        </w:rPr>
        <w:t>…………………………………</w:t>
      </w:r>
    </w:p>
    <w:p w14:paraId="0F8976AA" w14:textId="77777777" w:rsidR="005C2C7A" w:rsidRPr="002B4534" w:rsidRDefault="005C2C7A" w:rsidP="00DA52F0">
      <w:pPr>
        <w:mirrorIndents/>
        <w:rPr>
          <w:rFonts w:eastAsia="Times New Roman" w:cs="Arial"/>
          <w:sz w:val="24"/>
          <w:szCs w:val="24"/>
        </w:rPr>
      </w:pPr>
    </w:p>
    <w:p w14:paraId="279A1A5F" w14:textId="77777777" w:rsidR="005C2C7A" w:rsidRPr="002B4534" w:rsidRDefault="00DB5B20" w:rsidP="00DA52F0">
      <w:pPr>
        <w:mirrorIndents/>
        <w:rPr>
          <w:rFonts w:eastAsia="Times New Roman" w:cs="Arial"/>
          <w:bCs/>
          <w:kern w:val="32"/>
          <w:sz w:val="24"/>
          <w:szCs w:val="24"/>
        </w:rPr>
      </w:pPr>
      <w:r w:rsidRPr="002B4534">
        <w:rPr>
          <w:rFonts w:eastAsia="Times New Roman" w:cs="Arial"/>
          <w:b/>
          <w:sz w:val="24"/>
          <w:szCs w:val="24"/>
        </w:rPr>
        <w:t xml:space="preserve">STATEMENT 1 </w:t>
      </w:r>
    </w:p>
    <w:p w14:paraId="5DF27458" w14:textId="77777777" w:rsidR="005C2C7A" w:rsidRPr="002B4534" w:rsidRDefault="00DB5B20" w:rsidP="00DA52F0">
      <w:pPr>
        <w:mirrorIndents/>
        <w:rPr>
          <w:rFonts w:eastAsia="Times New Roman" w:cs="Arial"/>
          <w:sz w:val="24"/>
          <w:szCs w:val="24"/>
        </w:rPr>
      </w:pPr>
      <w:r w:rsidRPr="002B4534">
        <w:rPr>
          <w:rFonts w:eastAsia="Times New Roman" w:cs="Arial"/>
          <w:sz w:val="24"/>
          <w:szCs w:val="24"/>
        </w:rPr>
        <w:t>This dissertation is being submitted in partial fulfilment of the requirements for the degree of B</w:t>
      </w:r>
      <w:r w:rsidR="00B80583" w:rsidRPr="002B4534">
        <w:rPr>
          <w:rFonts w:eastAsia="Times New Roman" w:cs="Arial"/>
          <w:sz w:val="24"/>
          <w:szCs w:val="24"/>
        </w:rPr>
        <w:t>Sc</w:t>
      </w:r>
      <w:r w:rsidRPr="002B4534">
        <w:rPr>
          <w:rFonts w:eastAsia="Times New Roman" w:cs="Arial"/>
          <w:sz w:val="24"/>
          <w:szCs w:val="24"/>
        </w:rPr>
        <w:t>.</w:t>
      </w:r>
    </w:p>
    <w:p w14:paraId="396638E6" w14:textId="77777777" w:rsidR="005C2C7A" w:rsidRPr="002B4534" w:rsidRDefault="005C2C7A" w:rsidP="002B4534">
      <w:pPr>
        <w:rPr>
          <w:sz w:val="24"/>
          <w:szCs w:val="24"/>
        </w:rPr>
      </w:pPr>
    </w:p>
    <w:p w14:paraId="11C13C35" w14:textId="77777777" w:rsidR="006D62E9" w:rsidRPr="002B4534" w:rsidRDefault="006D62E9" w:rsidP="006D62E9">
      <w:pPr>
        <w:mirrorIndents/>
        <w:rPr>
          <w:rFonts w:eastAsia="Times New Roman" w:cs="Arial"/>
          <w:sz w:val="24"/>
          <w:szCs w:val="24"/>
        </w:rPr>
      </w:pPr>
      <w:r w:rsidRPr="002B4534">
        <w:rPr>
          <w:rFonts w:eastAsia="Times New Roman" w:cs="Arial"/>
          <w:sz w:val="24"/>
          <w:szCs w:val="24"/>
        </w:rPr>
        <w:t>Signed…</w:t>
      </w:r>
      <w:r w:rsidRPr="006D62E9">
        <w:t xml:space="preserve"> </w:t>
      </w:r>
      <w:r w:rsidRPr="006D62E9">
        <w:rPr>
          <w:rFonts w:eastAsia="Times New Roman" w:cs="Arial"/>
          <w:sz w:val="24"/>
          <w:szCs w:val="24"/>
        </w:rPr>
        <w:t xml:space="preserve">Niculina Carmen Butnaru </w:t>
      </w:r>
      <w:r w:rsidRPr="002B4534">
        <w:rPr>
          <w:rFonts w:eastAsia="Times New Roman" w:cs="Arial"/>
          <w:sz w:val="24"/>
          <w:szCs w:val="24"/>
        </w:rPr>
        <w:t>……………………………………</w:t>
      </w:r>
      <w:r>
        <w:rPr>
          <w:rFonts w:eastAsia="Times New Roman" w:cs="Arial"/>
          <w:sz w:val="24"/>
          <w:szCs w:val="24"/>
        </w:rPr>
        <w:t xml:space="preserve">  </w:t>
      </w:r>
      <w:r w:rsidRPr="002B4534">
        <w:rPr>
          <w:rFonts w:eastAsia="Times New Roman" w:cs="Arial"/>
          <w:sz w:val="24"/>
          <w:szCs w:val="24"/>
        </w:rPr>
        <w:t>Date…</w:t>
      </w:r>
      <w:r>
        <w:rPr>
          <w:rFonts w:eastAsia="Times New Roman" w:cs="Arial"/>
          <w:sz w:val="24"/>
          <w:szCs w:val="24"/>
        </w:rPr>
        <w:t>29 March 2026</w:t>
      </w:r>
      <w:r w:rsidRPr="002B4534">
        <w:rPr>
          <w:rFonts w:eastAsia="Times New Roman" w:cs="Arial"/>
          <w:sz w:val="24"/>
          <w:szCs w:val="24"/>
        </w:rPr>
        <w:t>…………………………………</w:t>
      </w:r>
    </w:p>
    <w:p w14:paraId="50068F38" w14:textId="77777777" w:rsidR="00055CD7" w:rsidRDefault="00055CD7" w:rsidP="00DA52F0">
      <w:pPr>
        <w:mirrorIndents/>
        <w:rPr>
          <w:rFonts w:eastAsia="Times New Roman" w:cs="Arial"/>
          <w:sz w:val="24"/>
          <w:szCs w:val="24"/>
        </w:rPr>
      </w:pPr>
    </w:p>
    <w:p w14:paraId="26B136A8" w14:textId="77777777" w:rsidR="005C2C7A" w:rsidRPr="002B4534" w:rsidRDefault="00DB5B20" w:rsidP="00DA52F0">
      <w:pPr>
        <w:mirrorIndents/>
        <w:rPr>
          <w:rFonts w:eastAsia="Times New Roman" w:cs="Arial"/>
          <w:sz w:val="24"/>
          <w:szCs w:val="24"/>
        </w:rPr>
      </w:pPr>
      <w:r w:rsidRPr="002B4534">
        <w:rPr>
          <w:rFonts w:eastAsia="Times New Roman" w:cs="Arial"/>
          <w:b/>
          <w:sz w:val="24"/>
          <w:szCs w:val="24"/>
        </w:rPr>
        <w:t>STATEMENT 2</w:t>
      </w:r>
    </w:p>
    <w:p w14:paraId="778A804D" w14:textId="6146791F" w:rsidR="005C2C7A" w:rsidRDefault="00DB5B20" w:rsidP="00DA52F0">
      <w:pPr>
        <w:mirrorIndents/>
        <w:rPr>
          <w:rFonts w:eastAsia="Times New Roman" w:cs="Arial"/>
          <w:sz w:val="24"/>
          <w:szCs w:val="24"/>
        </w:rPr>
      </w:pPr>
      <w:r w:rsidRPr="002B4534">
        <w:rPr>
          <w:rFonts w:eastAsia="Times New Roman" w:cs="Arial"/>
          <w:sz w:val="24"/>
          <w:szCs w:val="24"/>
        </w:rPr>
        <w:t>This dissertation is the result of my own independent work/investigation, except where otherwise stated.</w:t>
      </w:r>
      <w:r w:rsidR="00055CD7">
        <w:rPr>
          <w:rFonts w:eastAsia="Times New Roman" w:cs="Arial"/>
          <w:sz w:val="24"/>
          <w:szCs w:val="24"/>
        </w:rPr>
        <w:t xml:space="preserve"> </w:t>
      </w:r>
      <w:r w:rsidRPr="002B4534">
        <w:rPr>
          <w:rFonts w:eastAsia="Times New Roman" w:cs="Arial"/>
          <w:sz w:val="24"/>
          <w:szCs w:val="24"/>
        </w:rPr>
        <w:t>Other sources are acknowledged by footnotes giving explicit references. A bibliography is appended.</w:t>
      </w:r>
    </w:p>
    <w:p w14:paraId="67A17273" w14:textId="77777777" w:rsidR="006D62E9" w:rsidRPr="002B4534" w:rsidRDefault="006D62E9" w:rsidP="00DA52F0">
      <w:pPr>
        <w:mirrorIndents/>
        <w:rPr>
          <w:rFonts w:eastAsia="Times New Roman" w:cs="Arial"/>
          <w:sz w:val="24"/>
          <w:szCs w:val="24"/>
        </w:rPr>
      </w:pPr>
    </w:p>
    <w:p w14:paraId="3D2F791F" w14:textId="77777777" w:rsidR="006D62E9" w:rsidRPr="002B4534" w:rsidRDefault="006D62E9" w:rsidP="006D62E9">
      <w:pPr>
        <w:mirrorIndents/>
        <w:rPr>
          <w:rFonts w:eastAsia="Times New Roman" w:cs="Arial"/>
          <w:sz w:val="24"/>
          <w:szCs w:val="24"/>
        </w:rPr>
      </w:pPr>
      <w:r w:rsidRPr="002B4534">
        <w:rPr>
          <w:rFonts w:eastAsia="Times New Roman" w:cs="Arial"/>
          <w:sz w:val="24"/>
          <w:szCs w:val="24"/>
        </w:rPr>
        <w:t>Signed…</w:t>
      </w:r>
      <w:r w:rsidRPr="006D62E9">
        <w:t xml:space="preserve"> </w:t>
      </w:r>
      <w:r w:rsidRPr="006D62E9">
        <w:rPr>
          <w:rFonts w:eastAsia="Times New Roman" w:cs="Arial"/>
          <w:sz w:val="24"/>
          <w:szCs w:val="24"/>
        </w:rPr>
        <w:t xml:space="preserve">Niculina Carmen Butnaru </w:t>
      </w:r>
      <w:r w:rsidRPr="002B4534">
        <w:rPr>
          <w:rFonts w:eastAsia="Times New Roman" w:cs="Arial"/>
          <w:sz w:val="24"/>
          <w:szCs w:val="24"/>
        </w:rPr>
        <w:t>……………………………………</w:t>
      </w:r>
      <w:r>
        <w:rPr>
          <w:rFonts w:eastAsia="Times New Roman" w:cs="Arial"/>
          <w:sz w:val="24"/>
          <w:szCs w:val="24"/>
        </w:rPr>
        <w:t xml:space="preserve">  </w:t>
      </w:r>
      <w:r w:rsidRPr="002B4534">
        <w:rPr>
          <w:rFonts w:eastAsia="Times New Roman" w:cs="Arial"/>
          <w:sz w:val="24"/>
          <w:szCs w:val="24"/>
        </w:rPr>
        <w:t>Date…</w:t>
      </w:r>
      <w:r>
        <w:rPr>
          <w:rFonts w:eastAsia="Times New Roman" w:cs="Arial"/>
          <w:sz w:val="24"/>
          <w:szCs w:val="24"/>
        </w:rPr>
        <w:t>29 March 2026</w:t>
      </w:r>
      <w:r w:rsidRPr="002B4534">
        <w:rPr>
          <w:rFonts w:eastAsia="Times New Roman" w:cs="Arial"/>
          <w:sz w:val="24"/>
          <w:szCs w:val="24"/>
        </w:rPr>
        <w:t>…………………………………</w:t>
      </w:r>
    </w:p>
    <w:p w14:paraId="348FC879" w14:textId="77777777" w:rsidR="005C2C7A" w:rsidRPr="002B4534" w:rsidRDefault="005C2C7A" w:rsidP="00DA52F0">
      <w:pPr>
        <w:mirrorIndents/>
        <w:rPr>
          <w:rFonts w:eastAsia="Times New Roman" w:cs="Arial"/>
          <w:sz w:val="24"/>
          <w:szCs w:val="24"/>
        </w:rPr>
      </w:pPr>
    </w:p>
    <w:p w14:paraId="0B0A88C0" w14:textId="77777777" w:rsidR="005C2C7A" w:rsidRPr="002B4534" w:rsidRDefault="005C2C7A" w:rsidP="00DA52F0">
      <w:pPr>
        <w:mirrorIndents/>
        <w:rPr>
          <w:rFonts w:eastAsia="Times New Roman" w:cs="Arial"/>
          <w:sz w:val="24"/>
          <w:szCs w:val="24"/>
        </w:rPr>
      </w:pPr>
    </w:p>
    <w:p w14:paraId="2E2CE978" w14:textId="77777777" w:rsidR="005C2C7A" w:rsidRPr="002B4534" w:rsidRDefault="005C2C7A" w:rsidP="00DA52F0">
      <w:pPr>
        <w:mirrorIndents/>
        <w:rPr>
          <w:rFonts w:eastAsia="Times New Roman" w:cs="Arial"/>
          <w:sz w:val="24"/>
          <w:szCs w:val="24"/>
        </w:rPr>
      </w:pPr>
    </w:p>
    <w:p w14:paraId="0C057185" w14:textId="77777777" w:rsidR="00DC1687" w:rsidRPr="00812591" w:rsidRDefault="00DB5B20" w:rsidP="00DA52F0">
      <w:pPr>
        <w:mirrorIndents/>
        <w:rPr>
          <w:rFonts w:eastAsia="Arial Unicode MS" w:cs="Arial"/>
          <w:b/>
          <w:sz w:val="28"/>
          <w:szCs w:val="28"/>
        </w:rPr>
      </w:pPr>
      <w:r w:rsidRPr="00812591">
        <w:rPr>
          <w:rFonts w:eastAsia="Arial Unicode MS" w:cs="Arial"/>
          <w:b/>
          <w:sz w:val="28"/>
          <w:szCs w:val="28"/>
        </w:rPr>
        <w:br w:type="page"/>
      </w:r>
    </w:p>
    <w:p w14:paraId="47E0B563" w14:textId="77777777" w:rsidR="005C2C7A" w:rsidRPr="00812591" w:rsidRDefault="00DB5B20" w:rsidP="00DA52F0">
      <w:pPr>
        <w:pStyle w:val="Heading1"/>
      </w:pPr>
      <w:bookmarkStart w:id="1" w:name="_Toc225702876"/>
      <w:r w:rsidRPr="00812591">
        <w:lastRenderedPageBreak/>
        <w:t>ACKNOWLEDGEMENTS</w:t>
      </w:r>
      <w:bookmarkEnd w:id="1"/>
    </w:p>
    <w:p w14:paraId="77F71891" w14:textId="009458FD" w:rsidR="00E6373C" w:rsidRPr="00E6373C" w:rsidRDefault="00E6373C" w:rsidP="00E6373C">
      <w:r w:rsidRPr="00E6373C">
        <w:t xml:space="preserve">I would also like to thank my supervisor very much </w:t>
      </w:r>
      <w:r>
        <w:t>for</w:t>
      </w:r>
      <w:r w:rsidRPr="00E6373C">
        <w:t xml:space="preserve"> </w:t>
      </w:r>
      <w:r>
        <w:t>their</w:t>
      </w:r>
      <w:r w:rsidRPr="00E6373C">
        <w:t xml:space="preserve"> precious guidance, support and constructive feedback during this research. I also appreciate the library services and academic staff who helped me get access to the necessary materials. I am grateful to my peers who encouraged and discussed various topics with me. Lastly, I am highly grateful to my family for supporting, motivating, and understanding me when conducting this dissertation.</w:t>
      </w:r>
    </w:p>
    <w:p w14:paraId="6EF30FA3" w14:textId="7D1EA238" w:rsidR="005C2C7A" w:rsidRPr="00141A69" w:rsidRDefault="005C2C7A" w:rsidP="00E6373C"/>
    <w:p w14:paraId="7DABCF68" w14:textId="70475099" w:rsidR="00C779A5" w:rsidRDefault="00C779A5">
      <w:pPr>
        <w:spacing w:line="240" w:lineRule="auto"/>
        <w:jc w:val="left"/>
        <w:rPr>
          <w:rFonts w:eastAsia="Arial Unicode MS" w:cs="Arial"/>
          <w:bCs/>
          <w:iCs/>
        </w:rPr>
      </w:pPr>
      <w:r>
        <w:rPr>
          <w:rFonts w:eastAsia="Arial Unicode MS" w:cs="Arial"/>
          <w:bCs/>
          <w:iCs/>
        </w:rPr>
        <w:br w:type="page"/>
      </w:r>
    </w:p>
    <w:sdt>
      <w:sdtPr>
        <w:rPr>
          <w:rFonts w:ascii="Arial" w:eastAsia="Calibri Light" w:hAnsi="Arial" w:cs="Calibri Light"/>
          <w:color w:val="auto"/>
          <w:sz w:val="22"/>
          <w:szCs w:val="22"/>
          <w:lang w:val="en-GB" w:eastAsia="en-GB" w:bidi="en-GB"/>
        </w:rPr>
        <w:id w:val="1904410801"/>
        <w:docPartObj>
          <w:docPartGallery w:val="Table of Contents"/>
          <w:docPartUnique/>
        </w:docPartObj>
      </w:sdtPr>
      <w:sdtEndPr>
        <w:rPr>
          <w:b/>
          <w:bCs/>
          <w:noProof/>
        </w:rPr>
      </w:sdtEndPr>
      <w:sdtContent>
        <w:p w14:paraId="6453EC8E" w14:textId="750415B6" w:rsidR="00C779A5" w:rsidRPr="006D62E9" w:rsidRDefault="00C779A5" w:rsidP="006D62E9">
          <w:pPr>
            <w:pStyle w:val="TOCHeading"/>
            <w:spacing w:line="360" w:lineRule="auto"/>
            <w:rPr>
              <w:rFonts w:ascii="Arial" w:hAnsi="Arial" w:cs="Arial"/>
              <w:b/>
              <w:bCs/>
              <w:color w:val="auto"/>
            </w:rPr>
          </w:pPr>
          <w:r w:rsidRPr="006D62E9">
            <w:rPr>
              <w:rFonts w:ascii="Arial" w:hAnsi="Arial" w:cs="Arial"/>
              <w:b/>
              <w:bCs/>
              <w:color w:val="auto"/>
            </w:rPr>
            <w:t>Contents</w:t>
          </w:r>
        </w:p>
        <w:p w14:paraId="676447FA" w14:textId="4C304BD4" w:rsidR="006D62E9" w:rsidRDefault="00C779A5" w:rsidP="006D62E9">
          <w:pPr>
            <w:pStyle w:val="TOC1"/>
            <w:tabs>
              <w:tab w:val="right" w:leader="dot" w:pos="9016"/>
            </w:tabs>
            <w:spacing w:after="0"/>
            <w:rPr>
              <w:rFonts w:asciiTheme="minorHAnsi" w:eastAsiaTheme="minorEastAsia" w:hAnsiTheme="minorHAnsi" w:cstheme="minorBidi"/>
              <w:noProof/>
              <w:lang w:bidi="ar-SA"/>
            </w:rPr>
          </w:pPr>
          <w:r>
            <w:fldChar w:fldCharType="begin"/>
          </w:r>
          <w:r>
            <w:instrText xml:space="preserve"> TOC \o "1-3" \h \z \u </w:instrText>
          </w:r>
          <w:r>
            <w:fldChar w:fldCharType="separate"/>
          </w:r>
          <w:hyperlink w:anchor="_Toc225702875" w:history="1">
            <w:r w:rsidR="006D62E9" w:rsidRPr="007B5A35">
              <w:rPr>
                <w:rStyle w:val="Hyperlink"/>
                <w:noProof/>
              </w:rPr>
              <w:t>DECLARATION</w:t>
            </w:r>
            <w:r w:rsidR="006D62E9">
              <w:rPr>
                <w:noProof/>
                <w:webHidden/>
              </w:rPr>
              <w:tab/>
            </w:r>
            <w:r w:rsidR="006D62E9">
              <w:rPr>
                <w:noProof/>
                <w:webHidden/>
              </w:rPr>
              <w:fldChar w:fldCharType="begin"/>
            </w:r>
            <w:r w:rsidR="006D62E9">
              <w:rPr>
                <w:noProof/>
                <w:webHidden/>
              </w:rPr>
              <w:instrText xml:space="preserve"> PAGEREF _Toc225702875 \h </w:instrText>
            </w:r>
            <w:r w:rsidR="006D62E9">
              <w:rPr>
                <w:noProof/>
                <w:webHidden/>
              </w:rPr>
            </w:r>
            <w:r w:rsidR="006D62E9">
              <w:rPr>
                <w:noProof/>
                <w:webHidden/>
              </w:rPr>
              <w:fldChar w:fldCharType="separate"/>
            </w:r>
            <w:r w:rsidR="006D62E9">
              <w:rPr>
                <w:noProof/>
                <w:webHidden/>
              </w:rPr>
              <w:t>2</w:t>
            </w:r>
            <w:r w:rsidR="006D62E9">
              <w:rPr>
                <w:noProof/>
                <w:webHidden/>
              </w:rPr>
              <w:fldChar w:fldCharType="end"/>
            </w:r>
          </w:hyperlink>
        </w:p>
        <w:p w14:paraId="0D2A23FB" w14:textId="5F97C8AA"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876" w:history="1">
            <w:r w:rsidRPr="007B5A35">
              <w:rPr>
                <w:rStyle w:val="Hyperlink"/>
                <w:noProof/>
              </w:rPr>
              <w:t>ACKNOWLEDGEMENTS</w:t>
            </w:r>
            <w:r>
              <w:rPr>
                <w:noProof/>
                <w:webHidden/>
              </w:rPr>
              <w:tab/>
            </w:r>
            <w:r>
              <w:rPr>
                <w:noProof/>
                <w:webHidden/>
              </w:rPr>
              <w:fldChar w:fldCharType="begin"/>
            </w:r>
            <w:r>
              <w:rPr>
                <w:noProof/>
                <w:webHidden/>
              </w:rPr>
              <w:instrText xml:space="preserve"> PAGEREF _Toc225702876 \h </w:instrText>
            </w:r>
            <w:r>
              <w:rPr>
                <w:noProof/>
                <w:webHidden/>
              </w:rPr>
            </w:r>
            <w:r>
              <w:rPr>
                <w:noProof/>
                <w:webHidden/>
              </w:rPr>
              <w:fldChar w:fldCharType="separate"/>
            </w:r>
            <w:r>
              <w:rPr>
                <w:noProof/>
                <w:webHidden/>
              </w:rPr>
              <w:t>3</w:t>
            </w:r>
            <w:r>
              <w:rPr>
                <w:noProof/>
                <w:webHidden/>
              </w:rPr>
              <w:fldChar w:fldCharType="end"/>
            </w:r>
          </w:hyperlink>
        </w:p>
        <w:p w14:paraId="24B305B7" w14:textId="20D38AE8"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877" w:history="1">
            <w:r w:rsidRPr="007B5A35">
              <w:rPr>
                <w:rStyle w:val="Hyperlink"/>
                <w:noProof/>
              </w:rPr>
              <w:t>Element 1: Proposal</w:t>
            </w:r>
            <w:r>
              <w:rPr>
                <w:noProof/>
                <w:webHidden/>
              </w:rPr>
              <w:tab/>
            </w:r>
            <w:r>
              <w:rPr>
                <w:noProof/>
                <w:webHidden/>
              </w:rPr>
              <w:fldChar w:fldCharType="begin"/>
            </w:r>
            <w:r>
              <w:rPr>
                <w:noProof/>
                <w:webHidden/>
              </w:rPr>
              <w:instrText xml:space="preserve"> PAGEREF _Toc225702877 \h </w:instrText>
            </w:r>
            <w:r>
              <w:rPr>
                <w:noProof/>
                <w:webHidden/>
              </w:rPr>
            </w:r>
            <w:r>
              <w:rPr>
                <w:noProof/>
                <w:webHidden/>
              </w:rPr>
              <w:fldChar w:fldCharType="separate"/>
            </w:r>
            <w:r>
              <w:rPr>
                <w:noProof/>
                <w:webHidden/>
              </w:rPr>
              <w:t>7</w:t>
            </w:r>
            <w:r>
              <w:rPr>
                <w:noProof/>
                <w:webHidden/>
              </w:rPr>
              <w:fldChar w:fldCharType="end"/>
            </w:r>
          </w:hyperlink>
        </w:p>
        <w:p w14:paraId="02EEF36F" w14:textId="491FD467"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878" w:history="1">
            <w:r w:rsidRPr="007B5A35">
              <w:rPr>
                <w:rStyle w:val="Hyperlink"/>
                <w:noProof/>
              </w:rPr>
              <w:t>References</w:t>
            </w:r>
            <w:r>
              <w:rPr>
                <w:noProof/>
                <w:webHidden/>
              </w:rPr>
              <w:tab/>
            </w:r>
            <w:r>
              <w:rPr>
                <w:noProof/>
                <w:webHidden/>
              </w:rPr>
              <w:fldChar w:fldCharType="begin"/>
            </w:r>
            <w:r>
              <w:rPr>
                <w:noProof/>
                <w:webHidden/>
              </w:rPr>
              <w:instrText xml:space="preserve"> PAGEREF _Toc225702878 \h </w:instrText>
            </w:r>
            <w:r>
              <w:rPr>
                <w:noProof/>
                <w:webHidden/>
              </w:rPr>
            </w:r>
            <w:r>
              <w:rPr>
                <w:noProof/>
                <w:webHidden/>
              </w:rPr>
              <w:fldChar w:fldCharType="separate"/>
            </w:r>
            <w:r>
              <w:rPr>
                <w:noProof/>
                <w:webHidden/>
              </w:rPr>
              <w:t>9</w:t>
            </w:r>
            <w:r>
              <w:rPr>
                <w:noProof/>
                <w:webHidden/>
              </w:rPr>
              <w:fldChar w:fldCharType="end"/>
            </w:r>
          </w:hyperlink>
        </w:p>
        <w:p w14:paraId="23FD9469" w14:textId="7B014879"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879" w:history="1">
            <w:r w:rsidRPr="007B5A35">
              <w:rPr>
                <w:rStyle w:val="Hyperlink"/>
                <w:noProof/>
              </w:rPr>
              <w:t>Element 2: Methodology:</w:t>
            </w:r>
            <w:r>
              <w:rPr>
                <w:noProof/>
                <w:webHidden/>
              </w:rPr>
              <w:tab/>
            </w:r>
            <w:r>
              <w:rPr>
                <w:noProof/>
                <w:webHidden/>
              </w:rPr>
              <w:fldChar w:fldCharType="begin"/>
            </w:r>
            <w:r>
              <w:rPr>
                <w:noProof/>
                <w:webHidden/>
              </w:rPr>
              <w:instrText xml:space="preserve"> PAGEREF _Toc225702879 \h </w:instrText>
            </w:r>
            <w:r>
              <w:rPr>
                <w:noProof/>
                <w:webHidden/>
              </w:rPr>
            </w:r>
            <w:r>
              <w:rPr>
                <w:noProof/>
                <w:webHidden/>
              </w:rPr>
              <w:fldChar w:fldCharType="separate"/>
            </w:r>
            <w:r>
              <w:rPr>
                <w:noProof/>
                <w:webHidden/>
              </w:rPr>
              <w:t>10</w:t>
            </w:r>
            <w:r>
              <w:rPr>
                <w:noProof/>
                <w:webHidden/>
              </w:rPr>
              <w:fldChar w:fldCharType="end"/>
            </w:r>
          </w:hyperlink>
        </w:p>
        <w:p w14:paraId="523344A1" w14:textId="59323718"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880" w:history="1">
            <w:r w:rsidRPr="007B5A35">
              <w:rPr>
                <w:rStyle w:val="Hyperlink"/>
                <w:noProof/>
              </w:rPr>
              <w:t>References</w:t>
            </w:r>
            <w:r>
              <w:rPr>
                <w:noProof/>
                <w:webHidden/>
              </w:rPr>
              <w:tab/>
            </w:r>
            <w:r>
              <w:rPr>
                <w:noProof/>
                <w:webHidden/>
              </w:rPr>
              <w:fldChar w:fldCharType="begin"/>
            </w:r>
            <w:r>
              <w:rPr>
                <w:noProof/>
                <w:webHidden/>
              </w:rPr>
              <w:instrText xml:space="preserve"> PAGEREF _Toc225702880 \h </w:instrText>
            </w:r>
            <w:r>
              <w:rPr>
                <w:noProof/>
                <w:webHidden/>
              </w:rPr>
            </w:r>
            <w:r>
              <w:rPr>
                <w:noProof/>
                <w:webHidden/>
              </w:rPr>
              <w:fldChar w:fldCharType="separate"/>
            </w:r>
            <w:r>
              <w:rPr>
                <w:noProof/>
                <w:webHidden/>
              </w:rPr>
              <w:t>12</w:t>
            </w:r>
            <w:r>
              <w:rPr>
                <w:noProof/>
                <w:webHidden/>
              </w:rPr>
              <w:fldChar w:fldCharType="end"/>
            </w:r>
          </w:hyperlink>
        </w:p>
        <w:p w14:paraId="13DCC615" w14:textId="154F1091"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881" w:history="1">
            <w:r w:rsidRPr="007B5A35">
              <w:rPr>
                <w:rStyle w:val="Hyperlink"/>
                <w:noProof/>
              </w:rPr>
              <w:t>Element 3: Dissertation</w:t>
            </w:r>
            <w:r>
              <w:rPr>
                <w:noProof/>
                <w:webHidden/>
              </w:rPr>
              <w:tab/>
            </w:r>
            <w:r>
              <w:rPr>
                <w:noProof/>
                <w:webHidden/>
              </w:rPr>
              <w:fldChar w:fldCharType="begin"/>
            </w:r>
            <w:r>
              <w:rPr>
                <w:noProof/>
                <w:webHidden/>
              </w:rPr>
              <w:instrText xml:space="preserve"> PAGEREF _Toc225702881 \h </w:instrText>
            </w:r>
            <w:r>
              <w:rPr>
                <w:noProof/>
                <w:webHidden/>
              </w:rPr>
            </w:r>
            <w:r>
              <w:rPr>
                <w:noProof/>
                <w:webHidden/>
              </w:rPr>
              <w:fldChar w:fldCharType="separate"/>
            </w:r>
            <w:r>
              <w:rPr>
                <w:noProof/>
                <w:webHidden/>
              </w:rPr>
              <w:t>14</w:t>
            </w:r>
            <w:r>
              <w:rPr>
                <w:noProof/>
                <w:webHidden/>
              </w:rPr>
              <w:fldChar w:fldCharType="end"/>
            </w:r>
          </w:hyperlink>
        </w:p>
        <w:p w14:paraId="17A7D532" w14:textId="4D661FBE"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882" w:history="1">
            <w:r w:rsidRPr="007B5A35">
              <w:rPr>
                <w:rStyle w:val="Hyperlink"/>
                <w:noProof/>
              </w:rPr>
              <w:t>ABSTRACT</w:t>
            </w:r>
            <w:r>
              <w:rPr>
                <w:noProof/>
                <w:webHidden/>
              </w:rPr>
              <w:tab/>
            </w:r>
            <w:r>
              <w:rPr>
                <w:noProof/>
                <w:webHidden/>
              </w:rPr>
              <w:fldChar w:fldCharType="begin"/>
            </w:r>
            <w:r>
              <w:rPr>
                <w:noProof/>
                <w:webHidden/>
              </w:rPr>
              <w:instrText xml:space="preserve"> PAGEREF _Toc225702882 \h </w:instrText>
            </w:r>
            <w:r>
              <w:rPr>
                <w:noProof/>
                <w:webHidden/>
              </w:rPr>
            </w:r>
            <w:r>
              <w:rPr>
                <w:noProof/>
                <w:webHidden/>
              </w:rPr>
              <w:fldChar w:fldCharType="separate"/>
            </w:r>
            <w:r>
              <w:rPr>
                <w:noProof/>
                <w:webHidden/>
              </w:rPr>
              <w:t>14</w:t>
            </w:r>
            <w:r>
              <w:rPr>
                <w:noProof/>
                <w:webHidden/>
              </w:rPr>
              <w:fldChar w:fldCharType="end"/>
            </w:r>
          </w:hyperlink>
        </w:p>
        <w:p w14:paraId="1CAA902B" w14:textId="1044D072"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883" w:history="1">
            <w:r w:rsidRPr="007B5A35">
              <w:rPr>
                <w:rStyle w:val="Hyperlink"/>
                <w:noProof/>
              </w:rPr>
              <w:t>CHAPTER 1: INTRODUCTION</w:t>
            </w:r>
            <w:r>
              <w:rPr>
                <w:noProof/>
                <w:webHidden/>
              </w:rPr>
              <w:tab/>
            </w:r>
            <w:r>
              <w:rPr>
                <w:noProof/>
                <w:webHidden/>
              </w:rPr>
              <w:fldChar w:fldCharType="begin"/>
            </w:r>
            <w:r>
              <w:rPr>
                <w:noProof/>
                <w:webHidden/>
              </w:rPr>
              <w:instrText xml:space="preserve"> PAGEREF _Toc225702883 \h </w:instrText>
            </w:r>
            <w:r>
              <w:rPr>
                <w:noProof/>
                <w:webHidden/>
              </w:rPr>
            </w:r>
            <w:r>
              <w:rPr>
                <w:noProof/>
                <w:webHidden/>
              </w:rPr>
              <w:fldChar w:fldCharType="separate"/>
            </w:r>
            <w:r>
              <w:rPr>
                <w:noProof/>
                <w:webHidden/>
              </w:rPr>
              <w:t>15</w:t>
            </w:r>
            <w:r>
              <w:rPr>
                <w:noProof/>
                <w:webHidden/>
              </w:rPr>
              <w:fldChar w:fldCharType="end"/>
            </w:r>
          </w:hyperlink>
        </w:p>
        <w:p w14:paraId="56699384" w14:textId="01E701CE"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884" w:history="1">
            <w:r w:rsidRPr="007B5A35">
              <w:rPr>
                <w:rStyle w:val="Hyperlink"/>
                <w:noProof/>
              </w:rPr>
              <w:t>1.1 Definition of Main Concepts of the Study</w:t>
            </w:r>
            <w:r>
              <w:rPr>
                <w:noProof/>
                <w:webHidden/>
              </w:rPr>
              <w:tab/>
            </w:r>
            <w:r>
              <w:rPr>
                <w:noProof/>
                <w:webHidden/>
              </w:rPr>
              <w:fldChar w:fldCharType="begin"/>
            </w:r>
            <w:r>
              <w:rPr>
                <w:noProof/>
                <w:webHidden/>
              </w:rPr>
              <w:instrText xml:space="preserve"> PAGEREF _Toc225702884 \h </w:instrText>
            </w:r>
            <w:r>
              <w:rPr>
                <w:noProof/>
                <w:webHidden/>
              </w:rPr>
            </w:r>
            <w:r>
              <w:rPr>
                <w:noProof/>
                <w:webHidden/>
              </w:rPr>
              <w:fldChar w:fldCharType="separate"/>
            </w:r>
            <w:r>
              <w:rPr>
                <w:noProof/>
                <w:webHidden/>
              </w:rPr>
              <w:t>15</w:t>
            </w:r>
            <w:r>
              <w:rPr>
                <w:noProof/>
                <w:webHidden/>
              </w:rPr>
              <w:fldChar w:fldCharType="end"/>
            </w:r>
          </w:hyperlink>
        </w:p>
        <w:p w14:paraId="2B4D1D40" w14:textId="7E774C85"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885" w:history="1">
            <w:r w:rsidRPr="007B5A35">
              <w:rPr>
                <w:rStyle w:val="Hyperlink"/>
                <w:noProof/>
              </w:rPr>
              <w:t>1.2 Rationale of the Study</w:t>
            </w:r>
            <w:r>
              <w:rPr>
                <w:noProof/>
                <w:webHidden/>
              </w:rPr>
              <w:tab/>
            </w:r>
            <w:r>
              <w:rPr>
                <w:noProof/>
                <w:webHidden/>
              </w:rPr>
              <w:fldChar w:fldCharType="begin"/>
            </w:r>
            <w:r>
              <w:rPr>
                <w:noProof/>
                <w:webHidden/>
              </w:rPr>
              <w:instrText xml:space="preserve"> PAGEREF _Toc225702885 \h </w:instrText>
            </w:r>
            <w:r>
              <w:rPr>
                <w:noProof/>
                <w:webHidden/>
              </w:rPr>
            </w:r>
            <w:r>
              <w:rPr>
                <w:noProof/>
                <w:webHidden/>
              </w:rPr>
              <w:fldChar w:fldCharType="separate"/>
            </w:r>
            <w:r>
              <w:rPr>
                <w:noProof/>
                <w:webHidden/>
              </w:rPr>
              <w:t>15</w:t>
            </w:r>
            <w:r>
              <w:rPr>
                <w:noProof/>
                <w:webHidden/>
              </w:rPr>
              <w:fldChar w:fldCharType="end"/>
            </w:r>
          </w:hyperlink>
        </w:p>
        <w:p w14:paraId="4867E21D" w14:textId="0247E131"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886" w:history="1">
            <w:r w:rsidRPr="007B5A35">
              <w:rPr>
                <w:rStyle w:val="Hyperlink"/>
                <w:noProof/>
              </w:rPr>
              <w:t>1.3 Aim of the Study</w:t>
            </w:r>
            <w:r>
              <w:rPr>
                <w:noProof/>
                <w:webHidden/>
              </w:rPr>
              <w:tab/>
            </w:r>
            <w:r>
              <w:rPr>
                <w:noProof/>
                <w:webHidden/>
              </w:rPr>
              <w:fldChar w:fldCharType="begin"/>
            </w:r>
            <w:r>
              <w:rPr>
                <w:noProof/>
                <w:webHidden/>
              </w:rPr>
              <w:instrText xml:space="preserve"> PAGEREF _Toc225702886 \h </w:instrText>
            </w:r>
            <w:r>
              <w:rPr>
                <w:noProof/>
                <w:webHidden/>
              </w:rPr>
            </w:r>
            <w:r>
              <w:rPr>
                <w:noProof/>
                <w:webHidden/>
              </w:rPr>
              <w:fldChar w:fldCharType="separate"/>
            </w:r>
            <w:r>
              <w:rPr>
                <w:noProof/>
                <w:webHidden/>
              </w:rPr>
              <w:t>16</w:t>
            </w:r>
            <w:r>
              <w:rPr>
                <w:noProof/>
                <w:webHidden/>
              </w:rPr>
              <w:fldChar w:fldCharType="end"/>
            </w:r>
          </w:hyperlink>
        </w:p>
        <w:p w14:paraId="545A3F69" w14:textId="52E7CEC7"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887" w:history="1">
            <w:r w:rsidRPr="007B5A35">
              <w:rPr>
                <w:rStyle w:val="Hyperlink"/>
                <w:noProof/>
              </w:rPr>
              <w:t>1.4 Objectives of the Study</w:t>
            </w:r>
            <w:r>
              <w:rPr>
                <w:noProof/>
                <w:webHidden/>
              </w:rPr>
              <w:tab/>
            </w:r>
            <w:r>
              <w:rPr>
                <w:noProof/>
                <w:webHidden/>
              </w:rPr>
              <w:fldChar w:fldCharType="begin"/>
            </w:r>
            <w:r>
              <w:rPr>
                <w:noProof/>
                <w:webHidden/>
              </w:rPr>
              <w:instrText xml:space="preserve"> PAGEREF _Toc225702887 \h </w:instrText>
            </w:r>
            <w:r>
              <w:rPr>
                <w:noProof/>
                <w:webHidden/>
              </w:rPr>
            </w:r>
            <w:r>
              <w:rPr>
                <w:noProof/>
                <w:webHidden/>
              </w:rPr>
              <w:fldChar w:fldCharType="separate"/>
            </w:r>
            <w:r>
              <w:rPr>
                <w:noProof/>
                <w:webHidden/>
              </w:rPr>
              <w:t>16</w:t>
            </w:r>
            <w:r>
              <w:rPr>
                <w:noProof/>
                <w:webHidden/>
              </w:rPr>
              <w:fldChar w:fldCharType="end"/>
            </w:r>
          </w:hyperlink>
        </w:p>
        <w:p w14:paraId="253F86EC" w14:textId="289BB05C"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888" w:history="1">
            <w:r w:rsidRPr="007B5A35">
              <w:rPr>
                <w:rStyle w:val="Hyperlink"/>
                <w:noProof/>
              </w:rPr>
              <w:t>1.5 Structure of the Dissertation</w:t>
            </w:r>
            <w:r>
              <w:rPr>
                <w:noProof/>
                <w:webHidden/>
              </w:rPr>
              <w:tab/>
            </w:r>
            <w:r>
              <w:rPr>
                <w:noProof/>
                <w:webHidden/>
              </w:rPr>
              <w:fldChar w:fldCharType="begin"/>
            </w:r>
            <w:r>
              <w:rPr>
                <w:noProof/>
                <w:webHidden/>
              </w:rPr>
              <w:instrText xml:space="preserve"> PAGEREF _Toc225702888 \h </w:instrText>
            </w:r>
            <w:r>
              <w:rPr>
                <w:noProof/>
                <w:webHidden/>
              </w:rPr>
            </w:r>
            <w:r>
              <w:rPr>
                <w:noProof/>
                <w:webHidden/>
              </w:rPr>
              <w:fldChar w:fldCharType="separate"/>
            </w:r>
            <w:r>
              <w:rPr>
                <w:noProof/>
                <w:webHidden/>
              </w:rPr>
              <w:t>16</w:t>
            </w:r>
            <w:r>
              <w:rPr>
                <w:noProof/>
                <w:webHidden/>
              </w:rPr>
              <w:fldChar w:fldCharType="end"/>
            </w:r>
          </w:hyperlink>
        </w:p>
        <w:p w14:paraId="1127D52B" w14:textId="5EBF40C6"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889" w:history="1">
            <w:r w:rsidRPr="007B5A35">
              <w:rPr>
                <w:rStyle w:val="Hyperlink"/>
                <w:noProof/>
              </w:rPr>
              <w:t>CHAPTER 2: BACKGROUND</w:t>
            </w:r>
            <w:r>
              <w:rPr>
                <w:noProof/>
                <w:webHidden/>
              </w:rPr>
              <w:tab/>
            </w:r>
            <w:r>
              <w:rPr>
                <w:noProof/>
                <w:webHidden/>
              </w:rPr>
              <w:fldChar w:fldCharType="begin"/>
            </w:r>
            <w:r>
              <w:rPr>
                <w:noProof/>
                <w:webHidden/>
              </w:rPr>
              <w:instrText xml:space="preserve"> PAGEREF _Toc225702889 \h </w:instrText>
            </w:r>
            <w:r>
              <w:rPr>
                <w:noProof/>
                <w:webHidden/>
              </w:rPr>
            </w:r>
            <w:r>
              <w:rPr>
                <w:noProof/>
                <w:webHidden/>
              </w:rPr>
              <w:fldChar w:fldCharType="separate"/>
            </w:r>
            <w:r>
              <w:rPr>
                <w:noProof/>
                <w:webHidden/>
              </w:rPr>
              <w:t>18</w:t>
            </w:r>
            <w:r>
              <w:rPr>
                <w:noProof/>
                <w:webHidden/>
              </w:rPr>
              <w:fldChar w:fldCharType="end"/>
            </w:r>
          </w:hyperlink>
        </w:p>
        <w:p w14:paraId="40298666" w14:textId="168BE79F"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890" w:history="1">
            <w:r w:rsidRPr="007B5A35">
              <w:rPr>
                <w:rStyle w:val="Hyperlink"/>
                <w:noProof/>
              </w:rPr>
              <w:t>2.1 Introduction</w:t>
            </w:r>
            <w:r>
              <w:rPr>
                <w:noProof/>
                <w:webHidden/>
              </w:rPr>
              <w:tab/>
            </w:r>
            <w:r>
              <w:rPr>
                <w:noProof/>
                <w:webHidden/>
              </w:rPr>
              <w:fldChar w:fldCharType="begin"/>
            </w:r>
            <w:r>
              <w:rPr>
                <w:noProof/>
                <w:webHidden/>
              </w:rPr>
              <w:instrText xml:space="preserve"> PAGEREF _Toc225702890 \h </w:instrText>
            </w:r>
            <w:r>
              <w:rPr>
                <w:noProof/>
                <w:webHidden/>
              </w:rPr>
            </w:r>
            <w:r>
              <w:rPr>
                <w:noProof/>
                <w:webHidden/>
              </w:rPr>
              <w:fldChar w:fldCharType="separate"/>
            </w:r>
            <w:r>
              <w:rPr>
                <w:noProof/>
                <w:webHidden/>
              </w:rPr>
              <w:t>18</w:t>
            </w:r>
            <w:r>
              <w:rPr>
                <w:noProof/>
                <w:webHidden/>
              </w:rPr>
              <w:fldChar w:fldCharType="end"/>
            </w:r>
          </w:hyperlink>
        </w:p>
        <w:p w14:paraId="1415BE3D" w14:textId="52384621"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891" w:history="1">
            <w:r w:rsidRPr="007B5A35">
              <w:rPr>
                <w:rStyle w:val="Hyperlink"/>
                <w:noProof/>
              </w:rPr>
              <w:t>2.2 Historical Background</w:t>
            </w:r>
            <w:r>
              <w:rPr>
                <w:noProof/>
                <w:webHidden/>
              </w:rPr>
              <w:tab/>
            </w:r>
            <w:r>
              <w:rPr>
                <w:noProof/>
                <w:webHidden/>
              </w:rPr>
              <w:fldChar w:fldCharType="begin"/>
            </w:r>
            <w:r>
              <w:rPr>
                <w:noProof/>
                <w:webHidden/>
              </w:rPr>
              <w:instrText xml:space="preserve"> PAGEREF _Toc225702891 \h </w:instrText>
            </w:r>
            <w:r>
              <w:rPr>
                <w:noProof/>
                <w:webHidden/>
              </w:rPr>
            </w:r>
            <w:r>
              <w:rPr>
                <w:noProof/>
                <w:webHidden/>
              </w:rPr>
              <w:fldChar w:fldCharType="separate"/>
            </w:r>
            <w:r>
              <w:rPr>
                <w:noProof/>
                <w:webHidden/>
              </w:rPr>
              <w:t>18</w:t>
            </w:r>
            <w:r>
              <w:rPr>
                <w:noProof/>
                <w:webHidden/>
              </w:rPr>
              <w:fldChar w:fldCharType="end"/>
            </w:r>
          </w:hyperlink>
        </w:p>
        <w:p w14:paraId="212FF311" w14:textId="016A8824"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892" w:history="1">
            <w:r w:rsidRPr="007B5A35">
              <w:rPr>
                <w:rStyle w:val="Hyperlink"/>
                <w:noProof/>
              </w:rPr>
              <w:t>2.2.1 Early Methods of Glucose Monitoring</w:t>
            </w:r>
            <w:r>
              <w:rPr>
                <w:noProof/>
                <w:webHidden/>
              </w:rPr>
              <w:tab/>
            </w:r>
            <w:r>
              <w:rPr>
                <w:noProof/>
                <w:webHidden/>
              </w:rPr>
              <w:fldChar w:fldCharType="begin"/>
            </w:r>
            <w:r>
              <w:rPr>
                <w:noProof/>
                <w:webHidden/>
              </w:rPr>
              <w:instrText xml:space="preserve"> PAGEREF _Toc225702892 \h </w:instrText>
            </w:r>
            <w:r>
              <w:rPr>
                <w:noProof/>
                <w:webHidden/>
              </w:rPr>
            </w:r>
            <w:r>
              <w:rPr>
                <w:noProof/>
                <w:webHidden/>
              </w:rPr>
              <w:fldChar w:fldCharType="separate"/>
            </w:r>
            <w:r>
              <w:rPr>
                <w:noProof/>
                <w:webHidden/>
              </w:rPr>
              <w:t>18</w:t>
            </w:r>
            <w:r>
              <w:rPr>
                <w:noProof/>
                <w:webHidden/>
              </w:rPr>
              <w:fldChar w:fldCharType="end"/>
            </w:r>
          </w:hyperlink>
        </w:p>
        <w:p w14:paraId="478CA2E6" w14:textId="702BF6D7"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893" w:history="1">
            <w:r w:rsidRPr="007B5A35">
              <w:rPr>
                <w:rStyle w:val="Hyperlink"/>
                <w:noProof/>
              </w:rPr>
              <w:t>2.2.2 Emergence of Digital and Continuous Monitoring</w:t>
            </w:r>
            <w:r>
              <w:rPr>
                <w:noProof/>
                <w:webHidden/>
              </w:rPr>
              <w:tab/>
            </w:r>
            <w:r>
              <w:rPr>
                <w:noProof/>
                <w:webHidden/>
              </w:rPr>
              <w:fldChar w:fldCharType="begin"/>
            </w:r>
            <w:r>
              <w:rPr>
                <w:noProof/>
                <w:webHidden/>
              </w:rPr>
              <w:instrText xml:space="preserve"> PAGEREF _Toc225702893 \h </w:instrText>
            </w:r>
            <w:r>
              <w:rPr>
                <w:noProof/>
                <w:webHidden/>
              </w:rPr>
            </w:r>
            <w:r>
              <w:rPr>
                <w:noProof/>
                <w:webHidden/>
              </w:rPr>
              <w:fldChar w:fldCharType="separate"/>
            </w:r>
            <w:r>
              <w:rPr>
                <w:noProof/>
                <w:webHidden/>
              </w:rPr>
              <w:t>18</w:t>
            </w:r>
            <w:r>
              <w:rPr>
                <w:noProof/>
                <w:webHidden/>
              </w:rPr>
              <w:fldChar w:fldCharType="end"/>
            </w:r>
          </w:hyperlink>
        </w:p>
        <w:p w14:paraId="79523595" w14:textId="65E0EED8"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894" w:history="1">
            <w:r w:rsidRPr="007B5A35">
              <w:rPr>
                <w:rStyle w:val="Hyperlink"/>
                <w:noProof/>
              </w:rPr>
              <w:t>2.2.3 Transition to Patient-Centred and Digital Health Models</w:t>
            </w:r>
            <w:r>
              <w:rPr>
                <w:noProof/>
                <w:webHidden/>
              </w:rPr>
              <w:tab/>
            </w:r>
            <w:r>
              <w:rPr>
                <w:noProof/>
                <w:webHidden/>
              </w:rPr>
              <w:fldChar w:fldCharType="begin"/>
            </w:r>
            <w:r>
              <w:rPr>
                <w:noProof/>
                <w:webHidden/>
              </w:rPr>
              <w:instrText xml:space="preserve"> PAGEREF _Toc225702894 \h </w:instrText>
            </w:r>
            <w:r>
              <w:rPr>
                <w:noProof/>
                <w:webHidden/>
              </w:rPr>
            </w:r>
            <w:r>
              <w:rPr>
                <w:noProof/>
                <w:webHidden/>
              </w:rPr>
              <w:fldChar w:fldCharType="separate"/>
            </w:r>
            <w:r>
              <w:rPr>
                <w:noProof/>
                <w:webHidden/>
              </w:rPr>
              <w:t>19</w:t>
            </w:r>
            <w:r>
              <w:rPr>
                <w:noProof/>
                <w:webHidden/>
              </w:rPr>
              <w:fldChar w:fldCharType="end"/>
            </w:r>
          </w:hyperlink>
        </w:p>
        <w:p w14:paraId="61DE81C6" w14:textId="074CFB0F"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895" w:history="1">
            <w:r w:rsidRPr="007B5A35">
              <w:rPr>
                <w:rStyle w:val="Hyperlink"/>
                <w:noProof/>
              </w:rPr>
              <w:t>2.3 Theoretical Background</w:t>
            </w:r>
            <w:r>
              <w:rPr>
                <w:noProof/>
                <w:webHidden/>
              </w:rPr>
              <w:tab/>
            </w:r>
            <w:r>
              <w:rPr>
                <w:noProof/>
                <w:webHidden/>
              </w:rPr>
              <w:fldChar w:fldCharType="begin"/>
            </w:r>
            <w:r>
              <w:rPr>
                <w:noProof/>
                <w:webHidden/>
              </w:rPr>
              <w:instrText xml:space="preserve"> PAGEREF _Toc225702895 \h </w:instrText>
            </w:r>
            <w:r>
              <w:rPr>
                <w:noProof/>
                <w:webHidden/>
              </w:rPr>
            </w:r>
            <w:r>
              <w:rPr>
                <w:noProof/>
                <w:webHidden/>
              </w:rPr>
              <w:fldChar w:fldCharType="separate"/>
            </w:r>
            <w:r>
              <w:rPr>
                <w:noProof/>
                <w:webHidden/>
              </w:rPr>
              <w:t>19</w:t>
            </w:r>
            <w:r>
              <w:rPr>
                <w:noProof/>
                <w:webHidden/>
              </w:rPr>
              <w:fldChar w:fldCharType="end"/>
            </w:r>
          </w:hyperlink>
        </w:p>
        <w:p w14:paraId="30257175" w14:textId="1D6D2B1E"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896" w:history="1">
            <w:r w:rsidRPr="007B5A35">
              <w:rPr>
                <w:rStyle w:val="Hyperlink"/>
                <w:noProof/>
              </w:rPr>
              <w:t>2.3.1 Health Belief Model (HBM)</w:t>
            </w:r>
            <w:r>
              <w:rPr>
                <w:noProof/>
                <w:webHidden/>
              </w:rPr>
              <w:tab/>
            </w:r>
            <w:r>
              <w:rPr>
                <w:noProof/>
                <w:webHidden/>
              </w:rPr>
              <w:fldChar w:fldCharType="begin"/>
            </w:r>
            <w:r>
              <w:rPr>
                <w:noProof/>
                <w:webHidden/>
              </w:rPr>
              <w:instrText xml:space="preserve"> PAGEREF _Toc225702896 \h </w:instrText>
            </w:r>
            <w:r>
              <w:rPr>
                <w:noProof/>
                <w:webHidden/>
              </w:rPr>
            </w:r>
            <w:r>
              <w:rPr>
                <w:noProof/>
                <w:webHidden/>
              </w:rPr>
              <w:fldChar w:fldCharType="separate"/>
            </w:r>
            <w:r>
              <w:rPr>
                <w:noProof/>
                <w:webHidden/>
              </w:rPr>
              <w:t>19</w:t>
            </w:r>
            <w:r>
              <w:rPr>
                <w:noProof/>
                <w:webHidden/>
              </w:rPr>
              <w:fldChar w:fldCharType="end"/>
            </w:r>
          </w:hyperlink>
        </w:p>
        <w:p w14:paraId="277E57E4" w14:textId="1A8AB10D"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897" w:history="1">
            <w:r w:rsidRPr="007B5A35">
              <w:rPr>
                <w:rStyle w:val="Hyperlink"/>
                <w:noProof/>
              </w:rPr>
              <w:t>2.3.2 Self-Management Theory</w:t>
            </w:r>
            <w:r>
              <w:rPr>
                <w:noProof/>
                <w:webHidden/>
              </w:rPr>
              <w:tab/>
            </w:r>
            <w:r>
              <w:rPr>
                <w:noProof/>
                <w:webHidden/>
              </w:rPr>
              <w:fldChar w:fldCharType="begin"/>
            </w:r>
            <w:r>
              <w:rPr>
                <w:noProof/>
                <w:webHidden/>
              </w:rPr>
              <w:instrText xml:space="preserve"> PAGEREF _Toc225702897 \h </w:instrText>
            </w:r>
            <w:r>
              <w:rPr>
                <w:noProof/>
                <w:webHidden/>
              </w:rPr>
            </w:r>
            <w:r>
              <w:rPr>
                <w:noProof/>
                <w:webHidden/>
              </w:rPr>
              <w:fldChar w:fldCharType="separate"/>
            </w:r>
            <w:r>
              <w:rPr>
                <w:noProof/>
                <w:webHidden/>
              </w:rPr>
              <w:t>20</w:t>
            </w:r>
            <w:r>
              <w:rPr>
                <w:noProof/>
                <w:webHidden/>
              </w:rPr>
              <w:fldChar w:fldCharType="end"/>
            </w:r>
          </w:hyperlink>
        </w:p>
        <w:p w14:paraId="34FE9D1F" w14:textId="722E3D6B"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898" w:history="1">
            <w:r w:rsidRPr="007B5A35">
              <w:rPr>
                <w:rStyle w:val="Hyperlink"/>
                <w:noProof/>
              </w:rPr>
              <w:t>2.3.3 Technological Acceptance Model (TAM)</w:t>
            </w:r>
            <w:r>
              <w:rPr>
                <w:noProof/>
                <w:webHidden/>
              </w:rPr>
              <w:tab/>
            </w:r>
            <w:r>
              <w:rPr>
                <w:noProof/>
                <w:webHidden/>
              </w:rPr>
              <w:fldChar w:fldCharType="begin"/>
            </w:r>
            <w:r>
              <w:rPr>
                <w:noProof/>
                <w:webHidden/>
              </w:rPr>
              <w:instrText xml:space="preserve"> PAGEREF _Toc225702898 \h </w:instrText>
            </w:r>
            <w:r>
              <w:rPr>
                <w:noProof/>
                <w:webHidden/>
              </w:rPr>
            </w:r>
            <w:r>
              <w:rPr>
                <w:noProof/>
                <w:webHidden/>
              </w:rPr>
              <w:fldChar w:fldCharType="separate"/>
            </w:r>
            <w:r>
              <w:rPr>
                <w:noProof/>
                <w:webHidden/>
              </w:rPr>
              <w:t>20</w:t>
            </w:r>
            <w:r>
              <w:rPr>
                <w:noProof/>
                <w:webHidden/>
              </w:rPr>
              <w:fldChar w:fldCharType="end"/>
            </w:r>
          </w:hyperlink>
        </w:p>
        <w:p w14:paraId="26DE7931" w14:textId="0F0BF3C6"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899" w:history="1">
            <w:r w:rsidRPr="007B5A35">
              <w:rPr>
                <w:rStyle w:val="Hyperlink"/>
                <w:noProof/>
              </w:rPr>
              <w:t>2.3.4 Integration of Theories</w:t>
            </w:r>
            <w:r>
              <w:rPr>
                <w:noProof/>
                <w:webHidden/>
              </w:rPr>
              <w:tab/>
            </w:r>
            <w:r>
              <w:rPr>
                <w:noProof/>
                <w:webHidden/>
              </w:rPr>
              <w:fldChar w:fldCharType="begin"/>
            </w:r>
            <w:r>
              <w:rPr>
                <w:noProof/>
                <w:webHidden/>
              </w:rPr>
              <w:instrText xml:space="preserve"> PAGEREF _Toc225702899 \h </w:instrText>
            </w:r>
            <w:r>
              <w:rPr>
                <w:noProof/>
                <w:webHidden/>
              </w:rPr>
            </w:r>
            <w:r>
              <w:rPr>
                <w:noProof/>
                <w:webHidden/>
              </w:rPr>
              <w:fldChar w:fldCharType="separate"/>
            </w:r>
            <w:r>
              <w:rPr>
                <w:noProof/>
                <w:webHidden/>
              </w:rPr>
              <w:t>20</w:t>
            </w:r>
            <w:r>
              <w:rPr>
                <w:noProof/>
                <w:webHidden/>
              </w:rPr>
              <w:fldChar w:fldCharType="end"/>
            </w:r>
          </w:hyperlink>
        </w:p>
        <w:p w14:paraId="3FDC18DA" w14:textId="5A7C32B5"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00" w:history="1">
            <w:r w:rsidRPr="007B5A35">
              <w:rPr>
                <w:rStyle w:val="Hyperlink"/>
                <w:noProof/>
              </w:rPr>
              <w:t>2.4 International Context</w:t>
            </w:r>
            <w:r>
              <w:rPr>
                <w:noProof/>
                <w:webHidden/>
              </w:rPr>
              <w:tab/>
            </w:r>
            <w:r>
              <w:rPr>
                <w:noProof/>
                <w:webHidden/>
              </w:rPr>
              <w:fldChar w:fldCharType="begin"/>
            </w:r>
            <w:r>
              <w:rPr>
                <w:noProof/>
                <w:webHidden/>
              </w:rPr>
              <w:instrText xml:space="preserve"> PAGEREF _Toc225702900 \h </w:instrText>
            </w:r>
            <w:r>
              <w:rPr>
                <w:noProof/>
                <w:webHidden/>
              </w:rPr>
            </w:r>
            <w:r>
              <w:rPr>
                <w:noProof/>
                <w:webHidden/>
              </w:rPr>
              <w:fldChar w:fldCharType="separate"/>
            </w:r>
            <w:r>
              <w:rPr>
                <w:noProof/>
                <w:webHidden/>
              </w:rPr>
              <w:t>20</w:t>
            </w:r>
            <w:r>
              <w:rPr>
                <w:noProof/>
                <w:webHidden/>
              </w:rPr>
              <w:fldChar w:fldCharType="end"/>
            </w:r>
          </w:hyperlink>
        </w:p>
        <w:p w14:paraId="79B24B0B" w14:textId="6531B2B0"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901" w:history="1">
            <w:r w:rsidRPr="007B5A35">
              <w:rPr>
                <w:rStyle w:val="Hyperlink"/>
                <w:noProof/>
              </w:rPr>
              <w:t>2.4.1 Global Adoption and Accessibility</w:t>
            </w:r>
            <w:r>
              <w:rPr>
                <w:noProof/>
                <w:webHidden/>
              </w:rPr>
              <w:tab/>
            </w:r>
            <w:r>
              <w:rPr>
                <w:noProof/>
                <w:webHidden/>
              </w:rPr>
              <w:fldChar w:fldCharType="begin"/>
            </w:r>
            <w:r>
              <w:rPr>
                <w:noProof/>
                <w:webHidden/>
              </w:rPr>
              <w:instrText xml:space="preserve"> PAGEREF _Toc225702901 \h </w:instrText>
            </w:r>
            <w:r>
              <w:rPr>
                <w:noProof/>
                <w:webHidden/>
              </w:rPr>
            </w:r>
            <w:r>
              <w:rPr>
                <w:noProof/>
                <w:webHidden/>
              </w:rPr>
              <w:fldChar w:fldCharType="separate"/>
            </w:r>
            <w:r>
              <w:rPr>
                <w:noProof/>
                <w:webHidden/>
              </w:rPr>
              <w:t>21</w:t>
            </w:r>
            <w:r>
              <w:rPr>
                <w:noProof/>
                <w:webHidden/>
              </w:rPr>
              <w:fldChar w:fldCharType="end"/>
            </w:r>
          </w:hyperlink>
        </w:p>
        <w:p w14:paraId="47F5DBC2" w14:textId="379BA6EB"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902" w:history="1">
            <w:r w:rsidRPr="007B5A35">
              <w:rPr>
                <w:rStyle w:val="Hyperlink"/>
                <w:noProof/>
              </w:rPr>
              <w:t>2.4.2 Clinical Outcomes and Behavioural Impacts</w:t>
            </w:r>
            <w:r>
              <w:rPr>
                <w:noProof/>
                <w:webHidden/>
              </w:rPr>
              <w:tab/>
            </w:r>
            <w:r>
              <w:rPr>
                <w:noProof/>
                <w:webHidden/>
              </w:rPr>
              <w:fldChar w:fldCharType="begin"/>
            </w:r>
            <w:r>
              <w:rPr>
                <w:noProof/>
                <w:webHidden/>
              </w:rPr>
              <w:instrText xml:space="preserve"> PAGEREF _Toc225702902 \h </w:instrText>
            </w:r>
            <w:r>
              <w:rPr>
                <w:noProof/>
                <w:webHidden/>
              </w:rPr>
            </w:r>
            <w:r>
              <w:rPr>
                <w:noProof/>
                <w:webHidden/>
              </w:rPr>
              <w:fldChar w:fldCharType="separate"/>
            </w:r>
            <w:r>
              <w:rPr>
                <w:noProof/>
                <w:webHidden/>
              </w:rPr>
              <w:t>21</w:t>
            </w:r>
            <w:r>
              <w:rPr>
                <w:noProof/>
                <w:webHidden/>
              </w:rPr>
              <w:fldChar w:fldCharType="end"/>
            </w:r>
          </w:hyperlink>
        </w:p>
        <w:p w14:paraId="3DFC7792" w14:textId="1CD0972B"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903" w:history="1">
            <w:r w:rsidRPr="007B5A35">
              <w:rPr>
                <w:rStyle w:val="Hyperlink"/>
                <w:noProof/>
              </w:rPr>
              <w:t>2.4.3 Ethical and Economic Considerations</w:t>
            </w:r>
            <w:r>
              <w:rPr>
                <w:noProof/>
                <w:webHidden/>
              </w:rPr>
              <w:tab/>
            </w:r>
            <w:r>
              <w:rPr>
                <w:noProof/>
                <w:webHidden/>
              </w:rPr>
              <w:fldChar w:fldCharType="begin"/>
            </w:r>
            <w:r>
              <w:rPr>
                <w:noProof/>
                <w:webHidden/>
              </w:rPr>
              <w:instrText xml:space="preserve"> PAGEREF _Toc225702903 \h </w:instrText>
            </w:r>
            <w:r>
              <w:rPr>
                <w:noProof/>
                <w:webHidden/>
              </w:rPr>
            </w:r>
            <w:r>
              <w:rPr>
                <w:noProof/>
                <w:webHidden/>
              </w:rPr>
              <w:fldChar w:fldCharType="separate"/>
            </w:r>
            <w:r>
              <w:rPr>
                <w:noProof/>
                <w:webHidden/>
              </w:rPr>
              <w:t>21</w:t>
            </w:r>
            <w:r>
              <w:rPr>
                <w:noProof/>
                <w:webHidden/>
              </w:rPr>
              <w:fldChar w:fldCharType="end"/>
            </w:r>
          </w:hyperlink>
        </w:p>
        <w:p w14:paraId="1983EA91" w14:textId="1535DB8E"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04" w:history="1">
            <w:r w:rsidRPr="007B5A35">
              <w:rPr>
                <w:rStyle w:val="Hyperlink"/>
                <w:noProof/>
              </w:rPr>
              <w:t>2.5 National and Local UK Context</w:t>
            </w:r>
            <w:r>
              <w:rPr>
                <w:noProof/>
                <w:webHidden/>
              </w:rPr>
              <w:tab/>
            </w:r>
            <w:r>
              <w:rPr>
                <w:noProof/>
                <w:webHidden/>
              </w:rPr>
              <w:fldChar w:fldCharType="begin"/>
            </w:r>
            <w:r>
              <w:rPr>
                <w:noProof/>
                <w:webHidden/>
              </w:rPr>
              <w:instrText xml:space="preserve"> PAGEREF _Toc225702904 \h </w:instrText>
            </w:r>
            <w:r>
              <w:rPr>
                <w:noProof/>
                <w:webHidden/>
              </w:rPr>
            </w:r>
            <w:r>
              <w:rPr>
                <w:noProof/>
                <w:webHidden/>
              </w:rPr>
              <w:fldChar w:fldCharType="separate"/>
            </w:r>
            <w:r>
              <w:rPr>
                <w:noProof/>
                <w:webHidden/>
              </w:rPr>
              <w:t>22</w:t>
            </w:r>
            <w:r>
              <w:rPr>
                <w:noProof/>
                <w:webHidden/>
              </w:rPr>
              <w:fldChar w:fldCharType="end"/>
            </w:r>
          </w:hyperlink>
        </w:p>
        <w:p w14:paraId="74CA7DEF" w14:textId="4CB2E3B0"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905" w:history="1">
            <w:r w:rsidRPr="007B5A35">
              <w:rPr>
                <w:rStyle w:val="Hyperlink"/>
                <w:noProof/>
              </w:rPr>
              <w:t>2.5.1 Diabetes in the United Kingdom</w:t>
            </w:r>
            <w:r>
              <w:rPr>
                <w:noProof/>
                <w:webHidden/>
              </w:rPr>
              <w:tab/>
            </w:r>
            <w:r>
              <w:rPr>
                <w:noProof/>
                <w:webHidden/>
              </w:rPr>
              <w:fldChar w:fldCharType="begin"/>
            </w:r>
            <w:r>
              <w:rPr>
                <w:noProof/>
                <w:webHidden/>
              </w:rPr>
              <w:instrText xml:space="preserve"> PAGEREF _Toc225702905 \h </w:instrText>
            </w:r>
            <w:r>
              <w:rPr>
                <w:noProof/>
                <w:webHidden/>
              </w:rPr>
            </w:r>
            <w:r>
              <w:rPr>
                <w:noProof/>
                <w:webHidden/>
              </w:rPr>
              <w:fldChar w:fldCharType="separate"/>
            </w:r>
            <w:r>
              <w:rPr>
                <w:noProof/>
                <w:webHidden/>
              </w:rPr>
              <w:t>22</w:t>
            </w:r>
            <w:r>
              <w:rPr>
                <w:noProof/>
                <w:webHidden/>
              </w:rPr>
              <w:fldChar w:fldCharType="end"/>
            </w:r>
          </w:hyperlink>
        </w:p>
        <w:p w14:paraId="174E420C" w14:textId="2AD21FE7"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906" w:history="1">
            <w:r w:rsidRPr="007B5A35">
              <w:rPr>
                <w:rStyle w:val="Hyperlink"/>
                <w:noProof/>
              </w:rPr>
              <w:t>2.5.2 NHS Integration of CGM Technologies</w:t>
            </w:r>
            <w:r>
              <w:rPr>
                <w:noProof/>
                <w:webHidden/>
              </w:rPr>
              <w:tab/>
            </w:r>
            <w:r>
              <w:rPr>
                <w:noProof/>
                <w:webHidden/>
              </w:rPr>
              <w:fldChar w:fldCharType="begin"/>
            </w:r>
            <w:r>
              <w:rPr>
                <w:noProof/>
                <w:webHidden/>
              </w:rPr>
              <w:instrText xml:space="preserve"> PAGEREF _Toc225702906 \h </w:instrText>
            </w:r>
            <w:r>
              <w:rPr>
                <w:noProof/>
                <w:webHidden/>
              </w:rPr>
            </w:r>
            <w:r>
              <w:rPr>
                <w:noProof/>
                <w:webHidden/>
              </w:rPr>
              <w:fldChar w:fldCharType="separate"/>
            </w:r>
            <w:r>
              <w:rPr>
                <w:noProof/>
                <w:webHidden/>
              </w:rPr>
              <w:t>22</w:t>
            </w:r>
            <w:r>
              <w:rPr>
                <w:noProof/>
                <w:webHidden/>
              </w:rPr>
              <w:fldChar w:fldCharType="end"/>
            </w:r>
          </w:hyperlink>
        </w:p>
        <w:p w14:paraId="30488287" w14:textId="29D3F141"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07" w:history="1">
            <w:r w:rsidRPr="007B5A35">
              <w:rPr>
                <w:rStyle w:val="Hyperlink"/>
                <w:noProof/>
              </w:rPr>
              <w:t>2.6 Summary</w:t>
            </w:r>
            <w:r>
              <w:rPr>
                <w:noProof/>
                <w:webHidden/>
              </w:rPr>
              <w:tab/>
            </w:r>
            <w:r>
              <w:rPr>
                <w:noProof/>
                <w:webHidden/>
              </w:rPr>
              <w:fldChar w:fldCharType="begin"/>
            </w:r>
            <w:r>
              <w:rPr>
                <w:noProof/>
                <w:webHidden/>
              </w:rPr>
              <w:instrText xml:space="preserve"> PAGEREF _Toc225702907 \h </w:instrText>
            </w:r>
            <w:r>
              <w:rPr>
                <w:noProof/>
                <w:webHidden/>
              </w:rPr>
            </w:r>
            <w:r>
              <w:rPr>
                <w:noProof/>
                <w:webHidden/>
              </w:rPr>
              <w:fldChar w:fldCharType="separate"/>
            </w:r>
            <w:r>
              <w:rPr>
                <w:noProof/>
                <w:webHidden/>
              </w:rPr>
              <w:t>23</w:t>
            </w:r>
            <w:r>
              <w:rPr>
                <w:noProof/>
                <w:webHidden/>
              </w:rPr>
              <w:fldChar w:fldCharType="end"/>
            </w:r>
          </w:hyperlink>
        </w:p>
        <w:p w14:paraId="68C44969" w14:textId="69BECC1F"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908" w:history="1">
            <w:r w:rsidRPr="007B5A35">
              <w:rPr>
                <w:rStyle w:val="Hyperlink"/>
                <w:noProof/>
              </w:rPr>
              <w:t>CHAPTER 3: METHODS AND SEARCH STRATEGY</w:t>
            </w:r>
            <w:r>
              <w:rPr>
                <w:noProof/>
                <w:webHidden/>
              </w:rPr>
              <w:tab/>
            </w:r>
            <w:r>
              <w:rPr>
                <w:noProof/>
                <w:webHidden/>
              </w:rPr>
              <w:fldChar w:fldCharType="begin"/>
            </w:r>
            <w:r>
              <w:rPr>
                <w:noProof/>
                <w:webHidden/>
              </w:rPr>
              <w:instrText xml:space="preserve"> PAGEREF _Toc225702908 \h </w:instrText>
            </w:r>
            <w:r>
              <w:rPr>
                <w:noProof/>
                <w:webHidden/>
              </w:rPr>
            </w:r>
            <w:r>
              <w:rPr>
                <w:noProof/>
                <w:webHidden/>
              </w:rPr>
              <w:fldChar w:fldCharType="separate"/>
            </w:r>
            <w:r>
              <w:rPr>
                <w:noProof/>
                <w:webHidden/>
              </w:rPr>
              <w:t>24</w:t>
            </w:r>
            <w:r>
              <w:rPr>
                <w:noProof/>
                <w:webHidden/>
              </w:rPr>
              <w:fldChar w:fldCharType="end"/>
            </w:r>
          </w:hyperlink>
        </w:p>
        <w:p w14:paraId="4D412F37" w14:textId="680AB36E"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09" w:history="1">
            <w:r w:rsidRPr="007B5A35">
              <w:rPr>
                <w:rStyle w:val="Hyperlink"/>
                <w:noProof/>
              </w:rPr>
              <w:t>3.1 Introduction</w:t>
            </w:r>
            <w:r>
              <w:rPr>
                <w:noProof/>
                <w:webHidden/>
              </w:rPr>
              <w:tab/>
            </w:r>
            <w:r>
              <w:rPr>
                <w:noProof/>
                <w:webHidden/>
              </w:rPr>
              <w:fldChar w:fldCharType="begin"/>
            </w:r>
            <w:r>
              <w:rPr>
                <w:noProof/>
                <w:webHidden/>
              </w:rPr>
              <w:instrText xml:space="preserve"> PAGEREF _Toc225702909 \h </w:instrText>
            </w:r>
            <w:r>
              <w:rPr>
                <w:noProof/>
                <w:webHidden/>
              </w:rPr>
            </w:r>
            <w:r>
              <w:rPr>
                <w:noProof/>
                <w:webHidden/>
              </w:rPr>
              <w:fldChar w:fldCharType="separate"/>
            </w:r>
            <w:r>
              <w:rPr>
                <w:noProof/>
                <w:webHidden/>
              </w:rPr>
              <w:t>24</w:t>
            </w:r>
            <w:r>
              <w:rPr>
                <w:noProof/>
                <w:webHidden/>
              </w:rPr>
              <w:fldChar w:fldCharType="end"/>
            </w:r>
          </w:hyperlink>
        </w:p>
        <w:p w14:paraId="58BD244D" w14:textId="66FAF80B"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10" w:history="1">
            <w:r w:rsidRPr="007B5A35">
              <w:rPr>
                <w:rStyle w:val="Hyperlink"/>
                <w:noProof/>
              </w:rPr>
              <w:t>3.2 Search Strategy</w:t>
            </w:r>
            <w:r>
              <w:rPr>
                <w:noProof/>
                <w:webHidden/>
              </w:rPr>
              <w:tab/>
            </w:r>
            <w:r>
              <w:rPr>
                <w:noProof/>
                <w:webHidden/>
              </w:rPr>
              <w:fldChar w:fldCharType="begin"/>
            </w:r>
            <w:r>
              <w:rPr>
                <w:noProof/>
                <w:webHidden/>
              </w:rPr>
              <w:instrText xml:space="preserve"> PAGEREF _Toc225702910 \h </w:instrText>
            </w:r>
            <w:r>
              <w:rPr>
                <w:noProof/>
                <w:webHidden/>
              </w:rPr>
            </w:r>
            <w:r>
              <w:rPr>
                <w:noProof/>
                <w:webHidden/>
              </w:rPr>
              <w:fldChar w:fldCharType="separate"/>
            </w:r>
            <w:r>
              <w:rPr>
                <w:noProof/>
                <w:webHidden/>
              </w:rPr>
              <w:t>24</w:t>
            </w:r>
            <w:r>
              <w:rPr>
                <w:noProof/>
                <w:webHidden/>
              </w:rPr>
              <w:fldChar w:fldCharType="end"/>
            </w:r>
          </w:hyperlink>
        </w:p>
        <w:p w14:paraId="6B267736" w14:textId="04BC3E41"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11" w:history="1">
            <w:r w:rsidRPr="007B5A35">
              <w:rPr>
                <w:rStyle w:val="Hyperlink"/>
                <w:noProof/>
              </w:rPr>
              <w:t>3.3 Searching for Information</w:t>
            </w:r>
            <w:r>
              <w:rPr>
                <w:noProof/>
                <w:webHidden/>
              </w:rPr>
              <w:tab/>
            </w:r>
            <w:r>
              <w:rPr>
                <w:noProof/>
                <w:webHidden/>
              </w:rPr>
              <w:fldChar w:fldCharType="begin"/>
            </w:r>
            <w:r>
              <w:rPr>
                <w:noProof/>
                <w:webHidden/>
              </w:rPr>
              <w:instrText xml:space="preserve"> PAGEREF _Toc225702911 \h </w:instrText>
            </w:r>
            <w:r>
              <w:rPr>
                <w:noProof/>
                <w:webHidden/>
              </w:rPr>
            </w:r>
            <w:r>
              <w:rPr>
                <w:noProof/>
                <w:webHidden/>
              </w:rPr>
              <w:fldChar w:fldCharType="separate"/>
            </w:r>
            <w:r>
              <w:rPr>
                <w:noProof/>
                <w:webHidden/>
              </w:rPr>
              <w:t>24</w:t>
            </w:r>
            <w:r>
              <w:rPr>
                <w:noProof/>
                <w:webHidden/>
              </w:rPr>
              <w:fldChar w:fldCharType="end"/>
            </w:r>
          </w:hyperlink>
        </w:p>
        <w:p w14:paraId="3DB83945" w14:textId="328D9E7B"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12" w:history="1">
            <w:r w:rsidRPr="007B5A35">
              <w:rPr>
                <w:rStyle w:val="Hyperlink"/>
                <w:noProof/>
              </w:rPr>
              <w:t>3.4 Research Validation</w:t>
            </w:r>
            <w:r>
              <w:rPr>
                <w:noProof/>
                <w:webHidden/>
              </w:rPr>
              <w:tab/>
            </w:r>
            <w:r>
              <w:rPr>
                <w:noProof/>
                <w:webHidden/>
              </w:rPr>
              <w:fldChar w:fldCharType="begin"/>
            </w:r>
            <w:r>
              <w:rPr>
                <w:noProof/>
                <w:webHidden/>
              </w:rPr>
              <w:instrText xml:space="preserve"> PAGEREF _Toc225702912 \h </w:instrText>
            </w:r>
            <w:r>
              <w:rPr>
                <w:noProof/>
                <w:webHidden/>
              </w:rPr>
            </w:r>
            <w:r>
              <w:rPr>
                <w:noProof/>
                <w:webHidden/>
              </w:rPr>
              <w:fldChar w:fldCharType="separate"/>
            </w:r>
            <w:r>
              <w:rPr>
                <w:noProof/>
                <w:webHidden/>
              </w:rPr>
              <w:t>25</w:t>
            </w:r>
            <w:r>
              <w:rPr>
                <w:noProof/>
                <w:webHidden/>
              </w:rPr>
              <w:fldChar w:fldCharType="end"/>
            </w:r>
          </w:hyperlink>
        </w:p>
        <w:p w14:paraId="5F79E036" w14:textId="16943620"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13" w:history="1">
            <w:r w:rsidRPr="007B5A35">
              <w:rPr>
                <w:rStyle w:val="Hyperlink"/>
                <w:noProof/>
              </w:rPr>
              <w:t>3.5 Inclusion and Exclusion Criteria</w:t>
            </w:r>
            <w:r>
              <w:rPr>
                <w:noProof/>
                <w:webHidden/>
              </w:rPr>
              <w:tab/>
            </w:r>
            <w:r>
              <w:rPr>
                <w:noProof/>
                <w:webHidden/>
              </w:rPr>
              <w:fldChar w:fldCharType="begin"/>
            </w:r>
            <w:r>
              <w:rPr>
                <w:noProof/>
                <w:webHidden/>
              </w:rPr>
              <w:instrText xml:space="preserve"> PAGEREF _Toc225702913 \h </w:instrText>
            </w:r>
            <w:r>
              <w:rPr>
                <w:noProof/>
                <w:webHidden/>
              </w:rPr>
            </w:r>
            <w:r>
              <w:rPr>
                <w:noProof/>
                <w:webHidden/>
              </w:rPr>
              <w:fldChar w:fldCharType="separate"/>
            </w:r>
            <w:r>
              <w:rPr>
                <w:noProof/>
                <w:webHidden/>
              </w:rPr>
              <w:t>25</w:t>
            </w:r>
            <w:r>
              <w:rPr>
                <w:noProof/>
                <w:webHidden/>
              </w:rPr>
              <w:fldChar w:fldCharType="end"/>
            </w:r>
          </w:hyperlink>
        </w:p>
        <w:p w14:paraId="619B50C8" w14:textId="08742ABF"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14" w:history="1">
            <w:r w:rsidRPr="007B5A35">
              <w:rPr>
                <w:rStyle w:val="Hyperlink"/>
                <w:noProof/>
              </w:rPr>
              <w:t>3.6 Analysing Research</w:t>
            </w:r>
            <w:r>
              <w:rPr>
                <w:noProof/>
                <w:webHidden/>
              </w:rPr>
              <w:tab/>
            </w:r>
            <w:r>
              <w:rPr>
                <w:noProof/>
                <w:webHidden/>
              </w:rPr>
              <w:fldChar w:fldCharType="begin"/>
            </w:r>
            <w:r>
              <w:rPr>
                <w:noProof/>
                <w:webHidden/>
              </w:rPr>
              <w:instrText xml:space="preserve"> PAGEREF _Toc225702914 \h </w:instrText>
            </w:r>
            <w:r>
              <w:rPr>
                <w:noProof/>
                <w:webHidden/>
              </w:rPr>
            </w:r>
            <w:r>
              <w:rPr>
                <w:noProof/>
                <w:webHidden/>
              </w:rPr>
              <w:fldChar w:fldCharType="separate"/>
            </w:r>
            <w:r>
              <w:rPr>
                <w:noProof/>
                <w:webHidden/>
              </w:rPr>
              <w:t>25</w:t>
            </w:r>
            <w:r>
              <w:rPr>
                <w:noProof/>
                <w:webHidden/>
              </w:rPr>
              <w:fldChar w:fldCharType="end"/>
            </w:r>
          </w:hyperlink>
        </w:p>
        <w:p w14:paraId="1E76E858" w14:textId="7625B5E8"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15" w:history="1">
            <w:r w:rsidRPr="007B5A35">
              <w:rPr>
                <w:rStyle w:val="Hyperlink"/>
                <w:noProof/>
              </w:rPr>
              <w:t>3.7 Ethical Considerations</w:t>
            </w:r>
            <w:r>
              <w:rPr>
                <w:noProof/>
                <w:webHidden/>
              </w:rPr>
              <w:tab/>
            </w:r>
            <w:r>
              <w:rPr>
                <w:noProof/>
                <w:webHidden/>
              </w:rPr>
              <w:fldChar w:fldCharType="begin"/>
            </w:r>
            <w:r>
              <w:rPr>
                <w:noProof/>
                <w:webHidden/>
              </w:rPr>
              <w:instrText xml:space="preserve"> PAGEREF _Toc225702915 \h </w:instrText>
            </w:r>
            <w:r>
              <w:rPr>
                <w:noProof/>
                <w:webHidden/>
              </w:rPr>
            </w:r>
            <w:r>
              <w:rPr>
                <w:noProof/>
                <w:webHidden/>
              </w:rPr>
              <w:fldChar w:fldCharType="separate"/>
            </w:r>
            <w:r>
              <w:rPr>
                <w:noProof/>
                <w:webHidden/>
              </w:rPr>
              <w:t>26</w:t>
            </w:r>
            <w:r>
              <w:rPr>
                <w:noProof/>
                <w:webHidden/>
              </w:rPr>
              <w:fldChar w:fldCharType="end"/>
            </w:r>
          </w:hyperlink>
        </w:p>
        <w:p w14:paraId="52BC29B8" w14:textId="391A71BC"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16" w:history="1">
            <w:r w:rsidRPr="007B5A35">
              <w:rPr>
                <w:rStyle w:val="Hyperlink"/>
                <w:noProof/>
              </w:rPr>
              <w:t>3.8 Chapter Conclusion</w:t>
            </w:r>
            <w:r>
              <w:rPr>
                <w:noProof/>
                <w:webHidden/>
              </w:rPr>
              <w:tab/>
            </w:r>
            <w:r>
              <w:rPr>
                <w:noProof/>
                <w:webHidden/>
              </w:rPr>
              <w:fldChar w:fldCharType="begin"/>
            </w:r>
            <w:r>
              <w:rPr>
                <w:noProof/>
                <w:webHidden/>
              </w:rPr>
              <w:instrText xml:space="preserve"> PAGEREF _Toc225702916 \h </w:instrText>
            </w:r>
            <w:r>
              <w:rPr>
                <w:noProof/>
                <w:webHidden/>
              </w:rPr>
            </w:r>
            <w:r>
              <w:rPr>
                <w:noProof/>
                <w:webHidden/>
              </w:rPr>
              <w:fldChar w:fldCharType="separate"/>
            </w:r>
            <w:r>
              <w:rPr>
                <w:noProof/>
                <w:webHidden/>
              </w:rPr>
              <w:t>26</w:t>
            </w:r>
            <w:r>
              <w:rPr>
                <w:noProof/>
                <w:webHidden/>
              </w:rPr>
              <w:fldChar w:fldCharType="end"/>
            </w:r>
          </w:hyperlink>
        </w:p>
        <w:p w14:paraId="17996910" w14:textId="01BF6C79"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917" w:history="1">
            <w:r w:rsidRPr="007B5A35">
              <w:rPr>
                <w:rStyle w:val="Hyperlink"/>
                <w:noProof/>
              </w:rPr>
              <w:t>CHAPTER 4: RESULTS AND DISCUSSION</w:t>
            </w:r>
            <w:r>
              <w:rPr>
                <w:noProof/>
                <w:webHidden/>
              </w:rPr>
              <w:tab/>
            </w:r>
            <w:r>
              <w:rPr>
                <w:noProof/>
                <w:webHidden/>
              </w:rPr>
              <w:fldChar w:fldCharType="begin"/>
            </w:r>
            <w:r>
              <w:rPr>
                <w:noProof/>
                <w:webHidden/>
              </w:rPr>
              <w:instrText xml:space="preserve"> PAGEREF _Toc225702917 \h </w:instrText>
            </w:r>
            <w:r>
              <w:rPr>
                <w:noProof/>
                <w:webHidden/>
              </w:rPr>
            </w:r>
            <w:r>
              <w:rPr>
                <w:noProof/>
                <w:webHidden/>
              </w:rPr>
              <w:fldChar w:fldCharType="separate"/>
            </w:r>
            <w:r>
              <w:rPr>
                <w:noProof/>
                <w:webHidden/>
              </w:rPr>
              <w:t>27</w:t>
            </w:r>
            <w:r>
              <w:rPr>
                <w:noProof/>
                <w:webHidden/>
              </w:rPr>
              <w:fldChar w:fldCharType="end"/>
            </w:r>
          </w:hyperlink>
        </w:p>
        <w:p w14:paraId="73604FE5" w14:textId="4EE1583E"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18" w:history="1">
            <w:r w:rsidRPr="007B5A35">
              <w:rPr>
                <w:rStyle w:val="Hyperlink"/>
                <w:noProof/>
              </w:rPr>
              <w:t>4.1 Introduction</w:t>
            </w:r>
            <w:r>
              <w:rPr>
                <w:noProof/>
                <w:webHidden/>
              </w:rPr>
              <w:tab/>
            </w:r>
            <w:r>
              <w:rPr>
                <w:noProof/>
                <w:webHidden/>
              </w:rPr>
              <w:fldChar w:fldCharType="begin"/>
            </w:r>
            <w:r>
              <w:rPr>
                <w:noProof/>
                <w:webHidden/>
              </w:rPr>
              <w:instrText xml:space="preserve"> PAGEREF _Toc225702918 \h </w:instrText>
            </w:r>
            <w:r>
              <w:rPr>
                <w:noProof/>
                <w:webHidden/>
              </w:rPr>
            </w:r>
            <w:r>
              <w:rPr>
                <w:noProof/>
                <w:webHidden/>
              </w:rPr>
              <w:fldChar w:fldCharType="separate"/>
            </w:r>
            <w:r>
              <w:rPr>
                <w:noProof/>
                <w:webHidden/>
              </w:rPr>
              <w:t>27</w:t>
            </w:r>
            <w:r>
              <w:rPr>
                <w:noProof/>
                <w:webHidden/>
              </w:rPr>
              <w:fldChar w:fldCharType="end"/>
            </w:r>
          </w:hyperlink>
        </w:p>
        <w:p w14:paraId="50E5F02A" w14:textId="017E60BE"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19" w:history="1">
            <w:r w:rsidRPr="007B5A35">
              <w:rPr>
                <w:rStyle w:val="Hyperlink"/>
                <w:noProof/>
              </w:rPr>
              <w:t>4.2 Thematic Analysis</w:t>
            </w:r>
            <w:r>
              <w:rPr>
                <w:noProof/>
                <w:webHidden/>
              </w:rPr>
              <w:tab/>
            </w:r>
            <w:r>
              <w:rPr>
                <w:noProof/>
                <w:webHidden/>
              </w:rPr>
              <w:fldChar w:fldCharType="begin"/>
            </w:r>
            <w:r>
              <w:rPr>
                <w:noProof/>
                <w:webHidden/>
              </w:rPr>
              <w:instrText xml:space="preserve"> PAGEREF _Toc225702919 \h </w:instrText>
            </w:r>
            <w:r>
              <w:rPr>
                <w:noProof/>
                <w:webHidden/>
              </w:rPr>
            </w:r>
            <w:r>
              <w:rPr>
                <w:noProof/>
                <w:webHidden/>
              </w:rPr>
              <w:fldChar w:fldCharType="separate"/>
            </w:r>
            <w:r>
              <w:rPr>
                <w:noProof/>
                <w:webHidden/>
              </w:rPr>
              <w:t>27</w:t>
            </w:r>
            <w:r>
              <w:rPr>
                <w:noProof/>
                <w:webHidden/>
              </w:rPr>
              <w:fldChar w:fldCharType="end"/>
            </w:r>
          </w:hyperlink>
        </w:p>
        <w:p w14:paraId="203B4B5C" w14:textId="0BDFB6A8"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20" w:history="1">
            <w:r w:rsidRPr="007B5A35">
              <w:rPr>
                <w:rStyle w:val="Hyperlink"/>
                <w:noProof/>
              </w:rPr>
              <w:t>4.3 Theme 1: Device Features and Usability of Libre and Dexcom</w:t>
            </w:r>
            <w:r>
              <w:rPr>
                <w:noProof/>
                <w:webHidden/>
              </w:rPr>
              <w:tab/>
            </w:r>
            <w:r>
              <w:rPr>
                <w:noProof/>
                <w:webHidden/>
              </w:rPr>
              <w:fldChar w:fldCharType="begin"/>
            </w:r>
            <w:r>
              <w:rPr>
                <w:noProof/>
                <w:webHidden/>
              </w:rPr>
              <w:instrText xml:space="preserve"> PAGEREF _Toc225702920 \h </w:instrText>
            </w:r>
            <w:r>
              <w:rPr>
                <w:noProof/>
                <w:webHidden/>
              </w:rPr>
            </w:r>
            <w:r>
              <w:rPr>
                <w:noProof/>
                <w:webHidden/>
              </w:rPr>
              <w:fldChar w:fldCharType="separate"/>
            </w:r>
            <w:r>
              <w:rPr>
                <w:noProof/>
                <w:webHidden/>
              </w:rPr>
              <w:t>27</w:t>
            </w:r>
            <w:r>
              <w:rPr>
                <w:noProof/>
                <w:webHidden/>
              </w:rPr>
              <w:fldChar w:fldCharType="end"/>
            </w:r>
          </w:hyperlink>
        </w:p>
        <w:p w14:paraId="1DC6C292" w14:textId="283D6911"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21" w:history="1">
            <w:r w:rsidRPr="007B5A35">
              <w:rPr>
                <w:rStyle w:val="Hyperlink"/>
                <w:noProof/>
              </w:rPr>
              <w:t>4.4 Theme 2: Impact on Self-Management and Glycaemic Control</w:t>
            </w:r>
            <w:r>
              <w:rPr>
                <w:noProof/>
                <w:webHidden/>
              </w:rPr>
              <w:tab/>
            </w:r>
            <w:r>
              <w:rPr>
                <w:noProof/>
                <w:webHidden/>
              </w:rPr>
              <w:fldChar w:fldCharType="begin"/>
            </w:r>
            <w:r>
              <w:rPr>
                <w:noProof/>
                <w:webHidden/>
              </w:rPr>
              <w:instrText xml:space="preserve"> PAGEREF _Toc225702921 \h </w:instrText>
            </w:r>
            <w:r>
              <w:rPr>
                <w:noProof/>
                <w:webHidden/>
              </w:rPr>
            </w:r>
            <w:r>
              <w:rPr>
                <w:noProof/>
                <w:webHidden/>
              </w:rPr>
              <w:fldChar w:fldCharType="separate"/>
            </w:r>
            <w:r>
              <w:rPr>
                <w:noProof/>
                <w:webHidden/>
              </w:rPr>
              <w:t>30</w:t>
            </w:r>
            <w:r>
              <w:rPr>
                <w:noProof/>
                <w:webHidden/>
              </w:rPr>
              <w:fldChar w:fldCharType="end"/>
            </w:r>
          </w:hyperlink>
        </w:p>
        <w:p w14:paraId="6D230CB7" w14:textId="584AEF12"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22" w:history="1">
            <w:r w:rsidRPr="007B5A35">
              <w:rPr>
                <w:rStyle w:val="Hyperlink"/>
                <w:noProof/>
              </w:rPr>
              <w:t>4.5 Theme 3: Challenges, Cost, and Ethical Considerations</w:t>
            </w:r>
            <w:r>
              <w:rPr>
                <w:noProof/>
                <w:webHidden/>
              </w:rPr>
              <w:tab/>
            </w:r>
            <w:r>
              <w:rPr>
                <w:noProof/>
                <w:webHidden/>
              </w:rPr>
              <w:fldChar w:fldCharType="begin"/>
            </w:r>
            <w:r>
              <w:rPr>
                <w:noProof/>
                <w:webHidden/>
              </w:rPr>
              <w:instrText xml:space="preserve"> PAGEREF _Toc225702922 \h </w:instrText>
            </w:r>
            <w:r>
              <w:rPr>
                <w:noProof/>
                <w:webHidden/>
              </w:rPr>
            </w:r>
            <w:r>
              <w:rPr>
                <w:noProof/>
                <w:webHidden/>
              </w:rPr>
              <w:fldChar w:fldCharType="separate"/>
            </w:r>
            <w:r>
              <w:rPr>
                <w:noProof/>
                <w:webHidden/>
              </w:rPr>
              <w:t>32</w:t>
            </w:r>
            <w:r>
              <w:rPr>
                <w:noProof/>
                <w:webHidden/>
              </w:rPr>
              <w:fldChar w:fldCharType="end"/>
            </w:r>
          </w:hyperlink>
        </w:p>
        <w:p w14:paraId="74ABB2BA" w14:textId="61CFFB34"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23" w:history="1">
            <w:r w:rsidRPr="007B5A35">
              <w:rPr>
                <w:rStyle w:val="Hyperlink"/>
                <w:noProof/>
              </w:rPr>
              <w:t>4.6 Chapter Conclusion</w:t>
            </w:r>
            <w:r>
              <w:rPr>
                <w:noProof/>
                <w:webHidden/>
              </w:rPr>
              <w:tab/>
            </w:r>
            <w:r>
              <w:rPr>
                <w:noProof/>
                <w:webHidden/>
              </w:rPr>
              <w:fldChar w:fldCharType="begin"/>
            </w:r>
            <w:r>
              <w:rPr>
                <w:noProof/>
                <w:webHidden/>
              </w:rPr>
              <w:instrText xml:space="preserve"> PAGEREF _Toc225702923 \h </w:instrText>
            </w:r>
            <w:r>
              <w:rPr>
                <w:noProof/>
                <w:webHidden/>
              </w:rPr>
            </w:r>
            <w:r>
              <w:rPr>
                <w:noProof/>
                <w:webHidden/>
              </w:rPr>
              <w:fldChar w:fldCharType="separate"/>
            </w:r>
            <w:r>
              <w:rPr>
                <w:noProof/>
                <w:webHidden/>
              </w:rPr>
              <w:t>35</w:t>
            </w:r>
            <w:r>
              <w:rPr>
                <w:noProof/>
                <w:webHidden/>
              </w:rPr>
              <w:fldChar w:fldCharType="end"/>
            </w:r>
          </w:hyperlink>
        </w:p>
        <w:p w14:paraId="79F47949" w14:textId="53D7ABCE"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924" w:history="1">
            <w:r w:rsidRPr="007B5A35">
              <w:rPr>
                <w:rStyle w:val="Hyperlink"/>
                <w:noProof/>
              </w:rPr>
              <w:t>CHAPTER 5: CONCLUSION AND RECOMMENDATIONS</w:t>
            </w:r>
            <w:r>
              <w:rPr>
                <w:noProof/>
                <w:webHidden/>
              </w:rPr>
              <w:tab/>
            </w:r>
            <w:r>
              <w:rPr>
                <w:noProof/>
                <w:webHidden/>
              </w:rPr>
              <w:fldChar w:fldCharType="begin"/>
            </w:r>
            <w:r>
              <w:rPr>
                <w:noProof/>
                <w:webHidden/>
              </w:rPr>
              <w:instrText xml:space="preserve"> PAGEREF _Toc225702924 \h </w:instrText>
            </w:r>
            <w:r>
              <w:rPr>
                <w:noProof/>
                <w:webHidden/>
              </w:rPr>
            </w:r>
            <w:r>
              <w:rPr>
                <w:noProof/>
                <w:webHidden/>
              </w:rPr>
              <w:fldChar w:fldCharType="separate"/>
            </w:r>
            <w:r>
              <w:rPr>
                <w:noProof/>
                <w:webHidden/>
              </w:rPr>
              <w:t>36</w:t>
            </w:r>
            <w:r>
              <w:rPr>
                <w:noProof/>
                <w:webHidden/>
              </w:rPr>
              <w:fldChar w:fldCharType="end"/>
            </w:r>
          </w:hyperlink>
        </w:p>
        <w:p w14:paraId="32DDDF21" w14:textId="30CE77D5"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25" w:history="1">
            <w:r w:rsidRPr="007B5A35">
              <w:rPr>
                <w:rStyle w:val="Hyperlink"/>
                <w:noProof/>
              </w:rPr>
              <w:t>5.1 Overall Conclusion</w:t>
            </w:r>
            <w:r>
              <w:rPr>
                <w:noProof/>
                <w:webHidden/>
              </w:rPr>
              <w:tab/>
            </w:r>
            <w:r>
              <w:rPr>
                <w:noProof/>
                <w:webHidden/>
              </w:rPr>
              <w:fldChar w:fldCharType="begin"/>
            </w:r>
            <w:r>
              <w:rPr>
                <w:noProof/>
                <w:webHidden/>
              </w:rPr>
              <w:instrText xml:space="preserve"> PAGEREF _Toc225702925 \h </w:instrText>
            </w:r>
            <w:r>
              <w:rPr>
                <w:noProof/>
                <w:webHidden/>
              </w:rPr>
            </w:r>
            <w:r>
              <w:rPr>
                <w:noProof/>
                <w:webHidden/>
              </w:rPr>
              <w:fldChar w:fldCharType="separate"/>
            </w:r>
            <w:r>
              <w:rPr>
                <w:noProof/>
                <w:webHidden/>
              </w:rPr>
              <w:t>36</w:t>
            </w:r>
            <w:r>
              <w:rPr>
                <w:noProof/>
                <w:webHidden/>
              </w:rPr>
              <w:fldChar w:fldCharType="end"/>
            </w:r>
          </w:hyperlink>
        </w:p>
        <w:p w14:paraId="04C5C757" w14:textId="720CCA80"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26" w:history="1">
            <w:r w:rsidRPr="007B5A35">
              <w:rPr>
                <w:rStyle w:val="Hyperlink"/>
                <w:noProof/>
              </w:rPr>
              <w:t>5.2 Recommendations</w:t>
            </w:r>
            <w:r>
              <w:rPr>
                <w:noProof/>
                <w:webHidden/>
              </w:rPr>
              <w:tab/>
            </w:r>
            <w:r>
              <w:rPr>
                <w:noProof/>
                <w:webHidden/>
              </w:rPr>
              <w:fldChar w:fldCharType="begin"/>
            </w:r>
            <w:r>
              <w:rPr>
                <w:noProof/>
                <w:webHidden/>
              </w:rPr>
              <w:instrText xml:space="preserve"> PAGEREF _Toc225702926 \h </w:instrText>
            </w:r>
            <w:r>
              <w:rPr>
                <w:noProof/>
                <w:webHidden/>
              </w:rPr>
            </w:r>
            <w:r>
              <w:rPr>
                <w:noProof/>
                <w:webHidden/>
              </w:rPr>
              <w:fldChar w:fldCharType="separate"/>
            </w:r>
            <w:r>
              <w:rPr>
                <w:noProof/>
                <w:webHidden/>
              </w:rPr>
              <w:t>36</w:t>
            </w:r>
            <w:r>
              <w:rPr>
                <w:noProof/>
                <w:webHidden/>
              </w:rPr>
              <w:fldChar w:fldCharType="end"/>
            </w:r>
          </w:hyperlink>
        </w:p>
        <w:p w14:paraId="327CF99F" w14:textId="45D59D12"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927" w:history="1">
            <w:r w:rsidRPr="007B5A35">
              <w:rPr>
                <w:rStyle w:val="Hyperlink"/>
                <w:noProof/>
              </w:rPr>
              <w:t>5.2.1 Recommendation 1: Improve Access to CGM Technologies Through NHS Expansion</w:t>
            </w:r>
            <w:r>
              <w:rPr>
                <w:noProof/>
                <w:webHidden/>
              </w:rPr>
              <w:tab/>
            </w:r>
            <w:r>
              <w:rPr>
                <w:noProof/>
                <w:webHidden/>
              </w:rPr>
              <w:fldChar w:fldCharType="begin"/>
            </w:r>
            <w:r>
              <w:rPr>
                <w:noProof/>
                <w:webHidden/>
              </w:rPr>
              <w:instrText xml:space="preserve"> PAGEREF _Toc225702927 \h </w:instrText>
            </w:r>
            <w:r>
              <w:rPr>
                <w:noProof/>
                <w:webHidden/>
              </w:rPr>
            </w:r>
            <w:r>
              <w:rPr>
                <w:noProof/>
                <w:webHidden/>
              </w:rPr>
              <w:fldChar w:fldCharType="separate"/>
            </w:r>
            <w:r>
              <w:rPr>
                <w:noProof/>
                <w:webHidden/>
              </w:rPr>
              <w:t>36</w:t>
            </w:r>
            <w:r>
              <w:rPr>
                <w:noProof/>
                <w:webHidden/>
              </w:rPr>
              <w:fldChar w:fldCharType="end"/>
            </w:r>
          </w:hyperlink>
        </w:p>
        <w:p w14:paraId="7F811842" w14:textId="3112BF73"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928" w:history="1">
            <w:r w:rsidRPr="007B5A35">
              <w:rPr>
                <w:rStyle w:val="Hyperlink"/>
                <w:noProof/>
              </w:rPr>
              <w:t>5.2.2 Recommendation 2: Enhance Patient Training and Digital Literacy Support</w:t>
            </w:r>
            <w:r>
              <w:rPr>
                <w:noProof/>
                <w:webHidden/>
              </w:rPr>
              <w:tab/>
            </w:r>
            <w:r>
              <w:rPr>
                <w:noProof/>
                <w:webHidden/>
              </w:rPr>
              <w:fldChar w:fldCharType="begin"/>
            </w:r>
            <w:r>
              <w:rPr>
                <w:noProof/>
                <w:webHidden/>
              </w:rPr>
              <w:instrText xml:space="preserve"> PAGEREF _Toc225702928 \h </w:instrText>
            </w:r>
            <w:r>
              <w:rPr>
                <w:noProof/>
                <w:webHidden/>
              </w:rPr>
            </w:r>
            <w:r>
              <w:rPr>
                <w:noProof/>
                <w:webHidden/>
              </w:rPr>
              <w:fldChar w:fldCharType="separate"/>
            </w:r>
            <w:r>
              <w:rPr>
                <w:noProof/>
                <w:webHidden/>
              </w:rPr>
              <w:t>37</w:t>
            </w:r>
            <w:r>
              <w:rPr>
                <w:noProof/>
                <w:webHidden/>
              </w:rPr>
              <w:fldChar w:fldCharType="end"/>
            </w:r>
          </w:hyperlink>
        </w:p>
        <w:p w14:paraId="168C9178" w14:textId="599A5DED" w:rsidR="006D62E9" w:rsidRDefault="006D62E9" w:rsidP="006D62E9">
          <w:pPr>
            <w:pStyle w:val="TOC3"/>
            <w:tabs>
              <w:tab w:val="right" w:leader="dot" w:pos="9016"/>
            </w:tabs>
            <w:spacing w:after="0"/>
            <w:rPr>
              <w:rFonts w:asciiTheme="minorHAnsi" w:eastAsiaTheme="minorEastAsia" w:hAnsiTheme="minorHAnsi" w:cstheme="minorBidi"/>
              <w:noProof/>
              <w:lang w:bidi="ar-SA"/>
            </w:rPr>
          </w:pPr>
          <w:hyperlink w:anchor="_Toc225702929" w:history="1">
            <w:r w:rsidRPr="007B5A35">
              <w:rPr>
                <w:rStyle w:val="Hyperlink"/>
                <w:noProof/>
              </w:rPr>
              <w:t>5.2.3 Recommendation 3: Strengthen Integration of CGM Data into Healthcare Systems</w:t>
            </w:r>
            <w:r>
              <w:rPr>
                <w:noProof/>
                <w:webHidden/>
              </w:rPr>
              <w:tab/>
            </w:r>
            <w:r>
              <w:rPr>
                <w:noProof/>
                <w:webHidden/>
              </w:rPr>
              <w:fldChar w:fldCharType="begin"/>
            </w:r>
            <w:r>
              <w:rPr>
                <w:noProof/>
                <w:webHidden/>
              </w:rPr>
              <w:instrText xml:space="preserve"> PAGEREF _Toc225702929 \h </w:instrText>
            </w:r>
            <w:r>
              <w:rPr>
                <w:noProof/>
                <w:webHidden/>
              </w:rPr>
            </w:r>
            <w:r>
              <w:rPr>
                <w:noProof/>
                <w:webHidden/>
              </w:rPr>
              <w:fldChar w:fldCharType="separate"/>
            </w:r>
            <w:r>
              <w:rPr>
                <w:noProof/>
                <w:webHidden/>
              </w:rPr>
              <w:t>37</w:t>
            </w:r>
            <w:r>
              <w:rPr>
                <w:noProof/>
                <w:webHidden/>
              </w:rPr>
              <w:fldChar w:fldCharType="end"/>
            </w:r>
          </w:hyperlink>
        </w:p>
        <w:p w14:paraId="29B554E1" w14:textId="18B32ED2"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930" w:history="1">
            <w:r w:rsidRPr="007B5A35">
              <w:rPr>
                <w:rStyle w:val="Hyperlink"/>
                <w:noProof/>
              </w:rPr>
              <w:t>REFERENCES</w:t>
            </w:r>
            <w:r>
              <w:rPr>
                <w:noProof/>
                <w:webHidden/>
              </w:rPr>
              <w:tab/>
            </w:r>
            <w:r>
              <w:rPr>
                <w:noProof/>
                <w:webHidden/>
              </w:rPr>
              <w:fldChar w:fldCharType="begin"/>
            </w:r>
            <w:r>
              <w:rPr>
                <w:noProof/>
                <w:webHidden/>
              </w:rPr>
              <w:instrText xml:space="preserve"> PAGEREF _Toc225702930 \h </w:instrText>
            </w:r>
            <w:r>
              <w:rPr>
                <w:noProof/>
                <w:webHidden/>
              </w:rPr>
            </w:r>
            <w:r>
              <w:rPr>
                <w:noProof/>
                <w:webHidden/>
              </w:rPr>
              <w:fldChar w:fldCharType="separate"/>
            </w:r>
            <w:r>
              <w:rPr>
                <w:noProof/>
                <w:webHidden/>
              </w:rPr>
              <w:t>39</w:t>
            </w:r>
            <w:r>
              <w:rPr>
                <w:noProof/>
                <w:webHidden/>
              </w:rPr>
              <w:fldChar w:fldCharType="end"/>
            </w:r>
          </w:hyperlink>
        </w:p>
        <w:p w14:paraId="2C85FCA1" w14:textId="4C638032" w:rsidR="006D62E9" w:rsidRDefault="006D62E9" w:rsidP="006D62E9">
          <w:pPr>
            <w:pStyle w:val="TOC1"/>
            <w:tabs>
              <w:tab w:val="right" w:leader="dot" w:pos="9016"/>
            </w:tabs>
            <w:spacing w:after="0"/>
            <w:rPr>
              <w:rFonts w:asciiTheme="minorHAnsi" w:eastAsiaTheme="minorEastAsia" w:hAnsiTheme="minorHAnsi" w:cstheme="minorBidi"/>
              <w:noProof/>
              <w:lang w:bidi="ar-SA"/>
            </w:rPr>
          </w:pPr>
          <w:hyperlink w:anchor="_Toc225702931" w:history="1">
            <w:r w:rsidRPr="007B5A35">
              <w:rPr>
                <w:rStyle w:val="Hyperlink"/>
                <w:noProof/>
              </w:rPr>
              <w:t>APPENDICES</w:t>
            </w:r>
            <w:r>
              <w:rPr>
                <w:noProof/>
                <w:webHidden/>
              </w:rPr>
              <w:tab/>
            </w:r>
            <w:r>
              <w:rPr>
                <w:noProof/>
                <w:webHidden/>
              </w:rPr>
              <w:fldChar w:fldCharType="begin"/>
            </w:r>
            <w:r>
              <w:rPr>
                <w:noProof/>
                <w:webHidden/>
              </w:rPr>
              <w:instrText xml:space="preserve"> PAGEREF _Toc225702931 \h </w:instrText>
            </w:r>
            <w:r>
              <w:rPr>
                <w:noProof/>
                <w:webHidden/>
              </w:rPr>
            </w:r>
            <w:r>
              <w:rPr>
                <w:noProof/>
                <w:webHidden/>
              </w:rPr>
              <w:fldChar w:fldCharType="separate"/>
            </w:r>
            <w:r>
              <w:rPr>
                <w:noProof/>
                <w:webHidden/>
              </w:rPr>
              <w:t>45</w:t>
            </w:r>
            <w:r>
              <w:rPr>
                <w:noProof/>
                <w:webHidden/>
              </w:rPr>
              <w:fldChar w:fldCharType="end"/>
            </w:r>
          </w:hyperlink>
        </w:p>
        <w:p w14:paraId="2B396B81" w14:textId="081E6840"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32" w:history="1">
            <w:r w:rsidRPr="007B5A35">
              <w:rPr>
                <w:rStyle w:val="Hyperlink"/>
                <w:noProof/>
              </w:rPr>
              <w:t>Appendix 1: CRAAP Test Evaluation Table</w:t>
            </w:r>
            <w:r>
              <w:rPr>
                <w:noProof/>
                <w:webHidden/>
              </w:rPr>
              <w:tab/>
            </w:r>
            <w:r>
              <w:rPr>
                <w:noProof/>
                <w:webHidden/>
              </w:rPr>
              <w:fldChar w:fldCharType="begin"/>
            </w:r>
            <w:r>
              <w:rPr>
                <w:noProof/>
                <w:webHidden/>
              </w:rPr>
              <w:instrText xml:space="preserve"> PAGEREF _Toc225702932 \h </w:instrText>
            </w:r>
            <w:r>
              <w:rPr>
                <w:noProof/>
                <w:webHidden/>
              </w:rPr>
            </w:r>
            <w:r>
              <w:rPr>
                <w:noProof/>
                <w:webHidden/>
              </w:rPr>
              <w:fldChar w:fldCharType="separate"/>
            </w:r>
            <w:r>
              <w:rPr>
                <w:noProof/>
                <w:webHidden/>
              </w:rPr>
              <w:t>45</w:t>
            </w:r>
            <w:r>
              <w:rPr>
                <w:noProof/>
                <w:webHidden/>
              </w:rPr>
              <w:fldChar w:fldCharType="end"/>
            </w:r>
          </w:hyperlink>
        </w:p>
        <w:p w14:paraId="54DE047C" w14:textId="503F160C" w:rsidR="006D62E9" w:rsidRDefault="006D62E9" w:rsidP="006D62E9">
          <w:pPr>
            <w:pStyle w:val="TOC2"/>
            <w:tabs>
              <w:tab w:val="right" w:leader="dot" w:pos="9016"/>
            </w:tabs>
            <w:spacing w:after="0"/>
            <w:rPr>
              <w:rFonts w:asciiTheme="minorHAnsi" w:eastAsiaTheme="minorEastAsia" w:hAnsiTheme="minorHAnsi" w:cstheme="minorBidi"/>
              <w:noProof/>
              <w:lang w:bidi="ar-SA"/>
            </w:rPr>
          </w:pPr>
          <w:hyperlink w:anchor="_Toc225702933" w:history="1">
            <w:r w:rsidRPr="007B5A35">
              <w:rPr>
                <w:rStyle w:val="Hyperlink"/>
                <w:noProof/>
              </w:rPr>
              <w:t>Appendix 2: Thematic Coding Framework for CGM Literature Analysis</w:t>
            </w:r>
            <w:r>
              <w:rPr>
                <w:noProof/>
                <w:webHidden/>
              </w:rPr>
              <w:tab/>
            </w:r>
            <w:r>
              <w:rPr>
                <w:noProof/>
                <w:webHidden/>
              </w:rPr>
              <w:fldChar w:fldCharType="begin"/>
            </w:r>
            <w:r>
              <w:rPr>
                <w:noProof/>
                <w:webHidden/>
              </w:rPr>
              <w:instrText xml:space="preserve"> PAGEREF _Toc225702933 \h </w:instrText>
            </w:r>
            <w:r>
              <w:rPr>
                <w:noProof/>
                <w:webHidden/>
              </w:rPr>
            </w:r>
            <w:r>
              <w:rPr>
                <w:noProof/>
                <w:webHidden/>
              </w:rPr>
              <w:fldChar w:fldCharType="separate"/>
            </w:r>
            <w:r>
              <w:rPr>
                <w:noProof/>
                <w:webHidden/>
              </w:rPr>
              <w:t>47</w:t>
            </w:r>
            <w:r>
              <w:rPr>
                <w:noProof/>
                <w:webHidden/>
              </w:rPr>
              <w:fldChar w:fldCharType="end"/>
            </w:r>
          </w:hyperlink>
        </w:p>
        <w:p w14:paraId="02A6F5DB" w14:textId="645EF3F8" w:rsidR="00C779A5" w:rsidRDefault="00C779A5">
          <w:r>
            <w:rPr>
              <w:b/>
              <w:bCs/>
              <w:noProof/>
            </w:rPr>
            <w:fldChar w:fldCharType="end"/>
          </w:r>
        </w:p>
      </w:sdtContent>
    </w:sdt>
    <w:p w14:paraId="7AEBE282" w14:textId="2D3FDCDF" w:rsidR="005C2C7A" w:rsidRDefault="006D62E9" w:rsidP="006D62E9">
      <w:pPr>
        <w:tabs>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
          <w:iCs/>
          <w:sz w:val="28"/>
          <w:szCs w:val="28"/>
        </w:rPr>
      </w:pPr>
      <w:r w:rsidRPr="006D62E9">
        <w:rPr>
          <w:rFonts w:eastAsia="Arial Unicode MS" w:cs="Arial"/>
          <w:b/>
          <w:iCs/>
          <w:sz w:val="28"/>
          <w:szCs w:val="28"/>
        </w:rPr>
        <w:t>List of Tables:</w:t>
      </w:r>
    </w:p>
    <w:p w14:paraId="69A9898E" w14:textId="41B0BBDE" w:rsidR="006D62E9" w:rsidRPr="006D62E9" w:rsidRDefault="006D62E9">
      <w:pPr>
        <w:pStyle w:val="TableofFigures"/>
        <w:tabs>
          <w:tab w:val="right" w:leader="dot" w:pos="9016"/>
        </w:tabs>
        <w:rPr>
          <w:rFonts w:asciiTheme="minorHAnsi" w:eastAsiaTheme="minorEastAsia" w:hAnsiTheme="minorHAnsi" w:cstheme="minorBidi"/>
          <w:bCs/>
          <w:noProof/>
          <w:lang w:bidi="ar-SA"/>
        </w:rPr>
      </w:pPr>
      <w:r w:rsidRPr="006D62E9">
        <w:rPr>
          <w:rFonts w:eastAsia="Arial Unicode MS" w:cs="Arial"/>
          <w:bCs/>
          <w:iCs/>
          <w:sz w:val="28"/>
          <w:szCs w:val="28"/>
        </w:rPr>
        <w:fldChar w:fldCharType="begin"/>
      </w:r>
      <w:r w:rsidRPr="006D62E9">
        <w:rPr>
          <w:rFonts w:eastAsia="Arial Unicode MS" w:cs="Arial"/>
          <w:bCs/>
          <w:iCs/>
          <w:sz w:val="28"/>
          <w:szCs w:val="28"/>
        </w:rPr>
        <w:instrText xml:space="preserve"> TOC \h \z \c "Table" </w:instrText>
      </w:r>
      <w:r w:rsidRPr="006D62E9">
        <w:rPr>
          <w:rFonts w:eastAsia="Arial Unicode MS" w:cs="Arial"/>
          <w:bCs/>
          <w:iCs/>
          <w:sz w:val="28"/>
          <w:szCs w:val="28"/>
        </w:rPr>
        <w:fldChar w:fldCharType="separate"/>
      </w:r>
      <w:hyperlink w:anchor="_Toc225702934" w:history="1">
        <w:r w:rsidRPr="006D62E9">
          <w:rPr>
            <w:rStyle w:val="Hyperlink"/>
            <w:bCs/>
            <w:noProof/>
          </w:rPr>
          <w:t>Table 1 Structure of the Dissertation</w:t>
        </w:r>
        <w:r w:rsidRPr="006D62E9">
          <w:rPr>
            <w:bCs/>
            <w:noProof/>
            <w:webHidden/>
          </w:rPr>
          <w:tab/>
        </w:r>
        <w:r w:rsidRPr="006D62E9">
          <w:rPr>
            <w:bCs/>
            <w:noProof/>
            <w:webHidden/>
          </w:rPr>
          <w:fldChar w:fldCharType="begin"/>
        </w:r>
        <w:r w:rsidRPr="006D62E9">
          <w:rPr>
            <w:bCs/>
            <w:noProof/>
            <w:webHidden/>
          </w:rPr>
          <w:instrText xml:space="preserve"> PAGEREF _Toc225702934 \h </w:instrText>
        </w:r>
        <w:r w:rsidRPr="006D62E9">
          <w:rPr>
            <w:bCs/>
            <w:noProof/>
            <w:webHidden/>
          </w:rPr>
        </w:r>
        <w:r w:rsidRPr="006D62E9">
          <w:rPr>
            <w:bCs/>
            <w:noProof/>
            <w:webHidden/>
          </w:rPr>
          <w:fldChar w:fldCharType="separate"/>
        </w:r>
        <w:r w:rsidRPr="006D62E9">
          <w:rPr>
            <w:bCs/>
            <w:noProof/>
            <w:webHidden/>
          </w:rPr>
          <w:t>17</w:t>
        </w:r>
        <w:r w:rsidRPr="006D62E9">
          <w:rPr>
            <w:bCs/>
            <w:noProof/>
            <w:webHidden/>
          </w:rPr>
          <w:fldChar w:fldCharType="end"/>
        </w:r>
      </w:hyperlink>
    </w:p>
    <w:p w14:paraId="280EF9E8" w14:textId="2E4D1F5D" w:rsidR="006D62E9" w:rsidRPr="006D62E9" w:rsidRDefault="006D62E9">
      <w:pPr>
        <w:pStyle w:val="TableofFigures"/>
        <w:tabs>
          <w:tab w:val="right" w:leader="dot" w:pos="9016"/>
        </w:tabs>
        <w:rPr>
          <w:rFonts w:asciiTheme="minorHAnsi" w:eastAsiaTheme="minorEastAsia" w:hAnsiTheme="minorHAnsi" w:cstheme="minorBidi"/>
          <w:bCs/>
          <w:noProof/>
          <w:lang w:bidi="ar-SA"/>
        </w:rPr>
      </w:pPr>
      <w:hyperlink w:anchor="_Toc225702935" w:history="1">
        <w:r w:rsidRPr="006D62E9">
          <w:rPr>
            <w:rStyle w:val="Hyperlink"/>
            <w:bCs/>
            <w:noProof/>
          </w:rPr>
          <w:t>Table 2 Evolution of Glucose Monitoring Methods and Limitations</w:t>
        </w:r>
        <w:r w:rsidRPr="006D62E9">
          <w:rPr>
            <w:bCs/>
            <w:noProof/>
            <w:webHidden/>
          </w:rPr>
          <w:tab/>
        </w:r>
        <w:r w:rsidRPr="006D62E9">
          <w:rPr>
            <w:bCs/>
            <w:noProof/>
            <w:webHidden/>
          </w:rPr>
          <w:fldChar w:fldCharType="begin"/>
        </w:r>
        <w:r w:rsidRPr="006D62E9">
          <w:rPr>
            <w:bCs/>
            <w:noProof/>
            <w:webHidden/>
          </w:rPr>
          <w:instrText xml:space="preserve"> PAGEREF _Toc225702935 \h </w:instrText>
        </w:r>
        <w:r w:rsidRPr="006D62E9">
          <w:rPr>
            <w:bCs/>
            <w:noProof/>
            <w:webHidden/>
          </w:rPr>
        </w:r>
        <w:r w:rsidRPr="006D62E9">
          <w:rPr>
            <w:bCs/>
            <w:noProof/>
            <w:webHidden/>
          </w:rPr>
          <w:fldChar w:fldCharType="separate"/>
        </w:r>
        <w:r w:rsidRPr="006D62E9">
          <w:rPr>
            <w:bCs/>
            <w:noProof/>
            <w:webHidden/>
          </w:rPr>
          <w:t>18</w:t>
        </w:r>
        <w:r w:rsidRPr="006D62E9">
          <w:rPr>
            <w:bCs/>
            <w:noProof/>
            <w:webHidden/>
          </w:rPr>
          <w:fldChar w:fldCharType="end"/>
        </w:r>
      </w:hyperlink>
    </w:p>
    <w:p w14:paraId="619613A5" w14:textId="4DEC5912" w:rsidR="006D62E9" w:rsidRPr="006D62E9" w:rsidRDefault="006D62E9">
      <w:pPr>
        <w:pStyle w:val="TableofFigures"/>
        <w:tabs>
          <w:tab w:val="right" w:leader="dot" w:pos="9016"/>
        </w:tabs>
        <w:rPr>
          <w:rFonts w:asciiTheme="minorHAnsi" w:eastAsiaTheme="minorEastAsia" w:hAnsiTheme="minorHAnsi" w:cstheme="minorBidi"/>
          <w:bCs/>
          <w:noProof/>
          <w:lang w:bidi="ar-SA"/>
        </w:rPr>
      </w:pPr>
      <w:hyperlink w:anchor="_Toc225702936" w:history="1">
        <w:r w:rsidRPr="006D62E9">
          <w:rPr>
            <w:rStyle w:val="Hyperlink"/>
            <w:bCs/>
            <w:noProof/>
          </w:rPr>
          <w:t>Table 3 Global CGM Coverage and Adoption Rates by Country</w:t>
        </w:r>
        <w:r w:rsidRPr="006D62E9">
          <w:rPr>
            <w:bCs/>
            <w:noProof/>
            <w:webHidden/>
          </w:rPr>
          <w:tab/>
        </w:r>
        <w:r w:rsidRPr="006D62E9">
          <w:rPr>
            <w:bCs/>
            <w:noProof/>
            <w:webHidden/>
          </w:rPr>
          <w:fldChar w:fldCharType="begin"/>
        </w:r>
        <w:r w:rsidRPr="006D62E9">
          <w:rPr>
            <w:bCs/>
            <w:noProof/>
            <w:webHidden/>
          </w:rPr>
          <w:instrText xml:space="preserve"> PAGEREF _Toc225702936 \h </w:instrText>
        </w:r>
        <w:r w:rsidRPr="006D62E9">
          <w:rPr>
            <w:bCs/>
            <w:noProof/>
            <w:webHidden/>
          </w:rPr>
        </w:r>
        <w:r w:rsidRPr="006D62E9">
          <w:rPr>
            <w:bCs/>
            <w:noProof/>
            <w:webHidden/>
          </w:rPr>
          <w:fldChar w:fldCharType="separate"/>
        </w:r>
        <w:r w:rsidRPr="006D62E9">
          <w:rPr>
            <w:bCs/>
            <w:noProof/>
            <w:webHidden/>
          </w:rPr>
          <w:t>21</w:t>
        </w:r>
        <w:r w:rsidRPr="006D62E9">
          <w:rPr>
            <w:bCs/>
            <w:noProof/>
            <w:webHidden/>
          </w:rPr>
          <w:fldChar w:fldCharType="end"/>
        </w:r>
      </w:hyperlink>
    </w:p>
    <w:p w14:paraId="557C7D07" w14:textId="37A4730C" w:rsidR="006D62E9" w:rsidRPr="006D62E9" w:rsidRDefault="006D62E9">
      <w:pPr>
        <w:pStyle w:val="TableofFigures"/>
        <w:tabs>
          <w:tab w:val="right" w:leader="dot" w:pos="9016"/>
        </w:tabs>
        <w:rPr>
          <w:rFonts w:asciiTheme="minorHAnsi" w:eastAsiaTheme="minorEastAsia" w:hAnsiTheme="minorHAnsi" w:cstheme="minorBidi"/>
          <w:bCs/>
          <w:noProof/>
          <w:lang w:bidi="ar-SA"/>
        </w:rPr>
      </w:pPr>
      <w:hyperlink w:anchor="_Toc225702937" w:history="1">
        <w:r w:rsidRPr="006D62E9">
          <w:rPr>
            <w:rStyle w:val="Hyperlink"/>
            <w:bCs/>
            <w:noProof/>
          </w:rPr>
          <w:t>Table 4 Summary of Key Studies and Their Relevance to CGM Research</w:t>
        </w:r>
        <w:r w:rsidRPr="006D62E9">
          <w:rPr>
            <w:bCs/>
            <w:noProof/>
            <w:webHidden/>
          </w:rPr>
          <w:tab/>
        </w:r>
        <w:r w:rsidRPr="006D62E9">
          <w:rPr>
            <w:bCs/>
            <w:noProof/>
            <w:webHidden/>
          </w:rPr>
          <w:fldChar w:fldCharType="begin"/>
        </w:r>
        <w:r w:rsidRPr="006D62E9">
          <w:rPr>
            <w:bCs/>
            <w:noProof/>
            <w:webHidden/>
          </w:rPr>
          <w:instrText xml:space="preserve"> PAGEREF _Toc225702937 \h </w:instrText>
        </w:r>
        <w:r w:rsidRPr="006D62E9">
          <w:rPr>
            <w:bCs/>
            <w:noProof/>
            <w:webHidden/>
          </w:rPr>
        </w:r>
        <w:r w:rsidRPr="006D62E9">
          <w:rPr>
            <w:bCs/>
            <w:noProof/>
            <w:webHidden/>
          </w:rPr>
          <w:fldChar w:fldCharType="separate"/>
        </w:r>
        <w:r w:rsidRPr="006D62E9">
          <w:rPr>
            <w:bCs/>
            <w:noProof/>
            <w:webHidden/>
          </w:rPr>
          <w:t>25</w:t>
        </w:r>
        <w:r w:rsidRPr="006D62E9">
          <w:rPr>
            <w:bCs/>
            <w:noProof/>
            <w:webHidden/>
          </w:rPr>
          <w:fldChar w:fldCharType="end"/>
        </w:r>
      </w:hyperlink>
    </w:p>
    <w:p w14:paraId="23D55873" w14:textId="354A3A66" w:rsidR="006D62E9" w:rsidRPr="006D62E9" w:rsidRDefault="006D62E9">
      <w:pPr>
        <w:pStyle w:val="TableofFigures"/>
        <w:tabs>
          <w:tab w:val="right" w:leader="dot" w:pos="9016"/>
        </w:tabs>
        <w:rPr>
          <w:rFonts w:asciiTheme="minorHAnsi" w:eastAsiaTheme="minorEastAsia" w:hAnsiTheme="minorHAnsi" w:cstheme="minorBidi"/>
          <w:bCs/>
          <w:noProof/>
          <w:lang w:bidi="ar-SA"/>
        </w:rPr>
      </w:pPr>
      <w:hyperlink w:anchor="_Toc225702938" w:history="1">
        <w:r w:rsidRPr="006D62E9">
          <w:rPr>
            <w:rStyle w:val="Hyperlink"/>
            <w:bCs/>
            <w:noProof/>
          </w:rPr>
          <w:t>Table 5 Comparison of Key Features Between Libre and Dexcom CGM Systems</w:t>
        </w:r>
        <w:r w:rsidRPr="006D62E9">
          <w:rPr>
            <w:bCs/>
            <w:noProof/>
            <w:webHidden/>
          </w:rPr>
          <w:tab/>
        </w:r>
        <w:r w:rsidRPr="006D62E9">
          <w:rPr>
            <w:bCs/>
            <w:noProof/>
            <w:webHidden/>
          </w:rPr>
          <w:fldChar w:fldCharType="begin"/>
        </w:r>
        <w:r w:rsidRPr="006D62E9">
          <w:rPr>
            <w:bCs/>
            <w:noProof/>
            <w:webHidden/>
          </w:rPr>
          <w:instrText xml:space="preserve"> PAGEREF _Toc225702938 \h </w:instrText>
        </w:r>
        <w:r w:rsidRPr="006D62E9">
          <w:rPr>
            <w:bCs/>
            <w:noProof/>
            <w:webHidden/>
          </w:rPr>
        </w:r>
        <w:r w:rsidRPr="006D62E9">
          <w:rPr>
            <w:bCs/>
            <w:noProof/>
            <w:webHidden/>
          </w:rPr>
          <w:fldChar w:fldCharType="separate"/>
        </w:r>
        <w:r w:rsidRPr="006D62E9">
          <w:rPr>
            <w:bCs/>
            <w:noProof/>
            <w:webHidden/>
          </w:rPr>
          <w:t>28</w:t>
        </w:r>
        <w:r w:rsidRPr="006D62E9">
          <w:rPr>
            <w:bCs/>
            <w:noProof/>
            <w:webHidden/>
          </w:rPr>
          <w:fldChar w:fldCharType="end"/>
        </w:r>
      </w:hyperlink>
    </w:p>
    <w:p w14:paraId="4AAF04A0" w14:textId="155297B1" w:rsidR="006D62E9" w:rsidRPr="006D62E9" w:rsidRDefault="006D62E9">
      <w:pPr>
        <w:pStyle w:val="TableofFigures"/>
        <w:tabs>
          <w:tab w:val="right" w:leader="dot" w:pos="9016"/>
        </w:tabs>
        <w:rPr>
          <w:rFonts w:asciiTheme="minorHAnsi" w:eastAsiaTheme="minorEastAsia" w:hAnsiTheme="minorHAnsi" w:cstheme="minorBidi"/>
          <w:bCs/>
          <w:noProof/>
          <w:lang w:bidi="ar-SA"/>
        </w:rPr>
      </w:pPr>
      <w:hyperlink w:anchor="_Toc225702939" w:history="1">
        <w:r w:rsidRPr="006D62E9">
          <w:rPr>
            <w:rStyle w:val="Hyperlink"/>
            <w:bCs/>
            <w:noProof/>
          </w:rPr>
          <w:t>Table 6 Clinical Outcomes Associated with CGM Use in Diabetes Management</w:t>
        </w:r>
        <w:r w:rsidRPr="006D62E9">
          <w:rPr>
            <w:bCs/>
            <w:noProof/>
            <w:webHidden/>
          </w:rPr>
          <w:tab/>
        </w:r>
        <w:r w:rsidRPr="006D62E9">
          <w:rPr>
            <w:bCs/>
            <w:noProof/>
            <w:webHidden/>
          </w:rPr>
          <w:fldChar w:fldCharType="begin"/>
        </w:r>
        <w:r w:rsidRPr="006D62E9">
          <w:rPr>
            <w:bCs/>
            <w:noProof/>
            <w:webHidden/>
          </w:rPr>
          <w:instrText xml:space="preserve"> PAGEREF _Toc225702939 \h </w:instrText>
        </w:r>
        <w:r w:rsidRPr="006D62E9">
          <w:rPr>
            <w:bCs/>
            <w:noProof/>
            <w:webHidden/>
          </w:rPr>
        </w:r>
        <w:r w:rsidRPr="006D62E9">
          <w:rPr>
            <w:bCs/>
            <w:noProof/>
            <w:webHidden/>
          </w:rPr>
          <w:fldChar w:fldCharType="separate"/>
        </w:r>
        <w:r w:rsidRPr="006D62E9">
          <w:rPr>
            <w:bCs/>
            <w:noProof/>
            <w:webHidden/>
          </w:rPr>
          <w:t>30</w:t>
        </w:r>
        <w:r w:rsidRPr="006D62E9">
          <w:rPr>
            <w:bCs/>
            <w:noProof/>
            <w:webHidden/>
          </w:rPr>
          <w:fldChar w:fldCharType="end"/>
        </w:r>
      </w:hyperlink>
    </w:p>
    <w:p w14:paraId="37514797" w14:textId="0EED32D5" w:rsidR="006D62E9" w:rsidRPr="006D62E9" w:rsidRDefault="006D62E9">
      <w:pPr>
        <w:pStyle w:val="TableofFigures"/>
        <w:tabs>
          <w:tab w:val="right" w:leader="dot" w:pos="9016"/>
        </w:tabs>
        <w:rPr>
          <w:rFonts w:asciiTheme="minorHAnsi" w:eastAsiaTheme="minorEastAsia" w:hAnsiTheme="minorHAnsi" w:cstheme="minorBidi"/>
          <w:bCs/>
          <w:noProof/>
          <w:lang w:bidi="ar-SA"/>
        </w:rPr>
      </w:pPr>
      <w:hyperlink w:anchor="_Toc225702940" w:history="1">
        <w:r w:rsidRPr="006D62E9">
          <w:rPr>
            <w:rStyle w:val="Hyperlink"/>
            <w:bCs/>
            <w:noProof/>
          </w:rPr>
          <w:t>Table 7 Behavioural Impact of Monitoring Styles in Libre and Dexcom Systems</w:t>
        </w:r>
        <w:r w:rsidRPr="006D62E9">
          <w:rPr>
            <w:bCs/>
            <w:noProof/>
            <w:webHidden/>
          </w:rPr>
          <w:tab/>
        </w:r>
        <w:r w:rsidRPr="006D62E9">
          <w:rPr>
            <w:bCs/>
            <w:noProof/>
            <w:webHidden/>
          </w:rPr>
          <w:fldChar w:fldCharType="begin"/>
        </w:r>
        <w:r w:rsidRPr="006D62E9">
          <w:rPr>
            <w:bCs/>
            <w:noProof/>
            <w:webHidden/>
          </w:rPr>
          <w:instrText xml:space="preserve"> PAGEREF _Toc225702940 \h </w:instrText>
        </w:r>
        <w:r w:rsidRPr="006D62E9">
          <w:rPr>
            <w:bCs/>
            <w:noProof/>
            <w:webHidden/>
          </w:rPr>
        </w:r>
        <w:r w:rsidRPr="006D62E9">
          <w:rPr>
            <w:bCs/>
            <w:noProof/>
            <w:webHidden/>
          </w:rPr>
          <w:fldChar w:fldCharType="separate"/>
        </w:r>
        <w:r w:rsidRPr="006D62E9">
          <w:rPr>
            <w:bCs/>
            <w:noProof/>
            <w:webHidden/>
          </w:rPr>
          <w:t>31</w:t>
        </w:r>
        <w:r w:rsidRPr="006D62E9">
          <w:rPr>
            <w:bCs/>
            <w:noProof/>
            <w:webHidden/>
          </w:rPr>
          <w:fldChar w:fldCharType="end"/>
        </w:r>
      </w:hyperlink>
    </w:p>
    <w:p w14:paraId="4434410D" w14:textId="08FC1DF3" w:rsidR="006D62E9" w:rsidRPr="006D62E9" w:rsidRDefault="006D62E9">
      <w:pPr>
        <w:pStyle w:val="TableofFigures"/>
        <w:tabs>
          <w:tab w:val="right" w:leader="dot" w:pos="9016"/>
        </w:tabs>
        <w:rPr>
          <w:rFonts w:asciiTheme="minorHAnsi" w:eastAsiaTheme="minorEastAsia" w:hAnsiTheme="minorHAnsi" w:cstheme="minorBidi"/>
          <w:bCs/>
          <w:noProof/>
          <w:lang w:bidi="ar-SA"/>
        </w:rPr>
      </w:pPr>
      <w:hyperlink w:anchor="_Toc225702941" w:history="1">
        <w:r w:rsidRPr="006D62E9">
          <w:rPr>
            <w:rStyle w:val="Hyperlink"/>
            <w:bCs/>
            <w:noProof/>
          </w:rPr>
          <w:t>Table 8 Factors Influencing Access to CGM Technologies in the UK</w:t>
        </w:r>
        <w:r w:rsidRPr="006D62E9">
          <w:rPr>
            <w:bCs/>
            <w:noProof/>
            <w:webHidden/>
          </w:rPr>
          <w:tab/>
        </w:r>
        <w:r w:rsidRPr="006D62E9">
          <w:rPr>
            <w:bCs/>
            <w:noProof/>
            <w:webHidden/>
          </w:rPr>
          <w:fldChar w:fldCharType="begin"/>
        </w:r>
        <w:r w:rsidRPr="006D62E9">
          <w:rPr>
            <w:bCs/>
            <w:noProof/>
            <w:webHidden/>
          </w:rPr>
          <w:instrText xml:space="preserve"> PAGEREF _Toc225702941 \h </w:instrText>
        </w:r>
        <w:r w:rsidRPr="006D62E9">
          <w:rPr>
            <w:bCs/>
            <w:noProof/>
            <w:webHidden/>
          </w:rPr>
        </w:r>
        <w:r w:rsidRPr="006D62E9">
          <w:rPr>
            <w:bCs/>
            <w:noProof/>
            <w:webHidden/>
          </w:rPr>
          <w:fldChar w:fldCharType="separate"/>
        </w:r>
        <w:r w:rsidRPr="006D62E9">
          <w:rPr>
            <w:bCs/>
            <w:noProof/>
            <w:webHidden/>
          </w:rPr>
          <w:t>33</w:t>
        </w:r>
        <w:r w:rsidRPr="006D62E9">
          <w:rPr>
            <w:bCs/>
            <w:noProof/>
            <w:webHidden/>
          </w:rPr>
          <w:fldChar w:fldCharType="end"/>
        </w:r>
      </w:hyperlink>
    </w:p>
    <w:p w14:paraId="23B0575B" w14:textId="0FFFA45A" w:rsidR="006D62E9" w:rsidRPr="006D62E9" w:rsidRDefault="006D62E9">
      <w:pPr>
        <w:pStyle w:val="TableofFigures"/>
        <w:tabs>
          <w:tab w:val="right" w:leader="dot" w:pos="9016"/>
        </w:tabs>
        <w:rPr>
          <w:rFonts w:asciiTheme="minorHAnsi" w:eastAsiaTheme="minorEastAsia" w:hAnsiTheme="minorHAnsi" w:cstheme="minorBidi"/>
          <w:bCs/>
          <w:noProof/>
          <w:lang w:bidi="ar-SA"/>
        </w:rPr>
      </w:pPr>
      <w:hyperlink w:anchor="_Toc225702942" w:history="1">
        <w:r w:rsidRPr="006D62E9">
          <w:rPr>
            <w:rStyle w:val="Hyperlink"/>
            <w:bCs/>
            <w:noProof/>
          </w:rPr>
          <w:t>Table 9 Positive and Negative Implications of CGM Technology Use</w:t>
        </w:r>
        <w:r w:rsidRPr="006D62E9">
          <w:rPr>
            <w:bCs/>
            <w:noProof/>
            <w:webHidden/>
          </w:rPr>
          <w:tab/>
        </w:r>
        <w:r w:rsidRPr="006D62E9">
          <w:rPr>
            <w:bCs/>
            <w:noProof/>
            <w:webHidden/>
          </w:rPr>
          <w:fldChar w:fldCharType="begin"/>
        </w:r>
        <w:r w:rsidRPr="006D62E9">
          <w:rPr>
            <w:bCs/>
            <w:noProof/>
            <w:webHidden/>
          </w:rPr>
          <w:instrText xml:space="preserve"> PAGEREF _Toc225702942 \h </w:instrText>
        </w:r>
        <w:r w:rsidRPr="006D62E9">
          <w:rPr>
            <w:bCs/>
            <w:noProof/>
            <w:webHidden/>
          </w:rPr>
        </w:r>
        <w:r w:rsidRPr="006D62E9">
          <w:rPr>
            <w:bCs/>
            <w:noProof/>
            <w:webHidden/>
          </w:rPr>
          <w:fldChar w:fldCharType="separate"/>
        </w:r>
        <w:r w:rsidRPr="006D62E9">
          <w:rPr>
            <w:bCs/>
            <w:noProof/>
            <w:webHidden/>
          </w:rPr>
          <w:t>34</w:t>
        </w:r>
        <w:r w:rsidRPr="006D62E9">
          <w:rPr>
            <w:bCs/>
            <w:noProof/>
            <w:webHidden/>
          </w:rPr>
          <w:fldChar w:fldCharType="end"/>
        </w:r>
      </w:hyperlink>
    </w:p>
    <w:p w14:paraId="3F140A69" w14:textId="755ED91C" w:rsidR="006D62E9" w:rsidRPr="006D62E9" w:rsidRDefault="006D62E9">
      <w:pPr>
        <w:pStyle w:val="TableofFigures"/>
        <w:tabs>
          <w:tab w:val="right" w:leader="dot" w:pos="9016"/>
        </w:tabs>
        <w:rPr>
          <w:rFonts w:asciiTheme="minorHAnsi" w:eastAsiaTheme="minorEastAsia" w:hAnsiTheme="minorHAnsi" w:cstheme="minorBidi"/>
          <w:bCs/>
          <w:noProof/>
          <w:lang w:bidi="ar-SA"/>
        </w:rPr>
      </w:pPr>
      <w:hyperlink w:anchor="_Toc225702943" w:history="1">
        <w:r w:rsidRPr="006D62E9">
          <w:rPr>
            <w:rStyle w:val="Hyperlink"/>
            <w:bCs/>
            <w:noProof/>
          </w:rPr>
          <w:t>Table 10 Summary of Recommendations</w:t>
        </w:r>
        <w:r w:rsidRPr="006D62E9">
          <w:rPr>
            <w:bCs/>
            <w:noProof/>
            <w:webHidden/>
          </w:rPr>
          <w:tab/>
        </w:r>
        <w:r w:rsidRPr="006D62E9">
          <w:rPr>
            <w:bCs/>
            <w:noProof/>
            <w:webHidden/>
          </w:rPr>
          <w:fldChar w:fldCharType="begin"/>
        </w:r>
        <w:r w:rsidRPr="006D62E9">
          <w:rPr>
            <w:bCs/>
            <w:noProof/>
            <w:webHidden/>
          </w:rPr>
          <w:instrText xml:space="preserve"> PAGEREF _Toc225702943 \h </w:instrText>
        </w:r>
        <w:r w:rsidRPr="006D62E9">
          <w:rPr>
            <w:bCs/>
            <w:noProof/>
            <w:webHidden/>
          </w:rPr>
        </w:r>
        <w:r w:rsidRPr="006D62E9">
          <w:rPr>
            <w:bCs/>
            <w:noProof/>
            <w:webHidden/>
          </w:rPr>
          <w:fldChar w:fldCharType="separate"/>
        </w:r>
        <w:r w:rsidRPr="006D62E9">
          <w:rPr>
            <w:bCs/>
            <w:noProof/>
            <w:webHidden/>
          </w:rPr>
          <w:t>37</w:t>
        </w:r>
        <w:r w:rsidRPr="006D62E9">
          <w:rPr>
            <w:bCs/>
            <w:noProof/>
            <w:webHidden/>
          </w:rPr>
          <w:fldChar w:fldCharType="end"/>
        </w:r>
      </w:hyperlink>
    </w:p>
    <w:p w14:paraId="06091941" w14:textId="7EE03B80" w:rsidR="006D62E9" w:rsidRPr="006D62E9" w:rsidRDefault="006D62E9" w:rsidP="006D62E9">
      <w:pPr>
        <w:tabs>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
          <w:iCs/>
          <w:sz w:val="28"/>
          <w:szCs w:val="28"/>
        </w:rPr>
      </w:pPr>
      <w:r w:rsidRPr="006D62E9">
        <w:rPr>
          <w:rFonts w:eastAsia="Arial Unicode MS" w:cs="Arial"/>
          <w:bCs/>
          <w:iCs/>
          <w:sz w:val="28"/>
          <w:szCs w:val="28"/>
        </w:rPr>
        <w:fldChar w:fldCharType="end"/>
      </w:r>
    </w:p>
    <w:p w14:paraId="4340B7E6" w14:textId="151F9247" w:rsidR="005C2C7A" w:rsidRDefault="006D62E9" w:rsidP="006D62E9">
      <w:pPr>
        <w:tabs>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
          <w:iCs/>
          <w:sz w:val="28"/>
          <w:szCs w:val="28"/>
        </w:rPr>
      </w:pPr>
      <w:r w:rsidRPr="006D62E9">
        <w:rPr>
          <w:rFonts w:eastAsia="Arial Unicode MS" w:cs="Arial"/>
          <w:b/>
          <w:iCs/>
          <w:sz w:val="28"/>
          <w:szCs w:val="28"/>
        </w:rPr>
        <w:t>List of Figures:</w:t>
      </w:r>
    </w:p>
    <w:p w14:paraId="14BBB8F1" w14:textId="4D7AE926" w:rsidR="006D62E9" w:rsidRPr="006D62E9" w:rsidRDefault="006D62E9">
      <w:pPr>
        <w:pStyle w:val="TableofFigures"/>
        <w:tabs>
          <w:tab w:val="right" w:leader="dot" w:pos="9016"/>
        </w:tabs>
        <w:rPr>
          <w:rFonts w:asciiTheme="minorHAnsi" w:eastAsiaTheme="minorEastAsia" w:hAnsiTheme="minorHAnsi" w:cstheme="minorBidi"/>
          <w:noProof/>
          <w:lang w:bidi="ar-SA"/>
        </w:rPr>
      </w:pPr>
      <w:r>
        <w:rPr>
          <w:rFonts w:eastAsia="Arial Unicode MS" w:cs="Arial"/>
          <w:b/>
          <w:iCs/>
          <w:sz w:val="28"/>
          <w:szCs w:val="28"/>
        </w:rPr>
        <w:fldChar w:fldCharType="begin"/>
      </w:r>
      <w:r>
        <w:rPr>
          <w:rFonts w:eastAsia="Arial Unicode MS" w:cs="Arial"/>
          <w:b/>
          <w:iCs/>
          <w:sz w:val="28"/>
          <w:szCs w:val="28"/>
        </w:rPr>
        <w:instrText xml:space="preserve"> TOC \h \z \c "Figure" </w:instrText>
      </w:r>
      <w:r>
        <w:rPr>
          <w:rFonts w:eastAsia="Arial Unicode MS" w:cs="Arial"/>
          <w:b/>
          <w:iCs/>
          <w:sz w:val="28"/>
          <w:szCs w:val="28"/>
        </w:rPr>
        <w:fldChar w:fldCharType="separate"/>
      </w:r>
      <w:hyperlink w:anchor="_Toc225702944" w:history="1">
        <w:r w:rsidRPr="006D62E9">
          <w:rPr>
            <w:rStyle w:val="Hyperlink"/>
            <w:noProof/>
          </w:rPr>
          <w:t>Figure 1 Theoretical Framework</w:t>
        </w:r>
        <w:r w:rsidRPr="006D62E9">
          <w:rPr>
            <w:noProof/>
            <w:webHidden/>
          </w:rPr>
          <w:tab/>
        </w:r>
        <w:r w:rsidRPr="006D62E9">
          <w:rPr>
            <w:noProof/>
            <w:webHidden/>
          </w:rPr>
          <w:fldChar w:fldCharType="begin"/>
        </w:r>
        <w:r w:rsidRPr="006D62E9">
          <w:rPr>
            <w:noProof/>
            <w:webHidden/>
          </w:rPr>
          <w:instrText xml:space="preserve"> PAGEREF _Toc225702944 \h </w:instrText>
        </w:r>
        <w:r w:rsidRPr="006D62E9">
          <w:rPr>
            <w:noProof/>
            <w:webHidden/>
          </w:rPr>
        </w:r>
        <w:r w:rsidRPr="006D62E9">
          <w:rPr>
            <w:noProof/>
            <w:webHidden/>
          </w:rPr>
          <w:fldChar w:fldCharType="separate"/>
        </w:r>
        <w:r w:rsidRPr="006D62E9">
          <w:rPr>
            <w:noProof/>
            <w:webHidden/>
          </w:rPr>
          <w:t>19</w:t>
        </w:r>
        <w:r w:rsidRPr="006D62E9">
          <w:rPr>
            <w:noProof/>
            <w:webHidden/>
          </w:rPr>
          <w:fldChar w:fldCharType="end"/>
        </w:r>
      </w:hyperlink>
    </w:p>
    <w:p w14:paraId="773B5B45" w14:textId="00B2AFED" w:rsidR="006D62E9" w:rsidRPr="006D62E9" w:rsidRDefault="006D62E9" w:rsidP="006D62E9">
      <w:pPr>
        <w:tabs>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
          <w:iCs/>
          <w:sz w:val="28"/>
          <w:szCs w:val="28"/>
        </w:rPr>
      </w:pPr>
      <w:r>
        <w:rPr>
          <w:rFonts w:eastAsia="Arial Unicode MS" w:cs="Arial"/>
          <w:b/>
          <w:iCs/>
          <w:sz w:val="28"/>
          <w:szCs w:val="28"/>
        </w:rPr>
        <w:fldChar w:fldCharType="end"/>
      </w:r>
    </w:p>
    <w:p w14:paraId="24DBDAC8"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Cs/>
          <w:iCs/>
        </w:rPr>
      </w:pPr>
    </w:p>
    <w:p w14:paraId="2225C9F8" w14:textId="77777777" w:rsidR="00C779A5" w:rsidRDefault="00C779A5">
      <w:pPr>
        <w:spacing w:line="240" w:lineRule="auto"/>
        <w:jc w:val="left"/>
        <w:rPr>
          <w:rFonts w:eastAsia="Arial Unicode MS" w:cs="Arial"/>
          <w:b/>
          <w:sz w:val="28"/>
          <w:szCs w:val="28"/>
        </w:rPr>
      </w:pPr>
      <w:r>
        <w:rPr>
          <w:rFonts w:eastAsia="Arial Unicode MS" w:cs="Arial"/>
          <w:b/>
          <w:sz w:val="28"/>
          <w:szCs w:val="28"/>
        </w:rPr>
        <w:br w:type="page"/>
      </w:r>
    </w:p>
    <w:p w14:paraId="6EA31DA3" w14:textId="281C010B" w:rsidR="00C779A5" w:rsidRDefault="00C779A5" w:rsidP="00C779A5">
      <w:pPr>
        <w:pStyle w:val="Heading1"/>
      </w:pPr>
      <w:bookmarkStart w:id="2" w:name="_Toc225702877"/>
      <w:r w:rsidRPr="00C779A5">
        <w:lastRenderedPageBreak/>
        <w:t>Element 1: Proposal</w:t>
      </w:r>
      <w:bookmarkEnd w:id="2"/>
    </w:p>
    <w:p w14:paraId="238D78BD" w14:textId="77777777" w:rsidR="00C779A5" w:rsidRPr="000F077C" w:rsidRDefault="00C779A5" w:rsidP="00C779A5">
      <w:pPr>
        <w:rPr>
          <w:rFonts w:asciiTheme="minorBidi" w:hAnsiTheme="minorBidi"/>
          <w:b/>
          <w:bCs/>
        </w:rPr>
      </w:pPr>
      <w:r w:rsidRPr="000F077C">
        <w:rPr>
          <w:rFonts w:asciiTheme="minorBidi" w:hAnsiTheme="minorBidi"/>
          <w:b/>
          <w:bCs/>
        </w:rPr>
        <w:t>Project Proposal</w:t>
      </w:r>
    </w:p>
    <w:p w14:paraId="055DBF7C" w14:textId="77777777" w:rsidR="00C779A5" w:rsidRPr="000F077C" w:rsidRDefault="00C779A5" w:rsidP="00C779A5">
      <w:pPr>
        <w:rPr>
          <w:rFonts w:asciiTheme="minorBidi" w:hAnsiTheme="minorBidi"/>
        </w:rPr>
      </w:pPr>
      <w:r w:rsidRPr="000F077C">
        <w:rPr>
          <w:rFonts w:asciiTheme="minorBidi" w:hAnsiTheme="minorBidi"/>
          <w:b/>
          <w:bCs/>
        </w:rPr>
        <w:t>Title:</w:t>
      </w:r>
      <w:r w:rsidRPr="000F077C">
        <w:rPr>
          <w:rFonts w:asciiTheme="minorBidi" w:hAnsiTheme="minorBidi"/>
        </w:rPr>
        <w:t xml:space="preserve"> The Role of Continuous Glucose Monitoring Systems (Libre and Dexcom) in Improving Diabetes Management at Home</w:t>
      </w:r>
    </w:p>
    <w:p w14:paraId="78879CD5" w14:textId="77777777" w:rsidR="00C779A5" w:rsidRPr="000F077C" w:rsidRDefault="00C779A5" w:rsidP="00C779A5">
      <w:pPr>
        <w:rPr>
          <w:rFonts w:asciiTheme="minorBidi" w:hAnsiTheme="minorBidi"/>
        </w:rPr>
      </w:pPr>
      <w:r w:rsidRPr="000F077C">
        <w:rPr>
          <w:rFonts w:asciiTheme="minorBidi" w:hAnsiTheme="minorBidi"/>
          <w:b/>
          <w:bCs/>
        </w:rPr>
        <w:t>Aim</w:t>
      </w:r>
    </w:p>
    <w:p w14:paraId="05989EB4" w14:textId="77777777" w:rsidR="00C779A5" w:rsidRPr="000F077C" w:rsidRDefault="00C779A5" w:rsidP="00C779A5">
      <w:pPr>
        <w:rPr>
          <w:rFonts w:asciiTheme="minorBidi" w:hAnsiTheme="minorBidi"/>
        </w:rPr>
      </w:pPr>
      <w:r w:rsidRPr="000F077C">
        <w:rPr>
          <w:rFonts w:asciiTheme="minorBidi" w:hAnsiTheme="minorBidi"/>
        </w:rPr>
        <w:t>This research aims to explore how Continuous Glucose Monitoring (CGM) systems, such as Libre and Dexcom, improve diabetes management at home. It will critically analyse how these devices enhance patient self-care, treatment adherence, and communication with healthcare providers while identifying limitations affecting their adoption and long-term effectiveness.</w:t>
      </w:r>
    </w:p>
    <w:p w14:paraId="4B0D14AA" w14:textId="77777777" w:rsidR="00C779A5" w:rsidRPr="000F077C" w:rsidRDefault="00C779A5" w:rsidP="00C779A5">
      <w:pPr>
        <w:rPr>
          <w:rFonts w:asciiTheme="minorBidi" w:hAnsiTheme="minorBidi"/>
          <w:b/>
          <w:bCs/>
        </w:rPr>
      </w:pPr>
      <w:r w:rsidRPr="000F077C">
        <w:rPr>
          <w:rFonts w:asciiTheme="minorBidi" w:hAnsiTheme="minorBidi"/>
          <w:b/>
          <w:bCs/>
        </w:rPr>
        <w:t>2) Objectives</w:t>
      </w:r>
    </w:p>
    <w:p w14:paraId="4FDE9D37" w14:textId="77777777" w:rsidR="00C779A5" w:rsidRPr="000F077C" w:rsidRDefault="00C779A5" w:rsidP="00C779A5">
      <w:pPr>
        <w:pStyle w:val="ListParagraph"/>
        <w:widowControl/>
        <w:numPr>
          <w:ilvl w:val="0"/>
          <w:numId w:val="17"/>
        </w:numPr>
        <w:autoSpaceDE/>
        <w:autoSpaceDN/>
        <w:contextualSpacing/>
        <w:rPr>
          <w:rFonts w:asciiTheme="minorBidi" w:hAnsiTheme="minorBidi"/>
        </w:rPr>
      </w:pPr>
      <w:r w:rsidRPr="000F077C">
        <w:rPr>
          <w:rFonts w:asciiTheme="minorBidi" w:hAnsiTheme="minorBidi"/>
        </w:rPr>
        <w:t>To define and examine the key functions and design features of Libre and Dexcom systems that support home glucose monitoring for diabetic patients.</w:t>
      </w:r>
    </w:p>
    <w:p w14:paraId="2A42308E" w14:textId="77777777" w:rsidR="00C779A5" w:rsidRPr="000F077C" w:rsidRDefault="00C779A5" w:rsidP="00C779A5">
      <w:pPr>
        <w:pStyle w:val="ListParagraph"/>
        <w:widowControl/>
        <w:numPr>
          <w:ilvl w:val="0"/>
          <w:numId w:val="17"/>
        </w:numPr>
        <w:autoSpaceDE/>
        <w:autoSpaceDN/>
        <w:contextualSpacing/>
        <w:rPr>
          <w:rFonts w:asciiTheme="minorBidi" w:hAnsiTheme="minorBidi"/>
        </w:rPr>
      </w:pPr>
      <w:r w:rsidRPr="000F077C">
        <w:rPr>
          <w:rFonts w:asciiTheme="minorBidi" w:hAnsiTheme="minorBidi"/>
        </w:rPr>
        <w:t>To analyse how CGM use influences patient self-management, glycaemic control, and lifestyle behaviour changes.</w:t>
      </w:r>
    </w:p>
    <w:p w14:paraId="484D8ECD" w14:textId="77777777" w:rsidR="00C779A5" w:rsidRPr="000F077C" w:rsidRDefault="00C779A5" w:rsidP="00C779A5">
      <w:pPr>
        <w:pStyle w:val="ListParagraph"/>
        <w:widowControl/>
        <w:numPr>
          <w:ilvl w:val="0"/>
          <w:numId w:val="17"/>
        </w:numPr>
        <w:autoSpaceDE/>
        <w:autoSpaceDN/>
        <w:contextualSpacing/>
        <w:rPr>
          <w:rFonts w:asciiTheme="minorBidi" w:hAnsiTheme="minorBidi"/>
        </w:rPr>
      </w:pPr>
      <w:r w:rsidRPr="000F077C">
        <w:rPr>
          <w:rFonts w:asciiTheme="minorBidi" w:hAnsiTheme="minorBidi"/>
        </w:rPr>
        <w:t>To evaluate the practical challenges, costs, and ethical considerations in adopting CGM technology for long-term home use.</w:t>
      </w:r>
    </w:p>
    <w:p w14:paraId="626C38CB" w14:textId="77777777" w:rsidR="00C779A5" w:rsidRPr="000F077C" w:rsidRDefault="00C779A5" w:rsidP="00C779A5">
      <w:pPr>
        <w:pStyle w:val="ListParagraph"/>
        <w:widowControl/>
        <w:numPr>
          <w:ilvl w:val="0"/>
          <w:numId w:val="17"/>
        </w:numPr>
        <w:autoSpaceDE/>
        <w:autoSpaceDN/>
        <w:contextualSpacing/>
        <w:rPr>
          <w:rFonts w:asciiTheme="minorBidi" w:hAnsiTheme="minorBidi"/>
        </w:rPr>
      </w:pPr>
      <w:r w:rsidRPr="000F077C">
        <w:rPr>
          <w:rFonts w:asciiTheme="minorBidi" w:hAnsiTheme="minorBidi"/>
        </w:rPr>
        <w:t>To provide recommendations for improving access, training, and digital integration of CGM systems within community-based diabetes care in the United Kingdom.</w:t>
      </w:r>
    </w:p>
    <w:p w14:paraId="6CCBBA48" w14:textId="77777777" w:rsidR="00C779A5" w:rsidRPr="000F077C" w:rsidRDefault="00C779A5" w:rsidP="00C779A5">
      <w:pPr>
        <w:rPr>
          <w:rFonts w:asciiTheme="minorBidi" w:hAnsiTheme="minorBidi"/>
          <w:b/>
          <w:bCs/>
        </w:rPr>
      </w:pPr>
      <w:r w:rsidRPr="000F077C">
        <w:rPr>
          <w:rFonts w:asciiTheme="minorBidi" w:hAnsiTheme="minorBidi"/>
          <w:b/>
          <w:bCs/>
        </w:rPr>
        <w:t>3) Background / Rationale</w:t>
      </w:r>
    </w:p>
    <w:p w14:paraId="5EB643A1" w14:textId="77777777" w:rsidR="00C779A5" w:rsidRPr="000F077C" w:rsidRDefault="00C779A5" w:rsidP="00C779A5">
      <w:pPr>
        <w:rPr>
          <w:rFonts w:asciiTheme="minorBidi" w:hAnsiTheme="minorBidi"/>
        </w:rPr>
      </w:pPr>
      <w:r w:rsidRPr="000F077C">
        <w:rPr>
          <w:rFonts w:asciiTheme="minorBidi" w:hAnsiTheme="minorBidi"/>
        </w:rPr>
        <w:t>Diabetes remains a growing health concern worldwide, requiring constant glucose tracking for effective management (Hossain, Al</w:t>
      </w:r>
      <w:r w:rsidRPr="000F077C">
        <w:rPr>
          <w:rFonts w:ascii="Cambria Math" w:hAnsi="Cambria Math" w:cs="Cambria Math"/>
        </w:rPr>
        <w:t>‐</w:t>
      </w:r>
      <w:r w:rsidRPr="000F077C">
        <w:rPr>
          <w:rFonts w:asciiTheme="minorBidi" w:hAnsiTheme="minorBidi"/>
        </w:rPr>
        <w:t>Mamun and Islam, 2024). Traditional finger-prick testing causes discomfort and limits real-time awareness of glucose fluctuations. Continuous Glucose Monitoring systems, such as Abbott’s FreeStyle Libre and Dexcom G7, offer sensor-based technology that delivers continuous data directly to smartphones (Yoo and Kim, 2023). These devices improve early detection of abnormal glucose patterns and enable faster responses to insulin needs. However, cost barriers, data interpretation skills, and user training remain major concerns. There is limited research comparing Libre and Dexcom effectiveness in home-based diabetes management (Edward and Priefer, 2023). This study is significant because it addresses how CGMs transform home care delivery, empower patients to self-manage effectively, and reduce pressure on primary healthcare services through digital innovation and remote monitoring solutions.</w:t>
      </w:r>
    </w:p>
    <w:p w14:paraId="114D71D9" w14:textId="77777777" w:rsidR="00C779A5" w:rsidRPr="000F077C" w:rsidRDefault="00C779A5" w:rsidP="00C779A5">
      <w:pPr>
        <w:rPr>
          <w:rFonts w:asciiTheme="minorBidi" w:hAnsiTheme="minorBidi"/>
          <w:b/>
          <w:bCs/>
        </w:rPr>
      </w:pPr>
      <w:r w:rsidRPr="000F077C">
        <w:rPr>
          <w:rFonts w:asciiTheme="minorBidi" w:hAnsiTheme="minorBidi"/>
          <w:b/>
          <w:bCs/>
        </w:rPr>
        <w:t>4) Methods</w:t>
      </w:r>
    </w:p>
    <w:p w14:paraId="63155D0F" w14:textId="77777777" w:rsidR="00C779A5" w:rsidRPr="000F077C" w:rsidRDefault="00C779A5" w:rsidP="00C779A5">
      <w:pPr>
        <w:rPr>
          <w:rFonts w:asciiTheme="minorBidi" w:hAnsiTheme="minorBidi"/>
        </w:rPr>
      </w:pPr>
      <w:r w:rsidRPr="000F077C">
        <w:rPr>
          <w:rFonts w:asciiTheme="minorBidi" w:hAnsiTheme="minorBidi"/>
        </w:rPr>
        <w:t xml:space="preserve">This study will use </w:t>
      </w:r>
      <w:r w:rsidRPr="000F077C">
        <w:rPr>
          <w:rFonts w:asciiTheme="minorBidi" w:hAnsiTheme="minorBidi"/>
          <w:b/>
          <w:bCs/>
        </w:rPr>
        <w:t>secondary qualitative research</w:t>
      </w:r>
      <w:r w:rsidRPr="000F077C">
        <w:rPr>
          <w:rFonts w:asciiTheme="minorBidi" w:hAnsiTheme="minorBidi"/>
        </w:rPr>
        <w:t xml:space="preserve"> focusing on academic journals, clinical reports, and health policy documents from 2020 to 2025 (Ratajczak et al., 2025). Sources will be selected based on credibility, peer-review status, and relevance to CGM technologies. Data will be thematically analysed by comparing findings on patient outcomes, adherence, and </w:t>
      </w:r>
      <w:r w:rsidRPr="000F077C">
        <w:rPr>
          <w:rFonts w:asciiTheme="minorBidi" w:hAnsiTheme="minorBidi"/>
        </w:rPr>
        <w:lastRenderedPageBreak/>
        <w:t>usability of Libre and Dexcom devices. Analytical coding will highlight recurring benefits and limitations. Ethical standards will be maintained through correct Harvard referencing, acknowledgement of original authors, and avoidance of plagiarism. No personal data will be collected since the study relies entirely on secondary published information.</w:t>
      </w:r>
    </w:p>
    <w:p w14:paraId="459FF060" w14:textId="77777777" w:rsidR="00C779A5" w:rsidRPr="000F077C" w:rsidRDefault="00C779A5" w:rsidP="00C779A5">
      <w:pPr>
        <w:rPr>
          <w:rFonts w:asciiTheme="minorBidi" w:hAnsiTheme="minorBidi"/>
          <w:b/>
          <w:bCs/>
        </w:rPr>
      </w:pPr>
      <w:r w:rsidRPr="000F077C">
        <w:rPr>
          <w:rFonts w:asciiTheme="minorBidi" w:hAnsiTheme="minorBidi"/>
          <w:b/>
          <w:bCs/>
        </w:rPr>
        <w:t>5) Resources</w:t>
      </w:r>
    </w:p>
    <w:p w14:paraId="23D56A3E" w14:textId="77777777" w:rsidR="00C779A5" w:rsidRPr="000F077C" w:rsidRDefault="00C779A5" w:rsidP="00C779A5">
      <w:pPr>
        <w:widowControl/>
        <w:numPr>
          <w:ilvl w:val="0"/>
          <w:numId w:val="18"/>
        </w:numPr>
        <w:autoSpaceDE/>
        <w:autoSpaceDN/>
        <w:jc w:val="left"/>
        <w:rPr>
          <w:rFonts w:asciiTheme="minorBidi" w:hAnsiTheme="minorBidi"/>
        </w:rPr>
      </w:pPr>
      <w:r w:rsidRPr="000F077C">
        <w:rPr>
          <w:rFonts w:asciiTheme="minorBidi" w:hAnsiTheme="minorBidi"/>
        </w:rPr>
        <w:t>Google Scholar</w:t>
      </w:r>
    </w:p>
    <w:p w14:paraId="4D599E6B" w14:textId="77777777" w:rsidR="00C779A5" w:rsidRPr="000F077C" w:rsidRDefault="00C779A5" w:rsidP="00C779A5">
      <w:pPr>
        <w:widowControl/>
        <w:numPr>
          <w:ilvl w:val="0"/>
          <w:numId w:val="18"/>
        </w:numPr>
        <w:autoSpaceDE/>
        <w:autoSpaceDN/>
        <w:jc w:val="left"/>
        <w:rPr>
          <w:rFonts w:asciiTheme="minorBidi" w:hAnsiTheme="minorBidi"/>
        </w:rPr>
      </w:pPr>
      <w:r w:rsidRPr="000F077C">
        <w:rPr>
          <w:rFonts w:asciiTheme="minorBidi" w:hAnsiTheme="minorBidi"/>
        </w:rPr>
        <w:t>PubMed</w:t>
      </w:r>
    </w:p>
    <w:p w14:paraId="021F5D2B" w14:textId="77777777" w:rsidR="00C779A5" w:rsidRPr="000F077C" w:rsidRDefault="00C779A5" w:rsidP="00C779A5">
      <w:pPr>
        <w:widowControl/>
        <w:numPr>
          <w:ilvl w:val="0"/>
          <w:numId w:val="18"/>
        </w:numPr>
        <w:autoSpaceDE/>
        <w:autoSpaceDN/>
        <w:jc w:val="left"/>
        <w:rPr>
          <w:rFonts w:asciiTheme="minorBidi" w:hAnsiTheme="minorBidi"/>
        </w:rPr>
      </w:pPr>
      <w:r w:rsidRPr="000F077C">
        <w:rPr>
          <w:rFonts w:asciiTheme="minorBidi" w:hAnsiTheme="minorBidi"/>
        </w:rPr>
        <w:t>NHS Digital Library</w:t>
      </w:r>
    </w:p>
    <w:p w14:paraId="0845FC7D" w14:textId="77777777" w:rsidR="00C779A5" w:rsidRPr="000F077C" w:rsidRDefault="00C779A5" w:rsidP="00C779A5">
      <w:pPr>
        <w:widowControl/>
        <w:numPr>
          <w:ilvl w:val="0"/>
          <w:numId w:val="18"/>
        </w:numPr>
        <w:autoSpaceDE/>
        <w:autoSpaceDN/>
        <w:jc w:val="left"/>
        <w:rPr>
          <w:rFonts w:asciiTheme="minorBidi" w:hAnsiTheme="minorBidi"/>
        </w:rPr>
      </w:pPr>
      <w:r w:rsidRPr="000F077C">
        <w:rPr>
          <w:rFonts w:asciiTheme="minorBidi" w:hAnsiTheme="minorBidi"/>
        </w:rPr>
        <w:t>ScienceDirect</w:t>
      </w:r>
    </w:p>
    <w:p w14:paraId="7FF3EDEC" w14:textId="77777777" w:rsidR="00C779A5" w:rsidRPr="000F077C" w:rsidRDefault="00C779A5" w:rsidP="00C779A5">
      <w:pPr>
        <w:widowControl/>
        <w:numPr>
          <w:ilvl w:val="0"/>
          <w:numId w:val="18"/>
        </w:numPr>
        <w:autoSpaceDE/>
        <w:autoSpaceDN/>
        <w:jc w:val="left"/>
        <w:rPr>
          <w:rFonts w:asciiTheme="minorBidi" w:hAnsiTheme="minorBidi"/>
        </w:rPr>
      </w:pPr>
      <w:r w:rsidRPr="000F077C">
        <w:rPr>
          <w:rFonts w:asciiTheme="minorBidi" w:hAnsiTheme="minorBidi"/>
        </w:rPr>
        <w:t>Zotero Referencing Software</w:t>
      </w:r>
    </w:p>
    <w:p w14:paraId="4BFB7581" w14:textId="77777777" w:rsidR="00C779A5" w:rsidRPr="000F077C" w:rsidRDefault="00C779A5" w:rsidP="00C779A5">
      <w:pPr>
        <w:widowControl/>
        <w:numPr>
          <w:ilvl w:val="0"/>
          <w:numId w:val="18"/>
        </w:numPr>
        <w:autoSpaceDE/>
        <w:autoSpaceDN/>
        <w:jc w:val="left"/>
        <w:rPr>
          <w:rFonts w:asciiTheme="minorBidi" w:hAnsiTheme="minorBidi"/>
        </w:rPr>
      </w:pPr>
      <w:r w:rsidRPr="000F077C">
        <w:rPr>
          <w:rFonts w:asciiTheme="minorBidi" w:hAnsiTheme="minorBidi"/>
        </w:rPr>
        <w:t>University Online Database Access</w:t>
      </w:r>
    </w:p>
    <w:p w14:paraId="08D7AD75" w14:textId="77777777" w:rsidR="00C779A5" w:rsidRPr="000F077C" w:rsidRDefault="00C779A5" w:rsidP="00C779A5">
      <w:pPr>
        <w:rPr>
          <w:rFonts w:asciiTheme="minorBidi" w:hAnsiTheme="minorBidi"/>
          <w:b/>
          <w:bCs/>
        </w:rPr>
      </w:pPr>
      <w:r w:rsidRPr="000F077C">
        <w:rPr>
          <w:rFonts w:asciiTheme="minorBidi" w:hAnsiTheme="minorBidi"/>
          <w:b/>
          <w:bCs/>
        </w:rPr>
        <w:t>6) Timescale</w:t>
      </w:r>
    </w:p>
    <w:p w14:paraId="552621F1" w14:textId="77777777" w:rsidR="00C779A5" w:rsidRPr="000F077C" w:rsidRDefault="00C779A5" w:rsidP="00C779A5">
      <w:pPr>
        <w:widowControl/>
        <w:numPr>
          <w:ilvl w:val="0"/>
          <w:numId w:val="19"/>
        </w:numPr>
        <w:autoSpaceDE/>
        <w:autoSpaceDN/>
        <w:jc w:val="left"/>
        <w:rPr>
          <w:rFonts w:asciiTheme="minorBidi" w:hAnsiTheme="minorBidi"/>
        </w:rPr>
      </w:pPr>
      <w:r w:rsidRPr="000F077C">
        <w:rPr>
          <w:rFonts w:asciiTheme="minorBidi" w:hAnsiTheme="minorBidi"/>
        </w:rPr>
        <w:t>Week 1–2: Literature search and selection</w:t>
      </w:r>
    </w:p>
    <w:p w14:paraId="32F0FC7C" w14:textId="77777777" w:rsidR="00C779A5" w:rsidRPr="000F077C" w:rsidRDefault="00C779A5" w:rsidP="00C779A5">
      <w:pPr>
        <w:widowControl/>
        <w:numPr>
          <w:ilvl w:val="0"/>
          <w:numId w:val="19"/>
        </w:numPr>
        <w:autoSpaceDE/>
        <w:autoSpaceDN/>
        <w:jc w:val="left"/>
        <w:rPr>
          <w:rFonts w:asciiTheme="minorBidi" w:hAnsiTheme="minorBidi"/>
        </w:rPr>
      </w:pPr>
      <w:r w:rsidRPr="000F077C">
        <w:rPr>
          <w:rFonts w:asciiTheme="minorBidi" w:hAnsiTheme="minorBidi"/>
        </w:rPr>
        <w:t>Week 3–4: Analysis and theme development</w:t>
      </w:r>
    </w:p>
    <w:p w14:paraId="6212E408" w14:textId="77777777" w:rsidR="00C779A5" w:rsidRPr="000F077C" w:rsidRDefault="00C779A5" w:rsidP="00C779A5">
      <w:pPr>
        <w:widowControl/>
        <w:numPr>
          <w:ilvl w:val="0"/>
          <w:numId w:val="19"/>
        </w:numPr>
        <w:autoSpaceDE/>
        <w:autoSpaceDN/>
        <w:jc w:val="left"/>
        <w:rPr>
          <w:rFonts w:asciiTheme="minorBidi" w:hAnsiTheme="minorBidi"/>
        </w:rPr>
      </w:pPr>
      <w:r w:rsidRPr="000F077C">
        <w:rPr>
          <w:rFonts w:asciiTheme="minorBidi" w:hAnsiTheme="minorBidi"/>
        </w:rPr>
        <w:t>Week 5: Draft proposal writing</w:t>
      </w:r>
    </w:p>
    <w:p w14:paraId="09C2EF96" w14:textId="77777777" w:rsidR="00C779A5" w:rsidRPr="000F077C" w:rsidRDefault="00C779A5" w:rsidP="00C779A5">
      <w:pPr>
        <w:widowControl/>
        <w:numPr>
          <w:ilvl w:val="0"/>
          <w:numId w:val="19"/>
        </w:numPr>
        <w:autoSpaceDE/>
        <w:autoSpaceDN/>
        <w:jc w:val="left"/>
        <w:rPr>
          <w:rFonts w:asciiTheme="minorBidi" w:hAnsiTheme="minorBidi"/>
        </w:rPr>
      </w:pPr>
      <w:r w:rsidRPr="000F077C">
        <w:rPr>
          <w:rFonts w:asciiTheme="minorBidi" w:hAnsiTheme="minorBidi"/>
        </w:rPr>
        <w:t>Week 6: Editing and referencing review</w:t>
      </w:r>
    </w:p>
    <w:p w14:paraId="166DF774" w14:textId="77777777" w:rsidR="00C779A5" w:rsidRPr="000F077C" w:rsidRDefault="00C779A5" w:rsidP="00C779A5">
      <w:pPr>
        <w:widowControl/>
        <w:numPr>
          <w:ilvl w:val="0"/>
          <w:numId w:val="19"/>
        </w:numPr>
        <w:autoSpaceDE/>
        <w:autoSpaceDN/>
        <w:jc w:val="left"/>
        <w:rPr>
          <w:rFonts w:asciiTheme="minorBidi" w:hAnsiTheme="minorBidi"/>
        </w:rPr>
      </w:pPr>
      <w:r w:rsidRPr="000F077C">
        <w:rPr>
          <w:rFonts w:asciiTheme="minorBidi" w:hAnsiTheme="minorBidi"/>
        </w:rPr>
        <w:t>Week 7: Final submission</w:t>
      </w:r>
    </w:p>
    <w:p w14:paraId="13BAEC31" w14:textId="77777777" w:rsidR="00C779A5" w:rsidRPr="000F077C" w:rsidRDefault="00C779A5" w:rsidP="00C779A5">
      <w:pPr>
        <w:rPr>
          <w:rFonts w:asciiTheme="minorBidi" w:hAnsiTheme="minorBidi"/>
          <w:b/>
          <w:bCs/>
        </w:rPr>
      </w:pPr>
      <w:r w:rsidRPr="000F077C">
        <w:rPr>
          <w:rFonts w:asciiTheme="minorBidi" w:hAnsiTheme="minorBidi"/>
          <w:b/>
          <w:bCs/>
        </w:rPr>
        <w:t>7) Self-Reflection as a Researcher</w:t>
      </w:r>
    </w:p>
    <w:p w14:paraId="0503DF7B" w14:textId="77777777" w:rsidR="00C779A5" w:rsidRPr="000F077C" w:rsidRDefault="00C779A5" w:rsidP="00C779A5">
      <w:pPr>
        <w:rPr>
          <w:rFonts w:asciiTheme="minorBidi" w:hAnsiTheme="minorBidi"/>
        </w:rPr>
      </w:pPr>
      <w:r w:rsidRPr="000F077C">
        <w:rPr>
          <w:rFonts w:asciiTheme="minorBidi" w:hAnsiTheme="minorBidi"/>
        </w:rPr>
        <w:t>My strength lies in critical reading and concise academic writing. I am confident in analysing secondary data and summarising complex ideas simply. My main challenge is advanced referencing consistency. I plan to strengthen this skill using Zotero software and tutor feedback while improving my confidence in digital health research interpretation.</w:t>
      </w:r>
    </w:p>
    <w:p w14:paraId="00A136B2" w14:textId="77777777" w:rsidR="00C779A5" w:rsidRPr="000F077C" w:rsidRDefault="00C779A5" w:rsidP="00C779A5">
      <w:pPr>
        <w:rPr>
          <w:rFonts w:asciiTheme="minorBidi" w:hAnsiTheme="minorBidi"/>
        </w:rPr>
      </w:pPr>
      <w:r w:rsidRPr="000F077C">
        <w:rPr>
          <w:rFonts w:asciiTheme="minorBidi" w:hAnsiTheme="minorBidi"/>
        </w:rPr>
        <w:br w:type="page"/>
      </w:r>
    </w:p>
    <w:p w14:paraId="43BC094E" w14:textId="77777777" w:rsidR="00C779A5" w:rsidRPr="000F077C" w:rsidRDefault="00C779A5" w:rsidP="00C779A5">
      <w:pPr>
        <w:pStyle w:val="Heading1"/>
        <w:jc w:val="left"/>
      </w:pPr>
      <w:bookmarkStart w:id="3" w:name="_Toc225702878"/>
      <w:r w:rsidRPr="000F077C">
        <w:lastRenderedPageBreak/>
        <w:t>References</w:t>
      </w:r>
      <w:bookmarkEnd w:id="3"/>
    </w:p>
    <w:p w14:paraId="1FBDC97C" w14:textId="77777777" w:rsidR="00C779A5" w:rsidRPr="000F077C" w:rsidRDefault="00C779A5" w:rsidP="00C779A5">
      <w:pPr>
        <w:rPr>
          <w:rFonts w:asciiTheme="minorBidi" w:hAnsiTheme="minorBidi"/>
          <w:lang w:val="en-US"/>
        </w:rPr>
      </w:pPr>
      <w:r w:rsidRPr="000F077C">
        <w:rPr>
          <w:rFonts w:asciiTheme="minorBidi" w:hAnsiTheme="minorBidi"/>
          <w:lang w:val="en-US"/>
        </w:rPr>
        <w:t>Edward, R. and Priefer, R. (2023). A comparison of continuous glucose monitors (CGMs) in diabetes management: A systematic literature review. Primary Care Diabetes, [online] 17(6), pp.529–534. doi:</w:t>
      </w:r>
      <w:hyperlink r:id="rId9" w:history="1">
        <w:r w:rsidRPr="000F077C">
          <w:rPr>
            <w:rStyle w:val="Hyperlink"/>
            <w:rFonts w:asciiTheme="minorBidi" w:hAnsiTheme="minorBidi"/>
            <w:lang w:val="en-US"/>
          </w:rPr>
          <w:t>https://doi.org/10.1016/j.pcd.2023.10.009</w:t>
        </w:r>
      </w:hyperlink>
      <w:r w:rsidRPr="000F077C">
        <w:rPr>
          <w:rFonts w:asciiTheme="minorBidi" w:hAnsiTheme="minorBidi"/>
          <w:lang w:val="en-US"/>
        </w:rPr>
        <w:t>.</w:t>
      </w:r>
    </w:p>
    <w:p w14:paraId="4EE75850" w14:textId="77777777" w:rsidR="00C779A5" w:rsidRPr="000F077C" w:rsidRDefault="00C779A5" w:rsidP="00C779A5">
      <w:pPr>
        <w:rPr>
          <w:rFonts w:asciiTheme="minorBidi" w:hAnsiTheme="minorBidi"/>
          <w:lang w:val="en-US"/>
        </w:rPr>
      </w:pPr>
      <w:r w:rsidRPr="000F077C">
        <w:rPr>
          <w:rFonts w:asciiTheme="minorBidi" w:hAnsiTheme="minorBidi"/>
          <w:lang w:val="en-US"/>
        </w:rPr>
        <w:t xml:space="preserve">Hossain, </w:t>
      </w:r>
      <w:proofErr w:type="spellStart"/>
      <w:r w:rsidRPr="000F077C">
        <w:rPr>
          <w:rFonts w:asciiTheme="minorBidi" w:hAnsiTheme="minorBidi"/>
          <w:lang w:val="en-US"/>
        </w:rPr>
        <w:t>Md.J</w:t>
      </w:r>
      <w:proofErr w:type="spellEnd"/>
      <w:r w:rsidRPr="000F077C">
        <w:rPr>
          <w:rFonts w:asciiTheme="minorBidi" w:hAnsiTheme="minorBidi"/>
          <w:lang w:val="en-US"/>
        </w:rPr>
        <w:t>., Al</w:t>
      </w:r>
      <w:r w:rsidRPr="000F077C">
        <w:rPr>
          <w:rFonts w:ascii="Cambria Math" w:hAnsi="Cambria Math" w:cs="Cambria Math"/>
          <w:lang w:val="en-US"/>
        </w:rPr>
        <w:t>‐</w:t>
      </w:r>
      <w:r w:rsidRPr="000F077C">
        <w:rPr>
          <w:rFonts w:asciiTheme="minorBidi" w:hAnsiTheme="minorBidi"/>
          <w:lang w:val="en-US"/>
        </w:rPr>
        <w:t xml:space="preserve">Mamun, Md. and Islam, </w:t>
      </w:r>
      <w:proofErr w:type="spellStart"/>
      <w:r w:rsidRPr="000F077C">
        <w:rPr>
          <w:rFonts w:asciiTheme="minorBidi" w:hAnsiTheme="minorBidi"/>
          <w:lang w:val="en-US"/>
        </w:rPr>
        <w:t>Md.R</w:t>
      </w:r>
      <w:proofErr w:type="spellEnd"/>
      <w:r w:rsidRPr="000F077C">
        <w:rPr>
          <w:rFonts w:asciiTheme="minorBidi" w:hAnsiTheme="minorBidi"/>
          <w:lang w:val="en-US"/>
        </w:rPr>
        <w:t>. (2024). Diabetes mellitus, the fastest growing global public health concern: Early detection should be focused. Health science reports, [online] 7(3). doi:</w:t>
      </w:r>
      <w:hyperlink r:id="rId10" w:history="1">
        <w:r w:rsidRPr="000F077C">
          <w:rPr>
            <w:rStyle w:val="Hyperlink"/>
            <w:rFonts w:asciiTheme="minorBidi" w:hAnsiTheme="minorBidi"/>
            <w:lang w:val="en-US"/>
          </w:rPr>
          <w:t>https://doi.org/10.1002/hsr2.2004</w:t>
        </w:r>
      </w:hyperlink>
      <w:r w:rsidRPr="000F077C">
        <w:rPr>
          <w:rFonts w:asciiTheme="minorBidi" w:hAnsiTheme="minorBidi"/>
          <w:lang w:val="en-US"/>
        </w:rPr>
        <w:t>.</w:t>
      </w:r>
    </w:p>
    <w:p w14:paraId="1C33CCBB" w14:textId="77777777" w:rsidR="00C779A5" w:rsidRPr="000F077C" w:rsidRDefault="00C779A5" w:rsidP="00C779A5">
      <w:pPr>
        <w:rPr>
          <w:rFonts w:asciiTheme="minorBidi" w:hAnsiTheme="minorBidi"/>
          <w:lang w:val="en-US"/>
        </w:rPr>
      </w:pPr>
      <w:r w:rsidRPr="000F077C">
        <w:rPr>
          <w:rFonts w:asciiTheme="minorBidi" w:hAnsiTheme="minorBidi"/>
          <w:lang w:val="en-US"/>
        </w:rPr>
        <w:t xml:space="preserve">Ratajczak, P., Oziewicz, K., Sommer, I., </w:t>
      </w:r>
      <w:proofErr w:type="spellStart"/>
      <w:r w:rsidRPr="000F077C">
        <w:rPr>
          <w:rFonts w:asciiTheme="minorBidi" w:hAnsiTheme="minorBidi"/>
          <w:lang w:val="en-US"/>
        </w:rPr>
        <w:t>Kopciuch</w:t>
      </w:r>
      <w:proofErr w:type="spellEnd"/>
      <w:r w:rsidRPr="000F077C">
        <w:rPr>
          <w:rFonts w:asciiTheme="minorBidi" w:hAnsiTheme="minorBidi"/>
          <w:lang w:val="en-US"/>
        </w:rPr>
        <w:t>, D., Paczkowska, A., Zaprutko, T. and Kus, K. (2025). The Perspective on Secondary Research Practices: A Cross-Sectional Analysis. Healthcare, [online] 13(8), p.927. doi:</w:t>
      </w:r>
      <w:hyperlink r:id="rId11" w:history="1">
        <w:r w:rsidRPr="000F077C">
          <w:rPr>
            <w:rStyle w:val="Hyperlink"/>
            <w:rFonts w:asciiTheme="minorBidi" w:hAnsiTheme="minorBidi"/>
            <w:lang w:val="en-US"/>
          </w:rPr>
          <w:t>https://doi.org/10.3390/healthcare13080927</w:t>
        </w:r>
      </w:hyperlink>
      <w:r w:rsidRPr="000F077C">
        <w:rPr>
          <w:rFonts w:asciiTheme="minorBidi" w:hAnsiTheme="minorBidi"/>
          <w:lang w:val="en-US"/>
        </w:rPr>
        <w:t>.</w:t>
      </w:r>
    </w:p>
    <w:p w14:paraId="0A41E958" w14:textId="77777777" w:rsidR="00C779A5" w:rsidRPr="000F077C" w:rsidRDefault="00C779A5" w:rsidP="00C779A5">
      <w:pPr>
        <w:rPr>
          <w:rFonts w:asciiTheme="minorBidi" w:hAnsiTheme="minorBidi"/>
          <w:lang w:val="en-US"/>
        </w:rPr>
      </w:pPr>
      <w:r w:rsidRPr="000F077C">
        <w:rPr>
          <w:rFonts w:asciiTheme="minorBidi" w:hAnsiTheme="minorBidi"/>
          <w:lang w:val="en-US"/>
        </w:rPr>
        <w:t>Yoo, J.H. and Kim, J.H. (2023). Advances in Continuous Glucose Monitoring and Integrated Devices for Management of Diabetes with Insulin-Based Therapy: Improvement in Glycemic Control. Korean Diabetes Journal, [online] 47(1). doi:</w:t>
      </w:r>
      <w:hyperlink r:id="rId12" w:history="1">
        <w:r w:rsidRPr="000F077C">
          <w:rPr>
            <w:rStyle w:val="Hyperlink"/>
            <w:rFonts w:asciiTheme="minorBidi" w:hAnsiTheme="minorBidi"/>
            <w:lang w:val="en-US"/>
          </w:rPr>
          <w:t>https://doi.org/10.4093/dmj.2022.0271</w:t>
        </w:r>
      </w:hyperlink>
      <w:r w:rsidRPr="000F077C">
        <w:rPr>
          <w:rFonts w:asciiTheme="minorBidi" w:hAnsiTheme="minorBidi"/>
          <w:lang w:val="en-US"/>
        </w:rPr>
        <w:t>.</w:t>
      </w:r>
    </w:p>
    <w:p w14:paraId="1DA18C6B" w14:textId="77777777" w:rsidR="00C779A5" w:rsidRPr="000F077C" w:rsidRDefault="00C779A5" w:rsidP="00C779A5">
      <w:pPr>
        <w:rPr>
          <w:rFonts w:asciiTheme="minorBidi" w:hAnsiTheme="minorBidi"/>
        </w:rPr>
      </w:pPr>
    </w:p>
    <w:p w14:paraId="5994A83B" w14:textId="77777777" w:rsidR="00C779A5" w:rsidRPr="000F077C" w:rsidRDefault="00C779A5" w:rsidP="00C779A5">
      <w:pPr>
        <w:rPr>
          <w:rFonts w:asciiTheme="minorBidi" w:hAnsiTheme="minorBidi"/>
        </w:rPr>
      </w:pPr>
    </w:p>
    <w:p w14:paraId="6D91938F" w14:textId="77777777" w:rsidR="00C779A5" w:rsidRDefault="00C779A5" w:rsidP="00C779A5">
      <w:pPr>
        <w:rPr>
          <w:rFonts w:asciiTheme="minorBidi" w:hAnsiTheme="minorBidi"/>
        </w:rPr>
        <w:sectPr w:rsidR="00C779A5" w:rsidSect="00911CFE">
          <w:headerReference w:type="default" r:id="rId13"/>
          <w:footerReference w:type="default" r:id="rId14"/>
          <w:pgSz w:w="11906" w:h="16838"/>
          <w:pgMar w:top="1440" w:right="1440" w:bottom="1440" w:left="1440" w:header="708" w:footer="708" w:gutter="0"/>
          <w:cols w:space="708"/>
          <w:titlePg/>
          <w:docGrid w:linePitch="360"/>
        </w:sectPr>
      </w:pPr>
    </w:p>
    <w:p w14:paraId="19B09093" w14:textId="6C321DB4" w:rsidR="00C779A5" w:rsidRDefault="00C779A5" w:rsidP="00C779A5">
      <w:pPr>
        <w:pStyle w:val="Heading1"/>
      </w:pPr>
      <w:bookmarkStart w:id="4" w:name="_Toc225702879"/>
      <w:r>
        <w:lastRenderedPageBreak/>
        <w:t>Element 2: Methodology:</w:t>
      </w:r>
      <w:bookmarkEnd w:id="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387"/>
        <w:gridCol w:w="410"/>
        <w:gridCol w:w="4354"/>
        <w:gridCol w:w="356"/>
        <w:gridCol w:w="4441"/>
      </w:tblGrid>
      <w:tr w:rsidR="00C779A5" w14:paraId="0058D982" w14:textId="77777777" w:rsidTr="00F376B2">
        <w:trPr>
          <w:trHeight w:val="2690"/>
          <w:jc w:val="center"/>
        </w:trPr>
        <w:tc>
          <w:tcPr>
            <w:tcW w:w="4534" w:type="dxa"/>
          </w:tcPr>
          <w:p w14:paraId="43854C5A" w14:textId="77777777" w:rsidR="00C779A5" w:rsidRPr="00C779A5" w:rsidRDefault="00C779A5" w:rsidP="00F376B2">
            <w:pPr>
              <w:rPr>
                <w:rFonts w:cs="Arial"/>
                <w:noProof/>
              </w:rPr>
            </w:pPr>
            <w:r w:rsidRPr="00C779A5">
              <w:rPr>
                <w:rFonts w:cs="Arial"/>
                <w:noProof/>
              </w:rPr>
              <w:drawing>
                <wp:anchor distT="0" distB="0" distL="114300" distR="114300" simplePos="0" relativeHeight="251659264" behindDoc="0" locked="0" layoutInCell="1" allowOverlap="1" wp14:anchorId="11B05307" wp14:editId="0E945E07">
                  <wp:simplePos x="0" y="0"/>
                  <wp:positionH relativeFrom="column">
                    <wp:posOffset>0</wp:posOffset>
                  </wp:positionH>
                  <wp:positionV relativeFrom="paragraph">
                    <wp:posOffset>121285</wp:posOffset>
                  </wp:positionV>
                  <wp:extent cx="2511559" cy="1242060"/>
                  <wp:effectExtent l="0" t="0" r="3175" b="0"/>
                  <wp:wrapNone/>
                  <wp:docPr id="2126966714" name="Picture 1" descr="CGM (Continuous Glucose Monitoring) | ADW Diab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66714" name="Picture 1" descr="CGM (Continuous Glucose Monitoring) | ADW Diabetes"/>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514217" cy="1243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CEE57F" w14:textId="77777777" w:rsidR="00C779A5" w:rsidRPr="00C779A5" w:rsidRDefault="00C779A5" w:rsidP="00F376B2">
            <w:pPr>
              <w:rPr>
                <w:rFonts w:cs="Arial"/>
                <w:noProof/>
              </w:rPr>
            </w:pPr>
          </w:p>
        </w:tc>
        <w:tc>
          <w:tcPr>
            <w:tcW w:w="416" w:type="dxa"/>
            <w:vMerge w:val="restart"/>
          </w:tcPr>
          <w:p w14:paraId="7B4719F1" w14:textId="77777777" w:rsidR="00C779A5" w:rsidRPr="00C779A5" w:rsidRDefault="00C779A5" w:rsidP="00F376B2">
            <w:pPr>
              <w:rPr>
                <w:rFonts w:cs="Arial"/>
                <w:noProof/>
              </w:rPr>
            </w:pPr>
          </w:p>
        </w:tc>
        <w:tc>
          <w:tcPr>
            <w:tcW w:w="4500" w:type="dxa"/>
            <w:vMerge w:val="restart"/>
          </w:tcPr>
          <w:p w14:paraId="71BB2676" w14:textId="77777777" w:rsidR="00C779A5" w:rsidRPr="006D62E9" w:rsidRDefault="00C779A5" w:rsidP="006D62E9">
            <w:pPr>
              <w:pStyle w:val="NoSpacing"/>
              <w:spacing w:line="360" w:lineRule="auto"/>
              <w:rPr>
                <w:rStyle w:val="Heading1Char"/>
                <w:rFonts w:cs="Calibri Light"/>
                <w:b w:val="0"/>
                <w:bCs/>
                <w:szCs w:val="28"/>
              </w:rPr>
            </w:pPr>
            <w:r w:rsidRPr="006D62E9">
              <w:rPr>
                <w:b/>
                <w:bCs/>
                <w:sz w:val="28"/>
                <w:szCs w:val="28"/>
              </w:rPr>
              <w:t>Title and Aim of the Project</w:t>
            </w:r>
          </w:p>
          <w:p w14:paraId="33BF7D12" w14:textId="77777777" w:rsidR="00C779A5" w:rsidRPr="00C779A5" w:rsidRDefault="00C779A5" w:rsidP="00F376B2">
            <w:pPr>
              <w:rPr>
                <w:rFonts w:cs="Arial"/>
              </w:rPr>
            </w:pPr>
            <w:r w:rsidRPr="00C779A5">
              <w:rPr>
                <w:rFonts w:cs="Arial"/>
                <w:b/>
                <w:bCs/>
              </w:rPr>
              <w:t>Title:</w:t>
            </w:r>
            <w:r w:rsidRPr="00C779A5">
              <w:rPr>
                <w:rFonts w:cs="Arial"/>
              </w:rPr>
              <w:t xml:space="preserve"> The Role of Continuous Glucose Monitoring Systems (Libre and Dexcom) in Improving Diabetes Management at Home</w:t>
            </w:r>
          </w:p>
          <w:p w14:paraId="542DED49" w14:textId="77777777" w:rsidR="00C779A5" w:rsidRPr="00C779A5" w:rsidRDefault="00C779A5" w:rsidP="00F376B2">
            <w:pPr>
              <w:rPr>
                <w:rFonts w:cs="Arial"/>
              </w:rPr>
            </w:pPr>
            <w:r w:rsidRPr="00C779A5">
              <w:rPr>
                <w:rFonts w:cs="Arial"/>
                <w:b/>
                <w:bCs/>
              </w:rPr>
              <w:t>Aim:</w:t>
            </w:r>
            <w:r w:rsidRPr="00C779A5">
              <w:rPr>
                <w:rFonts w:cs="Arial"/>
              </w:rPr>
              <w:t xml:space="preserve"> This study examines the effectiveness of the Libre and Dexcom Continuous Glucose systems in the improvement of home-based diabetes management, self-care, adherence and communication.</w:t>
            </w:r>
          </w:p>
          <w:p w14:paraId="00F4E9E2" w14:textId="77777777" w:rsidR="00C779A5" w:rsidRPr="00C779A5" w:rsidRDefault="00C779A5" w:rsidP="00F376B2">
            <w:pPr>
              <w:rPr>
                <w:rFonts w:cs="Arial"/>
              </w:rPr>
            </w:pPr>
            <w:r w:rsidRPr="00C779A5">
              <w:rPr>
                <w:rFonts w:cs="Arial"/>
                <w:b/>
                <w:bCs/>
              </w:rPr>
              <w:t>Methods:</w:t>
            </w:r>
            <w:r w:rsidRPr="00C779A5">
              <w:rPr>
                <w:rFonts w:cs="Arial"/>
              </w:rPr>
              <w:t xml:space="preserve">  Qualitative research will be conducted with a secondary approach, with references to peer-reviewed literature, clinical reports, and health policy documents published during 2020-2025.</w:t>
            </w:r>
          </w:p>
        </w:tc>
        <w:tc>
          <w:tcPr>
            <w:tcW w:w="360" w:type="dxa"/>
            <w:vMerge w:val="restart"/>
          </w:tcPr>
          <w:p w14:paraId="4EBD26D7" w14:textId="77777777" w:rsidR="00C779A5" w:rsidRPr="00C779A5" w:rsidRDefault="00C779A5" w:rsidP="00F376B2">
            <w:pPr>
              <w:rPr>
                <w:rFonts w:cs="Arial"/>
                <w:noProof/>
              </w:rPr>
            </w:pPr>
          </w:p>
        </w:tc>
        <w:tc>
          <w:tcPr>
            <w:tcW w:w="4590" w:type="dxa"/>
            <w:vAlign w:val="center"/>
          </w:tcPr>
          <w:p w14:paraId="4987F899" w14:textId="77777777" w:rsidR="00C779A5" w:rsidRPr="00C779A5" w:rsidRDefault="00C779A5" w:rsidP="00F376B2">
            <w:pPr>
              <w:rPr>
                <w:rFonts w:cs="Arial"/>
                <w:noProof/>
              </w:rPr>
            </w:pPr>
            <w:r w:rsidRPr="00C779A5">
              <w:rPr>
                <w:rFonts w:cs="Arial"/>
                <w:noProof/>
              </w:rPr>
              <w:drawing>
                <wp:inline distT="0" distB="0" distL="0" distR="0" wp14:anchorId="7A9FF5D1" wp14:editId="65A64E1B">
                  <wp:extent cx="2766695" cy="1553210"/>
                  <wp:effectExtent l="0" t="0" r="0" b="8890"/>
                  <wp:docPr id="1665274133" name="Picture 2" descr="Dexcom vs. Abbott Freestyle Libre: Comparing the Top Glucose Mon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74133" name="Picture 3" descr="Dexcom vs. Abbott Freestyle Libre: Comparing the Top Glucose Monitor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766695" cy="1553210"/>
                          </a:xfrm>
                          <a:prstGeom prst="rect">
                            <a:avLst/>
                          </a:prstGeom>
                          <a:noFill/>
                          <a:ln>
                            <a:noFill/>
                          </a:ln>
                        </pic:spPr>
                      </pic:pic>
                    </a:graphicData>
                  </a:graphic>
                </wp:inline>
              </w:drawing>
            </w:r>
          </w:p>
        </w:tc>
      </w:tr>
      <w:tr w:rsidR="00C779A5" w14:paraId="7942BE48" w14:textId="77777777" w:rsidTr="00F376B2">
        <w:trPr>
          <w:trHeight w:val="272"/>
          <w:jc w:val="center"/>
        </w:trPr>
        <w:tc>
          <w:tcPr>
            <w:tcW w:w="4534" w:type="dxa"/>
          </w:tcPr>
          <w:p w14:paraId="6B9CEE1F" w14:textId="77777777" w:rsidR="00C779A5" w:rsidRPr="00C779A5" w:rsidRDefault="00C779A5" w:rsidP="00F376B2">
            <w:pPr>
              <w:rPr>
                <w:rFonts w:cs="Arial"/>
                <w:noProof/>
              </w:rPr>
            </w:pPr>
          </w:p>
        </w:tc>
        <w:tc>
          <w:tcPr>
            <w:tcW w:w="416" w:type="dxa"/>
            <w:vMerge/>
          </w:tcPr>
          <w:p w14:paraId="7E68074E" w14:textId="77777777" w:rsidR="00C779A5" w:rsidRPr="00C779A5" w:rsidRDefault="00C779A5" w:rsidP="00F376B2">
            <w:pPr>
              <w:rPr>
                <w:rFonts w:cs="Arial"/>
                <w:noProof/>
              </w:rPr>
            </w:pPr>
          </w:p>
        </w:tc>
        <w:tc>
          <w:tcPr>
            <w:tcW w:w="4500" w:type="dxa"/>
            <w:vMerge/>
          </w:tcPr>
          <w:p w14:paraId="77ED4713" w14:textId="77777777" w:rsidR="00C779A5" w:rsidRPr="00C779A5" w:rsidRDefault="00C779A5" w:rsidP="00F376B2">
            <w:pPr>
              <w:rPr>
                <w:rFonts w:eastAsia="Century Gothic" w:cs="Arial"/>
                <w:b/>
                <w:noProof/>
                <w:color w:val="FFFFFF"/>
                <w:sz w:val="24"/>
              </w:rPr>
            </w:pPr>
          </w:p>
        </w:tc>
        <w:tc>
          <w:tcPr>
            <w:tcW w:w="360" w:type="dxa"/>
            <w:vMerge/>
          </w:tcPr>
          <w:p w14:paraId="64CC9AF6" w14:textId="77777777" w:rsidR="00C779A5" w:rsidRPr="00C779A5" w:rsidRDefault="00C779A5" w:rsidP="00F376B2">
            <w:pPr>
              <w:rPr>
                <w:rFonts w:cs="Arial"/>
                <w:noProof/>
              </w:rPr>
            </w:pPr>
          </w:p>
        </w:tc>
        <w:tc>
          <w:tcPr>
            <w:tcW w:w="4590" w:type="dxa"/>
          </w:tcPr>
          <w:p w14:paraId="1861C156" w14:textId="77777777" w:rsidR="00C779A5" w:rsidRPr="00C779A5" w:rsidRDefault="00C779A5" w:rsidP="00F376B2">
            <w:pPr>
              <w:pStyle w:val="NoSpacing"/>
              <w:spacing w:line="360" w:lineRule="auto"/>
              <w:rPr>
                <w:rFonts w:cs="Arial"/>
              </w:rPr>
            </w:pPr>
          </w:p>
        </w:tc>
      </w:tr>
      <w:tr w:rsidR="00C779A5" w14:paraId="567B94F8" w14:textId="77777777" w:rsidTr="00F376B2">
        <w:trPr>
          <w:trHeight w:val="617"/>
          <w:jc w:val="center"/>
        </w:trPr>
        <w:tc>
          <w:tcPr>
            <w:tcW w:w="4534" w:type="dxa"/>
            <w:vMerge w:val="restart"/>
          </w:tcPr>
          <w:p w14:paraId="108AB949" w14:textId="77777777" w:rsidR="00C779A5" w:rsidRPr="006D62E9" w:rsidRDefault="00C779A5" w:rsidP="006D62E9">
            <w:pPr>
              <w:pStyle w:val="NoSpacing"/>
              <w:spacing w:line="360" w:lineRule="auto"/>
              <w:rPr>
                <w:rStyle w:val="Heading1Char"/>
                <w:b w:val="0"/>
                <w:bCs/>
                <w:sz w:val="36"/>
                <w:szCs w:val="40"/>
              </w:rPr>
            </w:pPr>
            <w:r w:rsidRPr="006D62E9">
              <w:rPr>
                <w:b/>
                <w:bCs/>
                <w:sz w:val="28"/>
                <w:szCs w:val="28"/>
              </w:rPr>
              <w:t>Methodology</w:t>
            </w:r>
          </w:p>
          <w:p w14:paraId="34F2D301" w14:textId="77777777" w:rsidR="00C779A5" w:rsidRPr="00C779A5" w:rsidRDefault="00C779A5" w:rsidP="00F376B2">
            <w:pPr>
              <w:rPr>
                <w:rFonts w:cs="Arial"/>
              </w:rPr>
            </w:pPr>
            <w:r w:rsidRPr="00C779A5">
              <w:rPr>
                <w:rFonts w:cs="Arial"/>
              </w:rPr>
              <w:t xml:space="preserve"> The study is going to use a secondary qualitative design within the context of analysing the available evidence regarding CGM systems, and specifically Freestyle Libre and Dexcom G7 available at Abbott. The thematic analysis will be used to reveal </w:t>
            </w:r>
            <w:r w:rsidRPr="00C779A5">
              <w:rPr>
                <w:rFonts w:cs="Arial"/>
              </w:rPr>
              <w:lastRenderedPageBreak/>
              <w:t>common themes, including the empowerment of patients, improvement of adherence, and the integration of digital health. The research adheres to a constructivist paradigm, as the knowledge is based on several data interpretations, instead of individual empirical evidence (Ratajczak et al., 2025).</w:t>
            </w:r>
          </w:p>
        </w:tc>
        <w:tc>
          <w:tcPr>
            <w:tcW w:w="416" w:type="dxa"/>
            <w:vMerge/>
            <w:tcMar>
              <w:top w:w="29" w:type="dxa"/>
              <w:left w:w="29" w:type="dxa"/>
              <w:bottom w:w="29" w:type="dxa"/>
              <w:right w:w="29" w:type="dxa"/>
            </w:tcMar>
            <w:vAlign w:val="center"/>
          </w:tcPr>
          <w:p w14:paraId="62958AA7" w14:textId="77777777" w:rsidR="00C779A5" w:rsidRPr="00C779A5" w:rsidRDefault="00C779A5" w:rsidP="00F376B2">
            <w:pPr>
              <w:pStyle w:val="NoSpacing"/>
              <w:spacing w:line="360" w:lineRule="auto"/>
              <w:rPr>
                <w:rFonts w:cs="Arial"/>
                <w:noProof/>
              </w:rPr>
            </w:pPr>
          </w:p>
        </w:tc>
        <w:tc>
          <w:tcPr>
            <w:tcW w:w="4500" w:type="dxa"/>
            <w:vMerge/>
            <w:vAlign w:val="center"/>
          </w:tcPr>
          <w:p w14:paraId="1DF518D7" w14:textId="77777777" w:rsidR="00C779A5" w:rsidRPr="00C779A5" w:rsidRDefault="00C779A5" w:rsidP="00F376B2">
            <w:pPr>
              <w:pStyle w:val="NoSpacing"/>
              <w:spacing w:line="360" w:lineRule="auto"/>
              <w:rPr>
                <w:rFonts w:cs="Arial"/>
                <w:noProof/>
              </w:rPr>
            </w:pPr>
          </w:p>
        </w:tc>
        <w:tc>
          <w:tcPr>
            <w:tcW w:w="360" w:type="dxa"/>
            <w:vMerge/>
            <w:vAlign w:val="center"/>
          </w:tcPr>
          <w:p w14:paraId="5EC6A05C" w14:textId="77777777" w:rsidR="00C779A5" w:rsidRPr="00C779A5" w:rsidRDefault="00C779A5" w:rsidP="00F376B2">
            <w:pPr>
              <w:pStyle w:val="NoSpacing"/>
              <w:spacing w:line="360" w:lineRule="auto"/>
              <w:rPr>
                <w:rFonts w:cs="Arial"/>
                <w:noProof/>
              </w:rPr>
            </w:pPr>
          </w:p>
        </w:tc>
        <w:tc>
          <w:tcPr>
            <w:tcW w:w="4590" w:type="dxa"/>
            <w:vMerge w:val="restart"/>
          </w:tcPr>
          <w:p w14:paraId="0502C25E" w14:textId="77777777" w:rsidR="00C779A5" w:rsidRPr="006D62E9" w:rsidRDefault="00C779A5" w:rsidP="006D62E9">
            <w:pPr>
              <w:pStyle w:val="NoSpacing"/>
              <w:spacing w:line="360" w:lineRule="auto"/>
              <w:rPr>
                <w:rStyle w:val="Heading1Char"/>
                <w:b w:val="0"/>
                <w:bCs/>
                <w:sz w:val="36"/>
                <w:szCs w:val="40"/>
              </w:rPr>
            </w:pPr>
            <w:r w:rsidRPr="006D62E9">
              <w:rPr>
                <w:b/>
                <w:bCs/>
                <w:sz w:val="28"/>
                <w:szCs w:val="28"/>
              </w:rPr>
              <w:t>Data Analysis</w:t>
            </w:r>
          </w:p>
          <w:p w14:paraId="55E73490" w14:textId="77777777" w:rsidR="00C779A5" w:rsidRPr="00C779A5" w:rsidRDefault="00C779A5" w:rsidP="006D62E9">
            <w:pPr>
              <w:pStyle w:val="NoSpacing"/>
              <w:spacing w:line="360" w:lineRule="auto"/>
              <w:rPr>
                <w:b/>
              </w:rPr>
            </w:pPr>
            <w:r w:rsidRPr="00C779A5">
              <w:t xml:space="preserve">The research will use thematic analysis to systematically interpret secondary qualitative data. The gathered material on Libre and Dexcom Continuous Glucose Monitoring systems will be coded to find common themes, such as self-care </w:t>
            </w:r>
            <w:r w:rsidRPr="00C779A5">
              <w:lastRenderedPageBreak/>
              <w:t>improvement, behavioural adherence, and digital health integration. Patterns of patient outcomes, practicality, and patient empowerment will be compared in order to determine the effectiveness of both systems. The data analysis will be inductive to ensure that the themes raised by the literature are brought to the table and not predetermined. This analysis process will facilitate the synthesis of the findings of various studies and indicate the benefits and obstacles to home-based diabetes management. This is in line with the practice of Yoo and Kim (2023) and Edward and Priefer (2023) that would guarantee sound interpretation and overall comprehension of the practices of continuous glucose monitoring.</w:t>
            </w:r>
          </w:p>
          <w:p w14:paraId="21D85CCB" w14:textId="77777777" w:rsidR="00C779A5" w:rsidRPr="006D62E9" w:rsidRDefault="00C779A5" w:rsidP="006D62E9">
            <w:pPr>
              <w:pStyle w:val="NoSpacing"/>
              <w:spacing w:line="360" w:lineRule="auto"/>
              <w:rPr>
                <w:rStyle w:val="Heading1Char"/>
                <w:b w:val="0"/>
                <w:bCs/>
                <w:sz w:val="36"/>
                <w:szCs w:val="40"/>
              </w:rPr>
            </w:pPr>
            <w:r w:rsidRPr="006D62E9">
              <w:rPr>
                <w:b/>
                <w:bCs/>
                <w:sz w:val="28"/>
                <w:szCs w:val="28"/>
              </w:rPr>
              <w:t>Ethical Considerations</w:t>
            </w:r>
          </w:p>
          <w:p w14:paraId="046CA17B" w14:textId="77777777" w:rsidR="00C779A5" w:rsidRPr="00C779A5" w:rsidRDefault="00C779A5" w:rsidP="00F376B2">
            <w:pPr>
              <w:rPr>
                <w:rFonts w:cs="Arial"/>
              </w:rPr>
            </w:pPr>
            <w:r w:rsidRPr="00C779A5">
              <w:rPr>
                <w:rFonts w:cs="Arial"/>
              </w:rPr>
              <w:t xml:space="preserve">As secondary research, human subjects will not be involved in this research. The information will be obtained through sources that are validated publications. The </w:t>
            </w:r>
            <w:r w:rsidRPr="00C779A5">
              <w:rPr>
                <w:rFonts w:cs="Arial"/>
              </w:rPr>
              <w:lastRenderedPageBreak/>
              <w:t>issue of ethical integrity will be addressed by providing appropriate Harvard reference, source critical analysis, and recognition of all the authors (Ratajczak et al., 2025).</w:t>
            </w:r>
          </w:p>
        </w:tc>
      </w:tr>
      <w:tr w:rsidR="00C779A5" w14:paraId="0880AE1E" w14:textId="77777777" w:rsidTr="00F376B2">
        <w:trPr>
          <w:trHeight w:val="60"/>
          <w:jc w:val="center"/>
        </w:trPr>
        <w:tc>
          <w:tcPr>
            <w:tcW w:w="4534" w:type="dxa"/>
            <w:vMerge/>
          </w:tcPr>
          <w:p w14:paraId="5E0ECB27" w14:textId="77777777" w:rsidR="00C779A5" w:rsidRPr="009F639E" w:rsidRDefault="00C779A5" w:rsidP="00F376B2">
            <w:pPr>
              <w:rPr>
                <w:rFonts w:cs="Arial"/>
                <w:noProof/>
              </w:rPr>
            </w:pPr>
          </w:p>
        </w:tc>
        <w:tc>
          <w:tcPr>
            <w:tcW w:w="416" w:type="dxa"/>
            <w:vMerge/>
          </w:tcPr>
          <w:p w14:paraId="789487EF" w14:textId="77777777" w:rsidR="00C779A5" w:rsidRPr="009F639E" w:rsidRDefault="00C779A5" w:rsidP="00F376B2">
            <w:pPr>
              <w:rPr>
                <w:rFonts w:cs="Arial"/>
                <w:noProof/>
              </w:rPr>
            </w:pPr>
          </w:p>
        </w:tc>
        <w:tc>
          <w:tcPr>
            <w:tcW w:w="4500" w:type="dxa"/>
          </w:tcPr>
          <w:p w14:paraId="752FC3D2" w14:textId="77777777" w:rsidR="00C779A5" w:rsidRPr="009F639E" w:rsidRDefault="00C779A5" w:rsidP="00F376B2">
            <w:pPr>
              <w:rPr>
                <w:rFonts w:cs="Arial"/>
                <w:noProof/>
              </w:rPr>
            </w:pPr>
          </w:p>
        </w:tc>
        <w:tc>
          <w:tcPr>
            <w:tcW w:w="360" w:type="dxa"/>
            <w:vMerge/>
          </w:tcPr>
          <w:p w14:paraId="447853FD" w14:textId="77777777" w:rsidR="00C779A5" w:rsidRPr="009F639E" w:rsidRDefault="00C779A5" w:rsidP="00F376B2">
            <w:pPr>
              <w:rPr>
                <w:rFonts w:cs="Arial"/>
                <w:noProof/>
              </w:rPr>
            </w:pPr>
          </w:p>
        </w:tc>
        <w:tc>
          <w:tcPr>
            <w:tcW w:w="4590" w:type="dxa"/>
            <w:vMerge/>
          </w:tcPr>
          <w:p w14:paraId="573ADEC2" w14:textId="77777777" w:rsidR="00C779A5" w:rsidRPr="009F639E" w:rsidRDefault="00C779A5" w:rsidP="00F376B2">
            <w:pPr>
              <w:rPr>
                <w:rFonts w:cs="Arial"/>
                <w:sz w:val="21"/>
              </w:rPr>
            </w:pPr>
          </w:p>
        </w:tc>
      </w:tr>
      <w:tr w:rsidR="00C779A5" w14:paraId="262CD778" w14:textId="77777777" w:rsidTr="00F376B2">
        <w:trPr>
          <w:trHeight w:val="6431"/>
          <w:jc w:val="center"/>
        </w:trPr>
        <w:tc>
          <w:tcPr>
            <w:tcW w:w="4534" w:type="dxa"/>
            <w:vMerge/>
          </w:tcPr>
          <w:p w14:paraId="4BA46F1E" w14:textId="77777777" w:rsidR="00C779A5" w:rsidRPr="009F639E" w:rsidRDefault="00C779A5" w:rsidP="00F376B2">
            <w:pPr>
              <w:rPr>
                <w:rFonts w:cs="Arial"/>
                <w:noProof/>
              </w:rPr>
            </w:pPr>
          </w:p>
        </w:tc>
        <w:tc>
          <w:tcPr>
            <w:tcW w:w="416" w:type="dxa"/>
            <w:vMerge/>
          </w:tcPr>
          <w:p w14:paraId="7E47B0E7" w14:textId="77777777" w:rsidR="00C779A5" w:rsidRPr="009F639E" w:rsidRDefault="00C779A5" w:rsidP="00F376B2">
            <w:pPr>
              <w:rPr>
                <w:rFonts w:cs="Arial"/>
                <w:noProof/>
              </w:rPr>
            </w:pPr>
          </w:p>
        </w:tc>
        <w:tc>
          <w:tcPr>
            <w:tcW w:w="4500" w:type="dxa"/>
          </w:tcPr>
          <w:p w14:paraId="1F5A9A69" w14:textId="77777777" w:rsidR="00C779A5" w:rsidRPr="006D62E9" w:rsidRDefault="00C779A5" w:rsidP="006D62E9">
            <w:pPr>
              <w:pStyle w:val="NoSpacing"/>
              <w:spacing w:line="360" w:lineRule="auto"/>
              <w:rPr>
                <w:rStyle w:val="Heading1Char"/>
                <w:rFonts w:asciiTheme="minorHAnsi" w:hAnsiTheme="minorHAnsi"/>
                <w:b w:val="0"/>
                <w:bCs/>
                <w:sz w:val="36"/>
                <w:szCs w:val="40"/>
              </w:rPr>
            </w:pPr>
            <w:r w:rsidRPr="006D62E9">
              <w:rPr>
                <w:b/>
                <w:bCs/>
                <w:sz w:val="28"/>
                <w:szCs w:val="28"/>
              </w:rPr>
              <w:t>Data Collection</w:t>
            </w:r>
          </w:p>
          <w:p w14:paraId="71E277CC" w14:textId="77777777" w:rsidR="00C779A5" w:rsidRPr="009F639E" w:rsidRDefault="00C779A5" w:rsidP="00F376B2">
            <w:pPr>
              <w:rPr>
                <w:rFonts w:cs="Arial"/>
              </w:rPr>
            </w:pPr>
            <w:r w:rsidRPr="00920990">
              <w:rPr>
                <w:rFonts w:cs="Arial"/>
              </w:rPr>
              <w:t xml:space="preserve">This research will use academic databases such as PubMed, ScienceDirect, and Google Scholar as the source of secondary qualitative data. Keywords that will be used in applying a Boolean search strategy include “Libre, Dexcom, Continuous Glucose Monitoring, and home diabetes care. </w:t>
            </w:r>
            <w:r w:rsidRPr="00214B97">
              <w:rPr>
                <w:rFonts w:cs="Arial"/>
              </w:rPr>
              <w:t xml:space="preserve">Peer-reviewed articles, clinical </w:t>
            </w:r>
            <w:r>
              <w:rPr>
                <w:rFonts w:cs="Arial"/>
              </w:rPr>
              <w:t>research</w:t>
            </w:r>
            <w:r w:rsidRPr="00214B97">
              <w:rPr>
                <w:rFonts w:cs="Arial"/>
              </w:rPr>
              <w:t>, and official health policy reports published in the last 2020-2025 will be included. The sources will ensure the reliability, relevance, and credibility of the data and provide a complete picture of the efficacy of continuous glucose monitoring systems in diabetes management at home.</w:t>
            </w:r>
          </w:p>
        </w:tc>
        <w:tc>
          <w:tcPr>
            <w:tcW w:w="360" w:type="dxa"/>
            <w:vMerge/>
          </w:tcPr>
          <w:p w14:paraId="181ABC28" w14:textId="77777777" w:rsidR="00C779A5" w:rsidRPr="009F639E" w:rsidRDefault="00C779A5" w:rsidP="00F376B2">
            <w:pPr>
              <w:rPr>
                <w:rFonts w:cs="Arial"/>
                <w:noProof/>
              </w:rPr>
            </w:pPr>
          </w:p>
        </w:tc>
        <w:tc>
          <w:tcPr>
            <w:tcW w:w="4590" w:type="dxa"/>
            <w:vMerge/>
          </w:tcPr>
          <w:p w14:paraId="54B10580" w14:textId="77777777" w:rsidR="00C779A5" w:rsidRPr="009F639E" w:rsidRDefault="00C779A5" w:rsidP="00F376B2">
            <w:pPr>
              <w:rPr>
                <w:rFonts w:cs="Arial"/>
                <w:sz w:val="21"/>
              </w:rPr>
            </w:pPr>
          </w:p>
        </w:tc>
      </w:tr>
    </w:tbl>
    <w:p w14:paraId="018915EC" w14:textId="77777777" w:rsidR="00C779A5" w:rsidRDefault="00C779A5" w:rsidP="00C779A5">
      <w:pPr>
        <w:pStyle w:val="Heading1"/>
      </w:pPr>
      <w:bookmarkStart w:id="5" w:name="_Toc225702880"/>
      <w:r w:rsidRPr="009F639E">
        <w:lastRenderedPageBreak/>
        <w:t>References</w:t>
      </w:r>
      <w:bookmarkEnd w:id="5"/>
    </w:p>
    <w:p w14:paraId="031A9D3C" w14:textId="77777777" w:rsidR="00C779A5" w:rsidRPr="00520ABA" w:rsidRDefault="00C779A5" w:rsidP="00C779A5">
      <w:r w:rsidRPr="00520ABA">
        <w:t xml:space="preserve">Edward, R. and Priefer, R. (2023). A comparison of continuous glucose monitors (CGMs) in diabetes management: A systematic literature review. </w:t>
      </w:r>
      <w:r w:rsidRPr="00520ABA">
        <w:rPr>
          <w:i/>
          <w:iCs/>
        </w:rPr>
        <w:t>Primary Care Diabetes</w:t>
      </w:r>
      <w:r w:rsidRPr="00520ABA">
        <w:t>, 17(6), pp.529–534. doi:</w:t>
      </w:r>
      <w:hyperlink r:id="rId17" w:history="1">
        <w:r w:rsidRPr="00520ABA">
          <w:rPr>
            <w:rStyle w:val="Hyperlink"/>
          </w:rPr>
          <w:t>https://doi.org/10.1016/j.pcd.2023.10.009</w:t>
        </w:r>
      </w:hyperlink>
    </w:p>
    <w:p w14:paraId="2F0EB781" w14:textId="77777777" w:rsidR="00C779A5" w:rsidRPr="00520ABA" w:rsidRDefault="00C779A5" w:rsidP="00C779A5">
      <w:r w:rsidRPr="00520ABA">
        <w:t xml:space="preserve">Ratajczak, P., Oziewicz, K., Sommer, I., </w:t>
      </w:r>
      <w:proofErr w:type="spellStart"/>
      <w:r w:rsidRPr="00520ABA">
        <w:t>Kopciuch</w:t>
      </w:r>
      <w:proofErr w:type="spellEnd"/>
      <w:r w:rsidRPr="00520ABA">
        <w:t xml:space="preserve">, D., Paczkowska, A., Zaprutko, T. and Kus, K. (2025). The Perspective on Secondary Research Practices: A Cross-Sectional Analysis. </w:t>
      </w:r>
      <w:r w:rsidRPr="00520ABA">
        <w:rPr>
          <w:i/>
          <w:iCs/>
        </w:rPr>
        <w:t>Healthcare</w:t>
      </w:r>
      <w:r w:rsidRPr="00520ABA">
        <w:t>, 13(8), p.927. doi:</w:t>
      </w:r>
      <w:hyperlink r:id="rId18" w:history="1">
        <w:r w:rsidRPr="00520ABA">
          <w:rPr>
            <w:rStyle w:val="Hyperlink"/>
          </w:rPr>
          <w:t>https://doi.org/10.3390/healthcare13080927</w:t>
        </w:r>
      </w:hyperlink>
      <w:r w:rsidRPr="00520ABA">
        <w:t>.</w:t>
      </w:r>
    </w:p>
    <w:p w14:paraId="62A29162" w14:textId="77777777" w:rsidR="00C779A5" w:rsidRPr="00520ABA" w:rsidRDefault="00C779A5" w:rsidP="00C779A5">
      <w:r w:rsidRPr="00520ABA">
        <w:t>Yoo, J.H. and Kim, J.H. (2023). Advances in Continuous Glucose Monitoring and Integrated Devices for Management of Diabetes with Insulin-</w:t>
      </w:r>
      <w:r w:rsidRPr="00520ABA">
        <w:lastRenderedPageBreak/>
        <w:t xml:space="preserve">Based Therapy: Improvement in </w:t>
      </w:r>
      <w:proofErr w:type="spellStart"/>
      <w:r w:rsidRPr="00520ABA">
        <w:t>Glycemic</w:t>
      </w:r>
      <w:proofErr w:type="spellEnd"/>
      <w:r w:rsidRPr="00520ABA">
        <w:t xml:space="preserve"> Control. </w:t>
      </w:r>
      <w:r w:rsidRPr="00520ABA">
        <w:rPr>
          <w:i/>
          <w:iCs/>
        </w:rPr>
        <w:t>Korean Diabetes Journal</w:t>
      </w:r>
      <w:r w:rsidRPr="00520ABA">
        <w:t>, 47(1). doi:</w:t>
      </w:r>
      <w:hyperlink r:id="rId19" w:history="1">
        <w:r w:rsidRPr="00520ABA">
          <w:rPr>
            <w:rStyle w:val="Hyperlink"/>
          </w:rPr>
          <w:t>https://doi.org/10.4093/dmj.2022.0271</w:t>
        </w:r>
      </w:hyperlink>
      <w:r w:rsidRPr="00520ABA">
        <w:t>.</w:t>
      </w:r>
    </w:p>
    <w:p w14:paraId="59AA64EC" w14:textId="15713976" w:rsidR="00C779A5" w:rsidRPr="00C779A5" w:rsidRDefault="00C779A5" w:rsidP="00C779A5">
      <w:pPr>
        <w:pStyle w:val="Heading1"/>
      </w:pPr>
    </w:p>
    <w:p w14:paraId="25A72854" w14:textId="77777777" w:rsidR="00C779A5" w:rsidRPr="000F077C" w:rsidRDefault="00C779A5" w:rsidP="00C779A5">
      <w:pPr>
        <w:rPr>
          <w:rFonts w:asciiTheme="minorBidi" w:hAnsiTheme="minorBidi"/>
        </w:rPr>
      </w:pPr>
    </w:p>
    <w:p w14:paraId="18C2D896" w14:textId="77777777" w:rsidR="00C779A5" w:rsidRPr="000F077C" w:rsidRDefault="00C779A5" w:rsidP="00C779A5">
      <w:pPr>
        <w:rPr>
          <w:rFonts w:asciiTheme="minorBidi" w:hAnsiTheme="minorBidi"/>
        </w:rPr>
      </w:pPr>
    </w:p>
    <w:p w14:paraId="5560D424" w14:textId="77777777" w:rsidR="00C779A5" w:rsidRDefault="00C779A5" w:rsidP="00C779A5"/>
    <w:p w14:paraId="6F5926EA" w14:textId="77777777" w:rsidR="00C779A5" w:rsidRDefault="00C779A5" w:rsidP="00C779A5">
      <w:pPr>
        <w:pStyle w:val="NoSpacing"/>
      </w:pPr>
    </w:p>
    <w:p w14:paraId="2164F789" w14:textId="11B883C0" w:rsidR="00B80583" w:rsidRPr="00C779A5" w:rsidRDefault="00DB5B20" w:rsidP="00C779A5">
      <w:r w:rsidRPr="00C779A5">
        <w:br w:type="page"/>
      </w:r>
    </w:p>
    <w:p w14:paraId="42CB14C7" w14:textId="77777777" w:rsidR="00C779A5" w:rsidRDefault="00C779A5" w:rsidP="00A65D43">
      <w:pPr>
        <w:pStyle w:val="Heading1"/>
        <w:sectPr w:rsidR="00C779A5" w:rsidSect="00C779A5">
          <w:pgSz w:w="16838" w:h="11906" w:orient="landscape"/>
          <w:pgMar w:top="1440" w:right="1440" w:bottom="1440" w:left="1440" w:header="708" w:footer="708" w:gutter="0"/>
          <w:cols w:space="708"/>
          <w:titlePg/>
          <w:docGrid w:linePitch="360"/>
        </w:sectPr>
      </w:pPr>
    </w:p>
    <w:p w14:paraId="6F4BED49" w14:textId="4260C5A9" w:rsidR="00C779A5" w:rsidRPr="00C779A5" w:rsidRDefault="00C779A5" w:rsidP="00C779A5">
      <w:pPr>
        <w:pStyle w:val="Heading1"/>
      </w:pPr>
      <w:bookmarkStart w:id="6" w:name="_Toc225702881"/>
      <w:r>
        <w:lastRenderedPageBreak/>
        <w:t>Element 3: Dissertation</w:t>
      </w:r>
      <w:bookmarkEnd w:id="6"/>
    </w:p>
    <w:p w14:paraId="3979042F" w14:textId="73DFE472" w:rsidR="003F3EB9" w:rsidRDefault="00DB5B20" w:rsidP="00A65D43">
      <w:pPr>
        <w:pStyle w:val="Heading1"/>
      </w:pPr>
      <w:bookmarkStart w:id="7" w:name="_Toc225702882"/>
      <w:r w:rsidRPr="00812591">
        <w:t>ABSTRACT</w:t>
      </w:r>
      <w:bookmarkEnd w:id="7"/>
    </w:p>
    <w:p w14:paraId="69616E4C" w14:textId="2FAF74A3" w:rsidR="00A65D43" w:rsidRDefault="00A65D43" w:rsidP="00A65D43">
      <w:r w:rsidRPr="00A65D43">
        <w:t>This dissertation has explored how Continuous Glucose Monitoring systems</w:t>
      </w:r>
      <w:r w:rsidR="009F6763">
        <w:t>,</w:t>
      </w:r>
      <w:r w:rsidRPr="00A65D43">
        <w:t xml:space="preserve"> such as Libre and Dexcom</w:t>
      </w:r>
      <w:r w:rsidR="009F6763">
        <w:t>,</w:t>
      </w:r>
      <w:r w:rsidRPr="00A65D43">
        <w:t xml:space="preserve"> can be used to manage diabetes at home. Their effectiveness in supporting self-care, treatment adherence, glycaemic control and communication on home-based care </w:t>
      </w:r>
      <w:r w:rsidR="009F6763">
        <w:t>has</w:t>
      </w:r>
      <w:r w:rsidRPr="00A65D43">
        <w:t xml:space="preserve"> been targeted in the study. The study has been informed by the objective of assessing the role of these technologies in patient-centred management of diabetes in the United Kingdom. Chapter 1 has provided the introduction to the topic by defining the key concepts, providing the rationale, and stating the goal and objectives. Chapter 2 has studied the background literature, such as the historical evolution of glucose monitoring, the theory, international evidence, and the UK policy context. It has </w:t>
      </w:r>
      <w:r w:rsidR="009F6763">
        <w:t xml:space="preserve">been </w:t>
      </w:r>
      <w:r w:rsidRPr="00A65D43">
        <w:t xml:space="preserve">revealed that CGM technologies have significant clinical and behavioural advantages, which are influenced by accessibility, usability, and inequality. Chapter 3 has described the methodology used in the research. Peer-reviewed literature, clinical reports, and policy documents have been adopted as a secondary qualitative design. The data has been gathered as a result of structured database searching and analysed based on thematic analysis. The findings have been presented in Chapter 4 under three themes: features and usability of the devices, effectiveness of management and glycaemic control and the issues of cost, access, and ethics. It has been demonstrated by the findings that Libre and Dexcom enhance monitoring and patient awareness, yet their quality and effectiveness rely on digital literacy, affordability, and healthcare assistance. Chapter 5 has presented the conclusion that CGM systems have great potential to enhance home-based diabetes care and also showed barriers that hinder equal benefit. Recommendations have aimed at enhancing NHS accessibility, training the patient and the integration of CGM data into the </w:t>
      </w:r>
      <w:r w:rsidR="009F6763">
        <w:t>healthcare</w:t>
      </w:r>
      <w:r w:rsidRPr="00A65D43">
        <w:t xml:space="preserve"> systems.</w:t>
      </w:r>
    </w:p>
    <w:p w14:paraId="72A24880" w14:textId="77777777"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Cs/>
          <w:u w:val="single"/>
        </w:rPr>
      </w:pPr>
    </w:p>
    <w:p w14:paraId="56C45700" w14:textId="77777777"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Cs/>
        </w:rPr>
      </w:pPr>
    </w:p>
    <w:p w14:paraId="454A889F" w14:textId="77777777"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Cs/>
        </w:rPr>
      </w:pPr>
    </w:p>
    <w:p w14:paraId="57680BA2" w14:textId="77777777" w:rsidR="003F3EB9" w:rsidRDefault="00DB5B20" w:rsidP="00DA52F0">
      <w:pPr>
        <w:mirrorIndents/>
        <w:rPr>
          <w:rFonts w:eastAsia="Arial Unicode MS" w:cs="Arial"/>
          <w:bCs/>
        </w:rPr>
      </w:pPr>
      <w:r>
        <w:rPr>
          <w:rFonts w:eastAsia="Arial Unicode MS" w:cs="Arial"/>
          <w:bCs/>
        </w:rPr>
        <w:br w:type="page"/>
      </w:r>
    </w:p>
    <w:p w14:paraId="27F13401" w14:textId="77777777" w:rsidR="003F3EB9" w:rsidRDefault="003F3EB9" w:rsidP="00DA52F0">
      <w:pPr>
        <w:mirrorIndents/>
        <w:rPr>
          <w:rFonts w:eastAsia="Times New Roman" w:cs="Arial"/>
          <w:kern w:val="22"/>
          <w:szCs w:val="20"/>
        </w:rPr>
      </w:pPr>
    </w:p>
    <w:p w14:paraId="15745485" w14:textId="77777777" w:rsidR="005C2C7A" w:rsidRPr="005E4522" w:rsidRDefault="00DB5B20" w:rsidP="005E4522">
      <w:pPr>
        <w:pStyle w:val="Heading1"/>
        <w:rPr>
          <w:rFonts w:eastAsia="Times New Roman"/>
          <w:kern w:val="22"/>
          <w:szCs w:val="20"/>
        </w:rPr>
      </w:pPr>
      <w:bookmarkStart w:id="8" w:name="_Toc225702883"/>
      <w:r w:rsidRPr="00812591">
        <w:t>CHAPTE</w:t>
      </w:r>
      <w:r w:rsidR="00C764A3" w:rsidRPr="00812591">
        <w:t>R 1: INTRODUCTION</w:t>
      </w:r>
      <w:bookmarkEnd w:id="8"/>
      <w:r w:rsidR="00C764A3" w:rsidRPr="00812591">
        <w:t xml:space="preserve"> </w:t>
      </w:r>
    </w:p>
    <w:p w14:paraId="2ADB2019" w14:textId="77777777" w:rsidR="00956FE0" w:rsidRPr="00956FE0" w:rsidRDefault="00DB5B20" w:rsidP="00055CD7">
      <w:pPr>
        <w:pStyle w:val="Heading2"/>
      </w:pPr>
      <w:bookmarkStart w:id="9" w:name="_Toc225702884"/>
      <w:r w:rsidRPr="00956FE0">
        <w:t>1.1 Definition of Main Concepts of the Study</w:t>
      </w:r>
      <w:bookmarkEnd w:id="9"/>
    </w:p>
    <w:p w14:paraId="336B383F" w14:textId="77777777" w:rsidR="00055CD7" w:rsidRDefault="00DB5B20" w:rsidP="00055CD7">
      <w:r>
        <w:t xml:space="preserve">Diabetes is a chronic metabolic disorder which impacts the </w:t>
      </w:r>
      <w:r w:rsidR="00C9301E">
        <w:t>body's</w:t>
      </w:r>
      <w:r>
        <w:t xml:space="preserve"> mechanism in maintaining the level of glucose in the blood. It occurs when the production or actions of insulin are not adequate enough to maintain normal glucose levels in the blood (Hossain, Al-Mamun and Islam, 2024). To manage diabetes effectively, one should have continuous glucose monitoring in order to keep the glucose levels safe and avoid complications.</w:t>
      </w:r>
    </w:p>
    <w:p w14:paraId="3359A892" w14:textId="77777777" w:rsidR="00055CD7" w:rsidRDefault="00DB5B20" w:rsidP="00055CD7">
      <w:r>
        <w:t xml:space="preserve">Continuous Glucose Monitoring (CGM) is a digital medical device that captures the levels of glucose during the day. They offer real-time data and trends to the user on their mobile device, unlike the traditional ways of using fingers to prick (Yoo and Kim, 2023). Abbott FreeStyle Libre and Dexcom G7 are two major systems of CGMs that are prevalent in the United Kingdom. These systems are made up of a miniature wearable that is attached to the skin and </w:t>
      </w:r>
      <w:r w:rsidR="00C9301E">
        <w:t>reads</w:t>
      </w:r>
      <w:r>
        <w:t xml:space="preserve"> </w:t>
      </w:r>
      <w:r w:rsidR="00C9301E">
        <w:t xml:space="preserve">the </w:t>
      </w:r>
      <w:r>
        <w:t>interstitial glucose level every few minutes.</w:t>
      </w:r>
    </w:p>
    <w:p w14:paraId="11A4C128" w14:textId="77777777" w:rsidR="00055CD7" w:rsidRDefault="00DB5B20" w:rsidP="00055CD7">
      <w:r>
        <w:t>The scanning in Libre is done using a flash system, and Dexcom continuously sends the readings to smartphones or receivers (Edward and Priefer, 2023). The two devices allow self-management at home and minimise the necessity to visit a clinic frequently. The technologies are essential to type 1 and type 2 diabetic patients who need round-the-clock</w:t>
      </w:r>
      <w:r w:rsidR="00C9301E">
        <w:t>,</w:t>
      </w:r>
      <w:r>
        <w:t xml:space="preserve"> constant </w:t>
      </w:r>
      <w:r w:rsidR="00C9301E">
        <w:t>check-ups</w:t>
      </w:r>
      <w:r>
        <w:t xml:space="preserve"> to avoid hypoglycaemia or hyperglycaemia.</w:t>
      </w:r>
    </w:p>
    <w:p w14:paraId="7892E662" w14:textId="77777777" w:rsidR="00055CD7" w:rsidRDefault="00DB5B20" w:rsidP="00055CD7">
      <w:r>
        <w:t xml:space="preserve">Self-care, treatment adherence, digital health, and patient empowerment are the key terms </w:t>
      </w:r>
      <w:r w:rsidR="00C9301E">
        <w:t>of</w:t>
      </w:r>
      <w:r>
        <w:t xml:space="preserve"> this study. Self-care means the capability of the individual to treat their condition on their own based on the real-time glucose feedback. Compliance with treatment implies a regular </w:t>
      </w:r>
      <w:r w:rsidR="00C9301E">
        <w:t>check-up</w:t>
      </w:r>
      <w:r>
        <w:t xml:space="preserve"> and adherence to clinical advice. Digital health is the combination of sensor and mobile technologies to enhance care provision. Patient empowerment can be discussed as the confidence and control in managing personal health by means of available data.</w:t>
      </w:r>
    </w:p>
    <w:p w14:paraId="369D290D" w14:textId="77777777" w:rsidR="00055CD7" w:rsidRDefault="00DB5B20" w:rsidP="00055CD7">
      <w:r>
        <w:t>Collectively, these concepts reflect the technological transformation of modern diabetes care to patient-centred and data-driven management strategies.</w:t>
      </w:r>
    </w:p>
    <w:p w14:paraId="463C9D7B" w14:textId="77777777" w:rsidR="00055CD7" w:rsidRDefault="00DB5B20" w:rsidP="00055CD7">
      <w:pPr>
        <w:pStyle w:val="Heading2"/>
      </w:pPr>
      <w:bookmarkStart w:id="10" w:name="_Toc225702885"/>
      <w:r>
        <w:t>1.2 Rationale of the Study</w:t>
      </w:r>
      <w:bookmarkEnd w:id="10"/>
    </w:p>
    <w:p w14:paraId="1E7255A5" w14:textId="77777777" w:rsidR="00055CD7" w:rsidRDefault="00DB5B20" w:rsidP="00055CD7">
      <w:r>
        <w:t>One of the most pressing health issues in the United Kingdom is diabetes. According to NHS Digital (2024), there are more than 4.3 million diabetes patients and 850,000 undiagnosed. This trend is gradually rising the cost of healthcare and the necessity of effective management approaches at home. Conventional tests with test strips can be painful and time-consuming</w:t>
      </w:r>
      <w:r w:rsidR="00C9301E">
        <w:t>,</w:t>
      </w:r>
      <w:r>
        <w:t xml:space="preserve"> and reduce the perception of glucose variation (Farrant and Friend, 2022).</w:t>
      </w:r>
    </w:p>
    <w:p w14:paraId="234C6C3E" w14:textId="77777777" w:rsidR="00055CD7" w:rsidRDefault="00DB5B20" w:rsidP="00055CD7">
      <w:r>
        <w:t xml:space="preserve">Continuous Glucose Monitoring has changed this process by introducing Libre and Dexcom. They provide patients with constant feedback, which will assist them in acknowledging the effects of food, medication, or exercise on glucose levels. The gadgets can also share data </w:t>
      </w:r>
      <w:r>
        <w:lastRenderedPageBreak/>
        <w:t>with the healthcare experts to enhance communication and immediate alterations in treatment. Nonetheless, CGMs have a lot of barriers despite their potential. They are the cost of devices, sensor calibration, overload of data, and the unequal availability among socioeconomic groups (Zhu et al., 2022).</w:t>
      </w:r>
    </w:p>
    <w:p w14:paraId="45E13D12" w14:textId="77777777" w:rsidR="00055CD7" w:rsidRDefault="00DB5B20" w:rsidP="00055CD7">
      <w:r>
        <w:t xml:space="preserve">Moreover, the long-term adherence and change in behaviour promoted with the help of CGMs is </w:t>
      </w:r>
      <w:r w:rsidR="00C9301E">
        <w:t>understudied</w:t>
      </w:r>
      <w:r>
        <w:t>. Other patients cease the use of the device because of pain or the lack thereof in data interpretation (Edward and Priefer, 2023). This introduces gaps in the knowledge of how technology can help in providing sustainable self-care in home environments.</w:t>
      </w:r>
    </w:p>
    <w:p w14:paraId="6CF0BE5E" w14:textId="77777777" w:rsidR="00055CD7" w:rsidRDefault="00DB5B20" w:rsidP="00055CD7">
      <w:r>
        <w:t xml:space="preserve">The study is timely </w:t>
      </w:r>
      <w:r w:rsidR="00C9301E">
        <w:t>because</w:t>
      </w:r>
      <w:r>
        <w:t xml:space="preserve"> the NHS is increasing its utilisation of digital health in accordance with the </w:t>
      </w:r>
      <w:proofErr w:type="gramStart"/>
      <w:r>
        <w:t>Long Term</w:t>
      </w:r>
      <w:proofErr w:type="gramEnd"/>
      <w:r>
        <w:t xml:space="preserve"> Plan 20242029 that encourages the use of home monitoring technologies. Examination of the CGM </w:t>
      </w:r>
      <w:r w:rsidR="00C9301E">
        <w:t>systems'</w:t>
      </w:r>
      <w:r>
        <w:t xml:space="preserve"> effectiveness in </w:t>
      </w:r>
      <w:r w:rsidR="00C9301E">
        <w:t xml:space="preserve">the </w:t>
      </w:r>
      <w:r>
        <w:t>management of diabetes will aid future NHS digital policies and patient training programmes.</w:t>
      </w:r>
    </w:p>
    <w:p w14:paraId="6AC40C64" w14:textId="77777777" w:rsidR="00956FE0" w:rsidRPr="00956FE0" w:rsidRDefault="00DB5B20" w:rsidP="00055CD7">
      <w:r w:rsidRPr="00484AC6">
        <w:t>This paper is a comparative study of two of the most popular Continuous Glucose Monitoring (CGM) systems, Libre and Dexcom</w:t>
      </w:r>
      <w:r>
        <w:t>,</w:t>
      </w:r>
      <w:r w:rsidRPr="00484AC6">
        <w:t xml:space="preserve"> </w:t>
      </w:r>
      <w:r>
        <w:t>which</w:t>
      </w:r>
      <w:r w:rsidRPr="00484AC6">
        <w:t xml:space="preserve"> are different in terms of design, functionality, and user experience. The comparison examines the effects of these differences on patient engagement and health outcomes. It also pays attention to the influence of digital literacy, affordability and accessibility on the health equity of various communities. The study will be useful to the healthcare providers, policymakers and technology developers. It will demonstrate how incorporating CGM in community-based care would help to decrease clinical pressure and enable patients to take more direct control over their conditions to enhance personal health outcomes and efficiency of the system.</w:t>
      </w:r>
    </w:p>
    <w:p w14:paraId="7E1C360F" w14:textId="77777777" w:rsidR="00956FE0" w:rsidRPr="00956FE0" w:rsidRDefault="00DB5B20" w:rsidP="00055CD7">
      <w:pPr>
        <w:pStyle w:val="Heading2"/>
      </w:pPr>
      <w:bookmarkStart w:id="11" w:name="_Toc225702886"/>
      <w:r w:rsidRPr="00956FE0">
        <w:t>1.3 Aim of the Study</w:t>
      </w:r>
      <w:bookmarkEnd w:id="11"/>
    </w:p>
    <w:p w14:paraId="1B52E692" w14:textId="77777777" w:rsidR="00956FE0" w:rsidRPr="00956FE0" w:rsidRDefault="00DB5B20" w:rsidP="00956FE0">
      <w:r w:rsidRPr="00956FE0">
        <w:t>This study examines the effectiveness of the Libre and Dexcom Continuous Glucose systems in improving home-based diabetes management, self-care, adherence, and communication.</w:t>
      </w:r>
    </w:p>
    <w:p w14:paraId="56643219" w14:textId="77777777" w:rsidR="00956FE0" w:rsidRPr="00956FE0" w:rsidRDefault="00DB5B20" w:rsidP="00055CD7">
      <w:pPr>
        <w:pStyle w:val="Heading2"/>
      </w:pPr>
      <w:bookmarkStart w:id="12" w:name="_Toc225702887"/>
      <w:r w:rsidRPr="00956FE0">
        <w:t>1.4 Objectives of the Study</w:t>
      </w:r>
      <w:bookmarkEnd w:id="12"/>
    </w:p>
    <w:p w14:paraId="5CE2D8B9" w14:textId="77777777" w:rsidR="00956FE0" w:rsidRPr="00956FE0" w:rsidRDefault="00DB5B20" w:rsidP="00F8745F">
      <w:pPr>
        <w:numPr>
          <w:ilvl w:val="0"/>
          <w:numId w:val="14"/>
        </w:numPr>
      </w:pPr>
      <w:r w:rsidRPr="00956FE0">
        <w:t>To define and examine the key functions and design features of Libre and Dexcom systems that support home glucose monitoring for diabetic patients.</w:t>
      </w:r>
    </w:p>
    <w:p w14:paraId="05A123C7" w14:textId="77777777" w:rsidR="00956FE0" w:rsidRPr="00956FE0" w:rsidRDefault="00DB5B20" w:rsidP="00F8745F">
      <w:pPr>
        <w:numPr>
          <w:ilvl w:val="0"/>
          <w:numId w:val="14"/>
        </w:numPr>
      </w:pPr>
      <w:r w:rsidRPr="00956FE0">
        <w:t>To analyse how CGM use influences patient self-management, glycaemic control, and lifestyle behaviour changes through thematic analysis of existing literature (2020–2025).</w:t>
      </w:r>
    </w:p>
    <w:p w14:paraId="11E6325B" w14:textId="7A2ED995" w:rsidR="00956FE0" w:rsidRPr="00956FE0" w:rsidRDefault="000D14AE" w:rsidP="00F8745F">
      <w:pPr>
        <w:numPr>
          <w:ilvl w:val="0"/>
          <w:numId w:val="14"/>
        </w:numPr>
      </w:pPr>
      <w:r w:rsidRPr="000D14AE">
        <w:t>To evaluate the practical challenges, costs, and ethical considerations of CGM use through thematic analysis of existing peer-reviewed literature and reports.</w:t>
      </w:r>
    </w:p>
    <w:p w14:paraId="47269537" w14:textId="77777777" w:rsidR="00956FE0" w:rsidRPr="00956FE0" w:rsidRDefault="00DB5B20" w:rsidP="00F8745F">
      <w:pPr>
        <w:numPr>
          <w:ilvl w:val="0"/>
          <w:numId w:val="14"/>
        </w:numPr>
      </w:pPr>
      <w:r w:rsidRPr="00956FE0">
        <w:t>To provide recommendations for improving access, training, and digital integration of CGM systems within community-based diabetes care in the United Kingdom.</w:t>
      </w:r>
    </w:p>
    <w:p w14:paraId="2E3735C0" w14:textId="77777777" w:rsidR="00956FE0" w:rsidRPr="00956FE0" w:rsidRDefault="00DB5B20" w:rsidP="00055CD7">
      <w:pPr>
        <w:pStyle w:val="Heading2"/>
      </w:pPr>
      <w:bookmarkStart w:id="13" w:name="_Toc225702888"/>
      <w:r w:rsidRPr="00956FE0">
        <w:t>1.5 Structure of the Dissertation</w:t>
      </w:r>
      <w:bookmarkEnd w:id="13"/>
    </w:p>
    <w:p w14:paraId="483EEDAB" w14:textId="7435477C" w:rsidR="00DD27BE" w:rsidRPr="00C779A5" w:rsidRDefault="00DD27BE" w:rsidP="00C779A5">
      <w:pPr>
        <w:pStyle w:val="Caption"/>
        <w:keepNext/>
        <w:spacing w:after="0" w:line="360" w:lineRule="auto"/>
        <w:jc w:val="center"/>
        <w:rPr>
          <w:b/>
          <w:bCs/>
          <w:i w:val="0"/>
          <w:iCs w:val="0"/>
          <w:color w:val="auto"/>
          <w:sz w:val="20"/>
          <w:szCs w:val="20"/>
        </w:rPr>
      </w:pPr>
      <w:bookmarkStart w:id="14" w:name="_Toc225700970"/>
      <w:bookmarkStart w:id="15" w:name="_Toc225702934"/>
      <w:r w:rsidRPr="00C779A5">
        <w:rPr>
          <w:b/>
          <w:bCs/>
          <w:i w:val="0"/>
          <w:iCs w:val="0"/>
          <w:color w:val="auto"/>
          <w:sz w:val="20"/>
          <w:szCs w:val="20"/>
        </w:rPr>
        <w:lastRenderedPageBreak/>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1</w:t>
      </w:r>
      <w:r w:rsidRPr="00C779A5">
        <w:rPr>
          <w:b/>
          <w:bCs/>
          <w:i w:val="0"/>
          <w:iCs w:val="0"/>
          <w:color w:val="auto"/>
          <w:sz w:val="20"/>
          <w:szCs w:val="20"/>
        </w:rPr>
        <w:fldChar w:fldCharType="end"/>
      </w:r>
      <w:r w:rsidRPr="00C779A5">
        <w:rPr>
          <w:b/>
          <w:bCs/>
          <w:i w:val="0"/>
          <w:iCs w:val="0"/>
          <w:color w:val="auto"/>
          <w:sz w:val="20"/>
          <w:szCs w:val="20"/>
        </w:rPr>
        <w:t xml:space="preserve"> Structure of the Dissertation</w:t>
      </w:r>
      <w:bookmarkEnd w:id="14"/>
      <w:bookmarkEnd w:id="15"/>
    </w:p>
    <w:tbl>
      <w:tblPr>
        <w:tblStyle w:val="TableGridLight"/>
        <w:tblW w:w="0" w:type="auto"/>
        <w:tblLook w:val="04A0" w:firstRow="1" w:lastRow="0" w:firstColumn="1" w:lastColumn="0" w:noHBand="0" w:noVBand="1"/>
      </w:tblPr>
      <w:tblGrid>
        <w:gridCol w:w="1079"/>
        <w:gridCol w:w="2474"/>
        <w:gridCol w:w="5463"/>
      </w:tblGrid>
      <w:tr w:rsidR="00EB6C3D" w14:paraId="36C3B204" w14:textId="77777777" w:rsidTr="00055CD7">
        <w:tc>
          <w:tcPr>
            <w:tcW w:w="0" w:type="auto"/>
            <w:hideMark/>
          </w:tcPr>
          <w:p w14:paraId="1715C744" w14:textId="77777777" w:rsidR="00956FE0" w:rsidRPr="00956FE0" w:rsidRDefault="00DB5B20" w:rsidP="00956FE0">
            <w:pPr>
              <w:jc w:val="left"/>
              <w:rPr>
                <w:b/>
                <w:bCs/>
              </w:rPr>
            </w:pPr>
            <w:r w:rsidRPr="00956FE0">
              <w:rPr>
                <w:b/>
                <w:bCs/>
              </w:rPr>
              <w:t>Chapter</w:t>
            </w:r>
          </w:p>
        </w:tc>
        <w:tc>
          <w:tcPr>
            <w:tcW w:w="0" w:type="auto"/>
            <w:hideMark/>
          </w:tcPr>
          <w:p w14:paraId="398A3E3D" w14:textId="77777777" w:rsidR="00956FE0" w:rsidRPr="00956FE0" w:rsidRDefault="00DB5B20" w:rsidP="00956FE0">
            <w:pPr>
              <w:jc w:val="left"/>
              <w:rPr>
                <w:b/>
                <w:bCs/>
              </w:rPr>
            </w:pPr>
            <w:r w:rsidRPr="00956FE0">
              <w:rPr>
                <w:b/>
                <w:bCs/>
              </w:rPr>
              <w:t>Title</w:t>
            </w:r>
          </w:p>
        </w:tc>
        <w:tc>
          <w:tcPr>
            <w:tcW w:w="0" w:type="auto"/>
            <w:hideMark/>
          </w:tcPr>
          <w:p w14:paraId="07828F64" w14:textId="77777777" w:rsidR="00956FE0" w:rsidRPr="00956FE0" w:rsidRDefault="00DB5B20" w:rsidP="00956FE0">
            <w:pPr>
              <w:jc w:val="left"/>
              <w:rPr>
                <w:b/>
                <w:bCs/>
              </w:rPr>
            </w:pPr>
            <w:r w:rsidRPr="00956FE0">
              <w:rPr>
                <w:b/>
                <w:bCs/>
              </w:rPr>
              <w:t>Summary of Content</w:t>
            </w:r>
          </w:p>
        </w:tc>
      </w:tr>
      <w:tr w:rsidR="00EB6C3D" w14:paraId="5ED7E2C8" w14:textId="77777777" w:rsidTr="00055CD7">
        <w:tc>
          <w:tcPr>
            <w:tcW w:w="0" w:type="auto"/>
            <w:hideMark/>
          </w:tcPr>
          <w:p w14:paraId="0C911042" w14:textId="77777777" w:rsidR="00956FE0" w:rsidRPr="00956FE0" w:rsidRDefault="00DB5B20" w:rsidP="00956FE0">
            <w:r w:rsidRPr="00956FE0">
              <w:rPr>
                <w:b/>
                <w:bCs/>
              </w:rPr>
              <w:t>Chapter 1</w:t>
            </w:r>
          </w:p>
        </w:tc>
        <w:tc>
          <w:tcPr>
            <w:tcW w:w="0" w:type="auto"/>
            <w:hideMark/>
          </w:tcPr>
          <w:p w14:paraId="34296E6C" w14:textId="77777777" w:rsidR="00956FE0" w:rsidRPr="00956FE0" w:rsidRDefault="00DB5B20" w:rsidP="00956FE0">
            <w:r w:rsidRPr="00956FE0">
              <w:rPr>
                <w:b/>
                <w:bCs/>
              </w:rPr>
              <w:t>Introduction</w:t>
            </w:r>
          </w:p>
        </w:tc>
        <w:tc>
          <w:tcPr>
            <w:tcW w:w="0" w:type="auto"/>
            <w:hideMark/>
          </w:tcPr>
          <w:p w14:paraId="347DF2C9" w14:textId="77777777" w:rsidR="00956FE0" w:rsidRPr="00956FE0" w:rsidRDefault="00DB5B20" w:rsidP="00956FE0">
            <w:r w:rsidRPr="00956FE0">
              <w:t xml:space="preserve">Defines the main concepts, aims, and objectives. </w:t>
            </w:r>
            <w:r w:rsidR="00484AC6" w:rsidRPr="00484AC6">
              <w:t>Justifies why it is important to research Libre and Dexcom systems in domestic diabetes management.</w:t>
            </w:r>
          </w:p>
        </w:tc>
      </w:tr>
      <w:tr w:rsidR="00EB6C3D" w14:paraId="4DBA30F0" w14:textId="77777777" w:rsidTr="00055CD7">
        <w:tc>
          <w:tcPr>
            <w:tcW w:w="0" w:type="auto"/>
            <w:hideMark/>
          </w:tcPr>
          <w:p w14:paraId="1B2403BA" w14:textId="77777777" w:rsidR="00956FE0" w:rsidRPr="00956FE0" w:rsidRDefault="00DB5B20" w:rsidP="00956FE0">
            <w:r w:rsidRPr="00956FE0">
              <w:rPr>
                <w:b/>
                <w:bCs/>
              </w:rPr>
              <w:t>Chapter 2</w:t>
            </w:r>
          </w:p>
        </w:tc>
        <w:tc>
          <w:tcPr>
            <w:tcW w:w="0" w:type="auto"/>
            <w:hideMark/>
          </w:tcPr>
          <w:p w14:paraId="4FAFADB8" w14:textId="77777777" w:rsidR="00956FE0" w:rsidRPr="00956FE0" w:rsidRDefault="00DB5B20" w:rsidP="00956FE0">
            <w:r w:rsidRPr="00956FE0">
              <w:rPr>
                <w:b/>
                <w:bCs/>
              </w:rPr>
              <w:t>Background and Literature Review</w:t>
            </w:r>
          </w:p>
        </w:tc>
        <w:tc>
          <w:tcPr>
            <w:tcW w:w="0" w:type="auto"/>
            <w:hideMark/>
          </w:tcPr>
          <w:p w14:paraId="21A839B2" w14:textId="77777777" w:rsidR="00956FE0" w:rsidRPr="00956FE0" w:rsidRDefault="00DB5B20" w:rsidP="00956FE0">
            <w:r w:rsidRPr="00484AC6">
              <w:t>Conducts a critical review of the former and contemporary research on CGM technologies, clinical efficacy, patient outcomes and challenges. Determines research gaps and theories applicable in digital health and self-management.</w:t>
            </w:r>
          </w:p>
        </w:tc>
      </w:tr>
      <w:tr w:rsidR="00EB6C3D" w14:paraId="25592AFD" w14:textId="77777777" w:rsidTr="00055CD7">
        <w:tc>
          <w:tcPr>
            <w:tcW w:w="0" w:type="auto"/>
            <w:hideMark/>
          </w:tcPr>
          <w:p w14:paraId="7AF447C4" w14:textId="77777777" w:rsidR="00956FE0" w:rsidRPr="00956FE0" w:rsidRDefault="00DB5B20" w:rsidP="00956FE0">
            <w:r w:rsidRPr="00956FE0">
              <w:rPr>
                <w:b/>
                <w:bCs/>
              </w:rPr>
              <w:t>Chapter 3</w:t>
            </w:r>
          </w:p>
        </w:tc>
        <w:tc>
          <w:tcPr>
            <w:tcW w:w="0" w:type="auto"/>
            <w:hideMark/>
          </w:tcPr>
          <w:p w14:paraId="08722F94" w14:textId="77777777" w:rsidR="00956FE0" w:rsidRPr="00956FE0" w:rsidRDefault="00DB5B20" w:rsidP="00956FE0">
            <w:r w:rsidRPr="00956FE0">
              <w:rPr>
                <w:b/>
                <w:bCs/>
              </w:rPr>
              <w:t>Methods</w:t>
            </w:r>
          </w:p>
        </w:tc>
        <w:tc>
          <w:tcPr>
            <w:tcW w:w="0" w:type="auto"/>
            <w:hideMark/>
          </w:tcPr>
          <w:p w14:paraId="1F980088" w14:textId="77777777" w:rsidR="00956FE0" w:rsidRPr="00956FE0" w:rsidRDefault="00DB5B20" w:rsidP="00956FE0">
            <w:r w:rsidRPr="00956FE0">
              <w:t>Explains the research design, secondary qualitative method, data collection process, and thematic analysis. Discusses ethical considerations and data validity.</w:t>
            </w:r>
          </w:p>
        </w:tc>
      </w:tr>
      <w:tr w:rsidR="00EB6C3D" w14:paraId="560D7722" w14:textId="77777777" w:rsidTr="00055CD7">
        <w:tc>
          <w:tcPr>
            <w:tcW w:w="0" w:type="auto"/>
            <w:hideMark/>
          </w:tcPr>
          <w:p w14:paraId="68D2ED9F" w14:textId="77777777" w:rsidR="00956FE0" w:rsidRPr="00956FE0" w:rsidRDefault="00DB5B20" w:rsidP="00956FE0">
            <w:r w:rsidRPr="00956FE0">
              <w:rPr>
                <w:b/>
                <w:bCs/>
              </w:rPr>
              <w:t>Chapter 4</w:t>
            </w:r>
          </w:p>
        </w:tc>
        <w:tc>
          <w:tcPr>
            <w:tcW w:w="0" w:type="auto"/>
            <w:hideMark/>
          </w:tcPr>
          <w:p w14:paraId="7EF2D210" w14:textId="77777777" w:rsidR="00956FE0" w:rsidRPr="00956FE0" w:rsidRDefault="00DB5B20" w:rsidP="00956FE0">
            <w:r w:rsidRPr="00956FE0">
              <w:rPr>
                <w:b/>
                <w:bCs/>
              </w:rPr>
              <w:t>Results and Discussion</w:t>
            </w:r>
          </w:p>
        </w:tc>
        <w:tc>
          <w:tcPr>
            <w:tcW w:w="0" w:type="auto"/>
            <w:hideMark/>
          </w:tcPr>
          <w:p w14:paraId="44719FD5" w14:textId="77777777" w:rsidR="00956FE0" w:rsidRPr="00956FE0" w:rsidRDefault="00DB5B20" w:rsidP="00956FE0">
            <w:r w:rsidRPr="00956FE0">
              <w:t>Presents and analyses findings from reviewed literature using identified themes such as adherence, usability, communication, and cost-effectiveness. Compares Libre and Dexcom performance in real-world settings.</w:t>
            </w:r>
          </w:p>
        </w:tc>
      </w:tr>
      <w:tr w:rsidR="00EB6C3D" w14:paraId="4EEF3C49" w14:textId="77777777" w:rsidTr="00055CD7">
        <w:tc>
          <w:tcPr>
            <w:tcW w:w="0" w:type="auto"/>
            <w:hideMark/>
          </w:tcPr>
          <w:p w14:paraId="5DA03B80" w14:textId="77777777" w:rsidR="00956FE0" w:rsidRPr="00956FE0" w:rsidRDefault="00DB5B20" w:rsidP="00956FE0">
            <w:r w:rsidRPr="00956FE0">
              <w:rPr>
                <w:b/>
                <w:bCs/>
              </w:rPr>
              <w:t>Chapter 5</w:t>
            </w:r>
          </w:p>
        </w:tc>
        <w:tc>
          <w:tcPr>
            <w:tcW w:w="0" w:type="auto"/>
            <w:hideMark/>
          </w:tcPr>
          <w:p w14:paraId="671789C5" w14:textId="77777777" w:rsidR="00956FE0" w:rsidRPr="00956FE0" w:rsidRDefault="00DB5B20" w:rsidP="00956FE0">
            <w:r w:rsidRPr="00956FE0">
              <w:rPr>
                <w:b/>
                <w:bCs/>
              </w:rPr>
              <w:t>Recommendations and Conclusion</w:t>
            </w:r>
          </w:p>
        </w:tc>
        <w:tc>
          <w:tcPr>
            <w:tcW w:w="0" w:type="auto"/>
            <w:hideMark/>
          </w:tcPr>
          <w:p w14:paraId="0D0D3677" w14:textId="77777777" w:rsidR="00956FE0" w:rsidRPr="00956FE0" w:rsidRDefault="00DB5B20" w:rsidP="00956FE0">
            <w:r w:rsidRPr="00956FE0">
              <w:t>Provides practical recommendations for healthcare providers and policymakers to enhance CGM access and integration. Summarises key insights and reflects on the implications for future diabetes care.</w:t>
            </w:r>
          </w:p>
        </w:tc>
      </w:tr>
    </w:tbl>
    <w:p w14:paraId="4AE89A2E" w14:textId="77777777" w:rsidR="00DA52F0" w:rsidRPr="00141A69" w:rsidRDefault="00DA52F0" w:rsidP="00956FE0"/>
    <w:p w14:paraId="586FB27F" w14:textId="77777777" w:rsidR="00DA52F0" w:rsidRPr="00141A69" w:rsidRDefault="00DA52F0" w:rsidP="00DA52F0">
      <w:pPr>
        <w:mirrorIndents/>
        <w:rPr>
          <w:rFonts w:eastAsia="Arial Unicode MS" w:cs="Arial"/>
        </w:rPr>
      </w:pPr>
    </w:p>
    <w:p w14:paraId="501F9F88" w14:textId="77777777" w:rsidR="00766D97" w:rsidRPr="00141A69" w:rsidRDefault="00766D97" w:rsidP="00DA52F0">
      <w:pPr>
        <w:mirrorIndents/>
        <w:rPr>
          <w:rFonts w:eastAsia="Arial Unicode MS" w:cs="Arial"/>
        </w:rPr>
      </w:pPr>
    </w:p>
    <w:p w14:paraId="683805BC"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
          <w:sz w:val="28"/>
          <w:szCs w:val="28"/>
        </w:rPr>
      </w:pPr>
    </w:p>
    <w:p w14:paraId="4840FBA0"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
          <w:i/>
        </w:rPr>
      </w:pPr>
    </w:p>
    <w:p w14:paraId="00020C69" w14:textId="77777777" w:rsidR="00585286" w:rsidRPr="00141A69" w:rsidRDefault="00585286" w:rsidP="00DA52F0">
      <w:pPr>
        <w:mirrorIndents/>
        <w:rPr>
          <w:rFonts w:eastAsia="Arial Unicode MS" w:cs="Arial"/>
          <w:b/>
          <w:u w:val="single"/>
        </w:rPr>
      </w:pPr>
    </w:p>
    <w:p w14:paraId="69A2BF1B" w14:textId="77777777" w:rsidR="003F2B6D" w:rsidRPr="00141A69" w:rsidRDefault="00DB5B20" w:rsidP="00DA52F0">
      <w:pPr>
        <w:mirrorIndents/>
        <w:rPr>
          <w:b/>
          <w:sz w:val="32"/>
          <w:szCs w:val="32"/>
        </w:rPr>
      </w:pPr>
      <w:r w:rsidRPr="00141A69">
        <w:br w:type="page"/>
      </w:r>
    </w:p>
    <w:p w14:paraId="238A5A09" w14:textId="77777777" w:rsidR="003F2B6D" w:rsidRDefault="00DB5B20" w:rsidP="001936FD">
      <w:pPr>
        <w:pStyle w:val="Heading1"/>
      </w:pPr>
      <w:bookmarkStart w:id="16" w:name="_Toc225702889"/>
      <w:r w:rsidRPr="00141A69">
        <w:lastRenderedPageBreak/>
        <w:t xml:space="preserve">CHAPTER 2: </w:t>
      </w:r>
      <w:r w:rsidRPr="001936FD">
        <w:t>BACKGROUND</w:t>
      </w:r>
      <w:bookmarkEnd w:id="16"/>
    </w:p>
    <w:p w14:paraId="0DACC9D7" w14:textId="77777777" w:rsidR="00735A7A" w:rsidRPr="00141A69" w:rsidRDefault="00DB5B20" w:rsidP="001936FD">
      <w:pPr>
        <w:pStyle w:val="Heading2"/>
      </w:pPr>
      <w:bookmarkStart w:id="17" w:name="_Toc225702890"/>
      <w:r>
        <w:t>2.1 Introduction</w:t>
      </w:r>
      <w:bookmarkEnd w:id="17"/>
    </w:p>
    <w:p w14:paraId="38C7E3EB" w14:textId="77777777" w:rsidR="003F2B6D" w:rsidRPr="00735A7A" w:rsidRDefault="00DB5B20" w:rsidP="00735A7A">
      <w:r w:rsidRPr="00B00AEA">
        <w:t>This chapter offers a background to the concept of Continuous Glucose Monitoring (CGM) systems in diabetes care. It discusses four essential areas</w:t>
      </w:r>
      <w:r w:rsidR="00C9301E">
        <w:t>:</w:t>
      </w:r>
      <w:r w:rsidRPr="00B00AEA">
        <w:t xml:space="preserve"> historical development, theoretical models, international experience, and national/local UK perspectives. The sections address existing literature to discuss the patterns of adoption, health outcomes, and policy issues. This critical review has provided the research problem with a solid basis of gaps, supporting arguments, and the direction of the study. The chapter also complies with the academic standards and research objectives.</w:t>
      </w:r>
    </w:p>
    <w:p w14:paraId="677F8BA8" w14:textId="77777777" w:rsidR="00B75A29" w:rsidRPr="00B75A29" w:rsidRDefault="00DB5B20" w:rsidP="001936FD">
      <w:pPr>
        <w:pStyle w:val="Heading2"/>
      </w:pPr>
      <w:bookmarkStart w:id="18" w:name="_Toc225702891"/>
      <w:r w:rsidRPr="00B75A29">
        <w:t>2.2 Historical Background</w:t>
      </w:r>
      <w:bookmarkEnd w:id="18"/>
    </w:p>
    <w:p w14:paraId="231D8B58" w14:textId="77777777" w:rsidR="00B75A29" w:rsidRPr="00B75A29" w:rsidRDefault="00DB5B20" w:rsidP="001936FD">
      <w:pPr>
        <w:pStyle w:val="Heading3"/>
      </w:pPr>
      <w:bookmarkStart w:id="19" w:name="_Toc225702892"/>
      <w:r w:rsidRPr="00B75A29">
        <w:t>2.2.1 Early Methods of Glucose Monitoring</w:t>
      </w:r>
      <w:bookmarkEnd w:id="19"/>
    </w:p>
    <w:p w14:paraId="3F77643E" w14:textId="4A4661C9" w:rsidR="00B00AEA" w:rsidRDefault="00DB5B20" w:rsidP="00B00AEA">
      <w:r>
        <w:t xml:space="preserve">As Rubin (2019) clarified, the testing of diabetes in the 19th century was based on urine samples that changed their colour to indicate the level of glucose. According to Hirsch (2018), the approach was sensitive to glucose </w:t>
      </w:r>
      <w:r w:rsidR="009F6763">
        <w:t xml:space="preserve">for </w:t>
      </w:r>
      <w:r>
        <w:t xml:space="preserve">many years after the levels had altered, and thus cannot be used to control the disease. According to Mathew, Tadi and Zubair (2023), the 1970s witnessed a point of change because home blood glucose </w:t>
      </w:r>
      <w:r w:rsidR="00C9301E">
        <w:t>meters</w:t>
      </w:r>
      <w:r>
        <w:t xml:space="preserve"> came into being. These instruments enabled self-monitoring with the help of finger-prick samples and provided more precise and quicker readings.</w:t>
      </w:r>
    </w:p>
    <w:p w14:paraId="624D7DFB" w14:textId="77777777" w:rsidR="00B75A29" w:rsidRPr="00B75A29" w:rsidRDefault="00DB5B20" w:rsidP="00B00AEA">
      <w:proofErr w:type="spellStart"/>
      <w:r>
        <w:t>Tonyushkina</w:t>
      </w:r>
      <w:proofErr w:type="spellEnd"/>
      <w:r>
        <w:t xml:space="preserve"> and Nichols (2009) pointed out that these early blood glucose </w:t>
      </w:r>
      <w:r w:rsidR="00C9301E">
        <w:t>meters</w:t>
      </w:r>
      <w:r>
        <w:t xml:space="preserve"> were prone to calibration </w:t>
      </w:r>
      <w:r w:rsidR="00C9301E">
        <w:t xml:space="preserve">issues </w:t>
      </w:r>
      <w:r>
        <w:t xml:space="preserve">and had </w:t>
      </w:r>
      <w:r w:rsidR="00C9301E">
        <w:t>unreliable</w:t>
      </w:r>
      <w:r>
        <w:t xml:space="preserve"> results. They claimed that the process was painful and hard to maintain in the long run </w:t>
      </w:r>
      <w:r w:rsidR="00C9301E">
        <w:t>for</w:t>
      </w:r>
      <w:r>
        <w:t xml:space="preserve"> many of the users. </w:t>
      </w:r>
      <w:proofErr w:type="spellStart"/>
      <w:r w:rsidR="00484AC6" w:rsidRPr="00484AC6">
        <w:t>Brutsaert</w:t>
      </w:r>
      <w:proofErr w:type="spellEnd"/>
      <w:r w:rsidR="00484AC6" w:rsidRPr="00484AC6">
        <w:t xml:space="preserve"> (2023) claims that this mismatch led to </w:t>
      </w:r>
      <w:r w:rsidR="00933916">
        <w:t xml:space="preserve">a </w:t>
      </w:r>
      <w:r w:rsidR="00484AC6" w:rsidRPr="00484AC6">
        <w:t>delay in treatment and poor daily care. Wu et al. (2022) have demonstrated that patients with less frequent testing were more susceptible to neuropathy and cardiovascular comorbidities due to uneven glucose levels.</w:t>
      </w:r>
    </w:p>
    <w:p w14:paraId="01C26378" w14:textId="0E98257E" w:rsidR="00DD27BE" w:rsidRPr="00C779A5" w:rsidRDefault="00DD27BE" w:rsidP="00C779A5">
      <w:pPr>
        <w:pStyle w:val="Caption"/>
        <w:keepNext/>
        <w:spacing w:after="0" w:line="360" w:lineRule="auto"/>
        <w:jc w:val="center"/>
        <w:rPr>
          <w:b/>
          <w:bCs/>
          <w:i w:val="0"/>
          <w:iCs w:val="0"/>
          <w:color w:val="auto"/>
          <w:sz w:val="20"/>
          <w:szCs w:val="20"/>
        </w:rPr>
      </w:pPr>
      <w:bookmarkStart w:id="20" w:name="_Toc225700971"/>
      <w:bookmarkStart w:id="21" w:name="_Toc225702935"/>
      <w:r w:rsidRPr="00C779A5">
        <w:rPr>
          <w:b/>
          <w:bCs/>
          <w:i w:val="0"/>
          <w:iCs w:val="0"/>
          <w:color w:val="auto"/>
          <w:sz w:val="20"/>
          <w:szCs w:val="20"/>
        </w:rPr>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2</w:t>
      </w:r>
      <w:r w:rsidRPr="00C779A5">
        <w:rPr>
          <w:b/>
          <w:bCs/>
          <w:i w:val="0"/>
          <w:iCs w:val="0"/>
          <w:color w:val="auto"/>
          <w:sz w:val="20"/>
          <w:szCs w:val="20"/>
        </w:rPr>
        <w:fldChar w:fldCharType="end"/>
      </w:r>
      <w:r w:rsidRPr="00C779A5">
        <w:rPr>
          <w:b/>
          <w:bCs/>
          <w:i w:val="0"/>
          <w:iCs w:val="0"/>
          <w:color w:val="auto"/>
          <w:sz w:val="20"/>
          <w:szCs w:val="20"/>
        </w:rPr>
        <w:t xml:space="preserve"> Evolution of Glucose Monitoring Methods and Limitations</w:t>
      </w:r>
      <w:bookmarkEnd w:id="20"/>
      <w:bookmarkEnd w:id="21"/>
    </w:p>
    <w:tbl>
      <w:tblPr>
        <w:tblStyle w:val="PlainTable1"/>
        <w:tblW w:w="5000" w:type="pct"/>
        <w:tblLook w:val="04A0" w:firstRow="1" w:lastRow="0" w:firstColumn="1" w:lastColumn="0" w:noHBand="0" w:noVBand="1"/>
      </w:tblPr>
      <w:tblGrid>
        <w:gridCol w:w="1738"/>
        <w:gridCol w:w="2992"/>
        <w:gridCol w:w="4286"/>
      </w:tblGrid>
      <w:tr w:rsidR="00EB6C3D" w14:paraId="7040164C" w14:textId="77777777" w:rsidTr="00EB6C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pct"/>
            <w:hideMark/>
          </w:tcPr>
          <w:p w14:paraId="51E6EFC2" w14:textId="77777777" w:rsidR="00B75A29" w:rsidRPr="00B75A29" w:rsidRDefault="00DB5B20" w:rsidP="00B75A29">
            <w:r w:rsidRPr="00B75A29">
              <w:t>Era</w:t>
            </w:r>
          </w:p>
        </w:tc>
        <w:tc>
          <w:tcPr>
            <w:tcW w:w="1659" w:type="pct"/>
            <w:hideMark/>
          </w:tcPr>
          <w:p w14:paraId="2388BCB2" w14:textId="77777777" w:rsidR="00B75A29" w:rsidRPr="00B75A29" w:rsidRDefault="00DB5B20" w:rsidP="00B75A29">
            <w:pPr>
              <w:cnfStyle w:val="100000000000" w:firstRow="1" w:lastRow="0" w:firstColumn="0" w:lastColumn="0" w:oddVBand="0" w:evenVBand="0" w:oddHBand="0" w:evenHBand="0" w:firstRowFirstColumn="0" w:firstRowLastColumn="0" w:lastRowFirstColumn="0" w:lastRowLastColumn="0"/>
            </w:pPr>
            <w:r w:rsidRPr="00B75A29">
              <w:t>Monitoring Method</w:t>
            </w:r>
          </w:p>
        </w:tc>
        <w:tc>
          <w:tcPr>
            <w:tcW w:w="2377" w:type="pct"/>
            <w:hideMark/>
          </w:tcPr>
          <w:p w14:paraId="4FBBBCA0" w14:textId="77777777" w:rsidR="00B75A29" w:rsidRPr="00B75A29" w:rsidRDefault="00DB5B20" w:rsidP="00B75A29">
            <w:pPr>
              <w:cnfStyle w:val="100000000000" w:firstRow="1" w:lastRow="0" w:firstColumn="0" w:lastColumn="0" w:oddVBand="0" w:evenVBand="0" w:oddHBand="0" w:evenHBand="0" w:firstRowFirstColumn="0" w:firstRowLastColumn="0" w:lastRowFirstColumn="0" w:lastRowLastColumn="0"/>
            </w:pPr>
            <w:r w:rsidRPr="00B75A29">
              <w:t>Main Limitation</w:t>
            </w:r>
          </w:p>
        </w:tc>
      </w:tr>
      <w:tr w:rsidR="00EB6C3D" w14:paraId="4B24ABA4" w14:textId="77777777" w:rsidTr="00EB6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pct"/>
            <w:hideMark/>
          </w:tcPr>
          <w:p w14:paraId="65A44915" w14:textId="77777777" w:rsidR="00B75A29" w:rsidRPr="00B75A29" w:rsidRDefault="00DB5B20" w:rsidP="00B75A29">
            <w:r w:rsidRPr="00B75A29">
              <w:t>19th century</w:t>
            </w:r>
          </w:p>
        </w:tc>
        <w:tc>
          <w:tcPr>
            <w:tcW w:w="1659" w:type="pct"/>
            <w:hideMark/>
          </w:tcPr>
          <w:p w14:paraId="6A94A4FC" w14:textId="77777777" w:rsidR="00B75A29" w:rsidRPr="00B75A29" w:rsidRDefault="00DB5B20" w:rsidP="00B75A29">
            <w:pPr>
              <w:cnfStyle w:val="000000100000" w:firstRow="0" w:lastRow="0" w:firstColumn="0" w:lastColumn="0" w:oddVBand="0" w:evenVBand="0" w:oddHBand="1" w:evenHBand="0" w:firstRowFirstColumn="0" w:firstRowLastColumn="0" w:lastRowFirstColumn="0" w:lastRowLastColumn="0"/>
            </w:pPr>
            <w:r w:rsidRPr="00B75A29">
              <w:t>Urine sugar testing</w:t>
            </w:r>
          </w:p>
        </w:tc>
        <w:tc>
          <w:tcPr>
            <w:tcW w:w="2377" w:type="pct"/>
            <w:hideMark/>
          </w:tcPr>
          <w:p w14:paraId="638A4923" w14:textId="77777777" w:rsidR="00B75A29" w:rsidRPr="00B75A29" w:rsidRDefault="00DB5B20" w:rsidP="00B75A29">
            <w:pPr>
              <w:cnfStyle w:val="000000100000" w:firstRow="0" w:lastRow="0" w:firstColumn="0" w:lastColumn="0" w:oddVBand="0" w:evenVBand="0" w:oddHBand="1" w:evenHBand="0" w:firstRowFirstColumn="0" w:firstRowLastColumn="0" w:lastRowFirstColumn="0" w:lastRowLastColumn="0"/>
            </w:pPr>
            <w:r w:rsidRPr="00B75A29">
              <w:t>Late detection and poor accuracy</w:t>
            </w:r>
          </w:p>
        </w:tc>
      </w:tr>
      <w:tr w:rsidR="00EB6C3D" w14:paraId="5B7B3AFF" w14:textId="77777777" w:rsidTr="00EB6C3D">
        <w:tc>
          <w:tcPr>
            <w:cnfStyle w:val="001000000000" w:firstRow="0" w:lastRow="0" w:firstColumn="1" w:lastColumn="0" w:oddVBand="0" w:evenVBand="0" w:oddHBand="0" w:evenHBand="0" w:firstRowFirstColumn="0" w:firstRowLastColumn="0" w:lastRowFirstColumn="0" w:lastRowLastColumn="0"/>
            <w:tcW w:w="964" w:type="pct"/>
            <w:hideMark/>
          </w:tcPr>
          <w:p w14:paraId="58D989F1" w14:textId="77777777" w:rsidR="00B75A29" w:rsidRPr="00B75A29" w:rsidRDefault="00DB5B20" w:rsidP="00B75A29">
            <w:r w:rsidRPr="00B75A29">
              <w:t>1970s–1990s</w:t>
            </w:r>
          </w:p>
        </w:tc>
        <w:tc>
          <w:tcPr>
            <w:tcW w:w="1659" w:type="pct"/>
            <w:hideMark/>
          </w:tcPr>
          <w:p w14:paraId="2C8DDAD0" w14:textId="77777777" w:rsidR="00B75A29" w:rsidRPr="00B75A29" w:rsidRDefault="00DB5B20" w:rsidP="00B75A29">
            <w:pPr>
              <w:cnfStyle w:val="000000000000" w:firstRow="0" w:lastRow="0" w:firstColumn="0" w:lastColumn="0" w:oddVBand="0" w:evenVBand="0" w:oddHBand="0" w:evenHBand="0" w:firstRowFirstColumn="0" w:firstRowLastColumn="0" w:lastRowFirstColumn="0" w:lastRowLastColumn="0"/>
            </w:pPr>
            <w:r w:rsidRPr="00B75A29">
              <w:t>Finger-prick blood testing</w:t>
            </w:r>
          </w:p>
        </w:tc>
        <w:tc>
          <w:tcPr>
            <w:tcW w:w="2377" w:type="pct"/>
            <w:hideMark/>
          </w:tcPr>
          <w:p w14:paraId="5910257E" w14:textId="77777777" w:rsidR="00B75A29" w:rsidRPr="00B75A29" w:rsidRDefault="00DB5B20" w:rsidP="00B75A29">
            <w:pPr>
              <w:cnfStyle w:val="000000000000" w:firstRow="0" w:lastRow="0" w:firstColumn="0" w:lastColumn="0" w:oddVBand="0" w:evenVBand="0" w:oddHBand="0" w:evenHBand="0" w:firstRowFirstColumn="0" w:firstRowLastColumn="0" w:lastRowFirstColumn="0" w:lastRowLastColumn="0"/>
            </w:pPr>
            <w:r w:rsidRPr="00B75A29">
              <w:t>Painful, inconsistent, and limited data</w:t>
            </w:r>
          </w:p>
        </w:tc>
      </w:tr>
    </w:tbl>
    <w:p w14:paraId="21933BE1" w14:textId="77777777" w:rsidR="00B75A29" w:rsidRPr="00B75A29" w:rsidRDefault="00DB5B20" w:rsidP="00B75A29">
      <w:r w:rsidRPr="00B00AEA">
        <w:t xml:space="preserve">These </w:t>
      </w:r>
      <w:r>
        <w:t>early</w:t>
      </w:r>
      <w:r w:rsidRPr="00B00AEA">
        <w:t xml:space="preserve"> results showed the necessity of less invasive and continuous glucose monitoring methods</w:t>
      </w:r>
      <w:r w:rsidRPr="00B75A29">
        <w:t>.</w:t>
      </w:r>
    </w:p>
    <w:p w14:paraId="286CE827" w14:textId="77777777" w:rsidR="00B75A29" w:rsidRPr="00B75A29" w:rsidRDefault="00DB5B20" w:rsidP="001936FD">
      <w:pPr>
        <w:pStyle w:val="Heading3"/>
      </w:pPr>
      <w:bookmarkStart w:id="22" w:name="_Toc225702893"/>
      <w:r w:rsidRPr="00B75A29">
        <w:t>2.2.2 Emergence of Digital and Continuous Monitoring</w:t>
      </w:r>
      <w:bookmarkEnd w:id="22"/>
    </w:p>
    <w:p w14:paraId="7512E998" w14:textId="77777777" w:rsidR="00B75A29" w:rsidRPr="00B75A29" w:rsidRDefault="00DB5B20" w:rsidP="001936FD">
      <w:r w:rsidRPr="00484AC6">
        <w:t xml:space="preserve">According to Bender, Vestergaard and Cichosz (2025), Continuous Glucose Monitoring (CGM) systems were discovered in the 1990s. They described how researchers came up with the prototypes that used subcutaneous sensors to determine glucose at any time. Lau (2015) reported that the development of more accurate micro-sensors and wireless transfer of data </w:t>
      </w:r>
      <w:r w:rsidRPr="00484AC6">
        <w:lastRenderedPageBreak/>
        <w:t>in the future made CGMs more effective and easier to wear at home. Zakir et al. also added that other contemporary devices</w:t>
      </w:r>
      <w:r>
        <w:t>,</w:t>
      </w:r>
      <w:r w:rsidRPr="00484AC6">
        <w:t xml:space="preserve"> such as Abbott FreeStyle Libre and Dexcom G7</w:t>
      </w:r>
      <w:r>
        <w:t>,</w:t>
      </w:r>
      <w:r w:rsidRPr="00484AC6">
        <w:t xml:space="preserve"> were real-time accurate (2023). Libre required the users to scan the readings, and Dexcom performed it automatically. These systems replaced manual testing with dynamic and continuous monitoring</w:t>
      </w:r>
      <w:r>
        <w:t>,</w:t>
      </w:r>
      <w:r w:rsidRPr="00484AC6">
        <w:t xml:space="preserve"> which assisted in the detection of abnormal glucose levels at an earlier stage.</w:t>
      </w:r>
    </w:p>
    <w:p w14:paraId="71986CB8" w14:textId="77777777" w:rsidR="00B75A29" w:rsidRPr="00B75A29" w:rsidRDefault="00DB5B20" w:rsidP="001936FD">
      <w:pPr>
        <w:pStyle w:val="Heading3"/>
      </w:pPr>
      <w:bookmarkStart w:id="23" w:name="_Toc225702894"/>
      <w:r w:rsidRPr="00B75A29">
        <w:t>2.2.3 Transition to Patient-Centred and Digital Health Models</w:t>
      </w:r>
      <w:bookmarkEnd w:id="23"/>
    </w:p>
    <w:p w14:paraId="7F8FBC76" w14:textId="77777777" w:rsidR="001936FD" w:rsidRDefault="00DB5B20" w:rsidP="001936FD">
      <w:r>
        <w:t xml:space="preserve">Boland et al. (2001) noted that patient independence and behavioural change were promoted by the transition to CGM. They discovered that children affected with type 1 diabetes </w:t>
      </w:r>
      <w:r w:rsidR="00C9301E">
        <w:t>became</w:t>
      </w:r>
      <w:r>
        <w:t xml:space="preserve"> more sensitive to their glucose trends and reacted promptly to variations. Lau (2015) postulated that CGMs were easily integrated into broader digital health platforms, enabling healthcare providers to access data remotely.</w:t>
      </w:r>
    </w:p>
    <w:p w14:paraId="483DF12E" w14:textId="77777777" w:rsidR="00B75A29" w:rsidRPr="00B75A29" w:rsidRDefault="00DB5B20" w:rsidP="001936FD">
      <w:r>
        <w:t>According to Bender, Vestergaard and Cichosz (2025), the digitalisation of diabetes care was a big step in transforming late detection to proactive prevention. They contended that wearable sensors allowed patients to be in charge of their health</w:t>
      </w:r>
      <w:r w:rsidR="00C9301E">
        <w:t>,</w:t>
      </w:r>
      <w:r>
        <w:t xml:space="preserve"> as well as relieving the clinical workload.</w:t>
      </w:r>
    </w:p>
    <w:p w14:paraId="0B5A445C" w14:textId="77777777" w:rsidR="006371C0" w:rsidRPr="006371C0" w:rsidRDefault="00DB5B20" w:rsidP="006371C0">
      <w:pPr>
        <w:pStyle w:val="Heading2"/>
      </w:pPr>
      <w:bookmarkStart w:id="24" w:name="_Toc225702895"/>
      <w:r>
        <w:t>2.3 Theoretical Background</w:t>
      </w:r>
      <w:bookmarkEnd w:id="24"/>
    </w:p>
    <w:p w14:paraId="20FD3E50" w14:textId="77777777" w:rsidR="006371C0" w:rsidRDefault="00DB5B20" w:rsidP="00F8745F">
      <w:pPr>
        <w:keepNext/>
        <w:widowControl/>
        <w:autoSpaceDE/>
        <w:autoSpaceDN/>
        <w:spacing w:before="100" w:beforeAutospacing="1"/>
        <w:jc w:val="center"/>
      </w:pPr>
      <w:r w:rsidRPr="006371C0">
        <w:rPr>
          <w:rFonts w:ascii="Times New Roman" w:eastAsia="Times New Roman" w:hAnsi="Times New Roman" w:cs="Times New Roman"/>
          <w:noProof/>
          <w:sz w:val="24"/>
          <w:szCs w:val="24"/>
          <w:lang w:bidi="ar-SA"/>
        </w:rPr>
        <w:drawing>
          <wp:inline distT="0" distB="0" distL="0" distR="0" wp14:anchorId="48B79258" wp14:editId="11661ADF">
            <wp:extent cx="4658767" cy="2895600"/>
            <wp:effectExtent l="0" t="0" r="8890" b="0"/>
            <wp:docPr id="1924818119" name="Picture 2" descr="A diagram of a health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18119" name="Picture 2" descr="A diagram of a health model&#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61840" cy="2897510"/>
                    </a:xfrm>
                    <a:prstGeom prst="rect">
                      <a:avLst/>
                    </a:prstGeom>
                    <a:noFill/>
                    <a:ln>
                      <a:noFill/>
                    </a:ln>
                    <a:extLst>
                      <a:ext uri="{53640926-AAD7-44D8-BBD7-CCE9431645EC}">
                        <a14:shadowObscured xmlns:a14="http://schemas.microsoft.com/office/drawing/2010/main"/>
                      </a:ext>
                    </a:extLst>
                  </pic:spPr>
                </pic:pic>
              </a:graphicData>
            </a:graphic>
          </wp:inline>
        </w:drawing>
      </w:r>
    </w:p>
    <w:p w14:paraId="2E4C4214" w14:textId="77777777" w:rsidR="006371C0" w:rsidRPr="00F8745F" w:rsidRDefault="00DB5B20" w:rsidP="00F8745F">
      <w:pPr>
        <w:pStyle w:val="Caption"/>
        <w:spacing w:after="0" w:line="360" w:lineRule="auto"/>
        <w:jc w:val="center"/>
        <w:rPr>
          <w:b/>
          <w:bCs/>
          <w:i w:val="0"/>
          <w:iCs w:val="0"/>
          <w:color w:val="auto"/>
          <w:sz w:val="20"/>
          <w:szCs w:val="20"/>
        </w:rPr>
      </w:pPr>
      <w:bookmarkStart w:id="25" w:name="_Toc225700955"/>
      <w:bookmarkStart w:id="26" w:name="_Toc225702944"/>
      <w:r w:rsidRPr="00F8745F">
        <w:rPr>
          <w:b/>
          <w:bCs/>
          <w:i w:val="0"/>
          <w:iCs w:val="0"/>
          <w:color w:val="auto"/>
          <w:sz w:val="20"/>
          <w:szCs w:val="20"/>
        </w:rPr>
        <w:t xml:space="preserve">Figure </w:t>
      </w:r>
      <w:r w:rsidRPr="00F8745F">
        <w:rPr>
          <w:b/>
          <w:bCs/>
          <w:i w:val="0"/>
          <w:iCs w:val="0"/>
          <w:color w:val="auto"/>
          <w:sz w:val="20"/>
          <w:szCs w:val="20"/>
        </w:rPr>
        <w:fldChar w:fldCharType="begin"/>
      </w:r>
      <w:r w:rsidRPr="00F8745F">
        <w:rPr>
          <w:b/>
          <w:bCs/>
          <w:i w:val="0"/>
          <w:iCs w:val="0"/>
          <w:color w:val="auto"/>
          <w:sz w:val="20"/>
          <w:szCs w:val="20"/>
        </w:rPr>
        <w:instrText xml:space="preserve"> SEQ Figure \* ARABIC </w:instrText>
      </w:r>
      <w:r w:rsidRPr="00F8745F">
        <w:rPr>
          <w:b/>
          <w:bCs/>
          <w:i w:val="0"/>
          <w:iCs w:val="0"/>
          <w:color w:val="auto"/>
          <w:sz w:val="20"/>
          <w:szCs w:val="20"/>
        </w:rPr>
        <w:fldChar w:fldCharType="separate"/>
      </w:r>
      <w:r w:rsidRPr="00F8745F">
        <w:rPr>
          <w:b/>
          <w:bCs/>
          <w:i w:val="0"/>
          <w:iCs w:val="0"/>
          <w:noProof/>
          <w:color w:val="auto"/>
          <w:sz w:val="20"/>
          <w:szCs w:val="20"/>
        </w:rPr>
        <w:t>1</w:t>
      </w:r>
      <w:r w:rsidRPr="00F8745F">
        <w:rPr>
          <w:b/>
          <w:bCs/>
          <w:i w:val="0"/>
          <w:iCs w:val="0"/>
          <w:color w:val="auto"/>
          <w:sz w:val="20"/>
          <w:szCs w:val="20"/>
        </w:rPr>
        <w:fldChar w:fldCharType="end"/>
      </w:r>
      <w:r w:rsidRPr="00F8745F">
        <w:rPr>
          <w:b/>
          <w:bCs/>
          <w:i w:val="0"/>
          <w:iCs w:val="0"/>
          <w:color w:val="auto"/>
          <w:sz w:val="20"/>
          <w:szCs w:val="20"/>
        </w:rPr>
        <w:t xml:space="preserve"> Theoretical Framework</w:t>
      </w:r>
      <w:bookmarkEnd w:id="25"/>
      <w:bookmarkEnd w:id="26"/>
    </w:p>
    <w:p w14:paraId="3E8FC9E4" w14:textId="77777777" w:rsidR="001936FD" w:rsidRDefault="00DB5B20" w:rsidP="001936FD">
      <w:pPr>
        <w:pStyle w:val="Heading3"/>
      </w:pPr>
      <w:bookmarkStart w:id="27" w:name="_Toc225702896"/>
      <w:r>
        <w:t>2.3.1 Health Belief Model (HBM)</w:t>
      </w:r>
      <w:bookmarkEnd w:id="27"/>
    </w:p>
    <w:p w14:paraId="2D40F464" w14:textId="77777777" w:rsidR="001936FD" w:rsidRDefault="00DB5B20" w:rsidP="001936FD">
      <w:r>
        <w:t xml:space="preserve">According to Alyafei and Carr (2024), the Health Belief Model incorporates perceived risk, severity, benefit and barriers. According to Boskey (2024), patients tend to take action when they are under threat of high risks of </w:t>
      </w:r>
      <w:r w:rsidR="00C9301E">
        <w:t>complications</w:t>
      </w:r>
      <w:r>
        <w:t>. These attitudes have a direct impact on the way individuals react to medical recommendations and embrace the new technologies.</w:t>
      </w:r>
    </w:p>
    <w:p w14:paraId="2FEC5B86" w14:textId="77777777" w:rsidR="001936FD" w:rsidRDefault="00DB5B20" w:rsidP="001936FD">
      <w:r>
        <w:t xml:space="preserve">Ahmad and Joshi (2023) discovered that the benefits associated with CGM (real-time alert, </w:t>
      </w:r>
      <w:r>
        <w:lastRenderedPageBreak/>
        <w:t xml:space="preserve">reduced hospital visits, etc.) were more </w:t>
      </w:r>
      <w:r w:rsidR="00C9301E">
        <w:t>motivating</w:t>
      </w:r>
      <w:r>
        <w:t xml:space="preserve"> among users. Nevertheless, they observed that the cost of devices, discomfort of sensor wearing, or data overload posed a great psychological barrier. Patients need to balance between the perceived risk and the challenge of learning and available CGMs.</w:t>
      </w:r>
    </w:p>
    <w:p w14:paraId="197FEA31" w14:textId="77777777" w:rsidR="001936FD" w:rsidRDefault="00DB5B20" w:rsidP="001936FD">
      <w:pPr>
        <w:pStyle w:val="Heading3"/>
      </w:pPr>
      <w:bookmarkStart w:id="28" w:name="_Toc225702897"/>
      <w:r>
        <w:t>2.3.2 Self-Management Theory</w:t>
      </w:r>
      <w:bookmarkEnd w:id="28"/>
    </w:p>
    <w:p w14:paraId="5B480A5A" w14:textId="77777777" w:rsidR="001936FD" w:rsidRDefault="00DB5B20" w:rsidP="001936FD">
      <w:r>
        <w:t xml:space="preserve">According to Ryan and Sawin (2009), self-management was a process that entailed activities and tasks carried out in everyday life, goal setting and response to feedback. This theory </w:t>
      </w:r>
      <w:proofErr w:type="gramStart"/>
      <w:r>
        <w:t>associates</w:t>
      </w:r>
      <w:proofErr w:type="gramEnd"/>
      <w:r>
        <w:t xml:space="preserve"> health knowledge with confidence and independence in the management of long-term illnesses.</w:t>
      </w:r>
    </w:p>
    <w:p w14:paraId="75C21381" w14:textId="77777777" w:rsidR="001936FD" w:rsidRDefault="00DB5B20" w:rsidP="001936FD">
      <w:r>
        <w:t xml:space="preserve">According to </w:t>
      </w:r>
      <w:proofErr w:type="spellStart"/>
      <w:r>
        <w:t>Puzhakkal</w:t>
      </w:r>
      <w:proofErr w:type="spellEnd"/>
      <w:r>
        <w:t xml:space="preserve"> et al. (2025), CGMs contribute to this theory through providing the user with real-time data on glucose levels and digital feedback loops. They pointed to the fact that this system develops robust behaviour patterns, particularly in combination with digital health coaching.</w:t>
      </w:r>
    </w:p>
    <w:p w14:paraId="317342E3" w14:textId="77777777" w:rsidR="001936FD" w:rsidRDefault="00DB5B20" w:rsidP="001936FD">
      <w:r>
        <w:t xml:space="preserve">Lopez et al. (2023) cautioned that digital literacy is one of the major impediments. They discovered that less educated patients or </w:t>
      </w:r>
      <w:r w:rsidR="00C9301E">
        <w:t xml:space="preserve">the </w:t>
      </w:r>
      <w:r>
        <w:t>elderly are likely to find it difficult to operate devices. This minimises interaction and reliance on the caregivers or clinics.</w:t>
      </w:r>
    </w:p>
    <w:p w14:paraId="2DD9BE3B" w14:textId="77777777" w:rsidR="001936FD" w:rsidRDefault="00DB5B20" w:rsidP="001936FD">
      <w:pPr>
        <w:pStyle w:val="Heading3"/>
      </w:pPr>
      <w:bookmarkStart w:id="29" w:name="_Toc225702898"/>
      <w:r>
        <w:t>2.3.3 Technological Acceptance Model (TAM)</w:t>
      </w:r>
      <w:bookmarkEnd w:id="29"/>
    </w:p>
    <w:p w14:paraId="1563A704" w14:textId="77777777" w:rsidR="001936FD" w:rsidRDefault="00DB5B20" w:rsidP="001936FD">
      <w:r>
        <w:t xml:space="preserve">Rahimi et al. (2018) provided </w:t>
      </w:r>
      <w:r w:rsidR="00C9301E">
        <w:t>a</w:t>
      </w:r>
      <w:r>
        <w:t xml:space="preserve"> review of the use of the Technology Acceptance Model in explaining behaviour in relation to health technologies. They found perceived usefulness and ease of use as central technology adoption drivers.</w:t>
      </w:r>
    </w:p>
    <w:p w14:paraId="2B0B062B" w14:textId="77777777" w:rsidR="001936FD" w:rsidRDefault="00DB5B20" w:rsidP="001936FD">
      <w:r>
        <w:t>The authors (Ahmad et al., 2020) used TAM in the context of CGM in the older population. They found that perceived accuracy, ease, and clean data display enhanced trust and persistence.</w:t>
      </w:r>
    </w:p>
    <w:p w14:paraId="60F85E8F" w14:textId="77777777" w:rsidR="001936FD" w:rsidRDefault="00DB5B20" w:rsidP="001936FD">
      <w:r>
        <w:t xml:space="preserve">Hossain et al. (2021) demonstrated that patients favoured CGM systems with </w:t>
      </w:r>
      <w:r w:rsidR="00C9301E">
        <w:t xml:space="preserve">a </w:t>
      </w:r>
      <w:r>
        <w:t xml:space="preserve">limited number of steps and automated </w:t>
      </w:r>
      <w:r w:rsidR="00C9301E">
        <w:t>connection</w:t>
      </w:r>
      <w:r>
        <w:t xml:space="preserve"> with apps. They discovered that ease of use had a direct impact on long-term engagement, particularly in Internet of Things health systems.</w:t>
      </w:r>
    </w:p>
    <w:p w14:paraId="335083F8" w14:textId="77777777" w:rsidR="001936FD" w:rsidRDefault="00DB5B20" w:rsidP="001936FD">
      <w:pPr>
        <w:pStyle w:val="Heading3"/>
      </w:pPr>
      <w:bookmarkStart w:id="30" w:name="_Toc225702899"/>
      <w:r>
        <w:t>2.3.4 Integration of Theories</w:t>
      </w:r>
      <w:bookmarkEnd w:id="30"/>
    </w:p>
    <w:p w14:paraId="32E389C6" w14:textId="77777777" w:rsidR="001936FD" w:rsidRDefault="00DB5B20" w:rsidP="001936FD">
      <w:r>
        <w:t>Frank et al. emphasised that CGM systems are best utilised by combining the three theories (2024). They argued that the beliefs of the patients and self-management confidence, as well as the ease of technology, must match to succeed.</w:t>
      </w:r>
    </w:p>
    <w:p w14:paraId="5E29521C" w14:textId="77777777" w:rsidR="001936FD" w:rsidRDefault="00DB5B20" w:rsidP="001936FD">
      <w:r>
        <w:t>Tian et al. (2023) included that designs, education, and policy integration are hindered by poor design, education, and policy, which undermines adoption and real-world impact.</w:t>
      </w:r>
    </w:p>
    <w:p w14:paraId="723FEC90" w14:textId="77777777" w:rsidR="004E643B" w:rsidRPr="004E643B" w:rsidRDefault="00DB5B20" w:rsidP="001936FD">
      <w:r>
        <w:t xml:space="preserve">These models aid in developing a robust foundation </w:t>
      </w:r>
      <w:r w:rsidR="00C9301E">
        <w:t>for</w:t>
      </w:r>
      <w:r>
        <w:t xml:space="preserve"> the analysis of CGM use in the UK in the context of home-based diabetes care.</w:t>
      </w:r>
    </w:p>
    <w:p w14:paraId="19633BD6" w14:textId="77777777" w:rsidR="00DF6CF5" w:rsidRPr="00DF6CF5" w:rsidRDefault="00DB5B20" w:rsidP="001936FD">
      <w:pPr>
        <w:pStyle w:val="Heading2"/>
      </w:pPr>
      <w:bookmarkStart w:id="31" w:name="_Toc225702900"/>
      <w:r w:rsidRPr="00DF6CF5">
        <w:t>2.4 International Context</w:t>
      </w:r>
      <w:bookmarkEnd w:id="31"/>
    </w:p>
    <w:p w14:paraId="0EFB4D66" w14:textId="77777777" w:rsidR="00DF6CF5" w:rsidRPr="00DF6CF5" w:rsidRDefault="00DB5B20" w:rsidP="001936FD">
      <w:pPr>
        <w:pStyle w:val="Heading3"/>
      </w:pPr>
      <w:bookmarkStart w:id="32" w:name="_Toc225702901"/>
      <w:r w:rsidRPr="00DF6CF5">
        <w:lastRenderedPageBreak/>
        <w:t>2.4.1 Global Adoption and Accessibility</w:t>
      </w:r>
      <w:bookmarkEnd w:id="32"/>
    </w:p>
    <w:p w14:paraId="59D4EE90" w14:textId="77777777" w:rsidR="00DF6CF5" w:rsidRPr="00DF6CF5" w:rsidRDefault="00DB5B20" w:rsidP="001936FD">
      <w:pPr>
        <w:mirrorIndents/>
        <w:rPr>
          <w:rFonts w:eastAsia="Arial Unicode MS" w:cs="Arial"/>
          <w:bCs/>
        </w:rPr>
      </w:pPr>
      <w:r w:rsidRPr="00484AC6">
        <w:rPr>
          <w:rFonts w:eastAsia="Arial Unicode MS" w:cs="Arial"/>
          <w:bCs/>
        </w:rPr>
        <w:t>According to Grand View Research (2025), the Continuous Glucose Monitoring (CGM) market around the world will reach USD 20 billion by 2028. The US, Germany and Japan are the most likely to adopt</w:t>
      </w:r>
      <w:r>
        <w:rPr>
          <w:rFonts w:eastAsia="Arial Unicode MS" w:cs="Arial"/>
          <w:bCs/>
        </w:rPr>
        <w:t>,</w:t>
      </w:r>
      <w:r w:rsidRPr="00484AC6">
        <w:rPr>
          <w:rFonts w:eastAsia="Arial Unicode MS" w:cs="Arial"/>
          <w:bCs/>
        </w:rPr>
        <w:t xml:space="preserve"> with more than </w:t>
      </w:r>
      <w:r>
        <w:rPr>
          <w:rFonts w:eastAsia="Arial Unicode MS" w:cs="Arial"/>
          <w:bCs/>
        </w:rPr>
        <w:t>60%</w:t>
      </w:r>
      <w:r w:rsidRPr="00484AC6">
        <w:rPr>
          <w:rFonts w:eastAsia="Arial Unicode MS" w:cs="Arial"/>
          <w:bCs/>
        </w:rPr>
        <w:t xml:space="preserve"> of insulin-dependent patients in the US using CGMs. According to </w:t>
      </w:r>
      <w:proofErr w:type="spellStart"/>
      <w:r w:rsidRPr="00484AC6">
        <w:rPr>
          <w:rFonts w:eastAsia="Arial Unicode MS" w:cs="Arial"/>
          <w:bCs/>
        </w:rPr>
        <w:t>Rodbard</w:t>
      </w:r>
      <w:proofErr w:type="spellEnd"/>
      <w:r w:rsidRPr="00484AC6">
        <w:rPr>
          <w:rFonts w:eastAsia="Arial Unicode MS" w:cs="Arial"/>
          <w:bCs/>
        </w:rPr>
        <w:t xml:space="preserve"> (2016), such growth indicates improved sensor precision, comfort to the user, and payment by the insurance. As indicated by Bartelme and Bridger (2009), insurance cover is still one of the dominant factors determining CGM usage in the world. In the US, the insurance plans such as Medicare and Medicaid increased eligibility beyond 2021, which led to demand. Conversely, the national health fund in Germany has universal access to CGM, whereas Japan continues to cover only the type 1-selected cases. Beran et al. (2021) emphasised that the affordability of low-income countries has impeded access to insulin and CGM technologies</w:t>
      </w:r>
      <w:r w:rsidR="001936FD" w:rsidRPr="001936FD">
        <w:rPr>
          <w:rFonts w:eastAsia="Arial Unicode MS" w:cs="Arial"/>
          <w:bCs/>
        </w:rPr>
        <w:t>.</w:t>
      </w:r>
    </w:p>
    <w:p w14:paraId="66EE6137" w14:textId="500CAB4B" w:rsidR="00DD27BE" w:rsidRPr="00C779A5" w:rsidRDefault="00DD27BE" w:rsidP="00C779A5">
      <w:pPr>
        <w:pStyle w:val="Caption"/>
        <w:keepNext/>
        <w:spacing w:after="0" w:line="360" w:lineRule="auto"/>
        <w:jc w:val="center"/>
        <w:rPr>
          <w:b/>
          <w:bCs/>
          <w:i w:val="0"/>
          <w:iCs w:val="0"/>
          <w:color w:val="auto"/>
          <w:sz w:val="20"/>
          <w:szCs w:val="20"/>
        </w:rPr>
      </w:pPr>
      <w:bookmarkStart w:id="33" w:name="_Toc225700972"/>
      <w:bookmarkStart w:id="34" w:name="_Toc225702936"/>
      <w:r w:rsidRPr="00C779A5">
        <w:rPr>
          <w:b/>
          <w:bCs/>
          <w:i w:val="0"/>
          <w:iCs w:val="0"/>
          <w:color w:val="auto"/>
          <w:sz w:val="20"/>
          <w:szCs w:val="20"/>
        </w:rPr>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3</w:t>
      </w:r>
      <w:r w:rsidRPr="00C779A5">
        <w:rPr>
          <w:b/>
          <w:bCs/>
          <w:i w:val="0"/>
          <w:iCs w:val="0"/>
          <w:color w:val="auto"/>
          <w:sz w:val="20"/>
          <w:szCs w:val="20"/>
        </w:rPr>
        <w:fldChar w:fldCharType="end"/>
      </w:r>
      <w:r w:rsidRPr="00C779A5">
        <w:rPr>
          <w:b/>
          <w:bCs/>
          <w:i w:val="0"/>
          <w:iCs w:val="0"/>
          <w:color w:val="auto"/>
          <w:sz w:val="20"/>
          <w:szCs w:val="20"/>
        </w:rPr>
        <w:t xml:space="preserve"> Global CGM Coverage and Adoption Rates by Country</w:t>
      </w:r>
      <w:bookmarkEnd w:id="33"/>
      <w:bookmarkEnd w:id="34"/>
    </w:p>
    <w:tbl>
      <w:tblPr>
        <w:tblStyle w:val="TableGridLight"/>
        <w:tblW w:w="5000" w:type="pct"/>
        <w:tblLook w:val="04A0" w:firstRow="1" w:lastRow="0" w:firstColumn="1" w:lastColumn="0" w:noHBand="0" w:noVBand="1"/>
      </w:tblPr>
      <w:tblGrid>
        <w:gridCol w:w="2021"/>
        <w:gridCol w:w="3679"/>
        <w:gridCol w:w="3316"/>
      </w:tblGrid>
      <w:tr w:rsidR="00EB6C3D" w14:paraId="728C3D69" w14:textId="77777777" w:rsidTr="001936FD">
        <w:tc>
          <w:tcPr>
            <w:tcW w:w="1121" w:type="pct"/>
            <w:hideMark/>
          </w:tcPr>
          <w:p w14:paraId="58D0E01B" w14:textId="77777777" w:rsidR="00DF6CF5" w:rsidRPr="00DF6CF5" w:rsidRDefault="00DB5B20" w:rsidP="00DF6CF5">
            <w:pPr>
              <w:mirrorIndents/>
              <w:rPr>
                <w:rFonts w:eastAsia="Arial Unicode MS" w:cs="Arial"/>
                <w:b/>
                <w:bCs/>
              </w:rPr>
            </w:pPr>
            <w:r w:rsidRPr="00DF6CF5">
              <w:rPr>
                <w:rFonts w:eastAsia="Arial Unicode MS" w:cs="Arial"/>
                <w:b/>
                <w:bCs/>
              </w:rPr>
              <w:t>Country</w:t>
            </w:r>
          </w:p>
        </w:tc>
        <w:tc>
          <w:tcPr>
            <w:tcW w:w="2040" w:type="pct"/>
            <w:hideMark/>
          </w:tcPr>
          <w:p w14:paraId="603244D2" w14:textId="77777777" w:rsidR="00DF6CF5" w:rsidRPr="00DF6CF5" w:rsidRDefault="00DB5B20" w:rsidP="00DF6CF5">
            <w:pPr>
              <w:mirrorIndents/>
              <w:rPr>
                <w:rFonts w:eastAsia="Arial Unicode MS" w:cs="Arial"/>
                <w:b/>
                <w:bCs/>
              </w:rPr>
            </w:pPr>
            <w:r w:rsidRPr="00DF6CF5">
              <w:rPr>
                <w:rFonts w:eastAsia="Arial Unicode MS" w:cs="Arial"/>
                <w:b/>
                <w:bCs/>
              </w:rPr>
              <w:t>CGM Coverage</w:t>
            </w:r>
          </w:p>
        </w:tc>
        <w:tc>
          <w:tcPr>
            <w:tcW w:w="1839" w:type="pct"/>
            <w:hideMark/>
          </w:tcPr>
          <w:p w14:paraId="03872467" w14:textId="77777777" w:rsidR="00DF6CF5" w:rsidRPr="00DF6CF5" w:rsidRDefault="00DB5B20" w:rsidP="00DF6CF5">
            <w:pPr>
              <w:mirrorIndents/>
              <w:rPr>
                <w:rFonts w:eastAsia="Arial Unicode MS" w:cs="Arial"/>
                <w:b/>
                <w:bCs/>
              </w:rPr>
            </w:pPr>
            <w:r w:rsidRPr="00DF6CF5">
              <w:rPr>
                <w:rFonts w:eastAsia="Arial Unicode MS" w:cs="Arial"/>
                <w:b/>
                <w:bCs/>
              </w:rPr>
              <w:t>Adoption Rate</w:t>
            </w:r>
          </w:p>
        </w:tc>
      </w:tr>
      <w:tr w:rsidR="00EB6C3D" w14:paraId="04F2DDA7" w14:textId="77777777" w:rsidTr="001936FD">
        <w:tc>
          <w:tcPr>
            <w:tcW w:w="1121" w:type="pct"/>
            <w:hideMark/>
          </w:tcPr>
          <w:p w14:paraId="091CD59E" w14:textId="77777777" w:rsidR="00DF6CF5" w:rsidRPr="00DF6CF5" w:rsidRDefault="00DB5B20" w:rsidP="00DF6CF5">
            <w:pPr>
              <w:mirrorIndents/>
              <w:rPr>
                <w:rFonts w:eastAsia="Arial Unicode MS" w:cs="Arial"/>
                <w:bCs/>
              </w:rPr>
            </w:pPr>
            <w:r w:rsidRPr="00DF6CF5">
              <w:rPr>
                <w:rFonts w:eastAsia="Arial Unicode MS" w:cs="Arial"/>
                <w:bCs/>
              </w:rPr>
              <w:t>United States</w:t>
            </w:r>
          </w:p>
        </w:tc>
        <w:tc>
          <w:tcPr>
            <w:tcW w:w="2040" w:type="pct"/>
            <w:hideMark/>
          </w:tcPr>
          <w:p w14:paraId="323BB43D" w14:textId="77777777" w:rsidR="00DF6CF5" w:rsidRPr="00DF6CF5" w:rsidRDefault="00DB5B20" w:rsidP="00DF6CF5">
            <w:pPr>
              <w:mirrorIndents/>
              <w:rPr>
                <w:rFonts w:eastAsia="Arial Unicode MS" w:cs="Arial"/>
                <w:bCs/>
              </w:rPr>
            </w:pPr>
            <w:r w:rsidRPr="00DF6CF5">
              <w:rPr>
                <w:rFonts w:eastAsia="Arial Unicode MS" w:cs="Arial"/>
                <w:bCs/>
              </w:rPr>
              <w:t>Medicare/Medicaid funded</w:t>
            </w:r>
          </w:p>
        </w:tc>
        <w:tc>
          <w:tcPr>
            <w:tcW w:w="1839" w:type="pct"/>
            <w:hideMark/>
          </w:tcPr>
          <w:p w14:paraId="377E5796" w14:textId="77777777" w:rsidR="00DF6CF5" w:rsidRPr="00DF6CF5" w:rsidRDefault="00DB5B20" w:rsidP="00DF6CF5">
            <w:pPr>
              <w:mirrorIndents/>
              <w:rPr>
                <w:rFonts w:eastAsia="Arial Unicode MS" w:cs="Arial"/>
                <w:bCs/>
              </w:rPr>
            </w:pPr>
            <w:r w:rsidRPr="00DF6CF5">
              <w:rPr>
                <w:rFonts w:eastAsia="Arial Unicode MS" w:cs="Arial"/>
                <w:bCs/>
              </w:rPr>
              <w:t>~60% of insulin users</w:t>
            </w:r>
          </w:p>
        </w:tc>
      </w:tr>
      <w:tr w:rsidR="00EB6C3D" w14:paraId="59D13AE1" w14:textId="77777777" w:rsidTr="001936FD">
        <w:tc>
          <w:tcPr>
            <w:tcW w:w="1121" w:type="pct"/>
            <w:hideMark/>
          </w:tcPr>
          <w:p w14:paraId="742E0012" w14:textId="77777777" w:rsidR="00DF6CF5" w:rsidRPr="00DF6CF5" w:rsidRDefault="00DB5B20" w:rsidP="00DF6CF5">
            <w:pPr>
              <w:mirrorIndents/>
              <w:rPr>
                <w:rFonts w:eastAsia="Arial Unicode MS" w:cs="Arial"/>
                <w:bCs/>
              </w:rPr>
            </w:pPr>
            <w:r w:rsidRPr="00DF6CF5">
              <w:rPr>
                <w:rFonts w:eastAsia="Arial Unicode MS" w:cs="Arial"/>
                <w:bCs/>
              </w:rPr>
              <w:t>Germany</w:t>
            </w:r>
          </w:p>
        </w:tc>
        <w:tc>
          <w:tcPr>
            <w:tcW w:w="2040" w:type="pct"/>
            <w:hideMark/>
          </w:tcPr>
          <w:p w14:paraId="23C5996B" w14:textId="77777777" w:rsidR="00DF6CF5" w:rsidRPr="00DF6CF5" w:rsidRDefault="00DB5B20" w:rsidP="00DF6CF5">
            <w:pPr>
              <w:mirrorIndents/>
              <w:rPr>
                <w:rFonts w:eastAsia="Arial Unicode MS" w:cs="Arial"/>
                <w:bCs/>
              </w:rPr>
            </w:pPr>
            <w:r w:rsidRPr="00DF6CF5">
              <w:rPr>
                <w:rFonts w:eastAsia="Arial Unicode MS" w:cs="Arial"/>
                <w:bCs/>
              </w:rPr>
              <w:t>National insurance</w:t>
            </w:r>
          </w:p>
        </w:tc>
        <w:tc>
          <w:tcPr>
            <w:tcW w:w="1839" w:type="pct"/>
            <w:hideMark/>
          </w:tcPr>
          <w:p w14:paraId="6E9B607B" w14:textId="77777777" w:rsidR="00DF6CF5" w:rsidRPr="00DF6CF5" w:rsidRDefault="00DB5B20" w:rsidP="00DF6CF5">
            <w:pPr>
              <w:mirrorIndents/>
              <w:rPr>
                <w:rFonts w:eastAsia="Arial Unicode MS" w:cs="Arial"/>
                <w:bCs/>
              </w:rPr>
            </w:pPr>
            <w:r w:rsidRPr="00DF6CF5">
              <w:rPr>
                <w:rFonts w:eastAsia="Arial Unicode MS" w:cs="Arial"/>
                <w:bCs/>
              </w:rPr>
              <w:t>~55% of type 1 patients</w:t>
            </w:r>
          </w:p>
        </w:tc>
      </w:tr>
      <w:tr w:rsidR="00EB6C3D" w14:paraId="57126B80" w14:textId="77777777" w:rsidTr="001936FD">
        <w:tc>
          <w:tcPr>
            <w:tcW w:w="1121" w:type="pct"/>
            <w:hideMark/>
          </w:tcPr>
          <w:p w14:paraId="4ACCAEAB" w14:textId="77777777" w:rsidR="00DF6CF5" w:rsidRPr="00DF6CF5" w:rsidRDefault="00DB5B20" w:rsidP="00DF6CF5">
            <w:pPr>
              <w:mirrorIndents/>
              <w:rPr>
                <w:rFonts w:eastAsia="Arial Unicode MS" w:cs="Arial"/>
                <w:bCs/>
              </w:rPr>
            </w:pPr>
            <w:r w:rsidRPr="00DF6CF5">
              <w:rPr>
                <w:rFonts w:eastAsia="Arial Unicode MS" w:cs="Arial"/>
                <w:bCs/>
              </w:rPr>
              <w:t>Japan</w:t>
            </w:r>
          </w:p>
        </w:tc>
        <w:tc>
          <w:tcPr>
            <w:tcW w:w="2040" w:type="pct"/>
            <w:hideMark/>
          </w:tcPr>
          <w:p w14:paraId="2955A34D" w14:textId="77777777" w:rsidR="00DF6CF5" w:rsidRPr="00DF6CF5" w:rsidRDefault="00DB5B20" w:rsidP="00DF6CF5">
            <w:pPr>
              <w:mirrorIndents/>
              <w:rPr>
                <w:rFonts w:eastAsia="Arial Unicode MS" w:cs="Arial"/>
                <w:bCs/>
              </w:rPr>
            </w:pPr>
            <w:r w:rsidRPr="00DF6CF5">
              <w:rPr>
                <w:rFonts w:eastAsia="Arial Unicode MS" w:cs="Arial"/>
                <w:bCs/>
              </w:rPr>
              <w:t>Partial private coverage</w:t>
            </w:r>
          </w:p>
        </w:tc>
        <w:tc>
          <w:tcPr>
            <w:tcW w:w="1839" w:type="pct"/>
            <w:hideMark/>
          </w:tcPr>
          <w:p w14:paraId="556677E5" w14:textId="77777777" w:rsidR="00DF6CF5" w:rsidRPr="00DF6CF5" w:rsidRDefault="00DB5B20" w:rsidP="00DF6CF5">
            <w:pPr>
              <w:mirrorIndents/>
              <w:rPr>
                <w:rFonts w:eastAsia="Arial Unicode MS" w:cs="Arial"/>
                <w:bCs/>
              </w:rPr>
            </w:pPr>
            <w:r w:rsidRPr="00DF6CF5">
              <w:rPr>
                <w:rFonts w:eastAsia="Arial Unicode MS" w:cs="Arial"/>
                <w:bCs/>
              </w:rPr>
              <w:t>~30% of type 1 patients</w:t>
            </w:r>
          </w:p>
        </w:tc>
      </w:tr>
    </w:tbl>
    <w:p w14:paraId="78B2E922" w14:textId="77777777" w:rsidR="00DF6CF5" w:rsidRPr="00DF6CF5" w:rsidRDefault="00DB5B20" w:rsidP="00DF6CF5">
      <w:pPr>
        <w:mirrorIndents/>
        <w:rPr>
          <w:rFonts w:eastAsia="Arial Unicode MS" w:cs="Arial"/>
          <w:bCs/>
        </w:rPr>
      </w:pPr>
      <w:r w:rsidRPr="001936FD">
        <w:rPr>
          <w:rFonts w:eastAsia="Arial Unicode MS" w:cs="Arial"/>
          <w:bCs/>
        </w:rPr>
        <w:t xml:space="preserve">These </w:t>
      </w:r>
      <w:r>
        <w:rPr>
          <w:rFonts w:eastAsia="Arial Unicode MS" w:cs="Arial"/>
          <w:bCs/>
        </w:rPr>
        <w:t>statistics</w:t>
      </w:r>
      <w:r w:rsidRPr="001936FD">
        <w:rPr>
          <w:rFonts w:eastAsia="Arial Unicode MS" w:cs="Arial"/>
          <w:bCs/>
        </w:rPr>
        <w:t xml:space="preserve"> demonstrate that access to CGM depends directly on insurance and government investment.</w:t>
      </w:r>
    </w:p>
    <w:p w14:paraId="02A6C32D" w14:textId="77777777" w:rsidR="00DF6CF5" w:rsidRPr="00DF6CF5" w:rsidRDefault="00DB5B20" w:rsidP="001936FD">
      <w:pPr>
        <w:pStyle w:val="Heading3"/>
      </w:pPr>
      <w:bookmarkStart w:id="35" w:name="_Toc225702902"/>
      <w:r w:rsidRPr="00DF6CF5">
        <w:t>2.4.2 Clinical Outcomes and Behavioural Impacts</w:t>
      </w:r>
      <w:bookmarkEnd w:id="35"/>
    </w:p>
    <w:p w14:paraId="529A58B5" w14:textId="77777777" w:rsidR="00DF6CF5" w:rsidRPr="00DF6CF5" w:rsidRDefault="00DB5B20" w:rsidP="001936FD">
      <w:pPr>
        <w:mirrorIndents/>
        <w:rPr>
          <w:rFonts w:eastAsia="Arial Unicode MS" w:cs="Arial"/>
          <w:bCs/>
        </w:rPr>
      </w:pPr>
      <w:proofErr w:type="spellStart"/>
      <w:r w:rsidRPr="00484AC6">
        <w:rPr>
          <w:rFonts w:eastAsia="Arial Unicode MS" w:cs="Arial"/>
          <w:bCs/>
        </w:rPr>
        <w:t>Chehregosha</w:t>
      </w:r>
      <w:proofErr w:type="spellEnd"/>
      <w:r w:rsidRPr="00484AC6">
        <w:rPr>
          <w:rFonts w:eastAsia="Arial Unicode MS" w:cs="Arial"/>
          <w:bCs/>
        </w:rPr>
        <w:t xml:space="preserve"> et al. (2019) reported that continuous testing helped to reduce the level of HbA1c by up to 0.6 when compared to the usual tests. According to </w:t>
      </w:r>
      <w:proofErr w:type="spellStart"/>
      <w:r w:rsidRPr="00484AC6">
        <w:rPr>
          <w:rFonts w:eastAsia="Arial Unicode MS" w:cs="Arial"/>
          <w:bCs/>
        </w:rPr>
        <w:t>Rodbard</w:t>
      </w:r>
      <w:proofErr w:type="spellEnd"/>
      <w:r w:rsidRPr="00484AC6">
        <w:rPr>
          <w:rFonts w:eastAsia="Arial Unicode MS" w:cs="Arial"/>
          <w:bCs/>
        </w:rPr>
        <w:t xml:space="preserve"> (2017), the frequency of hypoglycaemic episodes also reduced by 40</w:t>
      </w:r>
      <w:r>
        <w:rPr>
          <w:rFonts w:eastAsia="Arial Unicode MS" w:cs="Arial"/>
          <w:bCs/>
        </w:rPr>
        <w:t>%</w:t>
      </w:r>
      <w:r w:rsidRPr="00484AC6">
        <w:rPr>
          <w:rFonts w:eastAsia="Arial Unicode MS" w:cs="Arial"/>
          <w:bCs/>
        </w:rPr>
        <w:t xml:space="preserve"> when CGM is used. Kurniawan and Arini (2024) wrote that real-time data contributed to the enhancement of adherence since the patients could receive instant feedback and exchange data electronically. Bitomsky et al. (2025) found that the level of patient satisfaction rose when CGM apps had visual dashboards and reminders. According to their argument, </w:t>
      </w:r>
      <w:r>
        <w:rPr>
          <w:rFonts w:eastAsia="Arial Unicode MS" w:cs="Arial"/>
          <w:bCs/>
        </w:rPr>
        <w:t xml:space="preserve">the </w:t>
      </w:r>
      <w:r w:rsidRPr="00484AC6">
        <w:rPr>
          <w:rFonts w:eastAsia="Arial Unicode MS" w:cs="Arial"/>
          <w:bCs/>
        </w:rPr>
        <w:t xml:space="preserve">simplicity of design affected usability and trust in glucose management. International trials indicated the same emotional </w:t>
      </w:r>
      <w:r>
        <w:rPr>
          <w:rFonts w:eastAsia="Arial Unicode MS" w:cs="Arial"/>
          <w:bCs/>
        </w:rPr>
        <w:t>well-being</w:t>
      </w:r>
      <w:r w:rsidRPr="00484AC6">
        <w:rPr>
          <w:rFonts w:eastAsia="Arial Unicode MS" w:cs="Arial"/>
          <w:bCs/>
        </w:rPr>
        <w:t xml:space="preserve"> improvement, with patients being safer and more knowledgeable in their day-to-day activities.</w:t>
      </w:r>
    </w:p>
    <w:p w14:paraId="0649FCEA" w14:textId="77777777" w:rsidR="00DF6CF5" w:rsidRPr="00DF6CF5" w:rsidRDefault="00DB5B20" w:rsidP="001936FD">
      <w:pPr>
        <w:pStyle w:val="Heading3"/>
      </w:pPr>
      <w:bookmarkStart w:id="36" w:name="_Toc225702903"/>
      <w:r w:rsidRPr="00DF6CF5">
        <w:t>2.4.3 Ethical and Economic Considerations</w:t>
      </w:r>
      <w:bookmarkEnd w:id="36"/>
    </w:p>
    <w:p w14:paraId="5F78495D" w14:textId="77777777" w:rsidR="001936FD" w:rsidRPr="001936FD" w:rsidRDefault="00DB5B20" w:rsidP="001936FD">
      <w:pPr>
        <w:mirrorIndents/>
        <w:rPr>
          <w:rFonts w:eastAsia="Arial Unicode MS" w:cs="Arial"/>
          <w:bCs/>
        </w:rPr>
      </w:pPr>
      <w:proofErr w:type="spellStart"/>
      <w:r w:rsidRPr="001936FD">
        <w:rPr>
          <w:rFonts w:eastAsia="Arial Unicode MS" w:cs="Arial"/>
          <w:bCs/>
        </w:rPr>
        <w:t>Rodbard</w:t>
      </w:r>
      <w:proofErr w:type="spellEnd"/>
      <w:r w:rsidRPr="001936FD">
        <w:rPr>
          <w:rFonts w:eastAsia="Arial Unicode MS" w:cs="Arial"/>
          <w:bCs/>
        </w:rPr>
        <w:t xml:space="preserve"> (2016) noted that CGM growth in the world relies on the affordability and privacy control. He observed that the use of sensors in developing countries is still constrained due to the high costs. Beran et al. (2021) cautioned that the disparity in the treatment of diabetes may increase unless pricing and supply chains are stabilised. According to Bitomsky et al. (2025), digital health ethics should focus on data possession and equal access.</w:t>
      </w:r>
    </w:p>
    <w:p w14:paraId="24A36302" w14:textId="77777777" w:rsidR="00DF6CF5" w:rsidRPr="00DF6CF5" w:rsidRDefault="00DB5B20" w:rsidP="001936FD">
      <w:pPr>
        <w:mirrorIndents/>
        <w:rPr>
          <w:rFonts w:eastAsia="Arial Unicode MS" w:cs="Arial"/>
          <w:bCs/>
        </w:rPr>
      </w:pPr>
      <w:r w:rsidRPr="001936FD">
        <w:rPr>
          <w:rFonts w:eastAsia="Arial Unicode MS" w:cs="Arial"/>
          <w:bCs/>
        </w:rPr>
        <w:t xml:space="preserve">According to </w:t>
      </w:r>
      <w:proofErr w:type="spellStart"/>
      <w:r w:rsidRPr="001936FD">
        <w:rPr>
          <w:rFonts w:eastAsia="Arial Unicode MS" w:cs="Arial"/>
          <w:bCs/>
        </w:rPr>
        <w:t>Chehregosha</w:t>
      </w:r>
      <w:proofErr w:type="spellEnd"/>
      <w:r w:rsidRPr="001936FD">
        <w:rPr>
          <w:rFonts w:eastAsia="Arial Unicode MS" w:cs="Arial"/>
          <w:bCs/>
        </w:rPr>
        <w:t xml:space="preserve"> et al. (2019), the implementation of telemedicine during the </w:t>
      </w:r>
      <w:r w:rsidRPr="001936FD">
        <w:rPr>
          <w:rFonts w:eastAsia="Arial Unicode MS" w:cs="Arial"/>
          <w:bCs/>
        </w:rPr>
        <w:lastRenderedPageBreak/>
        <w:t xml:space="preserve">COVID-19 </w:t>
      </w:r>
      <w:r w:rsidR="00C9301E">
        <w:rPr>
          <w:rFonts w:eastAsia="Arial Unicode MS" w:cs="Arial"/>
          <w:bCs/>
        </w:rPr>
        <w:t xml:space="preserve">pandemic </w:t>
      </w:r>
      <w:r w:rsidRPr="001936FD">
        <w:rPr>
          <w:rFonts w:eastAsia="Arial Unicode MS" w:cs="Arial"/>
          <w:bCs/>
        </w:rPr>
        <w:t xml:space="preserve">enabled </w:t>
      </w:r>
      <w:r w:rsidR="00C9301E">
        <w:rPr>
          <w:rFonts w:eastAsia="Arial Unicode MS" w:cs="Arial"/>
          <w:bCs/>
        </w:rPr>
        <w:t xml:space="preserve">the </w:t>
      </w:r>
      <w:r w:rsidRPr="001936FD">
        <w:rPr>
          <w:rFonts w:eastAsia="Arial Unicode MS" w:cs="Arial"/>
          <w:bCs/>
        </w:rPr>
        <w:t>sharing of CGM data among patients and physicians, enhancing the continuity of remote care. This global experience demonstrated that digital tools can strengthen public health systems when supported by ethical governance and funding.</w:t>
      </w:r>
    </w:p>
    <w:p w14:paraId="2B19FE9F" w14:textId="77777777" w:rsidR="00DF6CF5" w:rsidRPr="00DF6CF5" w:rsidRDefault="00DB5B20" w:rsidP="001936FD">
      <w:pPr>
        <w:pStyle w:val="Heading2"/>
      </w:pPr>
      <w:bookmarkStart w:id="37" w:name="_Toc225702904"/>
      <w:r w:rsidRPr="00DF6CF5">
        <w:t>2.5 National and Local UK Context</w:t>
      </w:r>
      <w:bookmarkEnd w:id="37"/>
    </w:p>
    <w:p w14:paraId="1F49EAC3" w14:textId="77777777" w:rsidR="00DF6CF5" w:rsidRPr="00DF6CF5" w:rsidRDefault="00DB5B20" w:rsidP="001936FD">
      <w:pPr>
        <w:pStyle w:val="Heading3"/>
      </w:pPr>
      <w:bookmarkStart w:id="38" w:name="_Toc225702905"/>
      <w:r w:rsidRPr="00DF6CF5">
        <w:t>2.5.1 Diabetes in the United Kingdom</w:t>
      </w:r>
      <w:bookmarkEnd w:id="38"/>
    </w:p>
    <w:p w14:paraId="71BFFBE0" w14:textId="77777777" w:rsidR="00DF6CF5" w:rsidRPr="00DF6CF5" w:rsidRDefault="00DB5B20" w:rsidP="00DF6CF5">
      <w:pPr>
        <w:mirrorIndents/>
        <w:rPr>
          <w:rFonts w:eastAsia="Arial Unicode MS" w:cs="Arial"/>
          <w:bCs/>
        </w:rPr>
      </w:pPr>
      <w:r w:rsidRPr="001936FD">
        <w:rPr>
          <w:rFonts w:eastAsia="Arial Unicode MS" w:cs="Arial"/>
          <w:bCs/>
        </w:rPr>
        <w:t xml:space="preserve">According to </w:t>
      </w:r>
      <w:r w:rsidR="00C9301E">
        <w:rPr>
          <w:rFonts w:eastAsia="Arial Unicode MS" w:cs="Arial"/>
          <w:bCs/>
        </w:rPr>
        <w:t xml:space="preserve">the </w:t>
      </w:r>
      <w:r w:rsidRPr="001936FD">
        <w:rPr>
          <w:rFonts w:eastAsia="Arial Unicode MS" w:cs="Arial"/>
          <w:bCs/>
        </w:rPr>
        <w:t>Office for Health Improvement and Disparities (2025), there are more than 4.3 million cases of diabetes in the UK. Diabetes UK (2023) also verified that 90</w:t>
      </w:r>
      <w:r w:rsidR="00484AC6">
        <w:rPr>
          <w:rFonts w:eastAsia="Arial Unicode MS" w:cs="Arial"/>
          <w:bCs/>
        </w:rPr>
        <w:t>%</w:t>
      </w:r>
      <w:r w:rsidRPr="001936FD">
        <w:rPr>
          <w:rFonts w:eastAsia="Arial Unicode MS" w:cs="Arial"/>
          <w:bCs/>
        </w:rPr>
        <w:t xml:space="preserve"> of the cases are type 2</w:t>
      </w:r>
      <w:r w:rsidR="00C9301E">
        <w:rPr>
          <w:rFonts w:eastAsia="Arial Unicode MS" w:cs="Arial"/>
          <w:bCs/>
        </w:rPr>
        <w:t>,</w:t>
      </w:r>
      <w:r w:rsidRPr="001936FD">
        <w:rPr>
          <w:rFonts w:eastAsia="Arial Unicode MS" w:cs="Arial"/>
          <w:bCs/>
        </w:rPr>
        <w:t xml:space="preserve"> and the prevalence is higher in the deprived and ethnic minority groups. Pham et al. (2019) discovered that communities of South Asians and blacks have earlier and worse management of diabetes. NHS England reacted by implementing prevention measures such as </w:t>
      </w:r>
      <w:r w:rsidR="00C9301E">
        <w:rPr>
          <w:rFonts w:eastAsia="Arial Unicode MS" w:cs="Arial"/>
          <w:bCs/>
        </w:rPr>
        <w:t xml:space="preserve">the </w:t>
      </w:r>
      <w:r w:rsidRPr="001936FD">
        <w:rPr>
          <w:rFonts w:eastAsia="Arial Unicode MS" w:cs="Arial"/>
          <w:bCs/>
        </w:rPr>
        <w:t>Diabetes Prevention Programme and online lifestyle support programmes. These interventions are expected to diminish the number of long-term complications as well as hospitalisation among the varied local populations.</w:t>
      </w:r>
    </w:p>
    <w:p w14:paraId="6D2EB3B0" w14:textId="77777777" w:rsidR="00DF6CF5" w:rsidRPr="00DF6CF5" w:rsidRDefault="00DB5B20" w:rsidP="001936FD">
      <w:pPr>
        <w:pStyle w:val="Heading3"/>
      </w:pPr>
      <w:bookmarkStart w:id="39" w:name="_Toc225702906"/>
      <w:r w:rsidRPr="00DF6CF5">
        <w:t>2.5.2 NHS Integration of CGM Technologies</w:t>
      </w:r>
      <w:bookmarkEnd w:id="39"/>
    </w:p>
    <w:p w14:paraId="33B055C2" w14:textId="77777777" w:rsidR="00DF6CF5" w:rsidRPr="00DF6CF5" w:rsidRDefault="00DB5B20" w:rsidP="00DF6CF5">
      <w:pPr>
        <w:mirrorIndents/>
        <w:rPr>
          <w:rFonts w:eastAsia="Arial Unicode MS" w:cs="Arial"/>
          <w:bCs/>
        </w:rPr>
      </w:pPr>
      <w:r w:rsidRPr="001936FD">
        <w:rPr>
          <w:rFonts w:eastAsia="Arial Unicode MS" w:cs="Arial"/>
          <w:bCs/>
        </w:rPr>
        <w:t xml:space="preserve">The NICE (2022) guidelines suggest the use of continuous glucose monitors </w:t>
      </w:r>
      <w:r w:rsidR="00C9301E">
        <w:rPr>
          <w:rFonts w:eastAsia="Arial Unicode MS" w:cs="Arial"/>
          <w:bCs/>
        </w:rPr>
        <w:t>for</w:t>
      </w:r>
      <w:r w:rsidRPr="001936FD">
        <w:rPr>
          <w:rFonts w:eastAsia="Arial Unicode MS" w:cs="Arial"/>
          <w:bCs/>
        </w:rPr>
        <w:t xml:space="preserve"> all adults and children with type 1 diabetes. According to Sze May Ng (2023), the NHS now prides itself on high-risk type 2 support of Libre and Dexcom. As Diabetes UK (2018) clarified, it is still conditional on the eligibility criteria at the local commissioning groups. The FreeStyle Libre Access Scheme was implemented by many NHS regions to enhance availability with the aid of specialist clinics. Ng contended that this change is an indication of the ambition by NHS England to modernise diabetes care in real-time technology. The policy concurs with pledges on patient-centred digital health on long-term condition pathways.</w:t>
      </w:r>
    </w:p>
    <w:p w14:paraId="0ED6BFD5" w14:textId="77777777" w:rsidR="00DF6CF5" w:rsidRPr="00DF6CF5" w:rsidRDefault="00DB5B20" w:rsidP="00DF6CF5">
      <w:pPr>
        <w:mirrorIndents/>
        <w:rPr>
          <w:rFonts w:eastAsia="Arial Unicode MS" w:cs="Arial"/>
          <w:b/>
          <w:bCs/>
        </w:rPr>
      </w:pPr>
      <w:r w:rsidRPr="00DF6CF5">
        <w:rPr>
          <w:rFonts w:eastAsia="Arial Unicode MS" w:cs="Arial"/>
          <w:b/>
          <w:bCs/>
        </w:rPr>
        <w:t>2.5.3 Barriers and Regional Inequalities</w:t>
      </w:r>
    </w:p>
    <w:p w14:paraId="5F8A0560" w14:textId="77777777" w:rsidR="00DF6CF5" w:rsidRPr="00DF6CF5" w:rsidRDefault="00DB5B20" w:rsidP="00DF6CF5">
      <w:pPr>
        <w:mirrorIndents/>
        <w:rPr>
          <w:rFonts w:eastAsia="Arial Unicode MS" w:cs="Arial"/>
          <w:bCs/>
        </w:rPr>
      </w:pPr>
      <w:r w:rsidRPr="001936FD">
        <w:rPr>
          <w:rFonts w:eastAsia="Arial Unicode MS" w:cs="Arial"/>
          <w:bCs/>
        </w:rPr>
        <w:t xml:space="preserve">According to </w:t>
      </w:r>
      <w:proofErr w:type="spellStart"/>
      <w:r w:rsidRPr="001936FD">
        <w:rPr>
          <w:rFonts w:eastAsia="Arial Unicode MS" w:cs="Arial"/>
          <w:bCs/>
        </w:rPr>
        <w:t>Jerjes</w:t>
      </w:r>
      <w:proofErr w:type="spellEnd"/>
      <w:r w:rsidRPr="001936FD">
        <w:rPr>
          <w:rFonts w:eastAsia="Arial Unicode MS" w:cs="Arial"/>
          <w:bCs/>
        </w:rPr>
        <w:t xml:space="preserve"> and Majeed (2025), variation in care among NHS trusts occurs due to staff shortage and high-cost training. Shi et al. (2024) noted that there is a low level of digital health literacy among older adults</w:t>
      </w:r>
      <w:r w:rsidR="00C9301E">
        <w:rPr>
          <w:rFonts w:eastAsia="Arial Unicode MS" w:cs="Arial"/>
          <w:bCs/>
        </w:rPr>
        <w:t>,</w:t>
      </w:r>
      <w:r w:rsidRPr="001936FD">
        <w:rPr>
          <w:rFonts w:eastAsia="Arial Unicode MS" w:cs="Arial"/>
          <w:bCs/>
        </w:rPr>
        <w:t xml:space="preserve"> making them experience difficulties in the use of digital tools. Language, confidence, and lack of connectivity</w:t>
      </w:r>
      <w:r w:rsidR="00C9301E">
        <w:rPr>
          <w:rFonts w:eastAsia="Arial Unicode MS" w:cs="Arial"/>
          <w:bCs/>
        </w:rPr>
        <w:t>,</w:t>
      </w:r>
      <w:r w:rsidRPr="001936FD">
        <w:rPr>
          <w:rFonts w:eastAsia="Arial Unicode MS" w:cs="Arial"/>
          <w:bCs/>
        </w:rPr>
        <w:t xml:space="preserve"> which characterise deprived communities</w:t>
      </w:r>
      <w:r w:rsidR="00C9301E">
        <w:rPr>
          <w:rFonts w:eastAsia="Arial Unicode MS" w:cs="Arial"/>
          <w:bCs/>
        </w:rPr>
        <w:t>,</w:t>
      </w:r>
      <w:r w:rsidRPr="001936FD">
        <w:rPr>
          <w:rFonts w:eastAsia="Arial Unicode MS" w:cs="Arial"/>
          <w:bCs/>
        </w:rPr>
        <w:t xml:space="preserve"> also restrict CGM adoption and benefits. According to Diabetes UK (2018), not all general practitioners understand the eligibility or new changes of devices. Digital support teams were tested in Manchester and London pilot sites to increase uptake, training, and equity in care delivery.</w:t>
      </w:r>
    </w:p>
    <w:p w14:paraId="4CFD1A27" w14:textId="77777777" w:rsidR="00DF6CF5" w:rsidRPr="00DF6CF5" w:rsidRDefault="00DB5B20" w:rsidP="00DF6CF5">
      <w:pPr>
        <w:mirrorIndents/>
        <w:rPr>
          <w:rFonts w:eastAsia="Arial Unicode MS" w:cs="Arial"/>
          <w:b/>
          <w:bCs/>
        </w:rPr>
      </w:pPr>
      <w:r w:rsidRPr="00DF6CF5">
        <w:rPr>
          <w:rFonts w:eastAsia="Arial Unicode MS" w:cs="Arial"/>
          <w:b/>
          <w:bCs/>
        </w:rPr>
        <w:t>2.5.4 Future Direction and Relevance</w:t>
      </w:r>
    </w:p>
    <w:p w14:paraId="24E121B0" w14:textId="77777777" w:rsidR="001936FD" w:rsidRPr="001936FD" w:rsidRDefault="00DB5B20" w:rsidP="001936FD">
      <w:pPr>
        <w:mirrorIndents/>
        <w:rPr>
          <w:rFonts w:eastAsia="Arial Unicode MS" w:cs="Arial"/>
          <w:bCs/>
        </w:rPr>
      </w:pPr>
      <w:r w:rsidRPr="001936FD">
        <w:rPr>
          <w:rFonts w:eastAsia="Arial Unicode MS" w:cs="Arial"/>
          <w:bCs/>
        </w:rPr>
        <w:t xml:space="preserve">Aleppo et al. (2023) revealed effective CGM implementation with electronic records in the UK diabetes clinics. This assisted nurses </w:t>
      </w:r>
      <w:r w:rsidR="00C9301E">
        <w:rPr>
          <w:rFonts w:eastAsia="Arial Unicode MS" w:cs="Arial"/>
          <w:bCs/>
        </w:rPr>
        <w:t>in monitoring</w:t>
      </w:r>
      <w:r w:rsidRPr="001936FD">
        <w:rPr>
          <w:rFonts w:eastAsia="Arial Unicode MS" w:cs="Arial"/>
          <w:bCs/>
        </w:rPr>
        <w:t xml:space="preserve"> trends and remotely </w:t>
      </w:r>
      <w:r w:rsidR="00C9301E">
        <w:rPr>
          <w:rFonts w:eastAsia="Arial Unicode MS" w:cs="Arial"/>
          <w:bCs/>
        </w:rPr>
        <w:t>modifying</w:t>
      </w:r>
      <w:r w:rsidRPr="001936FD">
        <w:rPr>
          <w:rFonts w:eastAsia="Arial Unicode MS" w:cs="Arial"/>
          <w:bCs/>
        </w:rPr>
        <w:t xml:space="preserve"> </w:t>
      </w:r>
      <w:r w:rsidR="00C9301E">
        <w:rPr>
          <w:rFonts w:eastAsia="Arial Unicode MS" w:cs="Arial"/>
          <w:bCs/>
        </w:rPr>
        <w:t xml:space="preserve">the </w:t>
      </w:r>
      <w:r w:rsidRPr="001936FD">
        <w:rPr>
          <w:rFonts w:eastAsia="Arial Unicode MS" w:cs="Arial"/>
          <w:bCs/>
        </w:rPr>
        <w:t xml:space="preserve">care of housebound patients. These systems can help in </w:t>
      </w:r>
      <w:r w:rsidR="00C9301E">
        <w:rPr>
          <w:rFonts w:eastAsia="Arial Unicode MS" w:cs="Arial"/>
          <w:bCs/>
        </w:rPr>
        <w:t>community-based</w:t>
      </w:r>
      <w:r w:rsidRPr="001936FD">
        <w:rPr>
          <w:rFonts w:eastAsia="Arial Unicode MS" w:cs="Arial"/>
          <w:bCs/>
        </w:rPr>
        <w:t xml:space="preserve"> care by connecting CGM data with telehealth consultations and pharmacy services. These results conform to this </w:t>
      </w:r>
      <w:r w:rsidRPr="001936FD">
        <w:rPr>
          <w:rFonts w:eastAsia="Arial Unicode MS" w:cs="Arial"/>
          <w:bCs/>
        </w:rPr>
        <w:lastRenderedPageBreak/>
        <w:t xml:space="preserve">research objective- to </w:t>
      </w:r>
      <w:r w:rsidR="00C9301E">
        <w:rPr>
          <w:rFonts w:eastAsia="Arial Unicode MS" w:cs="Arial"/>
          <w:bCs/>
        </w:rPr>
        <w:t>cognise</w:t>
      </w:r>
      <w:r w:rsidRPr="001936FD">
        <w:rPr>
          <w:rFonts w:eastAsia="Arial Unicode MS" w:cs="Arial"/>
          <w:bCs/>
        </w:rPr>
        <w:t xml:space="preserve"> how Dexcom and Libre facilitate home self-monitoring within UK communities.</w:t>
      </w:r>
    </w:p>
    <w:p w14:paraId="6BD61668" w14:textId="77777777" w:rsidR="001936FD" w:rsidRPr="001936FD" w:rsidRDefault="00DB5B20" w:rsidP="001936FD">
      <w:pPr>
        <w:pStyle w:val="Heading2"/>
      </w:pPr>
      <w:bookmarkStart w:id="40" w:name="_Toc225702907"/>
      <w:r w:rsidRPr="001936FD">
        <w:t>2.6 Summary</w:t>
      </w:r>
      <w:bookmarkEnd w:id="40"/>
    </w:p>
    <w:p w14:paraId="0F2679D6" w14:textId="77777777" w:rsidR="00735A7A" w:rsidRPr="00735A7A" w:rsidRDefault="00DB5B20" w:rsidP="001936FD">
      <w:pPr>
        <w:mirrorIndents/>
        <w:rPr>
          <w:rFonts w:eastAsia="Arial Unicode MS" w:cs="Arial"/>
          <w:bCs/>
        </w:rPr>
      </w:pPr>
      <w:r w:rsidRPr="001936FD">
        <w:rPr>
          <w:rFonts w:eastAsia="Arial Unicode MS" w:cs="Arial"/>
          <w:bCs/>
        </w:rPr>
        <w:t>The chapter has examined the historical development, theory and models, global and UK backgrounds of CGM use. These insights give a solid background to the study of Libre and Dexcom in home diabetes care. The knowledge of adoption problems and the policy frameworks puts into the limelight the idea of patient-centred solutions. The research methods will be covered in the next chapter, which will explain how the study was going to collect and analyse data accordingly to the aims and objectives of the study.</w:t>
      </w:r>
    </w:p>
    <w:p w14:paraId="521CC981" w14:textId="77777777" w:rsidR="00735A7A" w:rsidRPr="00141A69" w:rsidRDefault="00735A7A" w:rsidP="00DA52F0">
      <w:pPr>
        <w:mirrorIndents/>
        <w:rPr>
          <w:rFonts w:eastAsia="Arial Unicode MS" w:cs="Arial"/>
          <w:bCs/>
        </w:rPr>
      </w:pPr>
    </w:p>
    <w:p w14:paraId="356B2DA2" w14:textId="77777777" w:rsidR="00DA52F0" w:rsidRPr="00141A69" w:rsidRDefault="00DB5B20">
      <w:pPr>
        <w:rPr>
          <w:rFonts w:eastAsia="Arial Unicode MS" w:cs="Arial"/>
          <w:b/>
        </w:rPr>
      </w:pPr>
      <w:r w:rsidRPr="00141A69">
        <w:rPr>
          <w:rFonts w:eastAsia="Arial Unicode MS" w:cs="Arial"/>
          <w:b/>
        </w:rPr>
        <w:br w:type="page"/>
      </w:r>
    </w:p>
    <w:p w14:paraId="6BC27C89" w14:textId="49EDB210" w:rsidR="005C2C7A" w:rsidRPr="00141A69" w:rsidRDefault="00DB5B20" w:rsidP="00C9301E">
      <w:pPr>
        <w:pStyle w:val="Heading1"/>
      </w:pPr>
      <w:bookmarkStart w:id="41" w:name="_Toc225702908"/>
      <w:r w:rsidRPr="00141A69">
        <w:lastRenderedPageBreak/>
        <w:t xml:space="preserve">CHAPTER </w:t>
      </w:r>
      <w:r w:rsidR="00114BFD" w:rsidRPr="00141A69">
        <w:t>3</w:t>
      </w:r>
      <w:r w:rsidRPr="00141A69">
        <w:t xml:space="preserve">: </w:t>
      </w:r>
      <w:r w:rsidR="00AE4375" w:rsidRPr="00AE4375">
        <w:t>METHODS AND SEARCH STRATEGY</w:t>
      </w:r>
      <w:bookmarkEnd w:id="41"/>
    </w:p>
    <w:p w14:paraId="517DF24C" w14:textId="77777777" w:rsidR="00920C15" w:rsidRPr="00920C15" w:rsidRDefault="00DB5B20" w:rsidP="00AE4375">
      <w:pPr>
        <w:pStyle w:val="Heading2"/>
      </w:pPr>
      <w:r w:rsidRPr="00141A69">
        <w:t xml:space="preserve"> </w:t>
      </w:r>
      <w:bookmarkStart w:id="42" w:name="_Toc225702909"/>
      <w:r w:rsidR="00920C15" w:rsidRPr="00920C15">
        <w:t>3.1 Introduction</w:t>
      </w:r>
      <w:bookmarkEnd w:id="42"/>
    </w:p>
    <w:p w14:paraId="67C53FDF"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This chapter has described the research methodology that will be used in this research through a secondary qualitative method. The study has also been based on desk-based research comprising scholarly literature, clinical reports and policy documents. This process has been given a visual summary in the academic methodology poster, but each stage has been elaborated in this chapter. The approached methods have been used in identifying, selecting and analysing the relevant sources. Such measures have made sure that the conclusions made in Chapter 4 rely on well-assessed and reliable literature.</w:t>
      </w:r>
    </w:p>
    <w:p w14:paraId="15304E4B" w14:textId="77777777" w:rsidR="00920C15" w:rsidRPr="00920C15" w:rsidRDefault="00920C15" w:rsidP="00AE4375">
      <w:pPr>
        <w:pStyle w:val="Heading2"/>
      </w:pPr>
      <w:bookmarkStart w:id="43" w:name="_Toc225702910"/>
      <w:r w:rsidRPr="00920C15">
        <w:t>3.2 Search Strategy</w:t>
      </w:r>
      <w:bookmarkEnd w:id="43"/>
    </w:p>
    <w:p w14:paraId="79384585"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A systematic search plan has been designed according to the title of the research and its objectives. Identified keywords have been in terms of continuous glucose monitoring, CGM, Libre, Dexcom, diabetes self-management, and home care. The search has also been expanded using the synonyms like glucose sensors and digital health monitoring.</w:t>
      </w:r>
    </w:p>
    <w:p w14:paraId="7ECFFAF2"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The search results have been narrowed using the Boolean operators. As an example, CGM AND diabetes </w:t>
      </w:r>
      <w:proofErr w:type="gramStart"/>
      <w:r w:rsidRPr="00920C15">
        <w:rPr>
          <w:rFonts w:eastAsia="Arial Unicode MS" w:cs="Arial"/>
        </w:rPr>
        <w:t>have</w:t>
      </w:r>
      <w:proofErr w:type="gramEnd"/>
      <w:r w:rsidRPr="00920C15">
        <w:rPr>
          <w:rFonts w:eastAsia="Arial Unicode MS" w:cs="Arial"/>
        </w:rPr>
        <w:t xml:space="preserve"> restricted the results, whereas Libre or Dexcom have increased the relevant studies. The application of NOT has managed to eliminate irrelevant issues (Adams, Khan and Raeside, 2014). An organised search strategy has been observed to document successful keyword combinations and enhance uniformity among databases.</w:t>
      </w:r>
    </w:p>
    <w:p w14:paraId="0BDB0B08" w14:textId="77777777" w:rsidR="00920C15" w:rsidRPr="00920C15" w:rsidRDefault="00920C15" w:rsidP="00AE4375">
      <w:pPr>
        <w:pStyle w:val="Heading2"/>
      </w:pPr>
      <w:bookmarkStart w:id="44" w:name="_Toc225702911"/>
      <w:r w:rsidRPr="00920C15">
        <w:t>3.3 Searching for Information</w:t>
      </w:r>
      <w:bookmarkEnd w:id="44"/>
    </w:p>
    <w:p w14:paraId="6D42E1C8"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Academic databases (Google Scholar, PubMed, ScienceDirect, and the university libraries) have been used to collect the data (Saunders, Lewis and Thornhill, 2023). The choice of these platforms is based on their credibility, peer-reviewed information, and applicability to healthcare research. Clinical studies have been facilitated by PubMed specifically, whereas Google Scholar has been more academic than not.</w:t>
      </w:r>
    </w:p>
    <w:p w14:paraId="39DCB87B"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They have been filtered to enhance the relevancy and quality of results. These have incorporated a time frame of 2020 to 2025 for the publication, peer-reviewed articles and sources in English. In the case of the UK, local studies have been given priority to match the research context.</w:t>
      </w:r>
    </w:p>
    <w:p w14:paraId="639E2637"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Search has been done cyclically. The results of the first searches have been numerous and then narrowed down through the use of more specific keywords and filters (Bell, Bryman and Harley, 2019). They have been modified </w:t>
      </w:r>
      <w:proofErr w:type="gramStart"/>
      <w:r w:rsidRPr="00920C15">
        <w:rPr>
          <w:rFonts w:eastAsia="Arial Unicode MS" w:cs="Arial"/>
        </w:rPr>
        <w:t>in order to</w:t>
      </w:r>
      <w:proofErr w:type="gramEnd"/>
      <w:r w:rsidRPr="00920C15">
        <w:rPr>
          <w:rFonts w:eastAsia="Arial Unicode MS" w:cs="Arial"/>
        </w:rPr>
        <w:t xml:space="preserve"> make them more relevant to the word e.g. addition of terms like home-based care or patient adherence.</w:t>
      </w:r>
    </w:p>
    <w:p w14:paraId="452CFC86"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A source tracking table has been developed to document the choice of studies, findings and applicability to research objectives. This has helped in organisation and transparency in the </w:t>
      </w:r>
      <w:r w:rsidRPr="00920C15">
        <w:rPr>
          <w:rFonts w:eastAsia="Arial Unicode MS" w:cs="Arial"/>
        </w:rPr>
        <w:lastRenderedPageBreak/>
        <w:t>research process. An illustrative summary would be provided below:</w:t>
      </w:r>
    </w:p>
    <w:p w14:paraId="0F3037D3" w14:textId="78FEA0E2" w:rsidR="00DD27BE" w:rsidRPr="00C779A5" w:rsidRDefault="00DD27BE" w:rsidP="00C779A5">
      <w:pPr>
        <w:pStyle w:val="Caption"/>
        <w:keepNext/>
        <w:spacing w:after="0" w:line="360" w:lineRule="auto"/>
        <w:jc w:val="center"/>
        <w:rPr>
          <w:b/>
          <w:bCs/>
          <w:i w:val="0"/>
          <w:iCs w:val="0"/>
          <w:color w:val="auto"/>
          <w:sz w:val="20"/>
          <w:szCs w:val="20"/>
        </w:rPr>
      </w:pPr>
      <w:bookmarkStart w:id="45" w:name="_Toc225700973"/>
      <w:bookmarkStart w:id="46" w:name="_Toc225702937"/>
      <w:r w:rsidRPr="00C779A5">
        <w:rPr>
          <w:b/>
          <w:bCs/>
          <w:i w:val="0"/>
          <w:iCs w:val="0"/>
          <w:color w:val="auto"/>
          <w:sz w:val="20"/>
          <w:szCs w:val="20"/>
        </w:rPr>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4</w:t>
      </w:r>
      <w:r w:rsidRPr="00C779A5">
        <w:rPr>
          <w:b/>
          <w:bCs/>
          <w:i w:val="0"/>
          <w:iCs w:val="0"/>
          <w:color w:val="auto"/>
          <w:sz w:val="20"/>
          <w:szCs w:val="20"/>
        </w:rPr>
        <w:fldChar w:fldCharType="end"/>
      </w:r>
      <w:r w:rsidRPr="00C779A5">
        <w:rPr>
          <w:b/>
          <w:bCs/>
          <w:i w:val="0"/>
          <w:iCs w:val="0"/>
          <w:color w:val="auto"/>
          <w:sz w:val="20"/>
          <w:szCs w:val="20"/>
        </w:rPr>
        <w:t xml:space="preserve"> Summary of Key Studies and Their Relevance to CGM Research</w:t>
      </w:r>
      <w:bookmarkEnd w:id="45"/>
      <w:bookmarkEnd w:id="46"/>
    </w:p>
    <w:tbl>
      <w:tblPr>
        <w:tblStyle w:val="PlainTable1"/>
        <w:tblW w:w="0" w:type="auto"/>
        <w:tblLook w:val="04A0" w:firstRow="1" w:lastRow="0" w:firstColumn="1" w:lastColumn="0" w:noHBand="0" w:noVBand="1"/>
      </w:tblPr>
      <w:tblGrid>
        <w:gridCol w:w="2173"/>
        <w:gridCol w:w="1778"/>
        <w:gridCol w:w="2575"/>
        <w:gridCol w:w="2490"/>
      </w:tblGrid>
      <w:tr w:rsidR="00920C15" w:rsidRPr="00920C15" w14:paraId="18782139" w14:textId="77777777" w:rsidTr="00253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E073C6"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Author (Year)</w:t>
            </w:r>
          </w:p>
        </w:tc>
        <w:tc>
          <w:tcPr>
            <w:tcW w:w="0" w:type="auto"/>
            <w:hideMark/>
          </w:tcPr>
          <w:p w14:paraId="62C65DA0"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cnfStyle w:val="100000000000" w:firstRow="1" w:lastRow="0" w:firstColumn="0" w:lastColumn="0" w:oddVBand="0" w:evenVBand="0" w:oddHBand="0" w:evenHBand="0" w:firstRowFirstColumn="0" w:firstRowLastColumn="0" w:lastRowFirstColumn="0" w:lastRowLastColumn="0"/>
              <w:rPr>
                <w:rFonts w:eastAsia="Arial Unicode MS" w:cs="Arial"/>
              </w:rPr>
            </w:pPr>
            <w:r w:rsidRPr="00920C15">
              <w:rPr>
                <w:rFonts w:eastAsia="Arial Unicode MS" w:cs="Arial"/>
              </w:rPr>
              <w:t>Focus Area</w:t>
            </w:r>
          </w:p>
        </w:tc>
        <w:tc>
          <w:tcPr>
            <w:tcW w:w="0" w:type="auto"/>
            <w:hideMark/>
          </w:tcPr>
          <w:p w14:paraId="6F02B623"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cnfStyle w:val="100000000000" w:firstRow="1" w:lastRow="0" w:firstColumn="0" w:lastColumn="0" w:oddVBand="0" w:evenVBand="0" w:oddHBand="0" w:evenHBand="0" w:firstRowFirstColumn="0" w:firstRowLastColumn="0" w:lastRowFirstColumn="0" w:lastRowLastColumn="0"/>
              <w:rPr>
                <w:rFonts w:eastAsia="Arial Unicode MS" w:cs="Arial"/>
              </w:rPr>
            </w:pPr>
            <w:r w:rsidRPr="00920C15">
              <w:rPr>
                <w:rFonts w:eastAsia="Arial Unicode MS" w:cs="Arial"/>
              </w:rPr>
              <w:t>Key Findings</w:t>
            </w:r>
          </w:p>
        </w:tc>
        <w:tc>
          <w:tcPr>
            <w:tcW w:w="0" w:type="auto"/>
            <w:hideMark/>
          </w:tcPr>
          <w:p w14:paraId="561255F3"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cnfStyle w:val="100000000000" w:firstRow="1" w:lastRow="0" w:firstColumn="0" w:lastColumn="0" w:oddVBand="0" w:evenVBand="0" w:oddHBand="0" w:evenHBand="0" w:firstRowFirstColumn="0" w:firstRowLastColumn="0" w:lastRowFirstColumn="0" w:lastRowLastColumn="0"/>
              <w:rPr>
                <w:rFonts w:eastAsia="Arial Unicode MS" w:cs="Arial"/>
              </w:rPr>
            </w:pPr>
            <w:r w:rsidRPr="00920C15">
              <w:rPr>
                <w:rFonts w:eastAsia="Arial Unicode MS" w:cs="Arial"/>
              </w:rPr>
              <w:t>Relevance</w:t>
            </w:r>
          </w:p>
        </w:tc>
      </w:tr>
      <w:tr w:rsidR="00920C15" w:rsidRPr="00920C15" w14:paraId="6376C2A5"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9F484B"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Edward &amp; Priefer (2023)</w:t>
            </w:r>
          </w:p>
        </w:tc>
        <w:tc>
          <w:tcPr>
            <w:tcW w:w="0" w:type="auto"/>
            <w:hideMark/>
          </w:tcPr>
          <w:p w14:paraId="20A5551E"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cnfStyle w:val="000000100000" w:firstRow="0" w:lastRow="0" w:firstColumn="0" w:lastColumn="0" w:oddVBand="0" w:evenVBand="0" w:oddHBand="1" w:evenHBand="0" w:firstRowFirstColumn="0" w:firstRowLastColumn="0" w:lastRowFirstColumn="0" w:lastRowLastColumn="0"/>
              <w:rPr>
                <w:rFonts w:eastAsia="Arial Unicode MS" w:cs="Arial"/>
              </w:rPr>
            </w:pPr>
            <w:r w:rsidRPr="00920C15">
              <w:rPr>
                <w:rFonts w:eastAsia="Arial Unicode MS" w:cs="Arial"/>
              </w:rPr>
              <w:t>CGM comparison</w:t>
            </w:r>
          </w:p>
        </w:tc>
        <w:tc>
          <w:tcPr>
            <w:tcW w:w="0" w:type="auto"/>
            <w:hideMark/>
          </w:tcPr>
          <w:p w14:paraId="01BF1AA5"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cnfStyle w:val="000000100000" w:firstRow="0" w:lastRow="0" w:firstColumn="0" w:lastColumn="0" w:oddVBand="0" w:evenVBand="0" w:oddHBand="1" w:evenHBand="0" w:firstRowFirstColumn="0" w:firstRowLastColumn="0" w:lastRowFirstColumn="0" w:lastRowLastColumn="0"/>
              <w:rPr>
                <w:rFonts w:eastAsia="Arial Unicode MS" w:cs="Arial"/>
              </w:rPr>
            </w:pPr>
            <w:r w:rsidRPr="00920C15">
              <w:rPr>
                <w:rFonts w:eastAsia="Arial Unicode MS" w:cs="Arial"/>
              </w:rPr>
              <w:t>Improved monitoring accuracy</w:t>
            </w:r>
          </w:p>
        </w:tc>
        <w:tc>
          <w:tcPr>
            <w:tcW w:w="0" w:type="auto"/>
            <w:hideMark/>
          </w:tcPr>
          <w:p w14:paraId="1B6DEF01"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cnfStyle w:val="000000100000" w:firstRow="0" w:lastRow="0" w:firstColumn="0" w:lastColumn="0" w:oddVBand="0" w:evenVBand="0" w:oddHBand="1" w:evenHBand="0" w:firstRowFirstColumn="0" w:firstRowLastColumn="0" w:lastRowFirstColumn="0" w:lastRowLastColumn="0"/>
              <w:rPr>
                <w:rFonts w:eastAsia="Arial Unicode MS" w:cs="Arial"/>
              </w:rPr>
            </w:pPr>
            <w:r w:rsidRPr="00920C15">
              <w:rPr>
                <w:rFonts w:eastAsia="Arial Unicode MS" w:cs="Arial"/>
              </w:rPr>
              <w:t>Supports device comparison</w:t>
            </w:r>
          </w:p>
        </w:tc>
      </w:tr>
      <w:tr w:rsidR="00920C15" w:rsidRPr="00920C15" w14:paraId="696A301A" w14:textId="77777777" w:rsidTr="002531F6">
        <w:tc>
          <w:tcPr>
            <w:cnfStyle w:val="001000000000" w:firstRow="0" w:lastRow="0" w:firstColumn="1" w:lastColumn="0" w:oddVBand="0" w:evenVBand="0" w:oddHBand="0" w:evenHBand="0" w:firstRowFirstColumn="0" w:firstRowLastColumn="0" w:lastRowFirstColumn="0" w:lastRowLastColumn="0"/>
            <w:tcW w:w="0" w:type="auto"/>
            <w:hideMark/>
          </w:tcPr>
          <w:p w14:paraId="5E161725"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Yoo &amp; Kim (2023)</w:t>
            </w:r>
          </w:p>
        </w:tc>
        <w:tc>
          <w:tcPr>
            <w:tcW w:w="0" w:type="auto"/>
            <w:hideMark/>
          </w:tcPr>
          <w:p w14:paraId="1082D32A"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cnfStyle w:val="000000000000" w:firstRow="0" w:lastRow="0" w:firstColumn="0" w:lastColumn="0" w:oddVBand="0" w:evenVBand="0" w:oddHBand="0" w:evenHBand="0" w:firstRowFirstColumn="0" w:firstRowLastColumn="0" w:lastRowFirstColumn="0" w:lastRowLastColumn="0"/>
              <w:rPr>
                <w:rFonts w:eastAsia="Arial Unicode MS" w:cs="Arial"/>
              </w:rPr>
            </w:pPr>
            <w:r w:rsidRPr="00920C15">
              <w:rPr>
                <w:rFonts w:eastAsia="Arial Unicode MS" w:cs="Arial"/>
              </w:rPr>
              <w:t>Glycaemic control</w:t>
            </w:r>
          </w:p>
        </w:tc>
        <w:tc>
          <w:tcPr>
            <w:tcW w:w="0" w:type="auto"/>
            <w:hideMark/>
          </w:tcPr>
          <w:p w14:paraId="05EBBB3E"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cnfStyle w:val="000000000000" w:firstRow="0" w:lastRow="0" w:firstColumn="0" w:lastColumn="0" w:oddVBand="0" w:evenVBand="0" w:oddHBand="0" w:evenHBand="0" w:firstRowFirstColumn="0" w:firstRowLastColumn="0" w:lastRowFirstColumn="0" w:lastRowLastColumn="0"/>
              <w:rPr>
                <w:rFonts w:eastAsia="Arial Unicode MS" w:cs="Arial"/>
              </w:rPr>
            </w:pPr>
            <w:r w:rsidRPr="00920C15">
              <w:rPr>
                <w:rFonts w:eastAsia="Arial Unicode MS" w:cs="Arial"/>
              </w:rPr>
              <w:t>Better glucose stability</w:t>
            </w:r>
          </w:p>
        </w:tc>
        <w:tc>
          <w:tcPr>
            <w:tcW w:w="0" w:type="auto"/>
            <w:hideMark/>
          </w:tcPr>
          <w:p w14:paraId="3F7AE9DA"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cnfStyle w:val="000000000000" w:firstRow="0" w:lastRow="0" w:firstColumn="0" w:lastColumn="0" w:oddVBand="0" w:evenVBand="0" w:oddHBand="0" w:evenHBand="0" w:firstRowFirstColumn="0" w:firstRowLastColumn="0" w:lastRowFirstColumn="0" w:lastRowLastColumn="0"/>
              <w:rPr>
                <w:rFonts w:eastAsia="Arial Unicode MS" w:cs="Arial"/>
              </w:rPr>
            </w:pPr>
            <w:r w:rsidRPr="00920C15">
              <w:rPr>
                <w:rFonts w:eastAsia="Arial Unicode MS" w:cs="Arial"/>
              </w:rPr>
              <w:t>Supports outcome analysis</w:t>
            </w:r>
          </w:p>
        </w:tc>
      </w:tr>
    </w:tbl>
    <w:p w14:paraId="6936B415" w14:textId="77777777" w:rsidR="00920C15" w:rsidRPr="00920C15" w:rsidRDefault="00920C15" w:rsidP="00AE4375">
      <w:pPr>
        <w:pStyle w:val="Heading2"/>
      </w:pPr>
      <w:bookmarkStart w:id="47" w:name="_Toc225702912"/>
      <w:r w:rsidRPr="00920C15">
        <w:t>3.4 Research Validation</w:t>
      </w:r>
      <w:bookmarkEnd w:id="47"/>
    </w:p>
    <w:p w14:paraId="72A77632"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 selected sources have been validated in a systematic manner. First, the articles have been scanned based on titles, abstracts, and conclusions to evaluate the relevance within seconds (Saunders, Lewis and Thornhill, 2023). This has made sure that the reviews have only looked at suitable studies.</w:t>
      </w:r>
    </w:p>
    <w:p w14:paraId="1D6E63F0"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Each source has been assessed using the CRAAP test. Currency has been guaranteed through the use of recent publications from 2020-2025. Relevance has been determined in terms of alignment with the CGM technology and management of diabetes. The authority is identified by choosing peer-reviewed journals and identified authors (Bryman, 2015). The accuracy has been determined by analysing the consistency of the data and methodological clarity. Purpose has been taken into consideration to find possible bias.</w:t>
      </w:r>
    </w:p>
    <w:p w14:paraId="2EFCA6C2"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To illustrate this, a study has been incorporated that has been able to give empirical evidence on the effectiveness of CGM and has also been published in a reliable journal. Sources that were not very methodological or credible have been disqualified.</w:t>
      </w:r>
    </w:p>
    <w:p w14:paraId="2D963FA3" w14:textId="77777777" w:rsidR="00920C15" w:rsidRPr="00920C15" w:rsidRDefault="00920C15" w:rsidP="00AE4375">
      <w:pPr>
        <w:pStyle w:val="Heading2"/>
      </w:pPr>
      <w:bookmarkStart w:id="48" w:name="_Toc225702913"/>
      <w:r w:rsidRPr="00920C15">
        <w:t>3.5 Inclusion and Exclusion Criteria</w:t>
      </w:r>
      <w:bookmarkEnd w:id="48"/>
    </w:p>
    <w:p w14:paraId="78141DEA"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There are clear inclusion and exclusion criteria to ensure the quality and focus of the research.</w:t>
      </w:r>
    </w:p>
    <w:p w14:paraId="36CC81B6"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b/>
          <w:bCs/>
        </w:rPr>
        <w:t>Inclusion criteria have included:</w:t>
      </w:r>
    </w:p>
    <w:p w14:paraId="5E98E594" w14:textId="77777777" w:rsidR="00920C15" w:rsidRPr="00920C15" w:rsidRDefault="00920C15" w:rsidP="00920C15">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Peer-reviewed journal articles </w:t>
      </w:r>
    </w:p>
    <w:p w14:paraId="2AAC3D07" w14:textId="77777777" w:rsidR="00920C15" w:rsidRPr="00920C15" w:rsidRDefault="00920C15" w:rsidP="00920C15">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Publications from 2020–2025 </w:t>
      </w:r>
    </w:p>
    <w:p w14:paraId="2CADFC5A" w14:textId="77777777" w:rsidR="00920C15" w:rsidRPr="00920C15" w:rsidRDefault="00920C15" w:rsidP="00920C15">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Studies focused on CGM, Libre, Dexcom, and diabetes management </w:t>
      </w:r>
    </w:p>
    <w:p w14:paraId="29B6D520" w14:textId="77777777" w:rsidR="00920C15" w:rsidRPr="00920C15" w:rsidRDefault="00920C15" w:rsidP="00920C15">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English-language sources </w:t>
      </w:r>
    </w:p>
    <w:p w14:paraId="661AEA97"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b/>
          <w:bCs/>
        </w:rPr>
        <w:t>Exclusion criteria have included:</w:t>
      </w:r>
    </w:p>
    <w:p w14:paraId="31A68503" w14:textId="77777777" w:rsidR="00920C15" w:rsidRPr="00920C15" w:rsidRDefault="00920C15" w:rsidP="00920C15">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Opinion-based articles and blogs </w:t>
      </w:r>
    </w:p>
    <w:p w14:paraId="5C499BFB" w14:textId="77777777" w:rsidR="00920C15" w:rsidRPr="00920C15" w:rsidRDefault="00920C15" w:rsidP="00920C15">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Outdated studies published before 2020 </w:t>
      </w:r>
    </w:p>
    <w:p w14:paraId="0EF1C880" w14:textId="77777777" w:rsidR="00920C15" w:rsidRPr="00920C15" w:rsidRDefault="00920C15" w:rsidP="00920C15">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Non-English sources </w:t>
      </w:r>
    </w:p>
    <w:p w14:paraId="6CA58195" w14:textId="77777777" w:rsidR="00920C15" w:rsidRPr="00920C15" w:rsidRDefault="00920C15" w:rsidP="00920C15">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 xml:space="preserve">Studies not relevant to CGM or home-based care </w:t>
      </w:r>
    </w:p>
    <w:p w14:paraId="24691BFB"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These criteria have ensured that only the relevant, credible and current literature has been included, which has helped in the reliability of the findings.</w:t>
      </w:r>
    </w:p>
    <w:p w14:paraId="6F63208E" w14:textId="77777777" w:rsidR="00920C15" w:rsidRPr="00920C15" w:rsidRDefault="00920C15" w:rsidP="00AE4375">
      <w:pPr>
        <w:pStyle w:val="Heading2"/>
      </w:pPr>
      <w:bookmarkStart w:id="49" w:name="_Toc225702914"/>
      <w:r w:rsidRPr="00920C15">
        <w:t>3.6 Analysing Research</w:t>
      </w:r>
      <w:bookmarkEnd w:id="49"/>
    </w:p>
    <w:p w14:paraId="48E4E684"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lastRenderedPageBreak/>
        <w:t>The literature selected has been analysed using thematic analysis. This has been done through finding patterns, recurrent ideas and major problems in several sources. The first coding has been performed by cursory reading of articles and selecting key concepts that are connected to the research purpose.</w:t>
      </w:r>
    </w:p>
    <w:p w14:paraId="106C2468"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These codes have subsequently been categorised into such broad themes as patient adherence, usability, clinical outcomes, and cost challenges (Braun and Clarke, 2013). This method has enabled the research to determine the association among various findings and produce significant information.</w:t>
      </w:r>
    </w:p>
    <w:p w14:paraId="1FBD6414"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Tables and spreadsheets have been applied to track codes and themes to support the organisation. There is also colour coding, which has been used to group similar findings. Such a systematic approach has enhanced sanity and uniformity in data analysis, which is the basis of the thematic discussion reported in Chapter 4.</w:t>
      </w:r>
    </w:p>
    <w:p w14:paraId="3FB512E1" w14:textId="77777777" w:rsidR="00920C15" w:rsidRPr="00920C15" w:rsidRDefault="00920C15" w:rsidP="00AE4375">
      <w:pPr>
        <w:pStyle w:val="Heading2"/>
      </w:pPr>
      <w:bookmarkStart w:id="50" w:name="_Toc225702915"/>
      <w:r w:rsidRPr="00920C15">
        <w:t>3.7 Ethical Considerations</w:t>
      </w:r>
      <w:bookmarkEnd w:id="50"/>
    </w:p>
    <w:p w14:paraId="20A223BF"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 entire research has been grounded in secondary research; that is, no human subjects have been used to gather primary data. Consequently, there have been few ethical risks.</w:t>
      </w:r>
    </w:p>
    <w:p w14:paraId="07422058"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 issue of academic integrity has been upheld by proper referencing of all sources through the use of the Harvard style. All details are brought out honestly without being misconstrued or biased (Hair, 2007).</w:t>
      </w:r>
    </w:p>
    <w:p w14:paraId="0EDF8E2A"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 researcher has ensured that he or she has chosen valid sources and that the findings are presented in a fair manner. This has made it transparent, reliable, and ethical in the process of research</w:t>
      </w:r>
    </w:p>
    <w:p w14:paraId="315D8B98" w14:textId="77777777" w:rsidR="00920C15" w:rsidRPr="00920C15" w:rsidRDefault="00920C15" w:rsidP="00AE4375">
      <w:pPr>
        <w:pStyle w:val="Heading2"/>
      </w:pPr>
      <w:bookmarkStart w:id="51" w:name="_Toc225702916"/>
      <w:r w:rsidRPr="00920C15">
        <w:t>3.8 Chapter Conclusion</w:t>
      </w:r>
      <w:bookmarkEnd w:id="51"/>
    </w:p>
    <w:p w14:paraId="6CC111BE"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 chapter has presented the procedures of performing the research, such as search strategy, data collection process, methods of data validation and thematic analysis. Structured searching and specification of inclusion criteria have made sure that only good literature is selected.</w:t>
      </w:r>
    </w:p>
    <w:p w14:paraId="45D2A9D3"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r w:rsidRPr="00920C15">
        <w:rPr>
          <w:rFonts w:eastAsia="Arial Unicode MS" w:cs="Arial"/>
        </w:rPr>
        <w:t>Thematic coding has given a methodical approach to the analysis of the data and the determination of the major patterns. Such approaches have developed a solid base for the study. The following chapter will outline and describe the findings in the form of major themes regarding the CGM usage in home-based diabetes management.</w:t>
      </w:r>
    </w:p>
    <w:p w14:paraId="3DC9CA9C" w14:textId="77777777" w:rsidR="00920C15" w:rsidRPr="00920C15" w:rsidRDefault="00920C15" w:rsidP="00920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1F308810" w14:textId="016E9D0A" w:rsidR="00C764A3" w:rsidRPr="00141A69" w:rsidRDefault="00C764A3"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23E07DB2" w14:textId="77777777" w:rsidR="009565F3" w:rsidRPr="00141A69" w:rsidRDefault="009565F3" w:rsidP="00DA52F0">
      <w:pPr>
        <w:mirrorIndents/>
        <w:rPr>
          <w:rFonts w:eastAsia="Arial Unicode MS" w:cs="Arial"/>
        </w:rPr>
      </w:pPr>
    </w:p>
    <w:p w14:paraId="7642CBC2" w14:textId="77777777" w:rsidR="009565F3" w:rsidRPr="00141A69" w:rsidRDefault="009565F3" w:rsidP="00DA52F0">
      <w:pPr>
        <w:mirrorIndents/>
        <w:rPr>
          <w:rFonts w:eastAsia="Arial Unicode MS" w:cs="Arial"/>
        </w:rPr>
      </w:pPr>
    </w:p>
    <w:p w14:paraId="7B8FD738" w14:textId="77777777" w:rsidR="00114BFD" w:rsidRPr="00141A69" w:rsidRDefault="00DB5B20">
      <w:pPr>
        <w:rPr>
          <w:rFonts w:eastAsia="Arial Unicode MS" w:cs="Arial"/>
          <w:b/>
        </w:rPr>
      </w:pPr>
      <w:r w:rsidRPr="00141A69">
        <w:rPr>
          <w:rFonts w:eastAsia="Arial Unicode MS" w:cs="Arial"/>
          <w:b/>
        </w:rPr>
        <w:br w:type="page"/>
      </w:r>
    </w:p>
    <w:p w14:paraId="58408863" w14:textId="77777777" w:rsidR="005C2C7A" w:rsidRPr="00812591" w:rsidRDefault="00DB5B20" w:rsidP="00C9301E">
      <w:pPr>
        <w:pStyle w:val="Heading1"/>
      </w:pPr>
      <w:bookmarkStart w:id="52" w:name="_Toc225702917"/>
      <w:r w:rsidRPr="00812591">
        <w:lastRenderedPageBreak/>
        <w:t xml:space="preserve">CHAPTER </w:t>
      </w:r>
      <w:r w:rsidR="00114BFD">
        <w:t>4</w:t>
      </w:r>
      <w:r w:rsidRPr="00812591">
        <w:t xml:space="preserve">: </w:t>
      </w:r>
      <w:r w:rsidR="00114BFD" w:rsidRPr="00C9301E">
        <w:t>RESULTS</w:t>
      </w:r>
      <w:r w:rsidR="00114BFD">
        <w:t xml:space="preserve"> AND DISCUSSION</w:t>
      </w:r>
      <w:bookmarkEnd w:id="52"/>
    </w:p>
    <w:p w14:paraId="7C8924CB" w14:textId="77777777" w:rsidR="00920C15" w:rsidRPr="00AA3686" w:rsidRDefault="00920C15" w:rsidP="00920C15">
      <w:pPr>
        <w:pStyle w:val="Heading2"/>
      </w:pPr>
      <w:bookmarkStart w:id="53" w:name="_Toc225702918"/>
      <w:r w:rsidRPr="00AA3686">
        <w:t>4.1 Introduction</w:t>
      </w:r>
      <w:bookmarkEnd w:id="53"/>
    </w:p>
    <w:p w14:paraId="34558592" w14:textId="77777777" w:rsidR="00920C15" w:rsidRDefault="00920C15" w:rsidP="00920C15">
      <w:r w:rsidRPr="00F75C2E">
        <w:t xml:space="preserve">This chapter discusses the findings and discussion of the secondary qualitative analysis carried </w:t>
      </w:r>
      <w:r>
        <w:t xml:space="preserve">out </w:t>
      </w:r>
      <w:r w:rsidRPr="00F75C2E">
        <w:t xml:space="preserve">in this study. The results have been formulated in a method of systematic review of scholarly literature, clinical research, and policy publications. Patterns have been observed and analysed using a thematic analysis approach to justify critical analysis. The chapter aims at comparing the effectiveness of means of handling diabetes, self-management, adherence and communication among Libre and Dexcom systems used in </w:t>
      </w:r>
      <w:r>
        <w:t xml:space="preserve">the </w:t>
      </w:r>
      <w:r w:rsidRPr="00F75C2E">
        <w:t>management of diabetes at home. This is in direct response to the general objective of the research. Its discussion structure is structured around some major themes revealed in the analysis process. The themes put forth key areas that may affect CGM effectiveness and patient outcomes. This chapter is divided into three themes</w:t>
      </w:r>
      <w:r>
        <w:t>:</w:t>
      </w:r>
      <w:r w:rsidRPr="00F75C2E">
        <w:t xml:space="preserve"> device usability and features, effects of the device on self-management and glucose control, and these issues</w:t>
      </w:r>
      <w:r>
        <w:t>, such</w:t>
      </w:r>
      <w:r w:rsidRPr="00F75C2E">
        <w:t xml:space="preserve"> as the cost of the device, access to it, and global ethical concerns.</w:t>
      </w:r>
    </w:p>
    <w:p w14:paraId="4FF1F566" w14:textId="77777777" w:rsidR="00920C15" w:rsidRPr="00AA3686" w:rsidRDefault="00920C15" w:rsidP="00920C15">
      <w:pPr>
        <w:pStyle w:val="Heading2"/>
      </w:pPr>
      <w:bookmarkStart w:id="54" w:name="_Toc225702919"/>
      <w:r w:rsidRPr="00AA3686">
        <w:t>4.2 Thematic Analysis</w:t>
      </w:r>
      <w:bookmarkEnd w:id="54"/>
    </w:p>
    <w:p w14:paraId="10602F36" w14:textId="77777777" w:rsidR="00920C15" w:rsidRDefault="00920C15" w:rsidP="00920C15">
      <w:r>
        <w:t xml:space="preserve">The qualitative method of thematic analysis has been employed in order to recognise, discuss and infer patterns within the sampled literature. This strategy has facilitated the categorisation of the bulky amount of secondary data into formidable segments. It entails going through the sources word-by-word, coming up with preliminary </w:t>
      </w:r>
      <w:proofErr w:type="spellStart"/>
      <w:r>
        <w:t>codings</w:t>
      </w:r>
      <w:proofErr w:type="spellEnd"/>
      <w:r>
        <w:t xml:space="preserve"> and classifying the </w:t>
      </w:r>
      <w:proofErr w:type="spellStart"/>
      <w:r>
        <w:t>codings</w:t>
      </w:r>
      <w:proofErr w:type="spellEnd"/>
      <w:r>
        <w:t xml:space="preserve"> into larger topics. This has allowed an organised and systematic method of interpretation of findings.</w:t>
      </w:r>
    </w:p>
    <w:p w14:paraId="54FFE656" w14:textId="77777777" w:rsidR="00920C15" w:rsidRDefault="00920C15" w:rsidP="00920C15">
      <w:r>
        <w:t>The thematic analysis method used in this work involved academic articles and reports that were selected in the search process that was described in Chapter 3. Through intensive reading and coding, key concepts, repeated ideas and relevant findings have been determined. Data has been organised into a results summary table and coding framework, which has promoted transparency in the analysis process.</w:t>
      </w:r>
    </w:p>
    <w:p w14:paraId="78344229" w14:textId="77777777" w:rsidR="00920C15" w:rsidRPr="00AA3686" w:rsidRDefault="00920C15" w:rsidP="00920C15">
      <w:r w:rsidRPr="00F75C2E">
        <w:t xml:space="preserve">In this way, there are three key themes that have been identified. They are the features and usability of the device, self-management and the glycaemic control, the questions concerning cost, access, and ethical issues. These themes form the basis </w:t>
      </w:r>
      <w:r>
        <w:t>of</w:t>
      </w:r>
      <w:r w:rsidRPr="00F75C2E">
        <w:t xml:space="preserve"> the subsequent sections</w:t>
      </w:r>
      <w:r>
        <w:t>,</w:t>
      </w:r>
      <w:r w:rsidRPr="00F75C2E">
        <w:t xml:space="preserve"> where each of the themes is evaluated critically with reference to the research aim and objectives.</w:t>
      </w:r>
    </w:p>
    <w:p w14:paraId="07DB25B2" w14:textId="77777777" w:rsidR="00920C15" w:rsidRPr="00AA3686" w:rsidRDefault="00920C15" w:rsidP="00920C15">
      <w:pPr>
        <w:pStyle w:val="Heading2"/>
      </w:pPr>
      <w:bookmarkStart w:id="55" w:name="_Toc225702920"/>
      <w:r w:rsidRPr="00AA3686">
        <w:t>4.3 Theme 1: Device Features and Usability of Libre and Dexcom</w:t>
      </w:r>
      <w:bookmarkEnd w:id="55"/>
    </w:p>
    <w:p w14:paraId="7D41C872" w14:textId="77777777" w:rsidR="00920C15" w:rsidRDefault="00920C15" w:rsidP="00920C15">
      <w:r>
        <w:t xml:space="preserve">The ease with which users can use a system, access information, and handle the functions of the system is known as device usability. With Continuous Glucose Monitoring (CGM), the usability refers to the design of the devices and the ease of accessing the data, as well as the </w:t>
      </w:r>
      <w:r>
        <w:lastRenderedPageBreak/>
        <w:t>amount of effort that should be put into the monitoring. Libre and Dexcom are different in their design and functionality that has a direct impact on how patients will interact with the systems at home. These disparities matter since usability influences the behaviour of the patient, compliance and eventual efficacy of diabetes management.</w:t>
      </w:r>
    </w:p>
    <w:p w14:paraId="5FB3B2C0" w14:textId="77777777" w:rsidR="00920C15" w:rsidRDefault="00920C15" w:rsidP="00920C15">
      <w:r>
        <w:t xml:space="preserve">The evolution into CGM systems signifies the replacement of the old system of finger-prick tests with digital and continuous monitoring technologies. The previous methods of monitoring were usually painful, uneasy and had low capabilities of real-time insights (Boland et al., 2001; </w:t>
      </w:r>
      <w:proofErr w:type="spellStart"/>
      <w:r>
        <w:t>Tonyushkina</w:t>
      </w:r>
      <w:proofErr w:type="spellEnd"/>
      <w:r>
        <w:t xml:space="preserve"> and Nichols, 2009). This brought difficulty in the efficient management of diabetes. The technical development of CGM has made it more accurate, accessible, and enjoyable, which allows more active disease management (Bender, Vestergaard and Cichosz, 2025). The new technology (Libre and Dexcom) has substituted periodic testing with the application of the data monitoring system constantly, helping to identify insulin changes early (Yoo and Kim, 2023).</w:t>
      </w:r>
    </w:p>
    <w:p w14:paraId="0BDD5AFA" w14:textId="77777777" w:rsidR="00920C15" w:rsidRPr="00AA3686" w:rsidRDefault="00920C15" w:rsidP="00920C15">
      <w:r>
        <w:t>One of the differences between Libre and Dexcom is how they are used and how one interacts with them. This is shown as a comparison below</w:t>
      </w:r>
      <w:r w:rsidRPr="00AA3686">
        <w:t>:</w:t>
      </w:r>
    </w:p>
    <w:p w14:paraId="1E6D36B6" w14:textId="20F80EA3" w:rsidR="00DD27BE" w:rsidRPr="00C779A5" w:rsidRDefault="00DD27BE" w:rsidP="00C779A5">
      <w:pPr>
        <w:pStyle w:val="Caption"/>
        <w:keepNext/>
        <w:spacing w:after="0" w:line="360" w:lineRule="auto"/>
        <w:jc w:val="center"/>
        <w:rPr>
          <w:b/>
          <w:bCs/>
          <w:i w:val="0"/>
          <w:iCs w:val="0"/>
          <w:color w:val="auto"/>
          <w:sz w:val="20"/>
          <w:szCs w:val="20"/>
        </w:rPr>
      </w:pPr>
      <w:bookmarkStart w:id="56" w:name="_Toc225700974"/>
      <w:bookmarkStart w:id="57" w:name="_Toc225702938"/>
      <w:r w:rsidRPr="00C779A5">
        <w:rPr>
          <w:b/>
          <w:bCs/>
          <w:i w:val="0"/>
          <w:iCs w:val="0"/>
          <w:color w:val="auto"/>
          <w:sz w:val="20"/>
          <w:szCs w:val="20"/>
        </w:rPr>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5</w:t>
      </w:r>
      <w:r w:rsidRPr="00C779A5">
        <w:rPr>
          <w:b/>
          <w:bCs/>
          <w:i w:val="0"/>
          <w:iCs w:val="0"/>
          <w:color w:val="auto"/>
          <w:sz w:val="20"/>
          <w:szCs w:val="20"/>
        </w:rPr>
        <w:fldChar w:fldCharType="end"/>
      </w:r>
      <w:r w:rsidRPr="00C779A5">
        <w:rPr>
          <w:b/>
          <w:bCs/>
          <w:i w:val="0"/>
          <w:iCs w:val="0"/>
          <w:color w:val="auto"/>
          <w:sz w:val="20"/>
          <w:szCs w:val="20"/>
        </w:rPr>
        <w:t xml:space="preserve"> Comparison of Key Features Between Libre and Dexcom CGM Systems</w:t>
      </w:r>
      <w:bookmarkEnd w:id="56"/>
      <w:bookmarkEnd w:id="57"/>
    </w:p>
    <w:tbl>
      <w:tblPr>
        <w:tblStyle w:val="PlainTable1"/>
        <w:tblW w:w="5000" w:type="pct"/>
        <w:tblLook w:val="04A0" w:firstRow="1" w:lastRow="0" w:firstColumn="1" w:lastColumn="0" w:noHBand="0" w:noVBand="1"/>
      </w:tblPr>
      <w:tblGrid>
        <w:gridCol w:w="1981"/>
        <w:gridCol w:w="3200"/>
        <w:gridCol w:w="3835"/>
      </w:tblGrid>
      <w:tr w:rsidR="00920C15" w:rsidRPr="00AA3686" w14:paraId="00BC5196" w14:textId="77777777" w:rsidTr="00253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 w:type="pct"/>
            <w:hideMark/>
          </w:tcPr>
          <w:p w14:paraId="45F7D986" w14:textId="77777777" w:rsidR="00920C15" w:rsidRPr="00AA3686" w:rsidRDefault="00920C15" w:rsidP="002531F6">
            <w:r w:rsidRPr="00AA3686">
              <w:t>Feature</w:t>
            </w:r>
          </w:p>
        </w:tc>
        <w:tc>
          <w:tcPr>
            <w:tcW w:w="1774" w:type="pct"/>
            <w:hideMark/>
          </w:tcPr>
          <w:p w14:paraId="5060C611"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Libre</w:t>
            </w:r>
          </w:p>
        </w:tc>
        <w:tc>
          <w:tcPr>
            <w:tcW w:w="2127" w:type="pct"/>
            <w:hideMark/>
          </w:tcPr>
          <w:p w14:paraId="2B9B5298"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Dexcom</w:t>
            </w:r>
          </w:p>
        </w:tc>
      </w:tr>
      <w:tr w:rsidR="00920C15" w:rsidRPr="00AA3686" w14:paraId="0EB481B4"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 w:type="pct"/>
            <w:hideMark/>
          </w:tcPr>
          <w:p w14:paraId="53929C17" w14:textId="77777777" w:rsidR="00920C15" w:rsidRPr="00AA3686" w:rsidRDefault="00920C15" w:rsidP="002531F6">
            <w:r w:rsidRPr="00AA3686">
              <w:t>Data collection</w:t>
            </w:r>
          </w:p>
        </w:tc>
        <w:tc>
          <w:tcPr>
            <w:tcW w:w="1774" w:type="pct"/>
            <w:hideMark/>
          </w:tcPr>
          <w:p w14:paraId="3A7B0BD4"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Scan-based (flash system)</w:t>
            </w:r>
          </w:p>
        </w:tc>
        <w:tc>
          <w:tcPr>
            <w:tcW w:w="2127" w:type="pct"/>
            <w:hideMark/>
          </w:tcPr>
          <w:p w14:paraId="1D81916B"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Continuous real-time monitoring</w:t>
            </w:r>
          </w:p>
        </w:tc>
      </w:tr>
      <w:tr w:rsidR="00920C15" w:rsidRPr="00AA3686" w14:paraId="51D28A48" w14:textId="77777777" w:rsidTr="002531F6">
        <w:tc>
          <w:tcPr>
            <w:cnfStyle w:val="001000000000" w:firstRow="0" w:lastRow="0" w:firstColumn="1" w:lastColumn="0" w:oddVBand="0" w:evenVBand="0" w:oddHBand="0" w:evenHBand="0" w:firstRowFirstColumn="0" w:firstRowLastColumn="0" w:lastRowFirstColumn="0" w:lastRowLastColumn="0"/>
            <w:tcW w:w="1098" w:type="pct"/>
            <w:hideMark/>
          </w:tcPr>
          <w:p w14:paraId="3DE082F9" w14:textId="77777777" w:rsidR="00920C15" w:rsidRPr="00AA3686" w:rsidRDefault="00920C15" w:rsidP="002531F6">
            <w:r w:rsidRPr="00AA3686">
              <w:t>Alerts</w:t>
            </w:r>
          </w:p>
        </w:tc>
        <w:tc>
          <w:tcPr>
            <w:tcW w:w="1774" w:type="pct"/>
            <w:hideMark/>
          </w:tcPr>
          <w:p w14:paraId="690D6737"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r w:rsidRPr="00AA3686">
              <w:t>Limited alerts</w:t>
            </w:r>
          </w:p>
        </w:tc>
        <w:tc>
          <w:tcPr>
            <w:tcW w:w="2127" w:type="pct"/>
            <w:hideMark/>
          </w:tcPr>
          <w:p w14:paraId="423DA43D"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r w:rsidRPr="00AA3686">
              <w:t>Automatic continuous alerts</w:t>
            </w:r>
          </w:p>
        </w:tc>
      </w:tr>
      <w:tr w:rsidR="00920C15" w:rsidRPr="00AA3686" w14:paraId="3B44D9B1"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 w:type="pct"/>
            <w:hideMark/>
          </w:tcPr>
          <w:p w14:paraId="150FC8FF" w14:textId="77777777" w:rsidR="00920C15" w:rsidRPr="00AA3686" w:rsidRDefault="00920C15" w:rsidP="002531F6">
            <w:r w:rsidRPr="00AA3686">
              <w:t>Ease of use</w:t>
            </w:r>
          </w:p>
        </w:tc>
        <w:tc>
          <w:tcPr>
            <w:tcW w:w="1774" w:type="pct"/>
            <w:hideMark/>
          </w:tcPr>
          <w:p w14:paraId="199E9423"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Simple and user-controlled</w:t>
            </w:r>
          </w:p>
        </w:tc>
        <w:tc>
          <w:tcPr>
            <w:tcW w:w="2127" w:type="pct"/>
            <w:hideMark/>
          </w:tcPr>
          <w:p w14:paraId="73A5D0B6"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Advanced and automated</w:t>
            </w:r>
          </w:p>
        </w:tc>
      </w:tr>
    </w:tbl>
    <w:p w14:paraId="5B6033A4" w14:textId="77777777" w:rsidR="00920C15" w:rsidRDefault="00920C15" w:rsidP="00920C15">
      <w:r>
        <w:t>Libre expects a user to scan the sensor to get glucose readings, whereas Dexcom offers real-time and continuous transmission with automatic transmission (Edward and Priefer, 2023). Dexcom also provides predictive alerts of high and low glucose levels, which might enhance safety. Repost Libre, on the other hand, is deemed less complex and easier, thus it serves users with less digital confidence.</w:t>
      </w:r>
    </w:p>
    <w:p w14:paraId="14A9FA57" w14:textId="77777777" w:rsidR="00920C15" w:rsidRDefault="00920C15" w:rsidP="00920C15">
      <w:r>
        <w:t>To explain such differences in usability, the Technology Acceptance Model (TAM) is also a helpful framework. TAM asserts that the perceived ease of use and perceived usefulness are the determinants of adoption of a technology (Rahimi et al., 2018). Patients tend to be more willing to use CGM systems when they consider them simple to use and the ones helpful in controlling the condition. Ahmad et al. (2020) discovered that ease of use is a major factor influencing the sustained use of digital devices in health among elderly patients. Equally, Hossain et al. (2021) revealed that the experience with a user-friendly interface and automated services leads to increased user engagement and implementation in the long run. In that regard, Dexcom can be seen as more helpful because it is characterised by automation, and Libre can be seen as easier by its simplicity.</w:t>
      </w:r>
    </w:p>
    <w:p w14:paraId="57F59453" w14:textId="77777777" w:rsidR="00920C15" w:rsidRDefault="00920C15" w:rsidP="00920C15">
      <w:r>
        <w:t xml:space="preserve">The literature shows that usability is relevant in designing the patient experience. Edward and </w:t>
      </w:r>
      <w:r>
        <w:lastRenderedPageBreak/>
        <w:t>Priefer (2023) pointed out that both Libre and Dexcom enhance the monitoring of glucose, with some differences in preference depending on the style of interaction. Bitomsky et al. (2025) discovered that patient satisfaction and engagement are enhanced through the use of digital health tools which have user-friendly dashboards and alerts. Nonetheless, Lopez et al. (2023) referred to digital literacy as one of the barriers, especially in older adults and the disadvantaged. The effectiveness of CGM systems might be diminished by patients who have lesser digital skills and hence are not able to interpret the data or use the advanced features of the CGM systems.</w:t>
      </w:r>
    </w:p>
    <w:p w14:paraId="03482141" w14:textId="77777777" w:rsidR="00920C15" w:rsidRDefault="00920C15" w:rsidP="00920C15">
      <w:r>
        <w:t>This difference in usability points to the fact that the CGM technology is not beneficial to every user. The age, education, and level of digital literacy also have an impact on the interaction of devices between patients. Shi et al. (2024) have highlighted that older people tend to be challenged by the use of digital health-related technologies, whereby they lack familiarity and confidence. It can be implied that although Dexcom can be rather advanced, it can also present some difficulties to a specific group of users. On the other hand, simplicity in Libre can enhance accessibility, but needs to be actively used via scanning the interface with monitoring.</w:t>
      </w:r>
    </w:p>
    <w:p w14:paraId="013059B6" w14:textId="77777777" w:rsidR="00920C15" w:rsidRDefault="00920C15" w:rsidP="00920C15">
      <w:r>
        <w:t>The impact of these results is both good and bad. On the upside, increased usability has increased the participation of patients and made glucose monitoring easier. Responding to the variation in glucose levels in seconds helps patients to manage themselves better because continuous access to data is available (Yoo and Kim, 2023). The frequency of the clinic visit is also minimised with the use of these systems, enhancing independence and additional quality of life (Lau, 2015).</w:t>
      </w:r>
    </w:p>
    <w:p w14:paraId="36EE5D35" w14:textId="77777777" w:rsidR="00920C15" w:rsidRDefault="00920C15" w:rsidP="00920C15">
      <w:r>
        <w:t>But the limitations are also present. Some of the users would find Dexcom confusing, especially those who are not that digitally savvy. The resulting information overload might be due to the constant flow of information and warning signs, making usability less convenient (Lopez et al., 2023). Conversely, through manual scanning, Libre can decrease compliance because users can forget or even neglect to scan frequently (Edward and Priefer, 2023). These restrictions point out that usability does not merely focus on design but on the interaction of the user with the system in real-life situations.</w:t>
      </w:r>
    </w:p>
    <w:p w14:paraId="717A8CAB" w14:textId="77777777" w:rsidR="00920C15" w:rsidRDefault="00920C15" w:rsidP="00920C15">
      <w:r>
        <w:t>Theoretically, usability is strongly tied to the decision-making and behaviour of patients. According to the model of Health Belief, patients tend to be more willing to use healthcare technologies when they see definite positive effects and minimal barriers (</w:t>
      </w:r>
      <w:proofErr w:type="spellStart"/>
      <w:r>
        <w:t>Alyafei</w:t>
      </w:r>
      <w:proofErr w:type="spellEnd"/>
      <w:r>
        <w:t xml:space="preserve"> and Carr, 2024). Here, venture perceptions are minimised by the ease of use and enhanced by real-time data. Nevertheless, in cases of complicated gadgets, patients might tune out, thus limiting their performance.</w:t>
      </w:r>
    </w:p>
    <w:p w14:paraId="057361BA" w14:textId="77777777" w:rsidR="00920C15" w:rsidRDefault="00920C15" w:rsidP="00920C15">
      <w:r>
        <w:t xml:space="preserve">The conclusions of this theme are directly applicable to the research purpose, as usability has a vital role in enhancing self-care and adherence. Unless patients are able to apply CGM </w:t>
      </w:r>
      <w:r>
        <w:lastRenderedPageBreak/>
        <w:t>systems successfully, the potential benefits of the continuous monitoring cannot be realised. Thus, usability is one of the determinants of the success of home-based diabetes management.</w:t>
      </w:r>
    </w:p>
    <w:p w14:paraId="3678DBBC" w14:textId="77777777" w:rsidR="00920C15" w:rsidRPr="00AA3686" w:rsidRDefault="00920C15" w:rsidP="00920C15">
      <w:r>
        <w:t>This theme is also related closely related to other themes that are identified in this study. True to Theme 2, usability will impact adherence and behaviour of patients. Simultaneously, aspects such as cost, access, and digital inequality influence usability and are addressed in Theme 3. These interconnections point out the complexity of CGM adoption and the necessity to have a holistic approach towards enhancing diabetes care.</w:t>
      </w:r>
    </w:p>
    <w:p w14:paraId="559299DB" w14:textId="77777777" w:rsidR="00920C15" w:rsidRPr="00AA3686" w:rsidRDefault="00920C15" w:rsidP="00920C15">
      <w:pPr>
        <w:pStyle w:val="Heading2"/>
      </w:pPr>
      <w:bookmarkStart w:id="58" w:name="_Toc225702921"/>
      <w:r w:rsidRPr="00AA3686">
        <w:t>4.4 Theme 2: Impact on Self-Management and Glycaemic Control</w:t>
      </w:r>
      <w:bookmarkEnd w:id="58"/>
    </w:p>
    <w:p w14:paraId="7425493C" w14:textId="77777777" w:rsidR="00920C15" w:rsidRDefault="00920C15" w:rsidP="00920C15">
      <w:r>
        <w:t>Self-management is a characteristic by which patients can gain control over their situation by making daily decisions, monitoring, and adjusting behaviours. Glycaemic control can be described as the maintenance of normal glucose levels in the blood, which is within a safe range to avoid complications. The two concepts are core in diabetes care in that good self-management has a direct effect on the long-term health outcome. One area is used to monitor Diabetic levels of Glycogen and the other to monitor Diabetic Ketones (Diabetic Ketoacidosis) by having Continuous Glucose Monitors (CGMs) like Libre and Dexcom, which show real-time data to their users.</w:t>
      </w:r>
    </w:p>
    <w:p w14:paraId="55778B77" w14:textId="77777777" w:rsidR="00920C15" w:rsidRDefault="00920C15" w:rsidP="00920C15">
      <w:r>
        <w:t>The significance of frequent glucose checks has been greatly considered in the management of diabetes. As Hossain, Al-Mamun and Islam (2024) emphasised, diabetes is an increasing international health concern, which needs constant monitoring to avoid complications. It has been noted that poor glycaemic control is related to severe health risks such as cardiovascular disease, neuropathy, and organ damage (Wu et al., 2022). The conventional systems of monitoring do not usually detect the changes in glucose levels, and hence, they are unable to manage the glucose levels effectively. In comparison, CGM systems offer ongoing insights, which give the patients the opportunity to respond rapidly to changes and have better control.</w:t>
      </w:r>
    </w:p>
    <w:p w14:paraId="662E3A0E" w14:textId="77777777" w:rsidR="00920C15" w:rsidRPr="00AA3686" w:rsidRDefault="00920C15" w:rsidP="00920C15">
      <w:r>
        <w:t xml:space="preserve">The clinical evidence is very strong on the effectiveness of CGM systems in the field of enhancing glycaemic control. </w:t>
      </w:r>
      <w:proofErr w:type="spellStart"/>
      <w:r>
        <w:t>Chehregosha</w:t>
      </w:r>
      <w:proofErr w:type="spellEnd"/>
      <w:r>
        <w:t xml:space="preserve"> et al. (2019) discovered that the use of CGM is able to lower HbA1c levels by 0.6 units compared to conventional monitoring methods. On the same note, </w:t>
      </w:r>
      <w:proofErr w:type="spellStart"/>
      <w:r>
        <w:t>Rodbard</w:t>
      </w:r>
      <w:proofErr w:type="spellEnd"/>
      <w:r>
        <w:t xml:space="preserve"> (2017) noted that there were major decreases in the number of hypoglycaemic episodes in patients using CGM, which enhances patient safety. It was also shown that CGM systems improve the stability of glucose by offering constant feedback and allowing prompt responses (Yoo and Kim 2023). These findings indicate that CGM technology is important in enhancing clinical outcomes.</w:t>
      </w:r>
    </w:p>
    <w:p w14:paraId="227BA09F" w14:textId="1317437F" w:rsidR="00DD27BE" w:rsidRPr="00C779A5" w:rsidRDefault="00DD27BE" w:rsidP="00C779A5">
      <w:pPr>
        <w:pStyle w:val="Caption"/>
        <w:keepNext/>
        <w:spacing w:after="0" w:line="360" w:lineRule="auto"/>
        <w:jc w:val="center"/>
        <w:rPr>
          <w:b/>
          <w:bCs/>
          <w:i w:val="0"/>
          <w:iCs w:val="0"/>
          <w:color w:val="auto"/>
          <w:sz w:val="20"/>
          <w:szCs w:val="20"/>
        </w:rPr>
      </w:pPr>
      <w:bookmarkStart w:id="59" w:name="_Toc225700975"/>
      <w:bookmarkStart w:id="60" w:name="_Toc225702939"/>
      <w:r w:rsidRPr="00C779A5">
        <w:rPr>
          <w:b/>
          <w:bCs/>
          <w:i w:val="0"/>
          <w:iCs w:val="0"/>
          <w:color w:val="auto"/>
          <w:sz w:val="20"/>
          <w:szCs w:val="20"/>
        </w:rPr>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6</w:t>
      </w:r>
      <w:r w:rsidRPr="00C779A5">
        <w:rPr>
          <w:b/>
          <w:bCs/>
          <w:i w:val="0"/>
          <w:iCs w:val="0"/>
          <w:color w:val="auto"/>
          <w:sz w:val="20"/>
          <w:szCs w:val="20"/>
        </w:rPr>
        <w:fldChar w:fldCharType="end"/>
      </w:r>
      <w:r w:rsidRPr="00C779A5">
        <w:rPr>
          <w:b/>
          <w:bCs/>
          <w:i w:val="0"/>
          <w:iCs w:val="0"/>
          <w:color w:val="auto"/>
          <w:sz w:val="20"/>
          <w:szCs w:val="20"/>
        </w:rPr>
        <w:t xml:space="preserve"> Clinical Outcomes Associated with CGM Use in Diabetes Management</w:t>
      </w:r>
      <w:bookmarkEnd w:id="59"/>
      <w:bookmarkEnd w:id="60"/>
    </w:p>
    <w:tbl>
      <w:tblPr>
        <w:tblStyle w:val="PlainTable1"/>
        <w:tblW w:w="5000" w:type="pct"/>
        <w:tblLook w:val="04A0" w:firstRow="1" w:lastRow="0" w:firstColumn="1" w:lastColumn="0" w:noHBand="0" w:noVBand="1"/>
      </w:tblPr>
      <w:tblGrid>
        <w:gridCol w:w="3095"/>
        <w:gridCol w:w="2854"/>
        <w:gridCol w:w="3067"/>
      </w:tblGrid>
      <w:tr w:rsidR="00920C15" w:rsidRPr="00AA3686" w14:paraId="4057C46F" w14:textId="77777777" w:rsidTr="00253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pct"/>
            <w:hideMark/>
          </w:tcPr>
          <w:p w14:paraId="16762586" w14:textId="77777777" w:rsidR="00920C15" w:rsidRPr="00AA3686" w:rsidRDefault="00920C15" w:rsidP="002531F6">
            <w:r w:rsidRPr="00AA3686">
              <w:t>Outcome</w:t>
            </w:r>
          </w:p>
        </w:tc>
        <w:tc>
          <w:tcPr>
            <w:tcW w:w="1583" w:type="pct"/>
            <w:hideMark/>
          </w:tcPr>
          <w:p w14:paraId="4D8A3183"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Evidence</w:t>
            </w:r>
          </w:p>
        </w:tc>
        <w:tc>
          <w:tcPr>
            <w:tcW w:w="1701" w:type="pct"/>
            <w:hideMark/>
          </w:tcPr>
          <w:p w14:paraId="499A5265"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Impact</w:t>
            </w:r>
          </w:p>
        </w:tc>
      </w:tr>
      <w:tr w:rsidR="00920C15" w:rsidRPr="00AA3686" w14:paraId="1446A467"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pct"/>
            <w:hideMark/>
          </w:tcPr>
          <w:p w14:paraId="0217A4B4" w14:textId="77777777" w:rsidR="00920C15" w:rsidRPr="00AA3686" w:rsidRDefault="00920C15" w:rsidP="002531F6">
            <w:r w:rsidRPr="00AA3686">
              <w:t>HbA1c reduction</w:t>
            </w:r>
          </w:p>
        </w:tc>
        <w:tc>
          <w:tcPr>
            <w:tcW w:w="1583" w:type="pct"/>
            <w:hideMark/>
          </w:tcPr>
          <w:p w14:paraId="601640B7"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proofErr w:type="spellStart"/>
            <w:r w:rsidRPr="00AA3686">
              <w:t>Chehregosha</w:t>
            </w:r>
            <w:proofErr w:type="spellEnd"/>
            <w:r w:rsidRPr="00AA3686">
              <w:t xml:space="preserve"> et al. (2019)</w:t>
            </w:r>
          </w:p>
        </w:tc>
        <w:tc>
          <w:tcPr>
            <w:tcW w:w="1701" w:type="pct"/>
            <w:hideMark/>
          </w:tcPr>
          <w:p w14:paraId="50BD9695"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Improved long-term control</w:t>
            </w:r>
          </w:p>
        </w:tc>
      </w:tr>
      <w:tr w:rsidR="00920C15" w:rsidRPr="00AA3686" w14:paraId="3AC283E6" w14:textId="77777777" w:rsidTr="002531F6">
        <w:tc>
          <w:tcPr>
            <w:cnfStyle w:val="001000000000" w:firstRow="0" w:lastRow="0" w:firstColumn="1" w:lastColumn="0" w:oddVBand="0" w:evenVBand="0" w:oddHBand="0" w:evenHBand="0" w:firstRowFirstColumn="0" w:firstRowLastColumn="0" w:lastRowFirstColumn="0" w:lastRowLastColumn="0"/>
            <w:tcW w:w="1716" w:type="pct"/>
            <w:hideMark/>
          </w:tcPr>
          <w:p w14:paraId="751DC7D3" w14:textId="77777777" w:rsidR="00920C15" w:rsidRPr="00AA3686" w:rsidRDefault="00920C15" w:rsidP="002531F6">
            <w:r w:rsidRPr="00AA3686">
              <w:lastRenderedPageBreak/>
              <w:t>Reduced hypoglycaemia</w:t>
            </w:r>
          </w:p>
        </w:tc>
        <w:tc>
          <w:tcPr>
            <w:tcW w:w="1583" w:type="pct"/>
            <w:hideMark/>
          </w:tcPr>
          <w:p w14:paraId="1287E3A4"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proofErr w:type="spellStart"/>
            <w:r w:rsidRPr="00AA3686">
              <w:t>Rodbard</w:t>
            </w:r>
            <w:proofErr w:type="spellEnd"/>
            <w:r w:rsidRPr="00AA3686">
              <w:t xml:space="preserve"> (2017)</w:t>
            </w:r>
          </w:p>
        </w:tc>
        <w:tc>
          <w:tcPr>
            <w:tcW w:w="1701" w:type="pct"/>
            <w:hideMark/>
          </w:tcPr>
          <w:p w14:paraId="0234B2F8"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r w:rsidRPr="00AA3686">
              <w:t>Increased safety</w:t>
            </w:r>
          </w:p>
        </w:tc>
      </w:tr>
      <w:tr w:rsidR="00920C15" w:rsidRPr="00AA3686" w14:paraId="42987E65"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pct"/>
            <w:hideMark/>
          </w:tcPr>
          <w:p w14:paraId="534AE40D" w14:textId="77777777" w:rsidR="00920C15" w:rsidRPr="00AA3686" w:rsidRDefault="00920C15" w:rsidP="002531F6">
            <w:r w:rsidRPr="00AA3686">
              <w:t>Improved glucose stability</w:t>
            </w:r>
          </w:p>
        </w:tc>
        <w:tc>
          <w:tcPr>
            <w:tcW w:w="1583" w:type="pct"/>
            <w:hideMark/>
          </w:tcPr>
          <w:p w14:paraId="7B1B9ADD"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Yoo and Kim (2023)</w:t>
            </w:r>
          </w:p>
        </w:tc>
        <w:tc>
          <w:tcPr>
            <w:tcW w:w="1701" w:type="pct"/>
            <w:hideMark/>
          </w:tcPr>
          <w:p w14:paraId="6D110FD0"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Better daily management</w:t>
            </w:r>
          </w:p>
        </w:tc>
      </w:tr>
    </w:tbl>
    <w:p w14:paraId="6F35CED1" w14:textId="77777777" w:rsidR="00920C15" w:rsidRDefault="00920C15" w:rsidP="00920C15">
      <w:r>
        <w:t xml:space="preserve">CGM systems influence patients in a heavy behavioural way, in addition to clinical results. Ahmad and Joshi (2023) also highlighted that no diabetes management could be effective without self-care practises. This is facilitated by CGM systems with real-time feedback that enables the patient to know the impacts of various lifestyle factors contributing to glucose levels, like diet and exercise. Zhu et al. (2022) established that persistent monitoring helps monitor the treatment plans since patients pay more attention to their health. </w:t>
      </w:r>
      <w:proofErr w:type="spellStart"/>
      <w:r>
        <w:t>Puzhakkal</w:t>
      </w:r>
      <w:proofErr w:type="spellEnd"/>
      <w:r>
        <w:t xml:space="preserve"> et al. (2025) added that continuous learning and adapting to it is self-management, which is facilitated by digital health technologies like CGM.</w:t>
      </w:r>
    </w:p>
    <w:p w14:paraId="7E4C17DD" w14:textId="77777777" w:rsidR="00920C15" w:rsidRDefault="00920C15" w:rsidP="00920C15">
      <w:r>
        <w:t>Real-time feedback is the most important mechanism that leads to this enhancement. CGM systems give real-time data on the level of glucose, which enables patients to make informed choices. The resulting feedback loop gains a continuous modulation of behaviour, using data. This leads to the patients gaining more strength in self-management and confidence in dealing with their condition.</w:t>
      </w:r>
    </w:p>
    <w:p w14:paraId="483C87E0" w14:textId="77777777" w:rsidR="00920C15" w:rsidRDefault="00920C15" w:rsidP="00920C15">
      <w:r>
        <w:t>Theoretically, Self-Management Theory demonstrates how the CGM systems enhance patient outcomes. Ryan and Sawin (2009) hold that effective self-management includes the act of monitoring, decision-making, and behavioural modification. All these processes are supported by CGM, which gives fluid feedback and data. This will enable patients to be more self-reliant and take care of themselves.</w:t>
      </w:r>
    </w:p>
    <w:p w14:paraId="55356953" w14:textId="77777777" w:rsidR="00920C15" w:rsidRDefault="00920C15" w:rsidP="00920C15">
      <w:r>
        <w:t>The issues of patient behaviour also relate to the CGM use, which can be explained using the Health Belief Model (HBM). According to Alyafei and Carr (2024), patients have stronger-perceived benefits of action and a high-risk perception of complications, which leads them to engage in health behaviours more often. CGM systems raise perception of varying glucose, and this enhances perception of risk, stimulating behaviour to monitor glucose. Nevertheless, obstacles like expenses, complexity, and data overload can mitigate compliance, which points to the weakness of technology-driven interventions.</w:t>
      </w:r>
    </w:p>
    <w:p w14:paraId="7D1683E5" w14:textId="77777777" w:rsidR="00920C15" w:rsidRPr="00AA3686" w:rsidRDefault="00920C15" w:rsidP="00920C15">
      <w:r>
        <w:t xml:space="preserve">An evaluation of Libre and Dexcom allows noting that the systems have distinctions in their effect on self-management. To record the sensor, it is necessary to scan it manually, which can inspire users to actively work with glucose monitoring (Libre). This could facilitate increased self-care behaviour. Contrary to that, </w:t>
      </w:r>
      <w:proofErr w:type="spellStart"/>
      <w:r>
        <w:t>Dexcomp</w:t>
      </w:r>
      <w:proofErr w:type="spellEnd"/>
      <w:r>
        <w:t xml:space="preserve"> offers continuous automatic data and notifications, which makes it possible to passively monitor. This has the ability to enhance the consistency and minimise the chances of missed readings.</w:t>
      </w:r>
    </w:p>
    <w:p w14:paraId="424DD54C" w14:textId="0520F0C8" w:rsidR="00DD27BE" w:rsidRPr="00C779A5" w:rsidRDefault="00DD27BE" w:rsidP="00C779A5">
      <w:pPr>
        <w:pStyle w:val="Caption"/>
        <w:keepNext/>
        <w:spacing w:after="0" w:line="360" w:lineRule="auto"/>
        <w:jc w:val="center"/>
        <w:rPr>
          <w:b/>
          <w:bCs/>
          <w:i w:val="0"/>
          <w:iCs w:val="0"/>
          <w:color w:val="auto"/>
          <w:sz w:val="20"/>
          <w:szCs w:val="20"/>
        </w:rPr>
      </w:pPr>
      <w:bookmarkStart w:id="61" w:name="_Toc225700976"/>
      <w:bookmarkStart w:id="62" w:name="_Toc225702940"/>
      <w:r w:rsidRPr="00C779A5">
        <w:rPr>
          <w:b/>
          <w:bCs/>
          <w:i w:val="0"/>
          <w:iCs w:val="0"/>
          <w:color w:val="auto"/>
          <w:sz w:val="20"/>
          <w:szCs w:val="20"/>
        </w:rPr>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7</w:t>
      </w:r>
      <w:r w:rsidRPr="00C779A5">
        <w:rPr>
          <w:b/>
          <w:bCs/>
          <w:i w:val="0"/>
          <w:iCs w:val="0"/>
          <w:color w:val="auto"/>
          <w:sz w:val="20"/>
          <w:szCs w:val="20"/>
        </w:rPr>
        <w:fldChar w:fldCharType="end"/>
      </w:r>
      <w:r w:rsidRPr="00C779A5">
        <w:rPr>
          <w:b/>
          <w:bCs/>
          <w:i w:val="0"/>
          <w:iCs w:val="0"/>
          <w:color w:val="auto"/>
          <w:sz w:val="20"/>
          <w:szCs w:val="20"/>
        </w:rPr>
        <w:t xml:space="preserve"> Behavioural Impact of Monitoring Styles in Libre and Dexcom Systems</w:t>
      </w:r>
      <w:bookmarkEnd w:id="61"/>
      <w:bookmarkEnd w:id="62"/>
    </w:p>
    <w:tbl>
      <w:tblPr>
        <w:tblStyle w:val="PlainTable1"/>
        <w:tblW w:w="5000" w:type="pct"/>
        <w:tblLook w:val="04A0" w:firstRow="1" w:lastRow="0" w:firstColumn="1" w:lastColumn="0" w:noHBand="0" w:noVBand="1"/>
      </w:tblPr>
      <w:tblGrid>
        <w:gridCol w:w="1428"/>
        <w:gridCol w:w="3224"/>
        <w:gridCol w:w="4364"/>
      </w:tblGrid>
      <w:tr w:rsidR="00920C15" w:rsidRPr="00AA3686" w14:paraId="1C9E3FE8" w14:textId="77777777" w:rsidTr="00253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pct"/>
            <w:hideMark/>
          </w:tcPr>
          <w:p w14:paraId="63CED3DD" w14:textId="77777777" w:rsidR="00920C15" w:rsidRPr="00AA3686" w:rsidRDefault="00920C15" w:rsidP="002531F6">
            <w:r w:rsidRPr="00AA3686">
              <w:t>System</w:t>
            </w:r>
          </w:p>
        </w:tc>
        <w:tc>
          <w:tcPr>
            <w:tcW w:w="1788" w:type="pct"/>
            <w:hideMark/>
          </w:tcPr>
          <w:p w14:paraId="10A29FE0"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Monitoring Style</w:t>
            </w:r>
          </w:p>
        </w:tc>
        <w:tc>
          <w:tcPr>
            <w:tcW w:w="2420" w:type="pct"/>
            <w:hideMark/>
          </w:tcPr>
          <w:p w14:paraId="49DC1F01"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Behavioural Impact</w:t>
            </w:r>
          </w:p>
        </w:tc>
      </w:tr>
      <w:tr w:rsidR="00920C15" w:rsidRPr="00AA3686" w14:paraId="6770F3C9"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pct"/>
            <w:hideMark/>
          </w:tcPr>
          <w:p w14:paraId="7E067940" w14:textId="77777777" w:rsidR="00920C15" w:rsidRPr="00AA3686" w:rsidRDefault="00920C15" w:rsidP="002531F6">
            <w:r w:rsidRPr="00AA3686">
              <w:t>Libre</w:t>
            </w:r>
          </w:p>
        </w:tc>
        <w:tc>
          <w:tcPr>
            <w:tcW w:w="1788" w:type="pct"/>
            <w:hideMark/>
          </w:tcPr>
          <w:p w14:paraId="59668183"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Manual scanning</w:t>
            </w:r>
          </w:p>
        </w:tc>
        <w:tc>
          <w:tcPr>
            <w:tcW w:w="2420" w:type="pct"/>
            <w:hideMark/>
          </w:tcPr>
          <w:p w14:paraId="4C8362C5"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Encourages active engagement</w:t>
            </w:r>
          </w:p>
        </w:tc>
      </w:tr>
      <w:tr w:rsidR="00920C15" w:rsidRPr="00AA3686" w14:paraId="37CF6BAC" w14:textId="77777777" w:rsidTr="002531F6">
        <w:tc>
          <w:tcPr>
            <w:cnfStyle w:val="001000000000" w:firstRow="0" w:lastRow="0" w:firstColumn="1" w:lastColumn="0" w:oddVBand="0" w:evenVBand="0" w:oddHBand="0" w:evenHBand="0" w:firstRowFirstColumn="0" w:firstRowLastColumn="0" w:lastRowFirstColumn="0" w:lastRowLastColumn="0"/>
            <w:tcW w:w="792" w:type="pct"/>
            <w:hideMark/>
          </w:tcPr>
          <w:p w14:paraId="73454626" w14:textId="77777777" w:rsidR="00920C15" w:rsidRPr="00AA3686" w:rsidRDefault="00920C15" w:rsidP="002531F6">
            <w:r w:rsidRPr="00AA3686">
              <w:lastRenderedPageBreak/>
              <w:t>Dexcom</w:t>
            </w:r>
          </w:p>
        </w:tc>
        <w:tc>
          <w:tcPr>
            <w:tcW w:w="1788" w:type="pct"/>
            <w:hideMark/>
          </w:tcPr>
          <w:p w14:paraId="43A121BB"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r w:rsidRPr="00AA3686">
              <w:t>Automatic monitoring</w:t>
            </w:r>
          </w:p>
        </w:tc>
        <w:tc>
          <w:tcPr>
            <w:tcW w:w="2420" w:type="pct"/>
            <w:hideMark/>
          </w:tcPr>
          <w:p w14:paraId="1797DB94"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r w:rsidRPr="00AA3686">
              <w:t>Improves consistency</w:t>
            </w:r>
          </w:p>
        </w:tc>
      </w:tr>
    </w:tbl>
    <w:p w14:paraId="2B627416" w14:textId="77777777" w:rsidR="00920C15" w:rsidRDefault="00920C15" w:rsidP="00920C15">
      <w:r>
        <w:t>Although Dexcom has the potential to improve compliance with its automation efforts, in Libre, it is possible to develop better behavioural awareness because of the active engagement. This brings out the fact that various systems can be applied to various patients.</w:t>
      </w:r>
    </w:p>
    <w:p w14:paraId="7B0C3838" w14:textId="77777777" w:rsidR="00920C15" w:rsidRDefault="00920C15" w:rsidP="00920C15">
      <w:r>
        <w:t>Nevertheless, CGM systems cannot be effective without some limitations. Farrant and Friend (2022) discovered that despite CGM enhancing patient satisfaction and the frequency of monitoring, it does not necessarily result in major changes in glycaemic control, especially in younger patients. This implies that access to data is not enough to achieve improved outcomes. The information should also be received and put into action by the patients.</w:t>
      </w:r>
    </w:p>
    <w:p w14:paraId="1ED5C072" w14:textId="77777777" w:rsidR="00920C15" w:rsidRDefault="00920C15" w:rsidP="00920C15">
      <w:r>
        <w:t>The main limitation of CGM technology is evident in this contradiction. Although it contributes positively to monitoring, its capacity relies on patient behaviour, education and involvement. Patients can fail to interpret the available data without the right comprehension, hence achieving less than desirable results. This contributes to the need for digital literacy and training to facilitate the benefits of CGM systems.</w:t>
      </w:r>
    </w:p>
    <w:p w14:paraId="094491E3" w14:textId="77777777" w:rsidR="00920C15" w:rsidRDefault="00920C15" w:rsidP="00920C15">
      <w:r>
        <w:t>The impact of these results is both good and bad. CGM systems, on the positive side, enhance patient awareness, lower incidences of complications, and improve patient independence in managing diabetes. The constant supervision will make it possible to identify abnormal glucose levels in time and eliminate the threat of serious health consequences (Yoo and Kim, 2023). The aim of these benefits is in line with the general objective of enhancing home-based diabetes management.</w:t>
      </w:r>
    </w:p>
    <w:p w14:paraId="269D54FC" w14:textId="77777777" w:rsidR="00920C15" w:rsidRDefault="00920C15" w:rsidP="00920C15">
      <w:r>
        <w:t>Nevertheless, difficulties are present as well. The availability of data at the same time can also result in anxiety and less usability because of information overload (Lopez et al., 2023). The patient can also get over-captured by the technology, which will make them less able to cope with their condition without the aid of digital technology. Such problems make it possible to underline the importance of sensible utilisation and adequate training.</w:t>
      </w:r>
    </w:p>
    <w:p w14:paraId="7CD1FEC4" w14:textId="77777777" w:rsidR="00920C15" w:rsidRDefault="00920C15" w:rsidP="00920C15">
      <w:r>
        <w:t>This theme is a good testimony to the research question because it proves that CGM systems are able to achieve great effectiveness in self-management and glycaemic control. Their usefulness is, nevertheless, conditioned by their usability, the interest of a patient, and access to resources.</w:t>
      </w:r>
    </w:p>
    <w:p w14:paraId="1F27A063" w14:textId="77777777" w:rsidR="00920C15" w:rsidRPr="00AA3686" w:rsidRDefault="00920C15" w:rsidP="00920C15">
      <w:r>
        <w:t>This theme is closely related to the other themes discovered in this study. Subjective to Themes 1, CGM has brought about influence on self-management that relies on device usability. Meanwhile, the disadvantages of CGM systems can be constrained by such factors as cost, access and digital inequality, studied in Theme 3. All these interconnections point to the fact that managing diabetes should be done in such a manner that takes into account both technology and social aspects.</w:t>
      </w:r>
    </w:p>
    <w:p w14:paraId="4E40C11E" w14:textId="77777777" w:rsidR="00920C15" w:rsidRPr="00AA3686" w:rsidRDefault="00920C15" w:rsidP="00920C15">
      <w:pPr>
        <w:pStyle w:val="Heading2"/>
      </w:pPr>
      <w:bookmarkStart w:id="63" w:name="_Toc225702922"/>
      <w:r w:rsidRPr="00AA3686">
        <w:t>4.5 Theme 3: Challenges, Cost, and Ethical Considerations</w:t>
      </w:r>
      <w:bookmarkEnd w:id="63"/>
    </w:p>
    <w:p w14:paraId="253D7CDC" w14:textId="77777777" w:rsidR="00920C15" w:rsidRDefault="00920C15" w:rsidP="00920C15">
      <w:r>
        <w:lastRenderedPageBreak/>
        <w:t>This theme is observing obstacles to implementing Continuous Glucose Monitoring (CGM) systems and the ethical aspects of using digital health technologies. Challenges are described as those factors that restrict access, use, and extended interaction with CGM systems, including Libre and Dexcom. Ethical implications have to do with the responsible use of patient data, privacy, and equity in access to healthcare technologies. Despite the high benefits of CGM systems, such difficulties could weaken the overall usability of CGM systems in managing diabetes at home.</w:t>
      </w:r>
    </w:p>
    <w:p w14:paraId="42EBB90C" w14:textId="77777777" w:rsidR="00920C15" w:rsidRDefault="00920C15" w:rsidP="00920C15">
      <w:r>
        <w:t>Cost and access are two of the most tremendous obstacles to CGM adoption. CGM sensors and devices may be costly, especially when they are used in the long run. Beran et al. (2021) pointed out that the distribution of diabetes technologies across the world as a whole is still unequal, and low-income populations experience more problems with access to the necessary equipment. The situation is also manifested in the UK. This is observed by Diabetes UK (2018) to have no universal availability of CGM on the National Health Service (NHS), but rather on eligibility grounds. This generates access imbalances in access, with certain patients enjoying the high-tech monitoring systems and others using the old ones.</w:t>
      </w:r>
    </w:p>
    <w:p w14:paraId="6826D2E1" w14:textId="77777777" w:rsidR="00920C15" w:rsidRPr="00AA3686" w:rsidRDefault="00920C15" w:rsidP="00920C15">
      <w:r>
        <w:t>Policy frameworks in the UK have tried to enhance the availability of CGM technologies. NICE (2022) indicates that CGM can be used among people with type 1 diabetes and in the group of high-risk patients. NHS England (2024) has also widened its scope towards early problem identification and online health solutions. According to Sze May Ng (2023), CGM has gained adoption in the NHS, especially in patients who fit clinical requirements. This still leads to regional variation, though the access depends on local commissioning decisions. This implies that there is policy support, and the implementation has been inconsistent.</w:t>
      </w:r>
    </w:p>
    <w:p w14:paraId="2682CD8F" w14:textId="263BD0F7" w:rsidR="00DD27BE" w:rsidRPr="00C779A5" w:rsidRDefault="00DD27BE" w:rsidP="00C779A5">
      <w:pPr>
        <w:pStyle w:val="Caption"/>
        <w:keepNext/>
        <w:spacing w:after="0" w:line="360" w:lineRule="auto"/>
        <w:jc w:val="center"/>
        <w:rPr>
          <w:b/>
          <w:bCs/>
          <w:i w:val="0"/>
          <w:iCs w:val="0"/>
          <w:color w:val="auto"/>
          <w:sz w:val="20"/>
          <w:szCs w:val="20"/>
        </w:rPr>
      </w:pPr>
      <w:bookmarkStart w:id="64" w:name="_Toc225700977"/>
      <w:bookmarkStart w:id="65" w:name="_Toc225702941"/>
      <w:r w:rsidRPr="00C779A5">
        <w:rPr>
          <w:b/>
          <w:bCs/>
          <w:i w:val="0"/>
          <w:iCs w:val="0"/>
          <w:color w:val="auto"/>
          <w:sz w:val="20"/>
          <w:szCs w:val="20"/>
        </w:rPr>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8</w:t>
      </w:r>
      <w:r w:rsidRPr="00C779A5">
        <w:rPr>
          <w:b/>
          <w:bCs/>
          <w:i w:val="0"/>
          <w:iCs w:val="0"/>
          <w:color w:val="auto"/>
          <w:sz w:val="20"/>
          <w:szCs w:val="20"/>
        </w:rPr>
        <w:fldChar w:fldCharType="end"/>
      </w:r>
      <w:r w:rsidRPr="00C779A5">
        <w:rPr>
          <w:b/>
          <w:bCs/>
          <w:i w:val="0"/>
          <w:iCs w:val="0"/>
          <w:color w:val="auto"/>
          <w:sz w:val="20"/>
          <w:szCs w:val="20"/>
        </w:rPr>
        <w:t xml:space="preserve"> Factors Influencing Access to CGM Technologies in the UK</w:t>
      </w:r>
      <w:bookmarkEnd w:id="64"/>
      <w:bookmarkEnd w:id="65"/>
    </w:p>
    <w:tbl>
      <w:tblPr>
        <w:tblStyle w:val="PlainTable1"/>
        <w:tblW w:w="5000" w:type="pct"/>
        <w:tblLook w:val="04A0" w:firstRow="1" w:lastRow="0" w:firstColumn="1" w:lastColumn="0" w:noHBand="0" w:noVBand="1"/>
      </w:tblPr>
      <w:tblGrid>
        <w:gridCol w:w="2600"/>
        <w:gridCol w:w="2701"/>
        <w:gridCol w:w="3715"/>
      </w:tblGrid>
      <w:tr w:rsidR="00920C15" w:rsidRPr="00AA3686" w14:paraId="32616661" w14:textId="77777777" w:rsidTr="00253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3474F38E" w14:textId="77777777" w:rsidR="00920C15" w:rsidRPr="00AA3686" w:rsidRDefault="00920C15" w:rsidP="002531F6">
            <w:r w:rsidRPr="00AA3686">
              <w:t>Factor</w:t>
            </w:r>
          </w:p>
        </w:tc>
        <w:tc>
          <w:tcPr>
            <w:tcW w:w="1498" w:type="pct"/>
            <w:hideMark/>
          </w:tcPr>
          <w:p w14:paraId="05B0650F"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Impact on CGM Access</w:t>
            </w:r>
          </w:p>
        </w:tc>
        <w:tc>
          <w:tcPr>
            <w:tcW w:w="2060" w:type="pct"/>
            <w:hideMark/>
          </w:tcPr>
          <w:p w14:paraId="5B219516"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Evidence</w:t>
            </w:r>
          </w:p>
        </w:tc>
      </w:tr>
      <w:tr w:rsidR="00920C15" w:rsidRPr="00AA3686" w14:paraId="08E103F1"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5DA1549A" w14:textId="77777777" w:rsidR="00920C15" w:rsidRPr="00AA3686" w:rsidRDefault="00920C15" w:rsidP="002531F6">
            <w:r w:rsidRPr="00AA3686">
              <w:t>Cost of devices</w:t>
            </w:r>
          </w:p>
        </w:tc>
        <w:tc>
          <w:tcPr>
            <w:tcW w:w="1498" w:type="pct"/>
            <w:hideMark/>
          </w:tcPr>
          <w:p w14:paraId="11378F16"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Limits long-term use</w:t>
            </w:r>
          </w:p>
        </w:tc>
        <w:tc>
          <w:tcPr>
            <w:tcW w:w="2060" w:type="pct"/>
            <w:hideMark/>
          </w:tcPr>
          <w:p w14:paraId="1B78EB21"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Beran et al. (2021)</w:t>
            </w:r>
          </w:p>
        </w:tc>
      </w:tr>
      <w:tr w:rsidR="00920C15" w:rsidRPr="00AA3686" w14:paraId="2CCEF145" w14:textId="77777777" w:rsidTr="002531F6">
        <w:tc>
          <w:tcPr>
            <w:cnfStyle w:val="001000000000" w:firstRow="0" w:lastRow="0" w:firstColumn="1" w:lastColumn="0" w:oddVBand="0" w:evenVBand="0" w:oddHBand="0" w:evenHBand="0" w:firstRowFirstColumn="0" w:firstRowLastColumn="0" w:lastRowFirstColumn="0" w:lastRowLastColumn="0"/>
            <w:tcW w:w="1442" w:type="pct"/>
            <w:hideMark/>
          </w:tcPr>
          <w:p w14:paraId="3B60FBCF" w14:textId="77777777" w:rsidR="00920C15" w:rsidRPr="00AA3686" w:rsidRDefault="00920C15" w:rsidP="002531F6">
            <w:r w:rsidRPr="00AA3686">
              <w:t>NHS eligibility criteria</w:t>
            </w:r>
          </w:p>
        </w:tc>
        <w:tc>
          <w:tcPr>
            <w:tcW w:w="1498" w:type="pct"/>
            <w:hideMark/>
          </w:tcPr>
          <w:p w14:paraId="12A90413"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r w:rsidRPr="00AA3686">
              <w:t>Restricted access</w:t>
            </w:r>
          </w:p>
        </w:tc>
        <w:tc>
          <w:tcPr>
            <w:tcW w:w="2060" w:type="pct"/>
            <w:hideMark/>
          </w:tcPr>
          <w:p w14:paraId="790E1880"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r w:rsidRPr="00AA3686">
              <w:t>Diabetes UK (2018)</w:t>
            </w:r>
          </w:p>
        </w:tc>
      </w:tr>
      <w:tr w:rsidR="00920C15" w:rsidRPr="00AA3686" w14:paraId="2B27B2AE"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1A0AA6D5" w14:textId="77777777" w:rsidR="00920C15" w:rsidRPr="00AA3686" w:rsidRDefault="00920C15" w:rsidP="002531F6">
            <w:r w:rsidRPr="00AA3686">
              <w:t>Policy support</w:t>
            </w:r>
          </w:p>
        </w:tc>
        <w:tc>
          <w:tcPr>
            <w:tcW w:w="1498" w:type="pct"/>
            <w:hideMark/>
          </w:tcPr>
          <w:p w14:paraId="25AEE6CA"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Expanding availability</w:t>
            </w:r>
          </w:p>
        </w:tc>
        <w:tc>
          <w:tcPr>
            <w:tcW w:w="2060" w:type="pct"/>
            <w:hideMark/>
          </w:tcPr>
          <w:p w14:paraId="41D889B5"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NICE (2022); NHS England (2024)</w:t>
            </w:r>
          </w:p>
        </w:tc>
      </w:tr>
    </w:tbl>
    <w:p w14:paraId="2CFE9374" w14:textId="77777777" w:rsidR="00920C15" w:rsidRDefault="00920C15" w:rsidP="00920C15">
      <w:r>
        <w:t>Digital inequality is another significant challenge. CGM systems are based on digital platforms, mobile apps, and the interpretation of data. Digital literacy is a determinant of health outcomes identified by Lopez et al. (2023), especially when it comes to the utilisation of interventions based on technology. Elderly and digitally unskilled patients might find it difficult to read the glucose information or utilise the application functionalities. Shi et al. (2024) also stressed that digital health instruments can be problematic for older adults as they lack experience and confidence. These obstacles decrease interaction and restrict CGM system benefits.</w:t>
      </w:r>
    </w:p>
    <w:p w14:paraId="3D6BA59A" w14:textId="77777777" w:rsidR="00920C15" w:rsidRDefault="00920C15" w:rsidP="00920C15">
      <w:r>
        <w:t xml:space="preserve">Socioeconomic status is also another point of intersection with digital inequality. Poorly educated people might have no access to the internet, smartphones or even training. This </w:t>
      </w:r>
      <w:r>
        <w:lastRenderedPageBreak/>
        <w:t>produces some kind of digital divide, where other patients are left behind to enjoy new modern technologies. Consequently, CGM systems can cause intentional enhancement of current disparities in health.</w:t>
      </w:r>
    </w:p>
    <w:p w14:paraId="65BCE454" w14:textId="77777777" w:rsidR="00920C15" w:rsidRDefault="00920C15" w:rsidP="00920C15">
      <w:r>
        <w:t>The use of CGM technologies is also related to ethical issues. Bitomsky et al. (2025) shed light on the fact that digital health systems simplify issues involving data ownership, privacy, and security. CGM gadgets record ongoing data on personal health condition which can be shared with doctors or stored on online platforms. This poses threats of misusing data or gaining unauthorised access. Patients can also lack ownership and control of their data usage, which casts doubts on data ownership and consent.</w:t>
      </w:r>
    </w:p>
    <w:p w14:paraId="1A904D20" w14:textId="77777777" w:rsidR="00920C15" w:rsidRDefault="00920C15" w:rsidP="00920C15">
      <w:r>
        <w:t>One more ethical concern is digital dependency. Constant surveillance can cause patients to become very dependent on the technology to the point of not having the capacity to control their condition alone. Although CGM systems are beneficial in creating awareness, they can be a source of anxiety because of the constant notifications and exposure to data (Lopez et al., 2023). This shows the necessity to use it in a balanced way and provide patients with the right education.</w:t>
      </w:r>
    </w:p>
    <w:p w14:paraId="2CEB799A" w14:textId="77777777" w:rsidR="00920C15" w:rsidRDefault="00920C15" w:rsidP="00920C15">
      <w:r>
        <w:t xml:space="preserve">Critically, these issues imply that not every user of CGM systems can be as successful. Although they provide high-levels of monitoring, they have some limitations on their advantages depending on other factors like the cost, digital literacy, and access to health care. </w:t>
      </w:r>
      <w:proofErr w:type="spellStart"/>
      <w:r>
        <w:t>Rodbard</w:t>
      </w:r>
      <w:proofErr w:type="spellEnd"/>
      <w:r>
        <w:t xml:space="preserve"> (2016) maintained that the use of CGM technology requires support at both the system level and technology level in order to be successfully used. The potential of the CGM systems might not be realised fully without addressing these barriers.</w:t>
      </w:r>
    </w:p>
    <w:p w14:paraId="60A4CC87" w14:textId="77777777" w:rsidR="00920C15" w:rsidRDefault="00920C15" w:rsidP="00920C15">
      <w:r>
        <w:t>The impact of these results is both good and bad. On the good side, the CGM system aids in remote monitoring and eliminates the need to visit a hospital regularly. Aleppo et al. (2023) have shown that the use of CGM data in healthcare systems enhances the communication between patients and healthcare providers. This improves care continuity and home-based care management.</w:t>
      </w:r>
    </w:p>
    <w:p w14:paraId="2D47511A" w14:textId="77777777" w:rsidR="00920C15" w:rsidRPr="00AA3686" w:rsidRDefault="00920C15" w:rsidP="00920C15">
      <w:r>
        <w:t xml:space="preserve">Nevertheless, there exist some severe limitations as well. The cost is high, which may not allow long-term application, especially in cases where the patients are not assisted financially. The inability to train and be digitally literate can minimise usability and engagement. </w:t>
      </w:r>
      <w:proofErr w:type="spellStart"/>
      <w:r>
        <w:t>Jerjes</w:t>
      </w:r>
      <w:proofErr w:type="spellEnd"/>
      <w:r>
        <w:t xml:space="preserve"> and Majeed (2025) pointed out that there is a risk of effective deployment of digital technologies being limited by the fact that the healthcare system has resource limitations, as well. According to these issues, technological innovation cannot be effective unless it has support systems to employ.</w:t>
      </w:r>
    </w:p>
    <w:p w14:paraId="0A098AC7" w14:textId="289168F7" w:rsidR="00DD27BE" w:rsidRPr="00C779A5" w:rsidRDefault="00DD27BE" w:rsidP="00C779A5">
      <w:pPr>
        <w:pStyle w:val="Caption"/>
        <w:keepNext/>
        <w:spacing w:after="0" w:line="360" w:lineRule="auto"/>
        <w:jc w:val="center"/>
        <w:rPr>
          <w:b/>
          <w:bCs/>
          <w:i w:val="0"/>
          <w:iCs w:val="0"/>
          <w:color w:val="auto"/>
          <w:sz w:val="20"/>
          <w:szCs w:val="20"/>
        </w:rPr>
      </w:pPr>
      <w:bookmarkStart w:id="66" w:name="_Toc225700978"/>
      <w:bookmarkStart w:id="67" w:name="_Toc225702942"/>
      <w:r w:rsidRPr="00C779A5">
        <w:rPr>
          <w:b/>
          <w:bCs/>
          <w:i w:val="0"/>
          <w:iCs w:val="0"/>
          <w:color w:val="auto"/>
          <w:sz w:val="20"/>
          <w:szCs w:val="20"/>
        </w:rPr>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9</w:t>
      </w:r>
      <w:r w:rsidRPr="00C779A5">
        <w:rPr>
          <w:b/>
          <w:bCs/>
          <w:i w:val="0"/>
          <w:iCs w:val="0"/>
          <w:color w:val="auto"/>
          <w:sz w:val="20"/>
          <w:szCs w:val="20"/>
        </w:rPr>
        <w:fldChar w:fldCharType="end"/>
      </w:r>
      <w:r w:rsidRPr="00C779A5">
        <w:rPr>
          <w:b/>
          <w:bCs/>
          <w:i w:val="0"/>
          <w:iCs w:val="0"/>
          <w:color w:val="auto"/>
          <w:sz w:val="20"/>
          <w:szCs w:val="20"/>
        </w:rPr>
        <w:t xml:space="preserve"> Positive and Negative Implications of CGM Technology Use</w:t>
      </w:r>
      <w:bookmarkEnd w:id="66"/>
      <w:bookmarkEnd w:id="67"/>
    </w:p>
    <w:tbl>
      <w:tblPr>
        <w:tblStyle w:val="PlainTable1"/>
        <w:tblW w:w="5000" w:type="pct"/>
        <w:tblLook w:val="04A0" w:firstRow="1" w:lastRow="0" w:firstColumn="1" w:lastColumn="0" w:noHBand="0" w:noVBand="1"/>
      </w:tblPr>
      <w:tblGrid>
        <w:gridCol w:w="2929"/>
        <w:gridCol w:w="3123"/>
        <w:gridCol w:w="2964"/>
      </w:tblGrid>
      <w:tr w:rsidR="00920C15" w:rsidRPr="00AA3686" w14:paraId="1B87E5E0" w14:textId="77777777" w:rsidTr="00253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4" w:type="pct"/>
            <w:hideMark/>
          </w:tcPr>
          <w:p w14:paraId="23FF282A" w14:textId="77777777" w:rsidR="00920C15" w:rsidRPr="00AA3686" w:rsidRDefault="00920C15" w:rsidP="002531F6">
            <w:r w:rsidRPr="00AA3686">
              <w:t>Implication</w:t>
            </w:r>
          </w:p>
        </w:tc>
        <w:tc>
          <w:tcPr>
            <w:tcW w:w="1732" w:type="pct"/>
            <w:hideMark/>
          </w:tcPr>
          <w:p w14:paraId="0EB4A54F"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Positive Impact</w:t>
            </w:r>
          </w:p>
        </w:tc>
        <w:tc>
          <w:tcPr>
            <w:tcW w:w="1644" w:type="pct"/>
            <w:hideMark/>
          </w:tcPr>
          <w:p w14:paraId="43367734" w14:textId="77777777" w:rsidR="00920C15" w:rsidRPr="00AA3686" w:rsidRDefault="00920C15" w:rsidP="002531F6">
            <w:pPr>
              <w:cnfStyle w:val="100000000000" w:firstRow="1" w:lastRow="0" w:firstColumn="0" w:lastColumn="0" w:oddVBand="0" w:evenVBand="0" w:oddHBand="0" w:evenHBand="0" w:firstRowFirstColumn="0" w:firstRowLastColumn="0" w:lastRowFirstColumn="0" w:lastRowLastColumn="0"/>
            </w:pPr>
            <w:r w:rsidRPr="00AA3686">
              <w:t>Negative Impact</w:t>
            </w:r>
          </w:p>
        </w:tc>
      </w:tr>
      <w:tr w:rsidR="00920C15" w:rsidRPr="00AA3686" w14:paraId="41AB2FA0"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4" w:type="pct"/>
            <w:hideMark/>
          </w:tcPr>
          <w:p w14:paraId="478A9000" w14:textId="77777777" w:rsidR="00920C15" w:rsidRPr="00AA3686" w:rsidRDefault="00920C15" w:rsidP="002531F6">
            <w:r w:rsidRPr="00AA3686">
              <w:t>Remote monitoring</w:t>
            </w:r>
          </w:p>
        </w:tc>
        <w:tc>
          <w:tcPr>
            <w:tcW w:w="1732" w:type="pct"/>
            <w:hideMark/>
          </w:tcPr>
          <w:p w14:paraId="29C330BC"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Improved care access</w:t>
            </w:r>
          </w:p>
        </w:tc>
        <w:tc>
          <w:tcPr>
            <w:tcW w:w="1644" w:type="pct"/>
            <w:hideMark/>
          </w:tcPr>
          <w:p w14:paraId="403162E1"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Digital dependence</w:t>
            </w:r>
          </w:p>
        </w:tc>
      </w:tr>
      <w:tr w:rsidR="00920C15" w:rsidRPr="00AA3686" w14:paraId="1E08DC9B" w14:textId="77777777" w:rsidTr="002531F6">
        <w:tc>
          <w:tcPr>
            <w:cnfStyle w:val="001000000000" w:firstRow="0" w:lastRow="0" w:firstColumn="1" w:lastColumn="0" w:oddVBand="0" w:evenVBand="0" w:oddHBand="0" w:evenHBand="0" w:firstRowFirstColumn="0" w:firstRowLastColumn="0" w:lastRowFirstColumn="0" w:lastRowLastColumn="0"/>
            <w:tcW w:w="1624" w:type="pct"/>
            <w:hideMark/>
          </w:tcPr>
          <w:p w14:paraId="5F4ED774" w14:textId="77777777" w:rsidR="00920C15" w:rsidRPr="00AA3686" w:rsidRDefault="00920C15" w:rsidP="002531F6">
            <w:r w:rsidRPr="00AA3686">
              <w:lastRenderedPageBreak/>
              <w:t>Cost</w:t>
            </w:r>
          </w:p>
        </w:tc>
        <w:tc>
          <w:tcPr>
            <w:tcW w:w="1732" w:type="pct"/>
            <w:hideMark/>
          </w:tcPr>
          <w:p w14:paraId="6EAC5E2C"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r w:rsidRPr="00AA3686">
              <w:t>Advanced technology</w:t>
            </w:r>
          </w:p>
        </w:tc>
        <w:tc>
          <w:tcPr>
            <w:tcW w:w="1644" w:type="pct"/>
            <w:hideMark/>
          </w:tcPr>
          <w:p w14:paraId="65A5A070" w14:textId="77777777" w:rsidR="00920C15" w:rsidRPr="00AA3686" w:rsidRDefault="00920C15" w:rsidP="002531F6">
            <w:pPr>
              <w:cnfStyle w:val="000000000000" w:firstRow="0" w:lastRow="0" w:firstColumn="0" w:lastColumn="0" w:oddVBand="0" w:evenVBand="0" w:oddHBand="0" w:evenHBand="0" w:firstRowFirstColumn="0" w:firstRowLastColumn="0" w:lastRowFirstColumn="0" w:lastRowLastColumn="0"/>
            </w:pPr>
            <w:r w:rsidRPr="00AA3686">
              <w:t>Limited affordability</w:t>
            </w:r>
          </w:p>
        </w:tc>
      </w:tr>
      <w:tr w:rsidR="00920C15" w:rsidRPr="00AA3686" w14:paraId="6AC43452" w14:textId="77777777" w:rsidTr="00253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4" w:type="pct"/>
            <w:hideMark/>
          </w:tcPr>
          <w:p w14:paraId="5503D9B5" w14:textId="77777777" w:rsidR="00920C15" w:rsidRPr="00AA3686" w:rsidRDefault="00920C15" w:rsidP="002531F6">
            <w:r w:rsidRPr="00AA3686">
              <w:t>Data use</w:t>
            </w:r>
          </w:p>
        </w:tc>
        <w:tc>
          <w:tcPr>
            <w:tcW w:w="1732" w:type="pct"/>
            <w:hideMark/>
          </w:tcPr>
          <w:p w14:paraId="0FC3E5D3"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Better communication</w:t>
            </w:r>
          </w:p>
        </w:tc>
        <w:tc>
          <w:tcPr>
            <w:tcW w:w="1644" w:type="pct"/>
            <w:hideMark/>
          </w:tcPr>
          <w:p w14:paraId="695486CC" w14:textId="77777777" w:rsidR="00920C15" w:rsidRPr="00AA3686" w:rsidRDefault="00920C15" w:rsidP="002531F6">
            <w:pPr>
              <w:cnfStyle w:val="000000100000" w:firstRow="0" w:lastRow="0" w:firstColumn="0" w:lastColumn="0" w:oddVBand="0" w:evenVBand="0" w:oddHBand="1" w:evenHBand="0" w:firstRowFirstColumn="0" w:firstRowLastColumn="0" w:lastRowFirstColumn="0" w:lastRowLastColumn="0"/>
            </w:pPr>
            <w:r w:rsidRPr="00AA3686">
              <w:t>Privacy concerns</w:t>
            </w:r>
          </w:p>
        </w:tc>
      </w:tr>
    </w:tbl>
    <w:p w14:paraId="0418236E" w14:textId="77777777" w:rsidR="00920C15" w:rsidRDefault="00920C15" w:rsidP="00920C15">
      <w:r>
        <w:t>This theme is also directly connected to the research question, given that it shows the inefficiency of CGM in real-life contexts. Although Libre and Dexcom provide enhanced monitoring and self-care, the advantages are limited due to the access, price, and moral issues. These impediments should be overcome so that CGM systems can be able to provide consistent and fair results.</w:t>
      </w:r>
    </w:p>
    <w:p w14:paraId="2D13ED2F" w14:textId="77777777" w:rsidR="00920C15" w:rsidRPr="00AA3686" w:rsidRDefault="00920C15" w:rsidP="00920C15">
      <w:r>
        <w:t>The theme brings a close relationship with the other themes in this study. The usability of the devices due to their cost and access, in relation to Theme 1, is what defines the people to whom the advanced features can be efficiently used. Likewise, these issues affect self-management and compliance, as discussed in Theme 2, because they restrain patient interactions and cognition. These interrelationships prove that the enhancement of managing diabetes needs a thorough methodology that would cover the technological and social aspects.</w:t>
      </w:r>
    </w:p>
    <w:p w14:paraId="707EDCB8" w14:textId="77777777" w:rsidR="00920C15" w:rsidRPr="00AA3686" w:rsidRDefault="00920C15" w:rsidP="00920C15">
      <w:pPr>
        <w:pStyle w:val="Heading2"/>
      </w:pPr>
      <w:bookmarkStart w:id="68" w:name="_Toc225702923"/>
      <w:r w:rsidRPr="00AA3686">
        <w:t>4.6 Chapter Conclusion</w:t>
      </w:r>
      <w:bookmarkEnd w:id="68"/>
    </w:p>
    <w:p w14:paraId="4DE664F8" w14:textId="77777777" w:rsidR="00920C15" w:rsidRPr="00AA3686" w:rsidRDefault="00920C15" w:rsidP="00920C15">
      <w:r w:rsidRPr="001C5B67">
        <w:t xml:space="preserve">The chapter has examined the available literature findings based on three critical themes, which are: usability and features of the device, its effect on self-management and glycaemic control, and problems with cost, access, and ethical concerns. It has been demonstrated that CGM systems like Libre and Dexcom have the potential to enhance patient engagement, awareness, and glucose monitoring. The technologies are beneficial to promote self-care and achieve improved health outcomes. Nevertheless, usability, digital literacy, affordability, and access to healthcare support contribute to their efficacy. Such limitations as data overload, inequality, and ethical issues are still critical. The next chapter will contain recommendations on how to enhance the accessibility, usefulness, and integration of CGM technologies into </w:t>
      </w:r>
      <w:r>
        <w:t xml:space="preserve">the </w:t>
      </w:r>
      <w:r w:rsidRPr="001C5B67">
        <w:t>UK community-based care of diabetes.</w:t>
      </w:r>
    </w:p>
    <w:p w14:paraId="1ABC6E1D" w14:textId="77777777" w:rsidR="00920C15" w:rsidRDefault="00920C15" w:rsidP="00920C15"/>
    <w:p w14:paraId="3EBD2059"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
        </w:rPr>
      </w:pPr>
    </w:p>
    <w:p w14:paraId="788EBCC3"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16EC7B28"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093D59D1"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11AB67D1"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77BA7BF0"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48319D2C"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32678BE8" w14:textId="77777777" w:rsidR="00C17E2F" w:rsidRPr="00141A69" w:rsidRDefault="00DB5B20">
      <w:pPr>
        <w:rPr>
          <w:rFonts w:eastAsia="Arial Unicode MS" w:cs="Arial"/>
          <w:b/>
        </w:rPr>
      </w:pPr>
      <w:r w:rsidRPr="00141A69">
        <w:rPr>
          <w:rFonts w:eastAsia="Arial Unicode MS" w:cs="Arial"/>
          <w:b/>
        </w:rPr>
        <w:br w:type="page"/>
      </w:r>
    </w:p>
    <w:p w14:paraId="496F24D6" w14:textId="58A4856D" w:rsidR="005C2C7A" w:rsidRPr="00812591" w:rsidRDefault="00DB5B20" w:rsidP="00C9301E">
      <w:pPr>
        <w:pStyle w:val="Heading1"/>
      </w:pPr>
      <w:bookmarkStart w:id="69" w:name="_Toc225702924"/>
      <w:r w:rsidRPr="00812591">
        <w:lastRenderedPageBreak/>
        <w:t xml:space="preserve">CHAPTER </w:t>
      </w:r>
      <w:r w:rsidR="002B4534">
        <w:t>5</w:t>
      </w:r>
      <w:r w:rsidRPr="00812591">
        <w:t xml:space="preserve">: </w:t>
      </w:r>
      <w:r w:rsidR="00920C15">
        <w:t xml:space="preserve">CONCLUSION AND </w:t>
      </w:r>
      <w:r w:rsidRPr="00C9301E">
        <w:t>RECOMMENDATIONS</w:t>
      </w:r>
      <w:bookmarkEnd w:id="69"/>
      <w:r w:rsidR="00141A69">
        <w:t xml:space="preserve"> </w:t>
      </w:r>
    </w:p>
    <w:p w14:paraId="60F1562D" w14:textId="77777777" w:rsidR="00920C15" w:rsidRPr="00A034A7" w:rsidRDefault="00920C15" w:rsidP="00224B83">
      <w:pPr>
        <w:pStyle w:val="Heading2"/>
      </w:pPr>
      <w:bookmarkStart w:id="70" w:name="_Toc225702925"/>
      <w:r w:rsidRPr="00A034A7">
        <w:t>5.1 Overall Conclusion</w:t>
      </w:r>
      <w:bookmarkEnd w:id="70"/>
    </w:p>
    <w:p w14:paraId="2583EE8A" w14:textId="77777777" w:rsidR="00920C15" w:rsidRDefault="00920C15" w:rsidP="00920C15">
      <w:r>
        <w:t>This dissertation has discussed how Continuous Glucose Monitoring (CGM) systems, namely Libre and Dexcom, can be utilised to enhance home-based management of diabetes, self-care, adherence, and communication. The research has adopted the secondary qualitative method and the thematic analysis so as to examine key findings of available literature.</w:t>
      </w:r>
    </w:p>
    <w:p w14:paraId="5162F714" w14:textId="77777777" w:rsidR="00920C15" w:rsidRDefault="00920C15" w:rsidP="00920C15">
      <w:r>
        <w:t>The results have indicated that CGM systems have become an effective tool in glucose monitoring through offering real-time information and increasing patient awareness. The review has identified that device usability and design impact patient-computer interaction with these technologies, with one being simple in use (Libre) and the other offering automated monitoring capabilities (Dexcom) (Edward and Priefer, 2023). The analysis has further indicated that CGM systems help improve glycaemic control and patient self-management by means of continuous-feedback and behavioural modifications (Yoo and Kim, 2023).</w:t>
      </w:r>
    </w:p>
    <w:p w14:paraId="5CAD9707" w14:textId="77777777" w:rsidR="00920C15" w:rsidRDefault="00920C15" w:rsidP="00920C15">
      <w:r>
        <w:t>Nevertheless, the study has also established a number of limitations. Issues like expensive nature, inaccessibility, digital literacy, and ethics have negatively influenced the overall efficiency of CGM technologies (Beran et al., 2021; Lopez et al., 2023). These results demonstrate that although CGM systems have a high clinical and behavioural outcome, the effects are determined by outside influences.</w:t>
      </w:r>
    </w:p>
    <w:p w14:paraId="0A87BC71" w14:textId="77777777" w:rsidR="00920C15" w:rsidRPr="00A034A7" w:rsidRDefault="00920C15" w:rsidP="00920C15">
      <w:r>
        <w:t>On the whole, the research purpose and goals have been met. The paper has offered a clear picture of the effectiveness of CGMs and also revealed access, usability, and long-term adoption gaps in the UK environment.</w:t>
      </w:r>
    </w:p>
    <w:p w14:paraId="1454E6D0" w14:textId="77777777" w:rsidR="00920C15" w:rsidRPr="00A034A7" w:rsidRDefault="00920C15" w:rsidP="00224B83">
      <w:pPr>
        <w:pStyle w:val="Heading2"/>
      </w:pPr>
      <w:bookmarkStart w:id="71" w:name="_Toc225702926"/>
      <w:r w:rsidRPr="00A034A7">
        <w:t>5.2 Recommendations</w:t>
      </w:r>
      <w:bookmarkEnd w:id="71"/>
    </w:p>
    <w:p w14:paraId="1827700A" w14:textId="77777777" w:rsidR="00920C15" w:rsidRPr="00A034A7" w:rsidRDefault="00920C15" w:rsidP="00224B83">
      <w:pPr>
        <w:pStyle w:val="Heading3"/>
      </w:pPr>
      <w:bookmarkStart w:id="72" w:name="_Toc225702927"/>
      <w:r w:rsidRPr="00A034A7">
        <w:t>5.2.1 Recommendation 1: Improve Access to CGM Technologies Through NHS Expansion</w:t>
      </w:r>
      <w:bookmarkEnd w:id="72"/>
    </w:p>
    <w:p w14:paraId="3C01E522" w14:textId="77777777" w:rsidR="00920C15" w:rsidRDefault="00920C15" w:rsidP="00920C15">
      <w:r>
        <w:t>One of these recommendations is to enhance coverage of CGM systems by extending NHS coverage. The existing access is usually restricted due to eligibility criteria, and this leads to inequality in care (Diabetes UK, 2018). Increasing access to a broader population, especially at risk of poor glycaemic control, may enhance health outcomes and eliminate long term complications.</w:t>
      </w:r>
    </w:p>
    <w:p w14:paraId="2FC0175A" w14:textId="77777777" w:rsidR="00920C15" w:rsidRDefault="00920C15" w:rsidP="00920C15">
      <w:r>
        <w:t>Financial cost, however, is a big hindrance to this recommendation. Algorithms and continuous funding of CGM devices and sensors are also likely to burden the NHS. They can overcome this by using a phased implementation plan and first focusing on high-risk patients. Moreover, it might be worth investing in the long-term cost savings through lower rates of hospital admissions and complications (</w:t>
      </w:r>
      <w:proofErr w:type="spellStart"/>
      <w:r>
        <w:t>Rodbard</w:t>
      </w:r>
      <w:proofErr w:type="spellEnd"/>
      <w:r>
        <w:t>, 2017).</w:t>
      </w:r>
    </w:p>
    <w:p w14:paraId="774CB4E7" w14:textId="77777777" w:rsidR="00920C15" w:rsidRPr="00A034A7" w:rsidRDefault="00920C15" w:rsidP="00920C15">
      <w:r>
        <w:t xml:space="preserve">The given recommendation has to do with the necessity to decrease health inequality and </w:t>
      </w:r>
      <w:r>
        <w:lastRenderedPageBreak/>
        <w:t>make sure that every patient can gain the advantages of the development of digital health technologies.</w:t>
      </w:r>
    </w:p>
    <w:p w14:paraId="54C5009F" w14:textId="77777777" w:rsidR="00920C15" w:rsidRPr="00A034A7" w:rsidRDefault="00920C15" w:rsidP="00224B83">
      <w:pPr>
        <w:pStyle w:val="Heading3"/>
      </w:pPr>
      <w:bookmarkStart w:id="73" w:name="_Toc225702928"/>
      <w:r w:rsidRPr="00A034A7">
        <w:t>5.2.2 Recommendation 2: Enhance Patient Training and Digital Literacy Support</w:t>
      </w:r>
      <w:bookmarkEnd w:id="73"/>
    </w:p>
    <w:p w14:paraId="24B5B399" w14:textId="77777777" w:rsidR="00920C15" w:rsidRDefault="00920C15" w:rsidP="00920C15">
      <w:r>
        <w:t>One more valuable suggestion is to enhance patient education and digital literacy assistance. The results have demonstrated that usability and engagement will be based on whether the patient can use CGM systems and comprehend their usage (Lopez et al., 2023). Lack of proper training means that the technology may not yield maximum benefit to the patients.</w:t>
      </w:r>
    </w:p>
    <w:p w14:paraId="69B7B445" w14:textId="77777777" w:rsidR="00920C15" w:rsidRDefault="00920C15" w:rsidP="00920C15">
      <w:r>
        <w:t>Primarily, healthcare providers should provide systematic training programmes aiming at the interpretation of the glucose data, utilisation of the device features and control of alerts. The support may take the form of clinics, online, or community-based programmes.</w:t>
      </w:r>
    </w:p>
    <w:p w14:paraId="478BA40A" w14:textId="77777777" w:rsidR="00920C15" w:rsidRDefault="00920C15" w:rsidP="00920C15">
      <w:r>
        <w:t>The major drawback of this recommendation is that there are either no trained staff or resources available in the healthcare system. To overcome this, mobile applications and video tutorials might be developed to facilitate self-learning using digital education. Also, the role of digital support in primary care centres may enhance access and interaction with patients.</w:t>
      </w:r>
    </w:p>
    <w:p w14:paraId="5320FFD4" w14:textId="77777777" w:rsidR="00920C15" w:rsidRPr="00A034A7" w:rsidRDefault="00920C15" w:rsidP="00920C15">
      <w:r>
        <w:t>Digital literacy will also be developed to make sure that CGM systems are being effectively used, which will improve self-management outcomes.</w:t>
      </w:r>
    </w:p>
    <w:p w14:paraId="34034CF2" w14:textId="77777777" w:rsidR="00920C15" w:rsidRPr="00A034A7" w:rsidRDefault="00920C15" w:rsidP="00224B83">
      <w:pPr>
        <w:pStyle w:val="Heading3"/>
      </w:pPr>
      <w:bookmarkStart w:id="74" w:name="_Toc225702929"/>
      <w:r w:rsidRPr="00A034A7">
        <w:t>5.2.3 Recommendation 3: Strengthen Integration of CGM Data into Healthcare Systems</w:t>
      </w:r>
      <w:bookmarkEnd w:id="74"/>
    </w:p>
    <w:p w14:paraId="7DABAD16" w14:textId="77777777" w:rsidR="00920C15" w:rsidRDefault="00920C15" w:rsidP="00920C15">
      <w:r>
        <w:t>The third recommendation concerns the fact that CGM data integration into healthcare systems should be improved. Efficient communication between patients and healthcare professionals through the sharing of data can empower communication, early intervention, and decision-making regarding treatment. The study by Aleppo et al. (2023) showed that the introduction of CGM data into the electronic health records enhances treatment follow-up and monitoring.</w:t>
      </w:r>
    </w:p>
    <w:p w14:paraId="3E1C28A4" w14:textId="77777777" w:rsidR="00920C15" w:rsidRDefault="00920C15" w:rsidP="00920C15">
      <w:r>
        <w:t>Nonetheless, issues of data privacy, data security, and compatibility with the systems can restrict implementation. Patients would also be interested in the utilisation and storage of their data. These problems should be addressed by setting up explicit policies of data governance and safe digital platforms. The transparency level should also be promoted by healthcare providers who should tell patients about data use and consent procedures.</w:t>
      </w:r>
    </w:p>
    <w:p w14:paraId="6C5B91F8" w14:textId="2F21A723" w:rsidR="00920C15" w:rsidRPr="00A034A7" w:rsidRDefault="00920C15" w:rsidP="00920C15">
      <w:r>
        <w:t>Enhancing data interconnection will facilitate the implementation of highly customised and reactive diabetes healthcare, especially among patients self-treating the condition at home.</w:t>
      </w:r>
    </w:p>
    <w:p w14:paraId="52A4E470" w14:textId="14955A96" w:rsidR="00DD27BE" w:rsidRPr="00C779A5" w:rsidRDefault="00DD27BE" w:rsidP="00C779A5">
      <w:pPr>
        <w:pStyle w:val="Caption"/>
        <w:keepNext/>
        <w:spacing w:after="0" w:line="360" w:lineRule="auto"/>
        <w:jc w:val="center"/>
        <w:rPr>
          <w:b/>
          <w:bCs/>
          <w:i w:val="0"/>
          <w:iCs w:val="0"/>
          <w:color w:val="auto"/>
          <w:sz w:val="20"/>
          <w:szCs w:val="20"/>
        </w:rPr>
      </w:pPr>
      <w:bookmarkStart w:id="75" w:name="_Toc225700979"/>
      <w:bookmarkStart w:id="76" w:name="_Toc225702943"/>
      <w:r w:rsidRPr="00C779A5">
        <w:rPr>
          <w:b/>
          <w:bCs/>
          <w:i w:val="0"/>
          <w:iCs w:val="0"/>
          <w:color w:val="auto"/>
          <w:sz w:val="20"/>
          <w:szCs w:val="20"/>
        </w:rPr>
        <w:t xml:space="preserve">Table </w:t>
      </w:r>
      <w:r w:rsidRPr="00C779A5">
        <w:rPr>
          <w:b/>
          <w:bCs/>
          <w:i w:val="0"/>
          <w:iCs w:val="0"/>
          <w:color w:val="auto"/>
          <w:sz w:val="20"/>
          <w:szCs w:val="20"/>
        </w:rPr>
        <w:fldChar w:fldCharType="begin"/>
      </w:r>
      <w:r w:rsidRPr="00C779A5">
        <w:rPr>
          <w:b/>
          <w:bCs/>
          <w:i w:val="0"/>
          <w:iCs w:val="0"/>
          <w:color w:val="auto"/>
          <w:sz w:val="20"/>
          <w:szCs w:val="20"/>
        </w:rPr>
        <w:instrText xml:space="preserve"> SEQ Table \* ARABIC </w:instrText>
      </w:r>
      <w:r w:rsidRPr="00C779A5">
        <w:rPr>
          <w:b/>
          <w:bCs/>
          <w:i w:val="0"/>
          <w:iCs w:val="0"/>
          <w:color w:val="auto"/>
          <w:sz w:val="20"/>
          <w:szCs w:val="20"/>
        </w:rPr>
        <w:fldChar w:fldCharType="separate"/>
      </w:r>
      <w:r w:rsidRPr="00C779A5">
        <w:rPr>
          <w:b/>
          <w:bCs/>
          <w:i w:val="0"/>
          <w:iCs w:val="0"/>
          <w:noProof/>
          <w:color w:val="auto"/>
          <w:sz w:val="20"/>
          <w:szCs w:val="20"/>
        </w:rPr>
        <w:t>10</w:t>
      </w:r>
      <w:r w:rsidRPr="00C779A5">
        <w:rPr>
          <w:b/>
          <w:bCs/>
          <w:i w:val="0"/>
          <w:iCs w:val="0"/>
          <w:color w:val="auto"/>
          <w:sz w:val="20"/>
          <w:szCs w:val="20"/>
        </w:rPr>
        <w:fldChar w:fldCharType="end"/>
      </w:r>
      <w:r w:rsidRPr="00C779A5">
        <w:rPr>
          <w:b/>
          <w:bCs/>
          <w:i w:val="0"/>
          <w:iCs w:val="0"/>
          <w:color w:val="auto"/>
          <w:sz w:val="20"/>
          <w:szCs w:val="20"/>
        </w:rPr>
        <w:t xml:space="preserve"> Summary of Recommendations</w:t>
      </w:r>
      <w:bookmarkEnd w:id="75"/>
      <w:bookmarkEnd w:id="76"/>
    </w:p>
    <w:tbl>
      <w:tblPr>
        <w:tblStyle w:val="PlainTable1"/>
        <w:tblW w:w="5000" w:type="pct"/>
        <w:tblLook w:val="04A0" w:firstRow="1" w:lastRow="0" w:firstColumn="1" w:lastColumn="0" w:noHBand="0" w:noVBand="1"/>
      </w:tblPr>
      <w:tblGrid>
        <w:gridCol w:w="2555"/>
        <w:gridCol w:w="2330"/>
        <w:gridCol w:w="1801"/>
        <w:gridCol w:w="2330"/>
      </w:tblGrid>
      <w:tr w:rsidR="00920C15" w:rsidRPr="00A034A7" w14:paraId="37EBCB54" w14:textId="77777777" w:rsidTr="00224B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pct"/>
            <w:hideMark/>
          </w:tcPr>
          <w:p w14:paraId="0FFBD8CC" w14:textId="77777777" w:rsidR="00920C15" w:rsidRPr="00A034A7" w:rsidRDefault="00920C15" w:rsidP="002531F6">
            <w:r w:rsidRPr="00A034A7">
              <w:t>Recommendation</w:t>
            </w:r>
          </w:p>
        </w:tc>
        <w:tc>
          <w:tcPr>
            <w:tcW w:w="1292" w:type="pct"/>
            <w:hideMark/>
          </w:tcPr>
          <w:p w14:paraId="4BB8CDC5" w14:textId="77777777" w:rsidR="00920C15" w:rsidRPr="00A034A7" w:rsidRDefault="00920C15" w:rsidP="002531F6">
            <w:pPr>
              <w:cnfStyle w:val="100000000000" w:firstRow="1" w:lastRow="0" w:firstColumn="0" w:lastColumn="0" w:oddVBand="0" w:evenVBand="0" w:oddHBand="0" w:evenHBand="0" w:firstRowFirstColumn="0" w:firstRowLastColumn="0" w:lastRowFirstColumn="0" w:lastRowLastColumn="0"/>
            </w:pPr>
            <w:r w:rsidRPr="00A034A7">
              <w:t>Key Benefit</w:t>
            </w:r>
          </w:p>
        </w:tc>
        <w:tc>
          <w:tcPr>
            <w:tcW w:w="999" w:type="pct"/>
            <w:hideMark/>
          </w:tcPr>
          <w:p w14:paraId="0BBAD93C" w14:textId="77777777" w:rsidR="00920C15" w:rsidRPr="00A034A7" w:rsidRDefault="00920C15" w:rsidP="002531F6">
            <w:pPr>
              <w:cnfStyle w:val="100000000000" w:firstRow="1" w:lastRow="0" w:firstColumn="0" w:lastColumn="0" w:oddVBand="0" w:evenVBand="0" w:oddHBand="0" w:evenHBand="0" w:firstRowFirstColumn="0" w:firstRowLastColumn="0" w:lastRowFirstColumn="0" w:lastRowLastColumn="0"/>
            </w:pPr>
            <w:r w:rsidRPr="00A034A7">
              <w:t>Main Barrier</w:t>
            </w:r>
          </w:p>
        </w:tc>
        <w:tc>
          <w:tcPr>
            <w:tcW w:w="1292" w:type="pct"/>
            <w:hideMark/>
          </w:tcPr>
          <w:p w14:paraId="1A2C7E08" w14:textId="77777777" w:rsidR="00920C15" w:rsidRPr="00A034A7" w:rsidRDefault="00920C15" w:rsidP="002531F6">
            <w:pPr>
              <w:cnfStyle w:val="100000000000" w:firstRow="1" w:lastRow="0" w:firstColumn="0" w:lastColumn="0" w:oddVBand="0" w:evenVBand="0" w:oddHBand="0" w:evenHBand="0" w:firstRowFirstColumn="0" w:firstRowLastColumn="0" w:lastRowFirstColumn="0" w:lastRowLastColumn="0"/>
            </w:pPr>
            <w:r w:rsidRPr="00A034A7">
              <w:t>Solution</w:t>
            </w:r>
          </w:p>
        </w:tc>
      </w:tr>
      <w:tr w:rsidR="00920C15" w:rsidRPr="00A034A7" w14:paraId="6B4547DF" w14:textId="77777777" w:rsidTr="00224B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pct"/>
            <w:hideMark/>
          </w:tcPr>
          <w:p w14:paraId="6BE427DC" w14:textId="77777777" w:rsidR="00920C15" w:rsidRPr="00A034A7" w:rsidRDefault="00920C15" w:rsidP="002531F6">
            <w:r w:rsidRPr="00A034A7">
              <w:t>Improve CGM access</w:t>
            </w:r>
          </w:p>
        </w:tc>
        <w:tc>
          <w:tcPr>
            <w:tcW w:w="1292" w:type="pct"/>
            <w:hideMark/>
          </w:tcPr>
          <w:p w14:paraId="2ADA14AA" w14:textId="77777777" w:rsidR="00920C15" w:rsidRPr="00A034A7" w:rsidRDefault="00920C15" w:rsidP="002531F6">
            <w:pPr>
              <w:cnfStyle w:val="000000100000" w:firstRow="0" w:lastRow="0" w:firstColumn="0" w:lastColumn="0" w:oddVBand="0" w:evenVBand="0" w:oddHBand="1" w:evenHBand="0" w:firstRowFirstColumn="0" w:firstRowLastColumn="0" w:lastRowFirstColumn="0" w:lastRowLastColumn="0"/>
            </w:pPr>
            <w:r w:rsidRPr="00A034A7">
              <w:t>Reduces inequality</w:t>
            </w:r>
          </w:p>
        </w:tc>
        <w:tc>
          <w:tcPr>
            <w:tcW w:w="999" w:type="pct"/>
            <w:hideMark/>
          </w:tcPr>
          <w:p w14:paraId="0B578D69" w14:textId="77777777" w:rsidR="00920C15" w:rsidRPr="00A034A7" w:rsidRDefault="00920C15" w:rsidP="002531F6">
            <w:pPr>
              <w:cnfStyle w:val="000000100000" w:firstRow="0" w:lastRow="0" w:firstColumn="0" w:lastColumn="0" w:oddVBand="0" w:evenVBand="0" w:oddHBand="1" w:evenHBand="0" w:firstRowFirstColumn="0" w:firstRowLastColumn="0" w:lastRowFirstColumn="0" w:lastRowLastColumn="0"/>
            </w:pPr>
            <w:r w:rsidRPr="00A034A7">
              <w:t>High cost</w:t>
            </w:r>
          </w:p>
        </w:tc>
        <w:tc>
          <w:tcPr>
            <w:tcW w:w="1292" w:type="pct"/>
            <w:hideMark/>
          </w:tcPr>
          <w:p w14:paraId="38D8ABD8" w14:textId="77777777" w:rsidR="00920C15" w:rsidRPr="00A034A7" w:rsidRDefault="00920C15" w:rsidP="002531F6">
            <w:pPr>
              <w:cnfStyle w:val="000000100000" w:firstRow="0" w:lastRow="0" w:firstColumn="0" w:lastColumn="0" w:oddVBand="0" w:evenVBand="0" w:oddHBand="1" w:evenHBand="0" w:firstRowFirstColumn="0" w:firstRowLastColumn="0" w:lastRowFirstColumn="0" w:lastRowLastColumn="0"/>
            </w:pPr>
            <w:r w:rsidRPr="00A034A7">
              <w:t xml:space="preserve">Phased NHS </w:t>
            </w:r>
            <w:r w:rsidRPr="00A034A7">
              <w:lastRenderedPageBreak/>
              <w:t>expansion</w:t>
            </w:r>
          </w:p>
        </w:tc>
      </w:tr>
      <w:tr w:rsidR="00920C15" w:rsidRPr="00A034A7" w14:paraId="3D13F66A" w14:textId="77777777" w:rsidTr="00224B83">
        <w:tc>
          <w:tcPr>
            <w:cnfStyle w:val="001000000000" w:firstRow="0" w:lastRow="0" w:firstColumn="1" w:lastColumn="0" w:oddVBand="0" w:evenVBand="0" w:oddHBand="0" w:evenHBand="0" w:firstRowFirstColumn="0" w:firstRowLastColumn="0" w:lastRowFirstColumn="0" w:lastRowLastColumn="0"/>
            <w:tcW w:w="1417" w:type="pct"/>
            <w:hideMark/>
          </w:tcPr>
          <w:p w14:paraId="5BE31E03" w14:textId="77777777" w:rsidR="00920C15" w:rsidRPr="00A034A7" w:rsidRDefault="00920C15" w:rsidP="002531F6">
            <w:r w:rsidRPr="00A034A7">
              <w:lastRenderedPageBreak/>
              <w:t>Enhance digital literacy</w:t>
            </w:r>
          </w:p>
        </w:tc>
        <w:tc>
          <w:tcPr>
            <w:tcW w:w="1292" w:type="pct"/>
            <w:hideMark/>
          </w:tcPr>
          <w:p w14:paraId="3303376D" w14:textId="77777777" w:rsidR="00920C15" w:rsidRPr="00A034A7" w:rsidRDefault="00920C15" w:rsidP="002531F6">
            <w:pPr>
              <w:cnfStyle w:val="000000000000" w:firstRow="0" w:lastRow="0" w:firstColumn="0" w:lastColumn="0" w:oddVBand="0" w:evenVBand="0" w:oddHBand="0" w:evenHBand="0" w:firstRowFirstColumn="0" w:firstRowLastColumn="0" w:lastRowFirstColumn="0" w:lastRowLastColumn="0"/>
            </w:pPr>
            <w:r w:rsidRPr="00A034A7">
              <w:t>Improves usability</w:t>
            </w:r>
          </w:p>
        </w:tc>
        <w:tc>
          <w:tcPr>
            <w:tcW w:w="999" w:type="pct"/>
            <w:hideMark/>
          </w:tcPr>
          <w:p w14:paraId="1D721E60" w14:textId="77777777" w:rsidR="00920C15" w:rsidRPr="00A034A7" w:rsidRDefault="00920C15" w:rsidP="002531F6">
            <w:pPr>
              <w:cnfStyle w:val="000000000000" w:firstRow="0" w:lastRow="0" w:firstColumn="0" w:lastColumn="0" w:oddVBand="0" w:evenVBand="0" w:oddHBand="0" w:evenHBand="0" w:firstRowFirstColumn="0" w:firstRowLastColumn="0" w:lastRowFirstColumn="0" w:lastRowLastColumn="0"/>
            </w:pPr>
            <w:r w:rsidRPr="00A034A7">
              <w:t>Limited resources</w:t>
            </w:r>
          </w:p>
        </w:tc>
        <w:tc>
          <w:tcPr>
            <w:tcW w:w="1292" w:type="pct"/>
            <w:hideMark/>
          </w:tcPr>
          <w:p w14:paraId="3E04112E" w14:textId="77777777" w:rsidR="00920C15" w:rsidRPr="00A034A7" w:rsidRDefault="00920C15" w:rsidP="002531F6">
            <w:pPr>
              <w:cnfStyle w:val="000000000000" w:firstRow="0" w:lastRow="0" w:firstColumn="0" w:lastColumn="0" w:oddVBand="0" w:evenVBand="0" w:oddHBand="0" w:evenHBand="0" w:firstRowFirstColumn="0" w:firstRowLastColumn="0" w:lastRowFirstColumn="0" w:lastRowLastColumn="0"/>
            </w:pPr>
            <w:r w:rsidRPr="00A034A7">
              <w:t>Digital training tools</w:t>
            </w:r>
          </w:p>
        </w:tc>
      </w:tr>
      <w:tr w:rsidR="00920C15" w:rsidRPr="00A034A7" w14:paraId="728D57D7" w14:textId="77777777" w:rsidTr="00224B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pct"/>
            <w:hideMark/>
          </w:tcPr>
          <w:p w14:paraId="41E11F24" w14:textId="77777777" w:rsidR="00920C15" w:rsidRPr="00A034A7" w:rsidRDefault="00920C15" w:rsidP="002531F6">
            <w:r w:rsidRPr="00A034A7">
              <w:t>Integrate CGM data</w:t>
            </w:r>
          </w:p>
        </w:tc>
        <w:tc>
          <w:tcPr>
            <w:tcW w:w="1292" w:type="pct"/>
            <w:hideMark/>
          </w:tcPr>
          <w:p w14:paraId="747491B9" w14:textId="77777777" w:rsidR="00920C15" w:rsidRPr="00A034A7" w:rsidRDefault="00920C15" w:rsidP="002531F6">
            <w:pPr>
              <w:cnfStyle w:val="000000100000" w:firstRow="0" w:lastRow="0" w:firstColumn="0" w:lastColumn="0" w:oddVBand="0" w:evenVBand="0" w:oddHBand="1" w:evenHBand="0" w:firstRowFirstColumn="0" w:firstRowLastColumn="0" w:lastRowFirstColumn="0" w:lastRowLastColumn="0"/>
            </w:pPr>
            <w:r w:rsidRPr="00A034A7">
              <w:t>Better care coordination</w:t>
            </w:r>
          </w:p>
        </w:tc>
        <w:tc>
          <w:tcPr>
            <w:tcW w:w="999" w:type="pct"/>
            <w:hideMark/>
          </w:tcPr>
          <w:p w14:paraId="37076AC2" w14:textId="77777777" w:rsidR="00920C15" w:rsidRPr="00A034A7" w:rsidRDefault="00920C15" w:rsidP="002531F6">
            <w:pPr>
              <w:cnfStyle w:val="000000100000" w:firstRow="0" w:lastRow="0" w:firstColumn="0" w:lastColumn="0" w:oddVBand="0" w:evenVBand="0" w:oddHBand="1" w:evenHBand="0" w:firstRowFirstColumn="0" w:firstRowLastColumn="0" w:lastRowFirstColumn="0" w:lastRowLastColumn="0"/>
            </w:pPr>
            <w:r w:rsidRPr="00A034A7">
              <w:t>Privacy concerns</w:t>
            </w:r>
          </w:p>
        </w:tc>
        <w:tc>
          <w:tcPr>
            <w:tcW w:w="1292" w:type="pct"/>
            <w:hideMark/>
          </w:tcPr>
          <w:p w14:paraId="32975464" w14:textId="77777777" w:rsidR="00920C15" w:rsidRPr="00A034A7" w:rsidRDefault="00920C15" w:rsidP="002531F6">
            <w:pPr>
              <w:cnfStyle w:val="000000100000" w:firstRow="0" w:lastRow="0" w:firstColumn="0" w:lastColumn="0" w:oddVBand="0" w:evenVBand="0" w:oddHBand="1" w:evenHBand="0" w:firstRowFirstColumn="0" w:firstRowLastColumn="0" w:lastRowFirstColumn="0" w:lastRowLastColumn="0"/>
            </w:pPr>
            <w:r w:rsidRPr="00A034A7">
              <w:t>Strong data governance</w:t>
            </w:r>
          </w:p>
        </w:tc>
      </w:tr>
    </w:tbl>
    <w:p w14:paraId="64F04519" w14:textId="77777777" w:rsidR="00920C15" w:rsidRPr="00A034A7" w:rsidRDefault="00920C15" w:rsidP="00920C15">
      <w:r w:rsidRPr="00A034A7">
        <w:t>The recommendations will enhance the effectiveness, availability and sustainability of CGM technologies in UK diabetes care. Applying both the social and technological issues, the healthcare systems can help the maximum out of CGM systems and contribute to the improvement of long-term patient outcomes.</w:t>
      </w:r>
    </w:p>
    <w:p w14:paraId="47E5129D"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b/>
        </w:rPr>
      </w:pPr>
    </w:p>
    <w:p w14:paraId="3A07E7F4" w14:textId="77777777" w:rsidR="005C2C7A" w:rsidRPr="00812591" w:rsidRDefault="005C2C7A" w:rsidP="00DA52F0">
      <w:pPr>
        <w:mirrorIndents/>
        <w:rPr>
          <w:rFonts w:eastAsia="Arial Unicode MS" w:cs="Arial"/>
        </w:rPr>
      </w:pPr>
    </w:p>
    <w:p w14:paraId="5C5A4A17" w14:textId="77777777" w:rsidR="005C2C7A" w:rsidRPr="00812591" w:rsidRDefault="005C2C7A" w:rsidP="00DA52F0">
      <w:pPr>
        <w:mirrorIndents/>
        <w:rPr>
          <w:rFonts w:eastAsia="Arial Unicode MS" w:cs="Arial"/>
        </w:rPr>
      </w:pPr>
    </w:p>
    <w:p w14:paraId="0ED93504" w14:textId="77777777" w:rsidR="00C17E2F" w:rsidRDefault="00DB5B20">
      <w:pPr>
        <w:rPr>
          <w:rFonts w:eastAsia="Arial Unicode MS" w:cs="Arial"/>
          <w:b/>
          <w:sz w:val="28"/>
          <w:szCs w:val="28"/>
        </w:rPr>
      </w:pPr>
      <w:r>
        <w:rPr>
          <w:rFonts w:eastAsia="Arial Unicode MS" w:cs="Arial"/>
          <w:b/>
          <w:sz w:val="28"/>
          <w:szCs w:val="28"/>
        </w:rPr>
        <w:br w:type="page"/>
      </w:r>
    </w:p>
    <w:p w14:paraId="389428F3" w14:textId="7F330C84" w:rsidR="00622597" w:rsidRPr="00622597" w:rsidRDefault="00DB5B20" w:rsidP="00622597">
      <w:pPr>
        <w:pStyle w:val="Heading1"/>
      </w:pPr>
      <w:bookmarkStart w:id="77" w:name="_Toc225702930"/>
      <w:r>
        <w:lastRenderedPageBreak/>
        <w:t>REFERENCES</w:t>
      </w:r>
      <w:bookmarkEnd w:id="77"/>
      <w:r w:rsidRPr="00812591">
        <w:t xml:space="preserve"> </w:t>
      </w:r>
    </w:p>
    <w:p w14:paraId="26F3C42D" w14:textId="77777777" w:rsidR="00622597" w:rsidRPr="00622597" w:rsidRDefault="00622597" w:rsidP="00622597">
      <w:pPr>
        <w:pStyle w:val="TableParagraph"/>
        <w:rPr>
          <w:lang w:val="en-US"/>
        </w:rPr>
      </w:pPr>
      <w:r w:rsidRPr="00622597">
        <w:rPr>
          <w:lang w:val="en-US"/>
        </w:rPr>
        <w:t xml:space="preserve">Adams, J., Khan, H.T.A. and Raeside, R. (2014). </w:t>
      </w:r>
      <w:r w:rsidRPr="00622597">
        <w:rPr>
          <w:i/>
          <w:iCs/>
          <w:lang w:val="en-US"/>
        </w:rPr>
        <w:t>Research methods for business and social science students</w:t>
      </w:r>
      <w:r w:rsidRPr="00622597">
        <w:rPr>
          <w:lang w:val="en-US"/>
        </w:rPr>
        <w:t>. 2nd ed. New Delhi: Sage.</w:t>
      </w:r>
    </w:p>
    <w:p w14:paraId="70B9BA47" w14:textId="29C0BD73" w:rsidR="00622597" w:rsidRDefault="00622597" w:rsidP="00622597">
      <w:pPr>
        <w:pStyle w:val="TableParagraph"/>
        <w:rPr>
          <w:lang w:val="en-US"/>
        </w:rPr>
      </w:pPr>
      <w:r w:rsidRPr="00C9301E">
        <w:rPr>
          <w:lang w:val="en-US"/>
        </w:rPr>
        <w:t xml:space="preserve">Ahmad, A., Rasul, T., Yousaf, A. and Zaman, U. (2020). Understanding Factors Influencing Elderly Diabetic Patients’ Continuance Intention to Use Digital Health Wearables: Extending the Technology Acceptance Model (TAM). </w:t>
      </w:r>
      <w:r w:rsidRPr="00C9301E">
        <w:rPr>
          <w:i/>
          <w:iCs/>
          <w:lang w:val="en-US"/>
        </w:rPr>
        <w:t>Journal of Open Innovation: Technology, Market, and Complexity</w:t>
      </w:r>
      <w:r w:rsidRPr="00C9301E">
        <w:rPr>
          <w:lang w:val="en-US"/>
        </w:rPr>
        <w:t>, 6(3), p.81. doi:</w:t>
      </w:r>
      <w:hyperlink r:id="rId21" w:history="1">
        <w:r w:rsidRPr="00C9301E">
          <w:rPr>
            <w:rStyle w:val="Hyperlink"/>
            <w:lang w:val="en-US"/>
          </w:rPr>
          <w:t>https://doi.org/10.3390/joitmc6030081</w:t>
        </w:r>
      </w:hyperlink>
      <w:r w:rsidR="00C779A5">
        <w:rPr>
          <w:lang w:val="en-US"/>
        </w:rPr>
        <w:t xml:space="preserve"> </w:t>
      </w:r>
    </w:p>
    <w:p w14:paraId="202C1E05" w14:textId="01EE1202" w:rsidR="00622597" w:rsidRDefault="00622597" w:rsidP="00622597">
      <w:pPr>
        <w:pStyle w:val="TableParagraph"/>
        <w:rPr>
          <w:lang w:val="en-US"/>
        </w:rPr>
      </w:pPr>
      <w:r w:rsidRPr="00C9301E">
        <w:rPr>
          <w:lang w:val="en-US"/>
        </w:rPr>
        <w:t xml:space="preserve">Ahmad, F.J. and Joshi, S.H. (2023). Self-Care Practices and Their Role in the Control of Diabetes: A Narrative Review. </w:t>
      </w:r>
      <w:r w:rsidRPr="00C9301E">
        <w:rPr>
          <w:i/>
          <w:iCs/>
          <w:lang w:val="en-US"/>
        </w:rPr>
        <w:t>Cureus</w:t>
      </w:r>
      <w:r w:rsidRPr="00C9301E">
        <w:rPr>
          <w:lang w:val="en-US"/>
        </w:rPr>
        <w:t>, 15(7). doi:</w:t>
      </w:r>
      <w:hyperlink r:id="rId22" w:history="1">
        <w:r w:rsidRPr="00C9301E">
          <w:rPr>
            <w:rStyle w:val="Hyperlink"/>
            <w:lang w:val="en-US"/>
          </w:rPr>
          <w:t>https://doi.org/10.7759/cureus.41409</w:t>
        </w:r>
      </w:hyperlink>
      <w:r w:rsidR="00C779A5">
        <w:rPr>
          <w:lang w:val="en-US"/>
        </w:rPr>
        <w:t xml:space="preserve"> </w:t>
      </w:r>
    </w:p>
    <w:p w14:paraId="578872C4" w14:textId="1077106A" w:rsidR="00622597" w:rsidRDefault="00622597" w:rsidP="00622597">
      <w:pPr>
        <w:pStyle w:val="TableParagraph"/>
        <w:rPr>
          <w:lang w:val="en-US"/>
        </w:rPr>
      </w:pPr>
      <w:r w:rsidRPr="00C9301E">
        <w:rPr>
          <w:lang w:val="en-US"/>
        </w:rPr>
        <w:t xml:space="preserve">Aleppo, G., Chmiel, R., Zurn, A., </w:t>
      </w:r>
      <w:proofErr w:type="spellStart"/>
      <w:r w:rsidRPr="00C9301E">
        <w:rPr>
          <w:lang w:val="en-US"/>
        </w:rPr>
        <w:t>Bandoske</w:t>
      </w:r>
      <w:proofErr w:type="spellEnd"/>
      <w:r w:rsidRPr="00C9301E">
        <w:rPr>
          <w:lang w:val="en-US"/>
        </w:rPr>
        <w:t xml:space="preserve">, R., Creamer, P., Neubauer, N., Wong, J., Andrade, S.B. and Hauptman, A. (2023). Integration of Continuous Glucose Monitoring Data into an Electronic Health Record System: </w:t>
      </w:r>
      <w:r>
        <w:rPr>
          <w:lang w:val="en-US"/>
        </w:rPr>
        <w:t>Single-Centre</w:t>
      </w:r>
      <w:r w:rsidRPr="00C9301E">
        <w:rPr>
          <w:lang w:val="en-US"/>
        </w:rPr>
        <w:t xml:space="preserve"> Implementation. </w:t>
      </w:r>
      <w:r w:rsidRPr="00C9301E">
        <w:rPr>
          <w:i/>
          <w:iCs/>
          <w:lang w:val="en-US"/>
        </w:rPr>
        <w:t>Journal of Diabetes Science and Technology</w:t>
      </w:r>
      <w:r w:rsidRPr="00C9301E">
        <w:rPr>
          <w:lang w:val="en-US"/>
        </w:rPr>
        <w:t>. Doi:</w:t>
      </w:r>
      <w:hyperlink r:id="rId23" w:history="1">
        <w:r w:rsidRPr="00C9301E">
          <w:rPr>
            <w:rStyle w:val="Hyperlink"/>
            <w:lang w:val="en-US"/>
          </w:rPr>
          <w:t>https://doi.org/10.1177/19322968231196168</w:t>
        </w:r>
      </w:hyperlink>
      <w:r w:rsidR="00C779A5">
        <w:rPr>
          <w:lang w:val="en-US"/>
        </w:rPr>
        <w:t xml:space="preserve"> </w:t>
      </w:r>
    </w:p>
    <w:p w14:paraId="28A7B7F3" w14:textId="795CCAEE" w:rsidR="00622597" w:rsidRDefault="00622597" w:rsidP="00622597">
      <w:pPr>
        <w:pStyle w:val="TableParagraph"/>
        <w:rPr>
          <w:lang w:val="en-US"/>
        </w:rPr>
      </w:pPr>
      <w:r w:rsidRPr="00C9301E">
        <w:rPr>
          <w:lang w:val="en-US"/>
        </w:rPr>
        <w:t xml:space="preserve">Alyafei, A. and Carr, R.E. (2024). </w:t>
      </w:r>
      <w:r w:rsidRPr="00C9301E">
        <w:rPr>
          <w:i/>
          <w:iCs/>
          <w:lang w:val="en-US"/>
        </w:rPr>
        <w:t>The Health Belief Model of Behaviour Change</w:t>
      </w:r>
      <w:r w:rsidRPr="00C9301E">
        <w:rPr>
          <w:lang w:val="en-US"/>
        </w:rPr>
        <w:t xml:space="preserve">. [online] National Library of Medicine. Available at: </w:t>
      </w:r>
      <w:hyperlink r:id="rId24" w:history="1">
        <w:r w:rsidRPr="00C9301E">
          <w:rPr>
            <w:rStyle w:val="Hyperlink"/>
            <w:lang w:val="en-US"/>
          </w:rPr>
          <w:t>https://www.ncbi.nlm.nih.gov/books/NBK606120/</w:t>
        </w:r>
      </w:hyperlink>
      <w:r w:rsidR="00C779A5">
        <w:rPr>
          <w:lang w:val="en-US"/>
        </w:rPr>
        <w:t xml:space="preserve"> </w:t>
      </w:r>
    </w:p>
    <w:p w14:paraId="4548AA96" w14:textId="3227344F" w:rsidR="00622597" w:rsidRDefault="00622597" w:rsidP="00622597">
      <w:pPr>
        <w:pStyle w:val="TableParagraph"/>
        <w:rPr>
          <w:lang w:val="en-US"/>
        </w:rPr>
      </w:pPr>
      <w:r w:rsidRPr="00C9301E">
        <w:rPr>
          <w:lang w:val="en-US"/>
        </w:rPr>
        <w:t xml:space="preserve">Bartelme, A. and Bridger, P. (2009). The Role of Reimbursement in the Adoption of Continuous Glucose Monitors. </w:t>
      </w:r>
      <w:r w:rsidRPr="00C9301E">
        <w:rPr>
          <w:i/>
          <w:iCs/>
          <w:lang w:val="en-US"/>
        </w:rPr>
        <w:t>Journal of Diabetes Science and Technology</w:t>
      </w:r>
      <w:r w:rsidRPr="00C9301E">
        <w:rPr>
          <w:lang w:val="en-US"/>
        </w:rPr>
        <w:t>, 3(4), pp.992–995. doi:</w:t>
      </w:r>
      <w:hyperlink r:id="rId25" w:history="1">
        <w:r w:rsidRPr="00C9301E">
          <w:rPr>
            <w:rStyle w:val="Hyperlink"/>
            <w:lang w:val="en-US"/>
          </w:rPr>
          <w:t>https://doi.org/10.1177/193229680900300449</w:t>
        </w:r>
      </w:hyperlink>
      <w:r w:rsidR="00C779A5">
        <w:rPr>
          <w:lang w:val="en-US"/>
        </w:rPr>
        <w:t xml:space="preserve"> </w:t>
      </w:r>
    </w:p>
    <w:p w14:paraId="0FC51702" w14:textId="77777777" w:rsidR="00622597" w:rsidRPr="00622597" w:rsidRDefault="00622597" w:rsidP="00622597">
      <w:pPr>
        <w:pStyle w:val="TableParagraph"/>
        <w:rPr>
          <w:lang w:val="en-US"/>
        </w:rPr>
      </w:pPr>
      <w:r w:rsidRPr="00622597">
        <w:rPr>
          <w:lang w:val="en-US"/>
        </w:rPr>
        <w:t xml:space="preserve">Bell, E., Bryman, A. and Harley, B. (2019). </w:t>
      </w:r>
      <w:r w:rsidRPr="00622597">
        <w:rPr>
          <w:i/>
          <w:iCs/>
          <w:lang w:val="en-US"/>
        </w:rPr>
        <w:t>Business Research Methods</w:t>
      </w:r>
      <w:r w:rsidRPr="00622597">
        <w:rPr>
          <w:lang w:val="en-US"/>
        </w:rPr>
        <w:t>. 5th ed. Oxford: Oxford University Press.</w:t>
      </w:r>
    </w:p>
    <w:p w14:paraId="17106B64" w14:textId="372C746F" w:rsidR="00622597" w:rsidRDefault="00622597" w:rsidP="00622597">
      <w:pPr>
        <w:pStyle w:val="TableParagraph"/>
        <w:rPr>
          <w:lang w:val="en-US"/>
        </w:rPr>
      </w:pPr>
      <w:r w:rsidRPr="00C9301E">
        <w:rPr>
          <w:lang w:val="en-US"/>
        </w:rPr>
        <w:t xml:space="preserve">Bender, C., Vestergaard, P. and Cichosz, S.L. (2025). The History, Evolution and Future of Continuous Glucose Monitoring (CGM). </w:t>
      </w:r>
      <w:r w:rsidRPr="00C9301E">
        <w:rPr>
          <w:i/>
          <w:iCs/>
          <w:lang w:val="en-US"/>
        </w:rPr>
        <w:t>Diabetology</w:t>
      </w:r>
      <w:r w:rsidRPr="00C9301E">
        <w:rPr>
          <w:lang w:val="en-US"/>
        </w:rPr>
        <w:t>, [online] 6(3), pp.17–17. doi:</w:t>
      </w:r>
      <w:hyperlink r:id="rId26" w:history="1">
        <w:r w:rsidRPr="00C9301E">
          <w:rPr>
            <w:rStyle w:val="Hyperlink"/>
            <w:lang w:val="en-US"/>
          </w:rPr>
          <w:t>https://doi.org/10.3390/diabetology6030017</w:t>
        </w:r>
      </w:hyperlink>
      <w:r w:rsidR="00C779A5">
        <w:rPr>
          <w:lang w:val="en-US"/>
        </w:rPr>
        <w:t xml:space="preserve"> </w:t>
      </w:r>
    </w:p>
    <w:p w14:paraId="6BF48FA0" w14:textId="012A260F" w:rsidR="00622597" w:rsidRDefault="00622597" w:rsidP="00622597">
      <w:pPr>
        <w:pStyle w:val="TableParagraph"/>
        <w:rPr>
          <w:lang w:val="en-US"/>
        </w:rPr>
      </w:pPr>
      <w:r w:rsidRPr="00C9301E">
        <w:rPr>
          <w:lang w:val="en-US"/>
        </w:rPr>
        <w:t xml:space="preserve">Beran, D., Lazo-Porras, M., Mba, C.M. and </w:t>
      </w:r>
      <w:proofErr w:type="spellStart"/>
      <w:r w:rsidRPr="00C9301E">
        <w:rPr>
          <w:lang w:val="en-US"/>
        </w:rPr>
        <w:t>Mbanya</w:t>
      </w:r>
      <w:proofErr w:type="spellEnd"/>
      <w:r w:rsidRPr="00C9301E">
        <w:rPr>
          <w:lang w:val="en-US"/>
        </w:rPr>
        <w:t xml:space="preserve">, J.C. (2021). A global perspective on the issue of access to insulin. </w:t>
      </w:r>
      <w:proofErr w:type="spellStart"/>
      <w:r w:rsidRPr="00C9301E">
        <w:rPr>
          <w:i/>
          <w:iCs/>
          <w:lang w:val="en-US"/>
        </w:rPr>
        <w:t>Diabetologia</w:t>
      </w:r>
      <w:proofErr w:type="spellEnd"/>
      <w:r w:rsidRPr="00C9301E">
        <w:rPr>
          <w:lang w:val="en-US"/>
        </w:rPr>
        <w:t>, 64(5), pp.954–962. doi:</w:t>
      </w:r>
      <w:hyperlink r:id="rId27" w:history="1">
        <w:r w:rsidRPr="00C9301E">
          <w:rPr>
            <w:rStyle w:val="Hyperlink"/>
            <w:lang w:val="en-US"/>
          </w:rPr>
          <w:t>https://doi.org/10.1007/s00125-020-05375-2</w:t>
        </w:r>
      </w:hyperlink>
      <w:r w:rsidR="00C779A5">
        <w:rPr>
          <w:lang w:val="en-US"/>
        </w:rPr>
        <w:t xml:space="preserve"> </w:t>
      </w:r>
    </w:p>
    <w:p w14:paraId="2036E516" w14:textId="0A8A8BF2" w:rsidR="00622597" w:rsidRDefault="00622597" w:rsidP="00622597">
      <w:pPr>
        <w:pStyle w:val="TableParagraph"/>
        <w:rPr>
          <w:lang w:val="en-US"/>
        </w:rPr>
      </w:pPr>
      <w:r w:rsidRPr="00C9301E">
        <w:rPr>
          <w:lang w:val="en-US"/>
        </w:rPr>
        <w:t xml:space="preserve">Bitomsky, L., Pfitzer, E., </w:t>
      </w:r>
      <w:proofErr w:type="spellStart"/>
      <w:r w:rsidRPr="00C9301E">
        <w:rPr>
          <w:lang w:val="en-US"/>
        </w:rPr>
        <w:t>Nißen</w:t>
      </w:r>
      <w:proofErr w:type="spellEnd"/>
      <w:r w:rsidRPr="00C9301E">
        <w:rPr>
          <w:lang w:val="en-US"/>
        </w:rPr>
        <w:t xml:space="preserve">, M. and Kowatsch, T. (2025). Advancing health equity and the role of digital health technologies: a scoping review. </w:t>
      </w:r>
      <w:r w:rsidRPr="00C9301E">
        <w:rPr>
          <w:i/>
          <w:iCs/>
          <w:lang w:val="en-US"/>
        </w:rPr>
        <w:t>BMJ Open</w:t>
      </w:r>
      <w:r w:rsidRPr="00C9301E">
        <w:rPr>
          <w:lang w:val="en-US"/>
        </w:rPr>
        <w:t>, [online] 15(6), pp e099306–e099306. Doi:</w:t>
      </w:r>
      <w:hyperlink r:id="rId28" w:history="1">
        <w:r w:rsidRPr="00C9301E">
          <w:rPr>
            <w:rStyle w:val="Hyperlink"/>
            <w:lang w:val="en-US"/>
          </w:rPr>
          <w:t>https://doi.org/10.1136/bmjopen-2025-099306</w:t>
        </w:r>
      </w:hyperlink>
      <w:r w:rsidR="00C779A5">
        <w:rPr>
          <w:lang w:val="en-US"/>
        </w:rPr>
        <w:t xml:space="preserve"> </w:t>
      </w:r>
    </w:p>
    <w:p w14:paraId="74FF4F7C" w14:textId="05AAC3DB" w:rsidR="00622597" w:rsidRDefault="00622597" w:rsidP="00622597">
      <w:pPr>
        <w:pStyle w:val="TableParagraph"/>
        <w:rPr>
          <w:lang w:val="en-US"/>
        </w:rPr>
      </w:pPr>
      <w:r w:rsidRPr="00C9301E">
        <w:rPr>
          <w:lang w:val="en-US"/>
        </w:rPr>
        <w:lastRenderedPageBreak/>
        <w:t xml:space="preserve">Boland, E., Monsod, T., Delucia, M., Brandt, C.A., Fernando, S. and Tamborlane, W.V. (2001). Limitations of Conventional Methods of Self-Monitoring of Blood Glucose: Lessons learned from 3 days of continuous glucose sensing in pediatric patients with type 1 diabetes. </w:t>
      </w:r>
      <w:r w:rsidRPr="00C9301E">
        <w:rPr>
          <w:i/>
          <w:iCs/>
          <w:lang w:val="en-US"/>
        </w:rPr>
        <w:t>Diabetes Care</w:t>
      </w:r>
      <w:r w:rsidRPr="00C9301E">
        <w:rPr>
          <w:lang w:val="en-US"/>
        </w:rPr>
        <w:t>, 24(11), pp.1858–1862. doi:</w:t>
      </w:r>
      <w:hyperlink r:id="rId29" w:history="1">
        <w:r w:rsidRPr="00C9301E">
          <w:rPr>
            <w:rStyle w:val="Hyperlink"/>
            <w:lang w:val="en-US"/>
          </w:rPr>
          <w:t>https://doi.org/10.2337/diacare.24.11.1858</w:t>
        </w:r>
      </w:hyperlink>
      <w:r w:rsidR="00C779A5">
        <w:rPr>
          <w:lang w:val="en-US"/>
        </w:rPr>
        <w:t xml:space="preserve"> </w:t>
      </w:r>
    </w:p>
    <w:p w14:paraId="019947BB" w14:textId="3FA476B3" w:rsidR="00622597" w:rsidRDefault="00622597" w:rsidP="00622597">
      <w:pPr>
        <w:pStyle w:val="TableParagraph"/>
        <w:rPr>
          <w:lang w:val="en-US"/>
        </w:rPr>
      </w:pPr>
      <w:r w:rsidRPr="00C9301E">
        <w:rPr>
          <w:lang w:val="en-US"/>
        </w:rPr>
        <w:t xml:space="preserve">Boskey, E. (2024). </w:t>
      </w:r>
      <w:r w:rsidRPr="00C9301E">
        <w:rPr>
          <w:i/>
          <w:iCs/>
          <w:lang w:val="en-US"/>
        </w:rPr>
        <w:t>How the Health Belief Model Influences Your Behaviours</w:t>
      </w:r>
      <w:r w:rsidRPr="00C9301E">
        <w:rPr>
          <w:lang w:val="en-US"/>
        </w:rPr>
        <w:t xml:space="preserve">. [online] </w:t>
      </w:r>
      <w:proofErr w:type="spellStart"/>
      <w:r w:rsidRPr="00C9301E">
        <w:rPr>
          <w:lang w:val="en-US"/>
        </w:rPr>
        <w:t>VeryWellMind</w:t>
      </w:r>
      <w:proofErr w:type="spellEnd"/>
      <w:r w:rsidRPr="00C9301E">
        <w:rPr>
          <w:lang w:val="en-US"/>
        </w:rPr>
        <w:t xml:space="preserve">. Available at: </w:t>
      </w:r>
      <w:hyperlink r:id="rId30" w:history="1">
        <w:r w:rsidRPr="00C9301E">
          <w:rPr>
            <w:rStyle w:val="Hyperlink"/>
            <w:lang w:val="en-US"/>
          </w:rPr>
          <w:t>https://www.verywellmind.com/health-belief-model-3132721</w:t>
        </w:r>
      </w:hyperlink>
      <w:r w:rsidR="00C779A5">
        <w:rPr>
          <w:lang w:val="en-US"/>
        </w:rPr>
        <w:t xml:space="preserve"> </w:t>
      </w:r>
    </w:p>
    <w:p w14:paraId="706171D3" w14:textId="77777777" w:rsidR="00622597" w:rsidRPr="00622597" w:rsidRDefault="00622597" w:rsidP="00622597">
      <w:pPr>
        <w:pStyle w:val="TableParagraph"/>
        <w:rPr>
          <w:lang w:val="en-US"/>
        </w:rPr>
      </w:pPr>
      <w:r w:rsidRPr="00622597">
        <w:rPr>
          <w:lang w:val="en-US"/>
        </w:rPr>
        <w:t xml:space="preserve">Braun, V. and Clarke, V. (2013). </w:t>
      </w:r>
      <w:r w:rsidRPr="00622597">
        <w:rPr>
          <w:i/>
          <w:iCs/>
          <w:lang w:val="en-US"/>
        </w:rPr>
        <w:t>Successful qualitative research: a practical guide for beginners</w:t>
      </w:r>
      <w:r w:rsidRPr="00622597">
        <w:rPr>
          <w:lang w:val="en-US"/>
        </w:rPr>
        <w:t>. London: Sage.</w:t>
      </w:r>
    </w:p>
    <w:p w14:paraId="6558A1E3" w14:textId="4A1AC4D2" w:rsidR="00622597" w:rsidRDefault="00622597" w:rsidP="00622597">
      <w:pPr>
        <w:pStyle w:val="TableParagraph"/>
        <w:rPr>
          <w:lang w:val="en-US"/>
        </w:rPr>
      </w:pPr>
      <w:r w:rsidRPr="00C9301E">
        <w:rPr>
          <w:lang w:val="en-US"/>
        </w:rPr>
        <w:t xml:space="preserve">Brutsaert, E. (2023). </w:t>
      </w:r>
      <w:r w:rsidRPr="00C9301E">
        <w:rPr>
          <w:i/>
          <w:iCs/>
          <w:lang w:val="en-US"/>
        </w:rPr>
        <w:t>Complications of Diabetes Mellitus - Endocrine and Metabolic Disorders</w:t>
      </w:r>
      <w:r w:rsidRPr="00C9301E">
        <w:rPr>
          <w:lang w:val="en-US"/>
        </w:rPr>
        <w:t xml:space="preserve">. [online] MSD Manual Professional Edition. Available at: </w:t>
      </w:r>
      <w:hyperlink r:id="rId31" w:history="1">
        <w:r w:rsidRPr="00C9301E">
          <w:rPr>
            <w:rStyle w:val="Hyperlink"/>
            <w:lang w:val="en-US"/>
          </w:rPr>
          <w:t>https://www.msdmanuals.com/professional/endocrine-and-metabolic-disorders/diabetes-mellitus-and-disorders-of-carbohydrate-metabolism/complications-of-diabetes-mellitus</w:t>
        </w:r>
      </w:hyperlink>
      <w:r w:rsidR="00C779A5">
        <w:rPr>
          <w:lang w:val="en-US"/>
        </w:rPr>
        <w:t xml:space="preserve"> </w:t>
      </w:r>
    </w:p>
    <w:p w14:paraId="14477EF9" w14:textId="77777777" w:rsidR="00622597" w:rsidRPr="00622597" w:rsidRDefault="00622597" w:rsidP="00622597">
      <w:pPr>
        <w:pStyle w:val="TableParagraph"/>
        <w:rPr>
          <w:lang w:val="en-US"/>
        </w:rPr>
      </w:pPr>
      <w:r w:rsidRPr="00622597">
        <w:rPr>
          <w:lang w:val="en-US"/>
        </w:rPr>
        <w:t xml:space="preserve">Bryman, A. (2015). </w:t>
      </w:r>
      <w:r w:rsidRPr="00622597">
        <w:rPr>
          <w:i/>
          <w:iCs/>
          <w:lang w:val="en-US"/>
        </w:rPr>
        <w:t xml:space="preserve">Research </w:t>
      </w:r>
      <w:proofErr w:type="gramStart"/>
      <w:r w:rsidRPr="00622597">
        <w:rPr>
          <w:i/>
          <w:iCs/>
          <w:lang w:val="en-US"/>
        </w:rPr>
        <w:t>methodology :</w:t>
      </w:r>
      <w:proofErr w:type="gramEnd"/>
      <w:r w:rsidRPr="00622597">
        <w:rPr>
          <w:i/>
          <w:iCs/>
          <w:lang w:val="en-US"/>
        </w:rPr>
        <w:t xml:space="preserve"> business and management contexts</w:t>
      </w:r>
      <w:r w:rsidRPr="00622597">
        <w:rPr>
          <w:lang w:val="en-US"/>
        </w:rPr>
        <w:t>. Cape Town: Oxford University Press.</w:t>
      </w:r>
    </w:p>
    <w:p w14:paraId="15DED374" w14:textId="3CEFA793" w:rsidR="00622597" w:rsidRDefault="00622597" w:rsidP="00622597">
      <w:pPr>
        <w:pStyle w:val="TableParagraph"/>
        <w:rPr>
          <w:lang w:val="en-US"/>
        </w:rPr>
      </w:pPr>
      <w:proofErr w:type="spellStart"/>
      <w:r w:rsidRPr="00C9301E">
        <w:rPr>
          <w:lang w:val="en-US"/>
        </w:rPr>
        <w:t>Chehregosha</w:t>
      </w:r>
      <w:proofErr w:type="spellEnd"/>
      <w:r w:rsidRPr="00C9301E">
        <w:rPr>
          <w:lang w:val="en-US"/>
        </w:rPr>
        <w:t xml:space="preserve">, H., </w:t>
      </w:r>
      <w:proofErr w:type="spellStart"/>
      <w:r w:rsidRPr="00C9301E">
        <w:rPr>
          <w:lang w:val="en-US"/>
        </w:rPr>
        <w:t>Khamseh</w:t>
      </w:r>
      <w:proofErr w:type="spellEnd"/>
      <w:r w:rsidRPr="00C9301E">
        <w:rPr>
          <w:lang w:val="en-US"/>
        </w:rPr>
        <w:t xml:space="preserve">, M.E., Malek, M., </w:t>
      </w:r>
      <w:proofErr w:type="spellStart"/>
      <w:r w:rsidRPr="00C9301E">
        <w:rPr>
          <w:lang w:val="en-US"/>
        </w:rPr>
        <w:t>Hosseinpanah</w:t>
      </w:r>
      <w:proofErr w:type="spellEnd"/>
      <w:r w:rsidRPr="00C9301E">
        <w:rPr>
          <w:lang w:val="en-US"/>
        </w:rPr>
        <w:t xml:space="preserve">, F. and Ismail-Beigi, F. (2019). A View Beyond HbA1c: Role of Continuous Glucose Monitoring. </w:t>
      </w:r>
      <w:r w:rsidRPr="00C9301E">
        <w:rPr>
          <w:i/>
          <w:iCs/>
          <w:lang w:val="en-US"/>
        </w:rPr>
        <w:t>Diabetes Therapy</w:t>
      </w:r>
      <w:r w:rsidRPr="00C9301E">
        <w:rPr>
          <w:lang w:val="en-US"/>
        </w:rPr>
        <w:t>, 10(3), pp.853–863. doi:</w:t>
      </w:r>
      <w:hyperlink r:id="rId32" w:history="1">
        <w:r w:rsidRPr="00C9301E">
          <w:rPr>
            <w:rStyle w:val="Hyperlink"/>
            <w:lang w:val="en-US"/>
          </w:rPr>
          <w:t>https://doi.org/10.1007/s13300-019-0619-1</w:t>
        </w:r>
      </w:hyperlink>
      <w:r w:rsidR="00C779A5">
        <w:rPr>
          <w:lang w:val="en-US"/>
        </w:rPr>
        <w:t xml:space="preserve"> </w:t>
      </w:r>
    </w:p>
    <w:p w14:paraId="2062B713" w14:textId="015E1211" w:rsidR="00622597" w:rsidRDefault="00622597" w:rsidP="00622597">
      <w:pPr>
        <w:pStyle w:val="TableParagraph"/>
        <w:rPr>
          <w:lang w:val="en-US"/>
        </w:rPr>
      </w:pPr>
      <w:r w:rsidRPr="00C9301E">
        <w:rPr>
          <w:lang w:val="en-US"/>
        </w:rPr>
        <w:t xml:space="preserve">Diabetes UK (2018). </w:t>
      </w:r>
      <w:r w:rsidRPr="00C9301E">
        <w:rPr>
          <w:i/>
          <w:iCs/>
          <w:lang w:val="en-US"/>
        </w:rPr>
        <w:t>Can I get continuous glucose monitoring on the NHS?</w:t>
      </w:r>
      <w:r w:rsidRPr="00C9301E">
        <w:rPr>
          <w:lang w:val="en-US"/>
        </w:rPr>
        <w:t xml:space="preserve"> [online] Diabetes UK. Available at: </w:t>
      </w:r>
      <w:hyperlink r:id="rId33" w:history="1">
        <w:r w:rsidRPr="00C9301E">
          <w:rPr>
            <w:rStyle w:val="Hyperlink"/>
            <w:lang w:val="en-US"/>
          </w:rPr>
          <w:t>https://www.diabetes.org.uk/about-diabetes/looking-after-diabetes/technology/continuous-glucose-monitors/can-i-get-cgm-on-the-nhs</w:t>
        </w:r>
      </w:hyperlink>
      <w:r w:rsidR="00C779A5">
        <w:rPr>
          <w:lang w:val="en-US"/>
        </w:rPr>
        <w:t xml:space="preserve"> </w:t>
      </w:r>
    </w:p>
    <w:p w14:paraId="061614A5" w14:textId="2427C043" w:rsidR="00622597" w:rsidRDefault="00622597" w:rsidP="00622597">
      <w:pPr>
        <w:pStyle w:val="TableParagraph"/>
        <w:rPr>
          <w:lang w:val="en-US"/>
        </w:rPr>
      </w:pPr>
      <w:r w:rsidRPr="00C9301E">
        <w:rPr>
          <w:lang w:val="en-US"/>
        </w:rPr>
        <w:t xml:space="preserve">Diabetes UK (2023). </w:t>
      </w:r>
      <w:r w:rsidRPr="00C9301E">
        <w:rPr>
          <w:i/>
          <w:iCs/>
          <w:lang w:val="en-US"/>
        </w:rPr>
        <w:t>How Many People in the UK have diabetes?</w:t>
      </w:r>
      <w:r w:rsidRPr="00C9301E">
        <w:rPr>
          <w:lang w:val="en-US"/>
        </w:rPr>
        <w:t xml:space="preserve"> [online] Diabetes UK. Available at: </w:t>
      </w:r>
      <w:hyperlink r:id="rId34" w:history="1">
        <w:r w:rsidRPr="00C9301E">
          <w:rPr>
            <w:rStyle w:val="Hyperlink"/>
            <w:lang w:val="en-US"/>
          </w:rPr>
          <w:t>https://www.diabetes.org.uk/about-us/about-the-charity/our-strategy/statistics</w:t>
        </w:r>
      </w:hyperlink>
      <w:r w:rsidR="00C779A5">
        <w:rPr>
          <w:lang w:val="en-US"/>
        </w:rPr>
        <w:t xml:space="preserve"> </w:t>
      </w:r>
    </w:p>
    <w:p w14:paraId="1822AF06" w14:textId="50204943" w:rsidR="00622597" w:rsidRDefault="00622597" w:rsidP="00622597">
      <w:pPr>
        <w:pStyle w:val="TableParagraph"/>
        <w:rPr>
          <w:lang w:val="en-US"/>
        </w:rPr>
      </w:pPr>
      <w:r w:rsidRPr="00C9301E">
        <w:rPr>
          <w:lang w:val="en-US"/>
        </w:rPr>
        <w:t xml:space="preserve">Edward, R. and Priefer, R. (2023). A comparison of continuous glucose monitors (CGMs) in diabetes management: A systematic literature review. </w:t>
      </w:r>
      <w:r w:rsidRPr="00C9301E">
        <w:rPr>
          <w:i/>
          <w:iCs/>
          <w:lang w:val="en-US"/>
        </w:rPr>
        <w:t>Primary Care Diabetes</w:t>
      </w:r>
      <w:r w:rsidRPr="00C9301E">
        <w:rPr>
          <w:lang w:val="en-US"/>
        </w:rPr>
        <w:t>, 17(6), pp.529–534. doi:</w:t>
      </w:r>
      <w:hyperlink r:id="rId35" w:history="1">
        <w:r w:rsidRPr="00C9301E">
          <w:rPr>
            <w:rStyle w:val="Hyperlink"/>
            <w:lang w:val="en-US"/>
          </w:rPr>
          <w:t>https://doi.org/10.1016/j.pcd.2023.10.009</w:t>
        </w:r>
      </w:hyperlink>
      <w:r w:rsidR="00C779A5">
        <w:rPr>
          <w:lang w:val="en-US"/>
        </w:rPr>
        <w:t xml:space="preserve"> </w:t>
      </w:r>
    </w:p>
    <w:p w14:paraId="05A12BAF" w14:textId="10F1CF09" w:rsidR="00622597" w:rsidRDefault="00622597" w:rsidP="00622597">
      <w:pPr>
        <w:pStyle w:val="TableParagraph"/>
        <w:rPr>
          <w:lang w:val="en-US"/>
        </w:rPr>
      </w:pPr>
      <w:r w:rsidRPr="00C9301E">
        <w:rPr>
          <w:lang w:val="en-US"/>
        </w:rPr>
        <w:t xml:space="preserve">Farrant, M. and Friend, A.J. (2022). Continuous glucose monitoring improves patient satisfaction and frequency of glucose monitoring, but does not lead to better </w:t>
      </w:r>
      <w:proofErr w:type="spellStart"/>
      <w:r w:rsidRPr="00C9301E">
        <w:rPr>
          <w:lang w:val="en-US"/>
        </w:rPr>
        <w:t>glycaemic</w:t>
      </w:r>
      <w:proofErr w:type="spellEnd"/>
      <w:r w:rsidRPr="00C9301E">
        <w:rPr>
          <w:lang w:val="en-US"/>
        </w:rPr>
        <w:t xml:space="preserve"> control in youth with type 1 diabetes. </w:t>
      </w:r>
      <w:r w:rsidRPr="00C9301E">
        <w:rPr>
          <w:i/>
          <w:iCs/>
          <w:lang w:val="en-US"/>
        </w:rPr>
        <w:t>PubMed</w:t>
      </w:r>
      <w:r w:rsidRPr="00C9301E">
        <w:rPr>
          <w:lang w:val="en-US"/>
        </w:rPr>
        <w:t>, 107(4), pp.307–308. doi:</w:t>
      </w:r>
      <w:hyperlink r:id="rId36" w:history="1">
        <w:r w:rsidRPr="00C9301E">
          <w:rPr>
            <w:rStyle w:val="Hyperlink"/>
            <w:lang w:val="en-US"/>
          </w:rPr>
          <w:t>https://doi.org/10.1136/archdischild-2020-320967</w:t>
        </w:r>
      </w:hyperlink>
      <w:r w:rsidR="00C779A5">
        <w:rPr>
          <w:lang w:val="en-US"/>
        </w:rPr>
        <w:t xml:space="preserve"> </w:t>
      </w:r>
    </w:p>
    <w:p w14:paraId="13159C63" w14:textId="4C9A3E74" w:rsidR="00622597" w:rsidRDefault="00622597" w:rsidP="00622597">
      <w:pPr>
        <w:pStyle w:val="TableParagraph"/>
        <w:rPr>
          <w:lang w:val="en-US"/>
        </w:rPr>
      </w:pPr>
      <w:r w:rsidRPr="00C9301E">
        <w:rPr>
          <w:lang w:val="en-US"/>
        </w:rPr>
        <w:t xml:space="preserve">Frank, J., Son, D., Szafranski, K. and Poon, Y. (2024). Continuous glucose monitoring for </w:t>
      </w:r>
      <w:r w:rsidRPr="00C9301E">
        <w:rPr>
          <w:lang w:val="en-US"/>
        </w:rPr>
        <w:lastRenderedPageBreak/>
        <w:t xml:space="preserve">self-management of diabetes in people living with type 2 diabetes mellitus on basal insulin therapy: a microsimulation model and cost-effectiveness analysis from a US perspective with relevance to Medicaid. </w:t>
      </w:r>
      <w:r w:rsidRPr="00C9301E">
        <w:rPr>
          <w:i/>
          <w:iCs/>
          <w:lang w:val="en-US"/>
        </w:rPr>
        <w:t xml:space="preserve">Journal of Managed Care &amp; </w:t>
      </w:r>
      <w:proofErr w:type="spellStart"/>
      <w:r w:rsidRPr="00C9301E">
        <w:rPr>
          <w:i/>
          <w:iCs/>
          <w:lang w:val="en-US"/>
        </w:rPr>
        <w:t>Speciality</w:t>
      </w:r>
      <w:proofErr w:type="spellEnd"/>
      <w:r w:rsidRPr="00C9301E">
        <w:rPr>
          <w:i/>
          <w:iCs/>
          <w:lang w:val="en-US"/>
        </w:rPr>
        <w:t xml:space="preserve"> Pharmacy</w:t>
      </w:r>
      <w:r w:rsidRPr="00C9301E">
        <w:rPr>
          <w:lang w:val="en-US"/>
        </w:rPr>
        <w:t>, pp.1–12. doi:</w:t>
      </w:r>
      <w:hyperlink r:id="rId37" w:history="1">
        <w:r w:rsidRPr="00C9301E">
          <w:rPr>
            <w:rStyle w:val="Hyperlink"/>
            <w:lang w:val="en-US"/>
          </w:rPr>
          <w:t>https://doi.org/10.18553/jmcp.2024.24025</w:t>
        </w:r>
      </w:hyperlink>
      <w:r w:rsidR="00C779A5">
        <w:rPr>
          <w:lang w:val="en-US"/>
        </w:rPr>
        <w:t xml:space="preserve"> </w:t>
      </w:r>
    </w:p>
    <w:p w14:paraId="3F1D4434" w14:textId="3811647E" w:rsidR="00622597" w:rsidRDefault="00622597" w:rsidP="00622597">
      <w:pPr>
        <w:pStyle w:val="TableParagraph"/>
        <w:rPr>
          <w:lang w:val="en-US"/>
        </w:rPr>
      </w:pPr>
      <w:r w:rsidRPr="00C9301E">
        <w:rPr>
          <w:lang w:val="en-US"/>
        </w:rPr>
        <w:t xml:space="preserve">Grand View Research (2025). </w:t>
      </w:r>
      <w:r w:rsidRPr="00C9301E">
        <w:rPr>
          <w:i/>
          <w:iCs/>
          <w:lang w:val="en-US"/>
        </w:rPr>
        <w:t>Continuous Glucose Monitoring Device Market Report, 2028</w:t>
      </w:r>
      <w:r w:rsidRPr="00C9301E">
        <w:rPr>
          <w:lang w:val="en-US"/>
        </w:rPr>
        <w:t xml:space="preserve">. [online] www.grandviewresearch.com. Available at: </w:t>
      </w:r>
      <w:hyperlink r:id="rId38" w:history="1">
        <w:r w:rsidRPr="00C9301E">
          <w:rPr>
            <w:rStyle w:val="Hyperlink"/>
            <w:lang w:val="en-US"/>
          </w:rPr>
          <w:t>https://www.grandviewresearch.com/industry-analysis/continuous-glucose-monitoring-market</w:t>
        </w:r>
      </w:hyperlink>
      <w:r w:rsidR="00C779A5">
        <w:rPr>
          <w:lang w:val="en-US"/>
        </w:rPr>
        <w:t xml:space="preserve"> </w:t>
      </w:r>
    </w:p>
    <w:p w14:paraId="60CE483E" w14:textId="77777777" w:rsidR="00622597" w:rsidRPr="00622597" w:rsidRDefault="00622597" w:rsidP="00622597">
      <w:pPr>
        <w:pStyle w:val="TableParagraph"/>
        <w:rPr>
          <w:lang w:val="en-US"/>
        </w:rPr>
      </w:pPr>
      <w:r w:rsidRPr="00622597">
        <w:rPr>
          <w:lang w:val="en-US"/>
        </w:rPr>
        <w:t xml:space="preserve">Hair, J.F. (2007). </w:t>
      </w:r>
      <w:r w:rsidRPr="00622597">
        <w:rPr>
          <w:i/>
          <w:iCs/>
          <w:lang w:val="en-US"/>
        </w:rPr>
        <w:t>Research methods for business</w:t>
      </w:r>
      <w:r w:rsidRPr="00622597">
        <w:rPr>
          <w:lang w:val="en-US"/>
        </w:rPr>
        <w:t>. Chichester: John Wiley &amp; Sons.</w:t>
      </w:r>
    </w:p>
    <w:p w14:paraId="64B66C0E" w14:textId="25307CF7" w:rsidR="00622597" w:rsidRDefault="00622597" w:rsidP="00622597">
      <w:pPr>
        <w:pStyle w:val="TableParagraph"/>
        <w:rPr>
          <w:lang w:val="en-US"/>
        </w:rPr>
      </w:pPr>
      <w:r w:rsidRPr="00C9301E">
        <w:rPr>
          <w:lang w:val="en-US"/>
        </w:rPr>
        <w:t xml:space="preserve">Hirsch, I.B. (2018). </w:t>
      </w:r>
      <w:r w:rsidRPr="00C9301E">
        <w:rPr>
          <w:i/>
          <w:iCs/>
          <w:lang w:val="en-US"/>
        </w:rPr>
        <w:t>Introduction: History of Glucose Monitoring</w:t>
      </w:r>
      <w:r w:rsidRPr="00C9301E">
        <w:rPr>
          <w:lang w:val="en-US"/>
        </w:rPr>
        <w:t xml:space="preserve">. [online] </w:t>
      </w:r>
      <w:r w:rsidRPr="00C9301E">
        <w:rPr>
          <w:i/>
          <w:iCs/>
          <w:lang w:val="en-US"/>
        </w:rPr>
        <w:t>www.ncbi.nlm.nih.gov</w:t>
      </w:r>
      <w:r w:rsidRPr="00C9301E">
        <w:rPr>
          <w:lang w:val="en-US"/>
        </w:rPr>
        <w:t xml:space="preserve">. American Diabetes Association. Available at: </w:t>
      </w:r>
      <w:hyperlink r:id="rId39" w:history="1">
        <w:r w:rsidRPr="00C9301E">
          <w:rPr>
            <w:rStyle w:val="Hyperlink"/>
            <w:lang w:val="en-US"/>
          </w:rPr>
          <w:t>https://www.ncbi.nlm.nih.gov/books/NBK538968/</w:t>
        </w:r>
      </w:hyperlink>
      <w:r w:rsidR="00C779A5">
        <w:rPr>
          <w:lang w:val="en-US"/>
        </w:rPr>
        <w:t xml:space="preserve"> </w:t>
      </w:r>
    </w:p>
    <w:p w14:paraId="455C46C1" w14:textId="642FE8C8" w:rsidR="00622597" w:rsidRDefault="00622597" w:rsidP="00622597">
      <w:pPr>
        <w:pStyle w:val="TableParagraph"/>
        <w:rPr>
          <w:lang w:val="en-US"/>
        </w:rPr>
      </w:pPr>
      <w:r w:rsidRPr="00C9301E">
        <w:rPr>
          <w:lang w:val="en-US"/>
        </w:rPr>
        <w:t xml:space="preserve">Hossain, M.I., Yusof, A.F., Hussin, A.R.C., </w:t>
      </w:r>
      <w:proofErr w:type="spellStart"/>
      <w:r w:rsidRPr="00C9301E">
        <w:rPr>
          <w:lang w:val="en-US"/>
        </w:rPr>
        <w:t>lahad</w:t>
      </w:r>
      <w:proofErr w:type="spellEnd"/>
      <w:r w:rsidRPr="00C9301E">
        <w:rPr>
          <w:lang w:val="en-US"/>
        </w:rPr>
        <w:t xml:space="preserve">, N.A. and Sadiq, A.S. (2021). Factors Influencing the Adoption Model of Continuous Glucose Monitoring Devices for Internet of Things Healthcare. </w:t>
      </w:r>
      <w:r w:rsidRPr="00C9301E">
        <w:rPr>
          <w:i/>
          <w:iCs/>
          <w:lang w:val="en-US"/>
        </w:rPr>
        <w:t>Internet of Things</w:t>
      </w:r>
      <w:r w:rsidRPr="00C9301E">
        <w:rPr>
          <w:lang w:val="en-US"/>
        </w:rPr>
        <w:t>, 15, p.100353. doi:</w:t>
      </w:r>
      <w:hyperlink r:id="rId40" w:history="1">
        <w:r w:rsidRPr="00C9301E">
          <w:rPr>
            <w:rStyle w:val="Hyperlink"/>
            <w:lang w:val="en-US"/>
          </w:rPr>
          <w:t>https://doi.org/10.1016/j.iot.2020.100353</w:t>
        </w:r>
      </w:hyperlink>
      <w:r w:rsidR="00C779A5">
        <w:rPr>
          <w:lang w:val="en-US"/>
        </w:rPr>
        <w:t xml:space="preserve"> </w:t>
      </w:r>
    </w:p>
    <w:p w14:paraId="001322A6" w14:textId="75B680AF" w:rsidR="00622597" w:rsidRDefault="00622597" w:rsidP="00622597">
      <w:pPr>
        <w:pStyle w:val="TableParagraph"/>
        <w:rPr>
          <w:lang w:val="en-US"/>
        </w:rPr>
      </w:pPr>
      <w:r w:rsidRPr="00C9301E">
        <w:rPr>
          <w:lang w:val="en-US"/>
        </w:rPr>
        <w:t xml:space="preserve">Hossain, </w:t>
      </w:r>
      <w:proofErr w:type="spellStart"/>
      <w:r w:rsidRPr="00C9301E">
        <w:rPr>
          <w:lang w:val="en-US"/>
        </w:rPr>
        <w:t>Md.J</w:t>
      </w:r>
      <w:proofErr w:type="spellEnd"/>
      <w:r w:rsidRPr="00C9301E">
        <w:rPr>
          <w:lang w:val="en-US"/>
        </w:rPr>
        <w:t>., Al</w:t>
      </w:r>
      <w:r w:rsidRPr="00C9301E">
        <w:rPr>
          <w:rFonts w:ascii="Cambria Math" w:hAnsi="Cambria Math" w:cs="Cambria Math"/>
          <w:lang w:val="en-US"/>
        </w:rPr>
        <w:t>‐</w:t>
      </w:r>
      <w:r w:rsidRPr="00C9301E">
        <w:rPr>
          <w:lang w:val="en-US"/>
        </w:rPr>
        <w:t xml:space="preserve">Mamun, Md. and Islam, </w:t>
      </w:r>
      <w:proofErr w:type="spellStart"/>
      <w:r w:rsidRPr="00C9301E">
        <w:rPr>
          <w:lang w:val="en-US"/>
        </w:rPr>
        <w:t>Md.R</w:t>
      </w:r>
      <w:proofErr w:type="spellEnd"/>
      <w:r w:rsidRPr="00C9301E">
        <w:rPr>
          <w:lang w:val="en-US"/>
        </w:rPr>
        <w:t xml:space="preserve">. (2024). Diabetes mellitus, the fastest growing global public health concern: Early detection should be focused. </w:t>
      </w:r>
      <w:r w:rsidRPr="00C9301E">
        <w:rPr>
          <w:i/>
          <w:iCs/>
          <w:lang w:val="en-US"/>
        </w:rPr>
        <w:t>Health science reports</w:t>
      </w:r>
      <w:r w:rsidRPr="00C9301E">
        <w:rPr>
          <w:lang w:val="en-US"/>
        </w:rPr>
        <w:t>, 7(3). doi:</w:t>
      </w:r>
      <w:hyperlink r:id="rId41" w:history="1">
        <w:r w:rsidRPr="00C9301E">
          <w:rPr>
            <w:rStyle w:val="Hyperlink"/>
            <w:lang w:val="en-US"/>
          </w:rPr>
          <w:t>https://doi.org/10.1002/hsr2.2004</w:t>
        </w:r>
      </w:hyperlink>
      <w:r w:rsidR="00C779A5">
        <w:rPr>
          <w:lang w:val="en-US"/>
        </w:rPr>
        <w:t xml:space="preserve"> </w:t>
      </w:r>
    </w:p>
    <w:p w14:paraId="7924E72F" w14:textId="77777777" w:rsidR="00622597" w:rsidRDefault="00622597" w:rsidP="00622597">
      <w:pPr>
        <w:pStyle w:val="TableParagraph"/>
        <w:rPr>
          <w:lang w:val="en-US"/>
        </w:rPr>
      </w:pPr>
      <w:proofErr w:type="spellStart"/>
      <w:r w:rsidRPr="00C9301E">
        <w:rPr>
          <w:lang w:val="en-US"/>
        </w:rPr>
        <w:t>Jerjes</w:t>
      </w:r>
      <w:proofErr w:type="spellEnd"/>
      <w:r w:rsidRPr="00C9301E">
        <w:rPr>
          <w:lang w:val="en-US"/>
        </w:rPr>
        <w:t xml:space="preserve">, W. and Majeed, A. (2025). The unseen costs of medical training in the UK: a growing crisis. </w:t>
      </w:r>
      <w:r w:rsidRPr="00C9301E">
        <w:rPr>
          <w:i/>
          <w:iCs/>
          <w:lang w:val="en-US"/>
        </w:rPr>
        <w:t>Frontiers in Medicine</w:t>
      </w:r>
      <w:r w:rsidRPr="00C9301E">
        <w:rPr>
          <w:lang w:val="en-US"/>
        </w:rPr>
        <w:t>, 12. doi:</w:t>
      </w:r>
      <w:hyperlink r:id="rId42" w:history="1">
        <w:r w:rsidRPr="00C9301E">
          <w:rPr>
            <w:rStyle w:val="Hyperlink"/>
            <w:lang w:val="en-US"/>
          </w:rPr>
          <w:t>https://doi.org/10.3389/fmed.2025.1592010</w:t>
        </w:r>
      </w:hyperlink>
      <w:r w:rsidRPr="00C9301E">
        <w:rPr>
          <w:lang w:val="en-US"/>
        </w:rPr>
        <w:t>.</w:t>
      </w:r>
    </w:p>
    <w:p w14:paraId="17C5EEB7" w14:textId="723AE997" w:rsidR="00622597" w:rsidRDefault="00622597" w:rsidP="00622597">
      <w:pPr>
        <w:pStyle w:val="TableParagraph"/>
        <w:rPr>
          <w:lang w:val="en-US"/>
        </w:rPr>
      </w:pPr>
      <w:r w:rsidRPr="00C9301E">
        <w:rPr>
          <w:lang w:val="en-US"/>
        </w:rPr>
        <w:t xml:space="preserve">Kurniawan, A.L. and Arini, M. (2024). Effectiveness and User Satisfaction of Electronic Medical Records in an Indonesian Private Hospital. </w:t>
      </w:r>
      <w:r w:rsidRPr="00C9301E">
        <w:rPr>
          <w:i/>
          <w:iCs/>
          <w:lang w:val="en-US"/>
        </w:rPr>
        <w:t>South Eastern European Journal of Public Health</w:t>
      </w:r>
      <w:r w:rsidRPr="00C9301E">
        <w:rPr>
          <w:lang w:val="en-US"/>
        </w:rPr>
        <w:t>, pp.1128–1138. doi:</w:t>
      </w:r>
      <w:hyperlink r:id="rId43" w:history="1">
        <w:r w:rsidRPr="00C9301E">
          <w:rPr>
            <w:rStyle w:val="Hyperlink"/>
            <w:lang w:val="en-US"/>
          </w:rPr>
          <w:t>https://doi.org/10.70135/seejph.vi.2363</w:t>
        </w:r>
      </w:hyperlink>
      <w:r w:rsidR="00C779A5">
        <w:rPr>
          <w:lang w:val="en-US"/>
        </w:rPr>
        <w:t xml:space="preserve"> </w:t>
      </w:r>
    </w:p>
    <w:p w14:paraId="1F638E51" w14:textId="274133AD" w:rsidR="00622597" w:rsidRDefault="00622597" w:rsidP="00622597">
      <w:pPr>
        <w:pStyle w:val="TableParagraph"/>
        <w:rPr>
          <w:lang w:val="en-US"/>
        </w:rPr>
      </w:pPr>
      <w:r w:rsidRPr="00C9301E">
        <w:rPr>
          <w:lang w:val="en-US"/>
        </w:rPr>
        <w:t xml:space="preserve">Lau, D.C.W. (2015). Diabetes Technology and Devices Transform the Lives of People with Diabetes. </w:t>
      </w:r>
      <w:r w:rsidRPr="00C9301E">
        <w:rPr>
          <w:i/>
          <w:iCs/>
          <w:lang w:val="en-US"/>
        </w:rPr>
        <w:t>Canadian Journal of Diabetes</w:t>
      </w:r>
      <w:r w:rsidRPr="00C9301E">
        <w:rPr>
          <w:lang w:val="en-US"/>
        </w:rPr>
        <w:t>, 39(3), pp.174–175. doi:</w:t>
      </w:r>
      <w:hyperlink r:id="rId44" w:history="1">
        <w:r w:rsidRPr="00C9301E">
          <w:rPr>
            <w:rStyle w:val="Hyperlink"/>
            <w:lang w:val="en-US"/>
          </w:rPr>
          <w:t>https://doi.org/10.1016/j.jcjd.2015.04.003</w:t>
        </w:r>
      </w:hyperlink>
      <w:r w:rsidR="00C779A5">
        <w:rPr>
          <w:lang w:val="en-US"/>
        </w:rPr>
        <w:t xml:space="preserve"> </w:t>
      </w:r>
    </w:p>
    <w:p w14:paraId="495776DE" w14:textId="378B17E0" w:rsidR="00622597" w:rsidRDefault="00622597" w:rsidP="00622597">
      <w:pPr>
        <w:pStyle w:val="TableParagraph"/>
        <w:rPr>
          <w:lang w:val="en-US"/>
        </w:rPr>
      </w:pPr>
      <w:r w:rsidRPr="00C9301E">
        <w:rPr>
          <w:lang w:val="en-US"/>
        </w:rPr>
        <w:t xml:space="preserve">López, M. del P.A., Ong, B.A., Borrat Frigola, X., Fernández, A.L., Hicklent, R.S., Obeles, A.J.T., Rocimo, A.M. and Celi, L.A. (2023). Digital literacy as a new determinant of health: A scoping review. </w:t>
      </w:r>
      <w:r w:rsidRPr="00C9301E">
        <w:rPr>
          <w:i/>
          <w:iCs/>
          <w:lang w:val="en-US"/>
        </w:rPr>
        <w:t>PLOS Digital Health</w:t>
      </w:r>
      <w:r w:rsidRPr="00C9301E">
        <w:rPr>
          <w:lang w:val="en-US"/>
        </w:rPr>
        <w:t xml:space="preserve">, [online] 2(10), p.e0000279. </w:t>
      </w:r>
      <w:r w:rsidRPr="00C9301E">
        <w:rPr>
          <w:lang w:val="en-US"/>
        </w:rPr>
        <w:lastRenderedPageBreak/>
        <w:t>Doi:</w:t>
      </w:r>
      <w:hyperlink r:id="rId45" w:history="1">
        <w:r w:rsidRPr="00C9301E">
          <w:rPr>
            <w:rStyle w:val="Hyperlink"/>
            <w:lang w:val="en-US"/>
          </w:rPr>
          <w:t>https://doi.org/10.1371/journal.pdig.0000279</w:t>
        </w:r>
      </w:hyperlink>
      <w:r w:rsidR="00C779A5">
        <w:rPr>
          <w:lang w:val="en-US"/>
        </w:rPr>
        <w:t xml:space="preserve"> </w:t>
      </w:r>
    </w:p>
    <w:p w14:paraId="3B77FA64" w14:textId="51A29912" w:rsidR="00622597" w:rsidRDefault="00622597" w:rsidP="00622597">
      <w:pPr>
        <w:pStyle w:val="TableParagraph"/>
        <w:rPr>
          <w:lang w:val="en-US"/>
        </w:rPr>
      </w:pPr>
      <w:r w:rsidRPr="00C9301E">
        <w:rPr>
          <w:lang w:val="en-US"/>
        </w:rPr>
        <w:t xml:space="preserve">Mathew, T.K., Tadi, P. and Zubair, M. (2023). </w:t>
      </w:r>
      <w:r w:rsidRPr="00C9301E">
        <w:rPr>
          <w:i/>
          <w:iCs/>
          <w:lang w:val="en-US"/>
        </w:rPr>
        <w:t>Blood Glucose Monitoring</w:t>
      </w:r>
      <w:r w:rsidRPr="00C9301E">
        <w:rPr>
          <w:lang w:val="en-US"/>
        </w:rPr>
        <w:t xml:space="preserve">. [online] National Library of Medicine. Available at: </w:t>
      </w:r>
      <w:hyperlink r:id="rId46" w:history="1">
        <w:r w:rsidRPr="00C9301E">
          <w:rPr>
            <w:rStyle w:val="Hyperlink"/>
            <w:lang w:val="en-US"/>
          </w:rPr>
          <w:t>https://www.ncbi.nlm.nih.gov/books/NBK555976/</w:t>
        </w:r>
      </w:hyperlink>
      <w:r w:rsidR="00C779A5">
        <w:rPr>
          <w:lang w:val="en-US"/>
        </w:rPr>
        <w:t xml:space="preserve"> </w:t>
      </w:r>
    </w:p>
    <w:p w14:paraId="04CD9CB5" w14:textId="2C9FA19C" w:rsidR="00622597" w:rsidRDefault="00622597" w:rsidP="00622597">
      <w:pPr>
        <w:pStyle w:val="TableParagraph"/>
      </w:pPr>
      <w:r w:rsidRPr="00C9301E">
        <w:t xml:space="preserve">NHS England (2024). </w:t>
      </w:r>
      <w:r w:rsidRPr="00C9301E">
        <w:rPr>
          <w:i/>
          <w:iCs/>
        </w:rPr>
        <w:t>NHS Identifies over Half a Million More People at Risk of Type 2 Diabetes in a Year</w:t>
      </w:r>
      <w:r w:rsidRPr="00C9301E">
        <w:t xml:space="preserve">. [online] www.england.nhs.uk. Available at: </w:t>
      </w:r>
      <w:hyperlink r:id="rId47" w:history="1">
        <w:r w:rsidRPr="00C9301E">
          <w:rPr>
            <w:rStyle w:val="Hyperlink"/>
            <w:rFonts w:eastAsia="Arial Unicode MS" w:cs="Arial"/>
          </w:rPr>
          <w:t>https://www.england.nhs.uk/2024/06/nhs-identifies-over-half-a-million-more-people-at-risk-of-type-2-diabetes-in-a-year/</w:t>
        </w:r>
      </w:hyperlink>
      <w:r w:rsidR="00C779A5">
        <w:t xml:space="preserve"> </w:t>
      </w:r>
    </w:p>
    <w:p w14:paraId="5F017F14" w14:textId="5A9F082F" w:rsidR="00622597" w:rsidRDefault="00622597" w:rsidP="00622597">
      <w:pPr>
        <w:pStyle w:val="TableParagraph"/>
        <w:rPr>
          <w:lang w:val="en-US"/>
        </w:rPr>
      </w:pPr>
      <w:r w:rsidRPr="00C9301E">
        <w:rPr>
          <w:lang w:val="en-US"/>
        </w:rPr>
        <w:t xml:space="preserve">NICE (2022). </w:t>
      </w:r>
      <w:r w:rsidRPr="00C9301E">
        <w:rPr>
          <w:i/>
          <w:iCs/>
          <w:lang w:val="en-US"/>
        </w:rPr>
        <w:t>Recommendations | Type 1 Diabetes in Adults: Diagnosis and Management | Guidance | NICE</w:t>
      </w:r>
      <w:r w:rsidRPr="00C9301E">
        <w:rPr>
          <w:lang w:val="en-US"/>
        </w:rPr>
        <w:t xml:space="preserve">. [online] www.nice.org.uk. Available at: </w:t>
      </w:r>
      <w:hyperlink r:id="rId48" w:history="1">
        <w:r w:rsidRPr="00C9301E">
          <w:rPr>
            <w:rStyle w:val="Hyperlink"/>
            <w:lang w:val="en-US"/>
          </w:rPr>
          <w:t>https://www.nice.org.uk/guidance/ng17/chapter/Recommendations</w:t>
        </w:r>
      </w:hyperlink>
      <w:r w:rsidR="00C779A5">
        <w:rPr>
          <w:lang w:val="en-US"/>
        </w:rPr>
        <w:t xml:space="preserve"> </w:t>
      </w:r>
    </w:p>
    <w:p w14:paraId="57750C5D" w14:textId="6CADF9B0" w:rsidR="00622597" w:rsidRDefault="00622597" w:rsidP="00622597">
      <w:pPr>
        <w:pStyle w:val="TableParagraph"/>
        <w:rPr>
          <w:lang w:val="en-US"/>
        </w:rPr>
      </w:pPr>
      <w:r w:rsidRPr="00C9301E">
        <w:rPr>
          <w:lang w:val="en-US"/>
        </w:rPr>
        <w:t xml:space="preserve">Office for Health Improvement &amp; Disparities (2025). </w:t>
      </w:r>
      <w:r w:rsidRPr="00C9301E">
        <w:rPr>
          <w:i/>
          <w:iCs/>
          <w:lang w:val="en-US"/>
        </w:rPr>
        <w:t>Diabetes profile: Statistical commentary, March 2025</w:t>
      </w:r>
      <w:r w:rsidRPr="00C9301E">
        <w:rPr>
          <w:lang w:val="en-US"/>
        </w:rPr>
        <w:t xml:space="preserve">. [online] GOV.UK. Available at: </w:t>
      </w:r>
      <w:hyperlink r:id="rId49" w:history="1">
        <w:r w:rsidRPr="00C9301E">
          <w:rPr>
            <w:rStyle w:val="Hyperlink"/>
            <w:lang w:val="en-US"/>
          </w:rPr>
          <w:t>https://www.gov.uk/government/statistics/diabetes-profile-update-march-2025/diabetes-profile-statistical-commentary-march-2025</w:t>
        </w:r>
      </w:hyperlink>
      <w:r w:rsidR="00C779A5">
        <w:rPr>
          <w:lang w:val="en-US"/>
        </w:rPr>
        <w:t xml:space="preserve"> </w:t>
      </w:r>
    </w:p>
    <w:p w14:paraId="40682D6B" w14:textId="5D865264" w:rsidR="00622597" w:rsidRDefault="00622597" w:rsidP="00622597">
      <w:pPr>
        <w:pStyle w:val="TableParagraph"/>
        <w:rPr>
          <w:lang w:val="en-US"/>
        </w:rPr>
      </w:pPr>
      <w:r w:rsidRPr="00C9301E">
        <w:rPr>
          <w:lang w:val="en-US"/>
        </w:rPr>
        <w:t xml:space="preserve">Pham, T.M., Carpenter, J.R., Morris, T.P., Sharma, M. and Petersen, I. (2019). Ethnic Differences in the Prevalence of Type 2 Diabetes Diagnoses in the UK: Cross-Sectional Analysis of the Health Improvement Network Primary Care Database. </w:t>
      </w:r>
      <w:r w:rsidRPr="00C9301E">
        <w:rPr>
          <w:i/>
          <w:iCs/>
          <w:lang w:val="en-US"/>
        </w:rPr>
        <w:t>Clinical Epidemiology</w:t>
      </w:r>
      <w:r w:rsidRPr="00C9301E">
        <w:rPr>
          <w:lang w:val="en-US"/>
        </w:rPr>
        <w:t>, [online] Volume 11(11), pp.1081–1088. doi:</w:t>
      </w:r>
      <w:hyperlink r:id="rId50" w:history="1">
        <w:r w:rsidRPr="00C9301E">
          <w:rPr>
            <w:rStyle w:val="Hyperlink"/>
            <w:lang w:val="en-US"/>
          </w:rPr>
          <w:t>https://doi.org/10.2147/CLEP.S227621</w:t>
        </w:r>
      </w:hyperlink>
      <w:r w:rsidR="00C779A5">
        <w:rPr>
          <w:lang w:val="en-US"/>
        </w:rPr>
        <w:t xml:space="preserve"> </w:t>
      </w:r>
    </w:p>
    <w:p w14:paraId="77A32F58" w14:textId="60BD17B5" w:rsidR="00622597" w:rsidRDefault="00622597" w:rsidP="00622597">
      <w:pPr>
        <w:pStyle w:val="TableParagraph"/>
        <w:rPr>
          <w:lang w:val="en-US"/>
        </w:rPr>
      </w:pPr>
      <w:proofErr w:type="spellStart"/>
      <w:r w:rsidRPr="00C9301E">
        <w:rPr>
          <w:lang w:val="en-US"/>
        </w:rPr>
        <w:t>Puzhakkal</w:t>
      </w:r>
      <w:proofErr w:type="spellEnd"/>
      <w:r w:rsidRPr="00C9301E">
        <w:rPr>
          <w:lang w:val="en-US"/>
        </w:rPr>
        <w:t xml:space="preserve">, S., Kavanagh, S., Conway, B., Kow, C.S. and Hasan, S.S. (2025). Self-care and self-management in diabetes: concepts, theories and practices. </w:t>
      </w:r>
      <w:r w:rsidRPr="00C9301E">
        <w:rPr>
          <w:i/>
          <w:iCs/>
          <w:lang w:val="en-US"/>
        </w:rPr>
        <w:t>International Journal of Clinical Pharmacy</w:t>
      </w:r>
      <w:r w:rsidRPr="00C9301E">
        <w:rPr>
          <w:lang w:val="en-US"/>
        </w:rPr>
        <w:t>. Doi:</w:t>
      </w:r>
      <w:hyperlink r:id="rId51" w:history="1">
        <w:r w:rsidRPr="00C9301E">
          <w:rPr>
            <w:rStyle w:val="Hyperlink"/>
            <w:lang w:val="en-US"/>
          </w:rPr>
          <w:t>https://doi.org/10.1007/s11096-025-01941-z</w:t>
        </w:r>
      </w:hyperlink>
      <w:r w:rsidR="00C779A5">
        <w:rPr>
          <w:lang w:val="en-US"/>
        </w:rPr>
        <w:t xml:space="preserve"> </w:t>
      </w:r>
    </w:p>
    <w:p w14:paraId="4A5C3C21" w14:textId="239788C6" w:rsidR="00622597" w:rsidRDefault="00622597" w:rsidP="00622597">
      <w:pPr>
        <w:pStyle w:val="TableParagraph"/>
        <w:rPr>
          <w:lang w:val="en-US"/>
        </w:rPr>
      </w:pPr>
      <w:r w:rsidRPr="00C9301E">
        <w:rPr>
          <w:lang w:val="en-US"/>
        </w:rPr>
        <w:t xml:space="preserve">Rahimi, B., Nadri, H., Afshar, H.L. and </w:t>
      </w:r>
      <w:proofErr w:type="spellStart"/>
      <w:r w:rsidRPr="00C9301E">
        <w:rPr>
          <w:lang w:val="en-US"/>
        </w:rPr>
        <w:t>Timpka</w:t>
      </w:r>
      <w:proofErr w:type="spellEnd"/>
      <w:r w:rsidRPr="00C9301E">
        <w:rPr>
          <w:lang w:val="en-US"/>
        </w:rPr>
        <w:t xml:space="preserve">, T. (2018). A Systematic Review of the Technology Acceptance Model in Health Informatics. </w:t>
      </w:r>
      <w:r w:rsidRPr="00C9301E">
        <w:rPr>
          <w:i/>
          <w:iCs/>
          <w:lang w:val="en-US"/>
        </w:rPr>
        <w:t>Applied Clinical Informatics</w:t>
      </w:r>
      <w:r w:rsidRPr="00C9301E">
        <w:rPr>
          <w:lang w:val="en-US"/>
        </w:rPr>
        <w:t>, [online] 09(03), pp.604–634. doi:</w:t>
      </w:r>
      <w:hyperlink r:id="rId52" w:history="1">
        <w:r w:rsidRPr="00C9301E">
          <w:rPr>
            <w:rStyle w:val="Hyperlink"/>
            <w:lang w:val="en-US"/>
          </w:rPr>
          <w:t>https://doi.org/10.1055/s-0038-1668091</w:t>
        </w:r>
      </w:hyperlink>
      <w:r w:rsidR="00C779A5">
        <w:rPr>
          <w:lang w:val="en-US"/>
        </w:rPr>
        <w:t xml:space="preserve"> </w:t>
      </w:r>
    </w:p>
    <w:p w14:paraId="4F7B8CE3" w14:textId="10FEE449" w:rsidR="00622597" w:rsidRDefault="00622597" w:rsidP="00622597">
      <w:pPr>
        <w:pStyle w:val="TableParagraph"/>
        <w:rPr>
          <w:lang w:val="en-US"/>
        </w:rPr>
      </w:pPr>
      <w:proofErr w:type="spellStart"/>
      <w:r w:rsidRPr="00C9301E">
        <w:rPr>
          <w:lang w:val="en-US"/>
        </w:rPr>
        <w:t>Rodbard</w:t>
      </w:r>
      <w:proofErr w:type="spellEnd"/>
      <w:r w:rsidRPr="00C9301E">
        <w:rPr>
          <w:lang w:val="en-US"/>
        </w:rPr>
        <w:t xml:space="preserve">, D. (2016). Continuous Glucose Monitoring: A Review of Successes, Challenges, and Opportunities. </w:t>
      </w:r>
      <w:r w:rsidRPr="00C9301E">
        <w:rPr>
          <w:i/>
          <w:iCs/>
          <w:lang w:val="en-US"/>
        </w:rPr>
        <w:t>Diabetes Technology &amp; Therapeutics</w:t>
      </w:r>
      <w:r w:rsidRPr="00C9301E">
        <w:rPr>
          <w:lang w:val="en-US"/>
        </w:rPr>
        <w:t xml:space="preserve">, [online] 18(S2), </w:t>
      </w:r>
      <w:proofErr w:type="gramStart"/>
      <w:r w:rsidRPr="00C9301E">
        <w:rPr>
          <w:lang w:val="en-US"/>
        </w:rPr>
        <w:t>pp.S</w:t>
      </w:r>
      <w:proofErr w:type="gramEnd"/>
      <w:r w:rsidRPr="00C9301E">
        <w:rPr>
          <w:lang w:val="en-US"/>
        </w:rPr>
        <w:t>2-3S2-13. Doi:</w:t>
      </w:r>
      <w:hyperlink r:id="rId53" w:history="1">
        <w:r w:rsidRPr="00C9301E">
          <w:rPr>
            <w:rStyle w:val="Hyperlink"/>
            <w:lang w:val="en-US"/>
          </w:rPr>
          <w:t>https://doi.org/10.1089/dia.2015.0417</w:t>
        </w:r>
      </w:hyperlink>
      <w:r w:rsidR="00C779A5">
        <w:rPr>
          <w:lang w:val="en-US"/>
        </w:rPr>
        <w:t xml:space="preserve"> </w:t>
      </w:r>
    </w:p>
    <w:p w14:paraId="51D8C491" w14:textId="1B1C3906" w:rsidR="00622597" w:rsidRDefault="00622597" w:rsidP="00622597">
      <w:pPr>
        <w:pStyle w:val="TableParagraph"/>
        <w:rPr>
          <w:lang w:val="en-US"/>
        </w:rPr>
      </w:pPr>
      <w:proofErr w:type="spellStart"/>
      <w:r w:rsidRPr="00C9301E">
        <w:rPr>
          <w:lang w:val="en-US"/>
        </w:rPr>
        <w:t>Rodbard</w:t>
      </w:r>
      <w:proofErr w:type="spellEnd"/>
      <w:r w:rsidRPr="00C9301E">
        <w:rPr>
          <w:lang w:val="en-US"/>
        </w:rPr>
        <w:t xml:space="preserve">, D. (2017). Continuous Glucose Monitoring: A Review of Recent Studies Demonstrating Improved Glycemic Outcomes. </w:t>
      </w:r>
      <w:r w:rsidRPr="00C9301E">
        <w:rPr>
          <w:i/>
          <w:iCs/>
          <w:lang w:val="en-US"/>
        </w:rPr>
        <w:t>Diabetes Technology &amp; Therapeutics</w:t>
      </w:r>
      <w:r w:rsidRPr="00C9301E">
        <w:rPr>
          <w:lang w:val="en-US"/>
        </w:rPr>
        <w:t>, [online] 19(S3), p.S-25-S-37. Doi:</w:t>
      </w:r>
      <w:hyperlink r:id="rId54" w:history="1">
        <w:r w:rsidRPr="00C9301E">
          <w:rPr>
            <w:rStyle w:val="Hyperlink"/>
            <w:lang w:val="en-US"/>
          </w:rPr>
          <w:t>https://doi.org/10.1089/dia.2017.0035</w:t>
        </w:r>
      </w:hyperlink>
      <w:r w:rsidR="00C779A5">
        <w:rPr>
          <w:lang w:val="en-US"/>
        </w:rPr>
        <w:t xml:space="preserve"> </w:t>
      </w:r>
    </w:p>
    <w:p w14:paraId="03F9E24B" w14:textId="193E3DE3" w:rsidR="00622597" w:rsidRDefault="00622597" w:rsidP="00622597">
      <w:pPr>
        <w:pStyle w:val="TableParagraph"/>
        <w:rPr>
          <w:lang w:val="en-US"/>
        </w:rPr>
      </w:pPr>
      <w:r w:rsidRPr="00C9301E">
        <w:rPr>
          <w:lang w:val="en-US"/>
        </w:rPr>
        <w:lastRenderedPageBreak/>
        <w:t xml:space="preserve">Rubin, A. (2019). The History of Diabetes Testing - Health Beat. </w:t>
      </w:r>
      <w:r w:rsidRPr="00C9301E">
        <w:rPr>
          <w:i/>
          <w:iCs/>
          <w:lang w:val="en-US"/>
        </w:rPr>
        <w:t>Health Beat</w:t>
      </w:r>
      <w:r w:rsidRPr="00C9301E">
        <w:rPr>
          <w:lang w:val="en-US"/>
        </w:rPr>
        <w:t xml:space="preserve">. [online] 6 Feb. Available at: </w:t>
      </w:r>
      <w:hyperlink r:id="rId55" w:history="1">
        <w:r w:rsidRPr="00C9301E">
          <w:rPr>
            <w:rStyle w:val="Hyperlink"/>
            <w:lang w:val="en-US"/>
          </w:rPr>
          <w:t>https://jamaicahospital.org/newsletter/the-history-of-diabetes-testing/</w:t>
        </w:r>
      </w:hyperlink>
      <w:r w:rsidR="00C779A5">
        <w:rPr>
          <w:lang w:val="en-US"/>
        </w:rPr>
        <w:t xml:space="preserve"> </w:t>
      </w:r>
    </w:p>
    <w:p w14:paraId="246B1524" w14:textId="35C3C67C" w:rsidR="00622597" w:rsidRDefault="00622597" w:rsidP="00622597">
      <w:pPr>
        <w:pStyle w:val="TableParagraph"/>
        <w:rPr>
          <w:lang w:val="en-US"/>
        </w:rPr>
      </w:pPr>
      <w:r w:rsidRPr="00C9301E">
        <w:rPr>
          <w:lang w:val="en-US"/>
        </w:rPr>
        <w:t xml:space="preserve">Ryan, P. and Sawin, K.J. (2009). The Individual and Family Self-Management Theory: Background and perspectives on context, process, and outcomes. </w:t>
      </w:r>
      <w:r w:rsidRPr="00C9301E">
        <w:rPr>
          <w:i/>
          <w:iCs/>
          <w:lang w:val="en-US"/>
        </w:rPr>
        <w:t>Nursing Outlook</w:t>
      </w:r>
      <w:r w:rsidRPr="00C9301E">
        <w:rPr>
          <w:lang w:val="en-US"/>
        </w:rPr>
        <w:t>, 57(4), pp.217–225. doi:</w:t>
      </w:r>
      <w:hyperlink r:id="rId56" w:history="1">
        <w:r w:rsidRPr="00C9301E">
          <w:rPr>
            <w:rStyle w:val="Hyperlink"/>
            <w:lang w:val="en-US"/>
          </w:rPr>
          <w:t>https://doi.org/10.1016/j.outlook.2008.10.004</w:t>
        </w:r>
      </w:hyperlink>
      <w:r w:rsidR="00C779A5">
        <w:rPr>
          <w:lang w:val="en-US"/>
        </w:rPr>
        <w:t xml:space="preserve"> </w:t>
      </w:r>
    </w:p>
    <w:p w14:paraId="3B16BAE7" w14:textId="77777777" w:rsidR="00622597" w:rsidRPr="00622597" w:rsidRDefault="00622597" w:rsidP="00622597">
      <w:pPr>
        <w:pStyle w:val="TableParagraph"/>
        <w:rPr>
          <w:lang w:val="en-US"/>
        </w:rPr>
      </w:pPr>
      <w:r w:rsidRPr="00622597">
        <w:rPr>
          <w:lang w:val="en-US"/>
        </w:rPr>
        <w:t xml:space="preserve">Saunders, M., Lewis, P. and Thornhill, A. (2023). </w:t>
      </w:r>
      <w:r w:rsidRPr="00622597">
        <w:rPr>
          <w:i/>
          <w:iCs/>
          <w:lang w:val="en-US"/>
        </w:rPr>
        <w:t>Research Methods for Business Students</w:t>
      </w:r>
      <w:r w:rsidRPr="00622597">
        <w:rPr>
          <w:lang w:val="en-US"/>
        </w:rPr>
        <w:t>. 9th ed. Pearson.</w:t>
      </w:r>
    </w:p>
    <w:p w14:paraId="720D0BED" w14:textId="1AAF982E" w:rsidR="00622597" w:rsidRDefault="00622597" w:rsidP="00622597">
      <w:pPr>
        <w:pStyle w:val="TableParagraph"/>
        <w:rPr>
          <w:lang w:val="en-US"/>
        </w:rPr>
      </w:pPr>
      <w:r w:rsidRPr="00C9301E">
        <w:rPr>
          <w:lang w:val="en-US"/>
        </w:rPr>
        <w:t xml:space="preserve">Shi, Z., Du, X., Li, J., Hou, R., Sun, J. and </w:t>
      </w:r>
      <w:proofErr w:type="spellStart"/>
      <w:r w:rsidRPr="00C9301E">
        <w:rPr>
          <w:lang w:val="en-US"/>
        </w:rPr>
        <w:t>Marohabutr</w:t>
      </w:r>
      <w:proofErr w:type="spellEnd"/>
      <w:r w:rsidRPr="00C9301E">
        <w:rPr>
          <w:lang w:val="en-US"/>
        </w:rPr>
        <w:t xml:space="preserve">, T. (2024). Factors influencing digital health literacy among older adults: a scoping review. </w:t>
      </w:r>
      <w:r w:rsidRPr="00C9301E">
        <w:rPr>
          <w:i/>
          <w:iCs/>
          <w:lang w:val="en-US"/>
        </w:rPr>
        <w:t>Frontiers in Public Health</w:t>
      </w:r>
      <w:r w:rsidRPr="00C9301E">
        <w:rPr>
          <w:lang w:val="en-US"/>
        </w:rPr>
        <w:t>, 12. doi:</w:t>
      </w:r>
      <w:hyperlink r:id="rId57" w:history="1">
        <w:r w:rsidRPr="00C9301E">
          <w:rPr>
            <w:rStyle w:val="Hyperlink"/>
            <w:lang w:val="en-US"/>
          </w:rPr>
          <w:t>https://doi.org/10.3389/fpubh.2024.1447747</w:t>
        </w:r>
      </w:hyperlink>
      <w:r w:rsidR="00C779A5">
        <w:rPr>
          <w:lang w:val="en-US"/>
        </w:rPr>
        <w:t xml:space="preserve"> </w:t>
      </w:r>
    </w:p>
    <w:p w14:paraId="798F8565" w14:textId="5CF783A5" w:rsidR="00622597" w:rsidRDefault="00622597" w:rsidP="00622597">
      <w:pPr>
        <w:pStyle w:val="TableParagraph"/>
        <w:rPr>
          <w:lang w:val="en-US"/>
        </w:rPr>
      </w:pPr>
      <w:r w:rsidRPr="00C9301E">
        <w:rPr>
          <w:lang w:val="en-US"/>
        </w:rPr>
        <w:t xml:space="preserve">Sze May Ng (2023). NICE and NHS England leads the way to improve diabetes care with access to continuous glucose monitoring for people with type 1 diabetes. </w:t>
      </w:r>
      <w:r w:rsidRPr="00C9301E">
        <w:rPr>
          <w:i/>
          <w:iCs/>
          <w:lang w:val="en-US"/>
        </w:rPr>
        <w:t>BMC Medicine</w:t>
      </w:r>
      <w:r w:rsidRPr="00C9301E">
        <w:rPr>
          <w:lang w:val="en-US"/>
        </w:rPr>
        <w:t>, 21(1). doi:</w:t>
      </w:r>
      <w:hyperlink r:id="rId58" w:history="1">
        <w:r w:rsidRPr="00C9301E">
          <w:rPr>
            <w:rStyle w:val="Hyperlink"/>
            <w:lang w:val="en-US"/>
          </w:rPr>
          <w:t>https://doi.org/10.1186/s12916-023-03014-2</w:t>
        </w:r>
      </w:hyperlink>
      <w:r w:rsidR="00C779A5">
        <w:rPr>
          <w:lang w:val="en-US"/>
        </w:rPr>
        <w:t xml:space="preserve"> </w:t>
      </w:r>
    </w:p>
    <w:p w14:paraId="11FD6F1A" w14:textId="05EEC6F5" w:rsidR="00622597" w:rsidRDefault="00622597" w:rsidP="00622597">
      <w:pPr>
        <w:pStyle w:val="TableParagraph"/>
        <w:rPr>
          <w:lang w:val="en-US"/>
        </w:rPr>
      </w:pPr>
      <w:r w:rsidRPr="00C9301E">
        <w:rPr>
          <w:lang w:val="en-US"/>
        </w:rPr>
        <w:t xml:space="preserve">Tian, T., Aaron, R.E., Yeung, A.M., Huang, J., Andjela Drincic, Jane Jeffrie Seley, Amisha Wallia, Gilbert, G., </w:t>
      </w:r>
      <w:proofErr w:type="spellStart"/>
      <w:r w:rsidRPr="00C9301E">
        <w:rPr>
          <w:lang w:val="en-US"/>
        </w:rPr>
        <w:t>Spanakis</w:t>
      </w:r>
      <w:proofErr w:type="spellEnd"/>
      <w:r w:rsidRPr="00C9301E">
        <w:rPr>
          <w:lang w:val="en-US"/>
        </w:rPr>
        <w:t xml:space="preserve">, E.K., Umesh Masharani, Faulds, E., Hirsch, I.B., Dawood, G.E., Espinoza, J., Mendez, C.E., Kerr, D. and </w:t>
      </w:r>
      <w:proofErr w:type="spellStart"/>
      <w:r w:rsidRPr="00C9301E">
        <w:rPr>
          <w:lang w:val="en-US"/>
        </w:rPr>
        <w:t>Klonoff</w:t>
      </w:r>
      <w:proofErr w:type="spellEnd"/>
      <w:r w:rsidRPr="00C9301E">
        <w:rPr>
          <w:lang w:val="en-US"/>
        </w:rPr>
        <w:t xml:space="preserve">, D.C. (2023). Use of Continuous Glucose Monitors in the Hospital: The Diabetes Technology Society Hospital Meeting Report 2023. </w:t>
      </w:r>
      <w:r w:rsidRPr="00C9301E">
        <w:rPr>
          <w:i/>
          <w:iCs/>
          <w:lang w:val="en-US"/>
        </w:rPr>
        <w:t>Journal of diabetes science and technology</w:t>
      </w:r>
      <w:r w:rsidRPr="00C9301E">
        <w:rPr>
          <w:lang w:val="en-US"/>
        </w:rPr>
        <w:t>, 17(5), pp.1392–1418. doi:</w:t>
      </w:r>
      <w:hyperlink r:id="rId59" w:history="1">
        <w:r w:rsidRPr="00C9301E">
          <w:rPr>
            <w:rStyle w:val="Hyperlink"/>
            <w:lang w:val="en-US"/>
          </w:rPr>
          <w:t>https://doi.org/10.1177/19322968231186575</w:t>
        </w:r>
      </w:hyperlink>
      <w:r w:rsidR="00C779A5">
        <w:rPr>
          <w:lang w:val="en-US"/>
        </w:rPr>
        <w:t xml:space="preserve"> </w:t>
      </w:r>
    </w:p>
    <w:p w14:paraId="429BF237" w14:textId="7C22DC1A" w:rsidR="00622597" w:rsidRDefault="00622597" w:rsidP="00622597">
      <w:pPr>
        <w:pStyle w:val="TableParagraph"/>
        <w:rPr>
          <w:lang w:val="en-US"/>
        </w:rPr>
      </w:pPr>
      <w:proofErr w:type="spellStart"/>
      <w:r w:rsidRPr="00C9301E">
        <w:rPr>
          <w:lang w:val="en-US"/>
        </w:rPr>
        <w:t>Tonyushkina</w:t>
      </w:r>
      <w:proofErr w:type="spellEnd"/>
      <w:r w:rsidRPr="00C9301E">
        <w:rPr>
          <w:lang w:val="en-US"/>
        </w:rPr>
        <w:t xml:space="preserve">, K. and Nichols, J.H. (2009). Glucose Meters: A Review of Technical Challenges to Obtaining Accurate Results. </w:t>
      </w:r>
      <w:r w:rsidRPr="00C9301E">
        <w:rPr>
          <w:i/>
          <w:iCs/>
          <w:lang w:val="en-US"/>
        </w:rPr>
        <w:t>Journal of Diabetes Science and Technology</w:t>
      </w:r>
      <w:r w:rsidRPr="00C9301E">
        <w:rPr>
          <w:lang w:val="en-US"/>
        </w:rPr>
        <w:t>, [online] 3(4), pp.971–980. doi:</w:t>
      </w:r>
      <w:hyperlink r:id="rId60" w:history="1">
        <w:r w:rsidRPr="00C9301E">
          <w:rPr>
            <w:rStyle w:val="Hyperlink"/>
            <w:lang w:val="en-US"/>
          </w:rPr>
          <w:t>https://doi.org/10.1177/193229680900300446</w:t>
        </w:r>
      </w:hyperlink>
      <w:r w:rsidR="00C779A5">
        <w:rPr>
          <w:lang w:val="en-US"/>
        </w:rPr>
        <w:t xml:space="preserve"> </w:t>
      </w:r>
    </w:p>
    <w:p w14:paraId="73A8038A" w14:textId="4AA9F81F" w:rsidR="00622597" w:rsidRDefault="00622597" w:rsidP="00622597">
      <w:pPr>
        <w:pStyle w:val="TableParagraph"/>
        <w:rPr>
          <w:lang w:val="en-US"/>
        </w:rPr>
      </w:pPr>
      <w:r w:rsidRPr="00C9301E">
        <w:rPr>
          <w:lang w:val="en-US"/>
        </w:rPr>
        <w:t xml:space="preserve">Wu, H., Norton, V., Cui, K., Zhu, B., Bhattacharjee, S., Lu, Y.W., Wang, B., Shan, D., Wong, S., Dong, Y., Chan, S.-L., Cowan, D., Xu, J., Bielenberg, D.R., Zhou, C. and Chen, H. (2022). Diabetes and Its Cardiovascular Complications: Comprehensive Network and Systematic Analyses. </w:t>
      </w:r>
      <w:r w:rsidRPr="00C9301E">
        <w:rPr>
          <w:i/>
          <w:iCs/>
          <w:lang w:val="en-US"/>
        </w:rPr>
        <w:t>Frontiers in Cardiovascular Medicine</w:t>
      </w:r>
      <w:r w:rsidRPr="00C9301E">
        <w:rPr>
          <w:lang w:val="en-US"/>
        </w:rPr>
        <w:t>, [online] 9, p.841928. doi:</w:t>
      </w:r>
      <w:hyperlink r:id="rId61" w:history="1">
        <w:r w:rsidRPr="00C9301E">
          <w:rPr>
            <w:rStyle w:val="Hyperlink"/>
            <w:lang w:val="en-US"/>
          </w:rPr>
          <w:t>https://doi.org/10.3389/fcvm.2022.841928</w:t>
        </w:r>
      </w:hyperlink>
      <w:r w:rsidR="00C779A5">
        <w:rPr>
          <w:lang w:val="en-US"/>
        </w:rPr>
        <w:t xml:space="preserve"> </w:t>
      </w:r>
    </w:p>
    <w:p w14:paraId="0F9CC3FD" w14:textId="2E839E97" w:rsidR="00622597" w:rsidRDefault="00622597" w:rsidP="00622597">
      <w:pPr>
        <w:pStyle w:val="TableParagraph"/>
        <w:rPr>
          <w:lang w:val="en-US"/>
        </w:rPr>
      </w:pPr>
      <w:r w:rsidRPr="00C9301E">
        <w:rPr>
          <w:lang w:val="en-US"/>
        </w:rPr>
        <w:t xml:space="preserve">Yoo, J.H. and Kim, J.H. (2023). Advances in Continuous Glucose Monitoring and Integrated Devices for Management of Diabetes with Insulin-Based Therapy: Improvement in Glycemic Control. </w:t>
      </w:r>
      <w:r w:rsidRPr="00C9301E">
        <w:rPr>
          <w:i/>
          <w:iCs/>
          <w:lang w:val="en-US"/>
        </w:rPr>
        <w:t>Korean Diabetes Journal</w:t>
      </w:r>
      <w:r w:rsidRPr="00C9301E">
        <w:rPr>
          <w:lang w:val="en-US"/>
        </w:rPr>
        <w:t>, 47(1). doi:</w:t>
      </w:r>
      <w:hyperlink r:id="rId62" w:history="1">
        <w:r w:rsidRPr="00C9301E">
          <w:rPr>
            <w:rStyle w:val="Hyperlink"/>
            <w:lang w:val="en-US"/>
          </w:rPr>
          <w:t>https://doi.org/10.4093/dmj.2022.0271</w:t>
        </w:r>
      </w:hyperlink>
      <w:r w:rsidR="00C779A5">
        <w:rPr>
          <w:lang w:val="en-US"/>
        </w:rPr>
        <w:t xml:space="preserve"> </w:t>
      </w:r>
    </w:p>
    <w:p w14:paraId="0C178852" w14:textId="4CD0AD99" w:rsidR="00622597" w:rsidRDefault="00622597" w:rsidP="00622597">
      <w:pPr>
        <w:pStyle w:val="TableParagraph"/>
        <w:rPr>
          <w:lang w:val="en-US"/>
        </w:rPr>
      </w:pPr>
      <w:r w:rsidRPr="00C9301E">
        <w:rPr>
          <w:lang w:val="en-US"/>
        </w:rPr>
        <w:t xml:space="preserve">Zakir, M., Ahuja, N., </w:t>
      </w:r>
      <w:proofErr w:type="spellStart"/>
      <w:r w:rsidRPr="00C9301E">
        <w:rPr>
          <w:lang w:val="en-US"/>
        </w:rPr>
        <w:t>Surksha</w:t>
      </w:r>
      <w:proofErr w:type="spellEnd"/>
      <w:r w:rsidRPr="00C9301E">
        <w:rPr>
          <w:lang w:val="en-US"/>
        </w:rPr>
        <w:t xml:space="preserve">, M.A., Sachdev, R., Kalariya, Y., Nasir, M., Kashif, M., </w:t>
      </w:r>
      <w:proofErr w:type="spellStart"/>
      <w:r w:rsidRPr="00C9301E">
        <w:rPr>
          <w:lang w:val="en-US"/>
        </w:rPr>
        <w:lastRenderedPageBreak/>
        <w:t>Shahzeen</w:t>
      </w:r>
      <w:proofErr w:type="spellEnd"/>
      <w:r w:rsidRPr="00C9301E">
        <w:rPr>
          <w:lang w:val="en-US"/>
        </w:rPr>
        <w:t xml:space="preserve">, F., Tayyab, A., Khan, M.S., Moazzam, Junejo, M., Manoj Kumar, F., Varrassi, G., Kumar, S., Khatri, M. and Mohamad, T. (2023). Cardiovascular Complications of Diabetes: from Microvascular to Macrovascular Pathways. </w:t>
      </w:r>
      <w:r w:rsidRPr="00C9301E">
        <w:rPr>
          <w:i/>
          <w:iCs/>
          <w:lang w:val="en-US"/>
        </w:rPr>
        <w:t>Cureus</w:t>
      </w:r>
      <w:r w:rsidRPr="00C9301E">
        <w:rPr>
          <w:lang w:val="en-US"/>
        </w:rPr>
        <w:t>, 15(9). doi:</w:t>
      </w:r>
      <w:hyperlink r:id="rId63" w:history="1">
        <w:r w:rsidRPr="00C9301E">
          <w:rPr>
            <w:rStyle w:val="Hyperlink"/>
            <w:lang w:val="en-US"/>
          </w:rPr>
          <w:t>https://doi.org/10.7759/cureus.45835</w:t>
        </w:r>
      </w:hyperlink>
      <w:r w:rsidR="00C779A5">
        <w:rPr>
          <w:lang w:val="en-US"/>
        </w:rPr>
        <w:t xml:space="preserve"> </w:t>
      </w:r>
    </w:p>
    <w:p w14:paraId="7DD5693C" w14:textId="77777777" w:rsidR="00622597" w:rsidRPr="00622597" w:rsidRDefault="00622597" w:rsidP="00622597">
      <w:pPr>
        <w:pStyle w:val="TableParagraph"/>
      </w:pPr>
      <w:r w:rsidRPr="00C9301E">
        <w:rPr>
          <w:lang w:val="en-US"/>
        </w:rPr>
        <w:t xml:space="preserve">Zhu, Y., Cheng, K., Wang, H., Xu, Z., Zhang, R., Cheng, W., Wang, Y. and Lyu, W. (2022). Exercise Adherence and Compliance and Its Related Factors Among Elderly Patients with Type 2 Diabetes in China: A Cross-Sectional Study. </w:t>
      </w:r>
      <w:r w:rsidRPr="00C9301E">
        <w:rPr>
          <w:i/>
          <w:iCs/>
          <w:lang w:val="en-US"/>
        </w:rPr>
        <w:t>Patient Preference and Adherence</w:t>
      </w:r>
      <w:r w:rsidRPr="00C9301E">
        <w:rPr>
          <w:lang w:val="en-US"/>
        </w:rPr>
        <w:t>, Volume 16, pp.3329–3339. doi:</w:t>
      </w:r>
      <w:hyperlink r:id="rId64" w:history="1">
        <w:r w:rsidRPr="00C9301E">
          <w:rPr>
            <w:rStyle w:val="Hyperlink"/>
            <w:lang w:val="en-US"/>
          </w:rPr>
          <w:t>https://doi.org/10.2147/ppa.s374120</w:t>
        </w:r>
      </w:hyperlink>
    </w:p>
    <w:p w14:paraId="2EFE7F88" w14:textId="77777777" w:rsidR="005C2C7A" w:rsidRPr="00812591" w:rsidRDefault="005C2C7A" w:rsidP="00DA52F0">
      <w:pPr>
        <w:mirrorIndents/>
        <w:rPr>
          <w:rFonts w:eastAsia="Arial Unicode MS" w:cs="Arial"/>
        </w:rPr>
      </w:pPr>
    </w:p>
    <w:p w14:paraId="746F4092" w14:textId="77777777" w:rsidR="00FB62BF" w:rsidRPr="00812591" w:rsidRDefault="00FB62BF" w:rsidP="00DA52F0">
      <w:pPr>
        <w:mirrorIndents/>
        <w:rPr>
          <w:rFonts w:eastAsia="Arial Unicode MS" w:cs="Arial"/>
        </w:rPr>
      </w:pPr>
    </w:p>
    <w:p w14:paraId="6B0D1BC5" w14:textId="77777777" w:rsidR="00FB62BF" w:rsidRPr="00812591" w:rsidRDefault="00FB62BF" w:rsidP="00DA52F0">
      <w:pPr>
        <w:mirrorIndents/>
        <w:rPr>
          <w:rFonts w:eastAsia="Arial Unicode MS" w:cs="Arial"/>
        </w:rPr>
      </w:pPr>
    </w:p>
    <w:p w14:paraId="70EF42C9"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25E1FA5A"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mirrorIndents/>
        <w:rPr>
          <w:rFonts w:eastAsia="Arial Unicode MS" w:cs="Arial"/>
        </w:rPr>
      </w:pPr>
    </w:p>
    <w:p w14:paraId="694E26BC" w14:textId="77777777" w:rsidR="005C2C7A" w:rsidRPr="00812591" w:rsidRDefault="005C2C7A" w:rsidP="00DA52F0">
      <w:pPr>
        <w:mirrorIndents/>
        <w:rPr>
          <w:rFonts w:eastAsia="Arial Unicode MS" w:cs="Arial"/>
          <w:b/>
          <w:i/>
        </w:rPr>
      </w:pPr>
    </w:p>
    <w:p w14:paraId="7630E48B" w14:textId="77777777" w:rsidR="002B4534" w:rsidRDefault="00DB5B20">
      <w:pPr>
        <w:rPr>
          <w:rFonts w:eastAsia="Arial Unicode MS" w:cs="Arial"/>
          <w:b/>
          <w:sz w:val="28"/>
          <w:szCs w:val="28"/>
        </w:rPr>
      </w:pPr>
      <w:r>
        <w:rPr>
          <w:rFonts w:eastAsia="Arial Unicode MS" w:cs="Arial"/>
          <w:b/>
          <w:sz w:val="28"/>
          <w:szCs w:val="28"/>
        </w:rPr>
        <w:br w:type="page"/>
      </w:r>
    </w:p>
    <w:p w14:paraId="4CBC9810" w14:textId="77777777" w:rsidR="002B4534" w:rsidRDefault="00DB5B20" w:rsidP="002B4534">
      <w:pPr>
        <w:pStyle w:val="Heading1"/>
      </w:pPr>
      <w:bookmarkStart w:id="78" w:name="_Toc225702931"/>
      <w:r w:rsidRPr="00812591">
        <w:lastRenderedPageBreak/>
        <w:t>APPENDICES</w:t>
      </w:r>
      <w:bookmarkEnd w:id="78"/>
      <w:r w:rsidRPr="00812591">
        <w:t xml:space="preserve"> </w:t>
      </w:r>
    </w:p>
    <w:p w14:paraId="6337409B" w14:textId="3AE98002" w:rsidR="009F6763" w:rsidRPr="009F6763" w:rsidRDefault="006D62E9" w:rsidP="009F6763">
      <w:pPr>
        <w:pStyle w:val="Heading2"/>
      </w:pPr>
      <w:bookmarkStart w:id="79" w:name="_Toc225702932"/>
      <w:r w:rsidRPr="006D5F1C">
        <w:t>Appendix</w:t>
      </w:r>
      <w:r w:rsidR="009F6763">
        <w:t xml:space="preserve"> 1</w:t>
      </w:r>
      <w:r w:rsidR="009F6763" w:rsidRPr="009F6763">
        <w:t>: CRAAP Test Evaluation Table</w:t>
      </w:r>
      <w:bookmarkEnd w:id="79"/>
    </w:p>
    <w:tbl>
      <w:tblPr>
        <w:tblStyle w:val="PlainTable1"/>
        <w:tblW w:w="0" w:type="auto"/>
        <w:tblLook w:val="04A0" w:firstRow="1" w:lastRow="0" w:firstColumn="1" w:lastColumn="0" w:noHBand="0" w:noVBand="1"/>
      </w:tblPr>
      <w:tblGrid>
        <w:gridCol w:w="1536"/>
        <w:gridCol w:w="1412"/>
        <w:gridCol w:w="1514"/>
        <w:gridCol w:w="1595"/>
        <w:gridCol w:w="1663"/>
        <w:gridCol w:w="1296"/>
      </w:tblGrid>
      <w:tr w:rsidR="009F6763" w:rsidRPr="009F6763" w14:paraId="19BB2D0A" w14:textId="77777777" w:rsidTr="009F67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B655B8" w14:textId="77777777" w:rsidR="009F6763" w:rsidRPr="009F6763" w:rsidRDefault="009F6763" w:rsidP="009F6763">
            <w:r w:rsidRPr="009F6763">
              <w:t>Author (Year)</w:t>
            </w:r>
          </w:p>
        </w:tc>
        <w:tc>
          <w:tcPr>
            <w:tcW w:w="0" w:type="auto"/>
            <w:hideMark/>
          </w:tcPr>
          <w:p w14:paraId="430364C3" w14:textId="77777777" w:rsidR="009F6763" w:rsidRPr="009F6763" w:rsidRDefault="009F6763" w:rsidP="009F6763">
            <w:pPr>
              <w:cnfStyle w:val="100000000000" w:firstRow="1" w:lastRow="0" w:firstColumn="0" w:lastColumn="0" w:oddVBand="0" w:evenVBand="0" w:oddHBand="0" w:evenHBand="0" w:firstRowFirstColumn="0" w:firstRowLastColumn="0" w:lastRowFirstColumn="0" w:lastRowLastColumn="0"/>
            </w:pPr>
            <w:r w:rsidRPr="009F6763">
              <w:t>Currency</w:t>
            </w:r>
          </w:p>
        </w:tc>
        <w:tc>
          <w:tcPr>
            <w:tcW w:w="0" w:type="auto"/>
            <w:hideMark/>
          </w:tcPr>
          <w:p w14:paraId="743D5C69" w14:textId="77777777" w:rsidR="009F6763" w:rsidRPr="009F6763" w:rsidRDefault="009F6763" w:rsidP="009F6763">
            <w:pPr>
              <w:cnfStyle w:val="100000000000" w:firstRow="1" w:lastRow="0" w:firstColumn="0" w:lastColumn="0" w:oddVBand="0" w:evenVBand="0" w:oddHBand="0" w:evenHBand="0" w:firstRowFirstColumn="0" w:firstRowLastColumn="0" w:lastRowFirstColumn="0" w:lastRowLastColumn="0"/>
            </w:pPr>
            <w:r w:rsidRPr="009F6763">
              <w:t>Relevance</w:t>
            </w:r>
          </w:p>
        </w:tc>
        <w:tc>
          <w:tcPr>
            <w:tcW w:w="0" w:type="auto"/>
            <w:hideMark/>
          </w:tcPr>
          <w:p w14:paraId="710F2499" w14:textId="77777777" w:rsidR="009F6763" w:rsidRPr="009F6763" w:rsidRDefault="009F6763" w:rsidP="009F6763">
            <w:pPr>
              <w:cnfStyle w:val="100000000000" w:firstRow="1" w:lastRow="0" w:firstColumn="0" w:lastColumn="0" w:oddVBand="0" w:evenVBand="0" w:oddHBand="0" w:evenHBand="0" w:firstRowFirstColumn="0" w:firstRowLastColumn="0" w:lastRowFirstColumn="0" w:lastRowLastColumn="0"/>
            </w:pPr>
            <w:r w:rsidRPr="009F6763">
              <w:t>Authority</w:t>
            </w:r>
          </w:p>
        </w:tc>
        <w:tc>
          <w:tcPr>
            <w:tcW w:w="0" w:type="auto"/>
            <w:hideMark/>
          </w:tcPr>
          <w:p w14:paraId="6CFBF68B" w14:textId="77777777" w:rsidR="009F6763" w:rsidRPr="009F6763" w:rsidRDefault="009F6763" w:rsidP="009F6763">
            <w:pPr>
              <w:cnfStyle w:val="100000000000" w:firstRow="1" w:lastRow="0" w:firstColumn="0" w:lastColumn="0" w:oddVBand="0" w:evenVBand="0" w:oddHBand="0" w:evenHBand="0" w:firstRowFirstColumn="0" w:firstRowLastColumn="0" w:lastRowFirstColumn="0" w:lastRowLastColumn="0"/>
            </w:pPr>
            <w:r w:rsidRPr="009F6763">
              <w:t>Accuracy</w:t>
            </w:r>
          </w:p>
        </w:tc>
        <w:tc>
          <w:tcPr>
            <w:tcW w:w="0" w:type="auto"/>
            <w:hideMark/>
          </w:tcPr>
          <w:p w14:paraId="192E212B" w14:textId="77777777" w:rsidR="009F6763" w:rsidRPr="009F6763" w:rsidRDefault="009F6763" w:rsidP="009F6763">
            <w:pPr>
              <w:cnfStyle w:val="100000000000" w:firstRow="1" w:lastRow="0" w:firstColumn="0" w:lastColumn="0" w:oddVBand="0" w:evenVBand="0" w:oddHBand="0" w:evenHBand="0" w:firstRowFirstColumn="0" w:firstRowLastColumn="0" w:lastRowFirstColumn="0" w:lastRowLastColumn="0"/>
            </w:pPr>
            <w:r w:rsidRPr="009F6763">
              <w:t>Purpose</w:t>
            </w:r>
          </w:p>
        </w:tc>
      </w:tr>
      <w:tr w:rsidR="009F6763" w:rsidRPr="009F6763" w14:paraId="12404F4F"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BB97DF" w14:textId="77777777" w:rsidR="009F6763" w:rsidRPr="009F6763" w:rsidRDefault="009F6763" w:rsidP="009F6763">
            <w:r w:rsidRPr="009F6763">
              <w:t>Edward &amp; Priefer (2023)</w:t>
            </w:r>
          </w:p>
        </w:tc>
        <w:tc>
          <w:tcPr>
            <w:tcW w:w="0" w:type="auto"/>
            <w:hideMark/>
          </w:tcPr>
          <w:p w14:paraId="03BE2B8B"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Recent</w:t>
            </w:r>
          </w:p>
        </w:tc>
        <w:tc>
          <w:tcPr>
            <w:tcW w:w="0" w:type="auto"/>
            <w:hideMark/>
          </w:tcPr>
          <w:p w14:paraId="31992BB2"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Direct CGM comparison</w:t>
            </w:r>
          </w:p>
        </w:tc>
        <w:tc>
          <w:tcPr>
            <w:tcW w:w="0" w:type="auto"/>
            <w:hideMark/>
          </w:tcPr>
          <w:p w14:paraId="5C2E07FB"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Peer-reviewed journal</w:t>
            </w:r>
          </w:p>
        </w:tc>
        <w:tc>
          <w:tcPr>
            <w:tcW w:w="0" w:type="auto"/>
            <w:hideMark/>
          </w:tcPr>
          <w:p w14:paraId="6CF50A7D"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Systematic review evidence</w:t>
            </w:r>
          </w:p>
        </w:tc>
        <w:tc>
          <w:tcPr>
            <w:tcW w:w="0" w:type="auto"/>
            <w:hideMark/>
          </w:tcPr>
          <w:p w14:paraId="0FA0433E"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Academic, low bias</w:t>
            </w:r>
          </w:p>
        </w:tc>
      </w:tr>
      <w:tr w:rsidR="009F6763" w:rsidRPr="009F6763" w14:paraId="6ACAD03F"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482F3C80" w14:textId="77777777" w:rsidR="009F6763" w:rsidRPr="009F6763" w:rsidRDefault="009F6763" w:rsidP="009F6763">
            <w:r w:rsidRPr="009F6763">
              <w:t>Yoo &amp; Kim (2023)</w:t>
            </w:r>
          </w:p>
        </w:tc>
        <w:tc>
          <w:tcPr>
            <w:tcW w:w="0" w:type="auto"/>
            <w:hideMark/>
          </w:tcPr>
          <w:p w14:paraId="5730DA2F"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Recent</w:t>
            </w:r>
          </w:p>
        </w:tc>
        <w:tc>
          <w:tcPr>
            <w:tcW w:w="0" w:type="auto"/>
            <w:hideMark/>
          </w:tcPr>
          <w:p w14:paraId="082F1532"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Glycaemic control</w:t>
            </w:r>
          </w:p>
        </w:tc>
        <w:tc>
          <w:tcPr>
            <w:tcW w:w="0" w:type="auto"/>
            <w:hideMark/>
          </w:tcPr>
          <w:p w14:paraId="114CC3A8"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Diabetes journal</w:t>
            </w:r>
          </w:p>
        </w:tc>
        <w:tc>
          <w:tcPr>
            <w:tcW w:w="0" w:type="auto"/>
            <w:hideMark/>
          </w:tcPr>
          <w:p w14:paraId="48FAC91D"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Clinical findings</w:t>
            </w:r>
          </w:p>
        </w:tc>
        <w:tc>
          <w:tcPr>
            <w:tcW w:w="0" w:type="auto"/>
            <w:hideMark/>
          </w:tcPr>
          <w:p w14:paraId="58024981"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Research-based</w:t>
            </w:r>
          </w:p>
        </w:tc>
      </w:tr>
      <w:tr w:rsidR="009F6763" w:rsidRPr="009F6763" w14:paraId="482561DA"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A400CB" w14:textId="77777777" w:rsidR="009F6763" w:rsidRPr="009F6763" w:rsidRDefault="009F6763" w:rsidP="009F6763">
            <w:proofErr w:type="spellStart"/>
            <w:r w:rsidRPr="009F6763">
              <w:t>Chehregosha</w:t>
            </w:r>
            <w:proofErr w:type="spellEnd"/>
            <w:r w:rsidRPr="009F6763">
              <w:t xml:space="preserve"> et al. (2019)</w:t>
            </w:r>
          </w:p>
        </w:tc>
        <w:tc>
          <w:tcPr>
            <w:tcW w:w="0" w:type="auto"/>
            <w:hideMark/>
          </w:tcPr>
          <w:p w14:paraId="0BBF21A0"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Acceptable</w:t>
            </w:r>
          </w:p>
        </w:tc>
        <w:tc>
          <w:tcPr>
            <w:tcW w:w="0" w:type="auto"/>
            <w:hideMark/>
          </w:tcPr>
          <w:p w14:paraId="3E799B3E"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HbA1c outcomes</w:t>
            </w:r>
          </w:p>
        </w:tc>
        <w:tc>
          <w:tcPr>
            <w:tcW w:w="0" w:type="auto"/>
            <w:hideMark/>
          </w:tcPr>
          <w:p w14:paraId="5A456DA1"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Medical journal</w:t>
            </w:r>
          </w:p>
        </w:tc>
        <w:tc>
          <w:tcPr>
            <w:tcW w:w="0" w:type="auto"/>
            <w:hideMark/>
          </w:tcPr>
          <w:p w14:paraId="348BA264"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Evidence-based trials</w:t>
            </w:r>
          </w:p>
        </w:tc>
        <w:tc>
          <w:tcPr>
            <w:tcW w:w="0" w:type="auto"/>
            <w:hideMark/>
          </w:tcPr>
          <w:p w14:paraId="6BE19531"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Scientific</w:t>
            </w:r>
          </w:p>
        </w:tc>
      </w:tr>
      <w:tr w:rsidR="009F6763" w:rsidRPr="009F6763" w14:paraId="5B18308E"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5D27B525" w14:textId="77777777" w:rsidR="009F6763" w:rsidRPr="009F6763" w:rsidRDefault="009F6763" w:rsidP="009F6763">
            <w:r w:rsidRPr="009F6763">
              <w:t>Beran et al. (2021)</w:t>
            </w:r>
          </w:p>
        </w:tc>
        <w:tc>
          <w:tcPr>
            <w:tcW w:w="0" w:type="auto"/>
            <w:hideMark/>
          </w:tcPr>
          <w:p w14:paraId="575D3B2F"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Recent</w:t>
            </w:r>
          </w:p>
        </w:tc>
        <w:tc>
          <w:tcPr>
            <w:tcW w:w="0" w:type="auto"/>
            <w:hideMark/>
          </w:tcPr>
          <w:p w14:paraId="2EB465BF"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Access &amp; inequality</w:t>
            </w:r>
          </w:p>
        </w:tc>
        <w:tc>
          <w:tcPr>
            <w:tcW w:w="0" w:type="auto"/>
            <w:hideMark/>
          </w:tcPr>
          <w:p w14:paraId="59B02AE6"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proofErr w:type="spellStart"/>
            <w:r w:rsidRPr="009F6763">
              <w:t>Diabetologia</w:t>
            </w:r>
            <w:proofErr w:type="spellEnd"/>
          </w:p>
        </w:tc>
        <w:tc>
          <w:tcPr>
            <w:tcW w:w="0" w:type="auto"/>
            <w:hideMark/>
          </w:tcPr>
          <w:p w14:paraId="566AA394"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Global data analysis</w:t>
            </w:r>
          </w:p>
        </w:tc>
        <w:tc>
          <w:tcPr>
            <w:tcW w:w="0" w:type="auto"/>
            <w:hideMark/>
          </w:tcPr>
          <w:p w14:paraId="54123F6E"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Policy-focused</w:t>
            </w:r>
          </w:p>
        </w:tc>
      </w:tr>
      <w:tr w:rsidR="009F6763" w:rsidRPr="009F6763" w14:paraId="4737CBAE"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0BB05F" w14:textId="77777777" w:rsidR="009F6763" w:rsidRPr="009F6763" w:rsidRDefault="009F6763" w:rsidP="009F6763">
            <w:r w:rsidRPr="009F6763">
              <w:t>Lopez et al. (2023)</w:t>
            </w:r>
          </w:p>
        </w:tc>
        <w:tc>
          <w:tcPr>
            <w:tcW w:w="0" w:type="auto"/>
            <w:hideMark/>
          </w:tcPr>
          <w:p w14:paraId="3D79FEDC"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Recent</w:t>
            </w:r>
          </w:p>
        </w:tc>
        <w:tc>
          <w:tcPr>
            <w:tcW w:w="0" w:type="auto"/>
            <w:hideMark/>
          </w:tcPr>
          <w:p w14:paraId="0C33094E"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Digital literacy barrier</w:t>
            </w:r>
          </w:p>
        </w:tc>
        <w:tc>
          <w:tcPr>
            <w:tcW w:w="0" w:type="auto"/>
            <w:hideMark/>
          </w:tcPr>
          <w:p w14:paraId="1CF89E79"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PLOS Digital Health</w:t>
            </w:r>
          </w:p>
        </w:tc>
        <w:tc>
          <w:tcPr>
            <w:tcW w:w="0" w:type="auto"/>
            <w:hideMark/>
          </w:tcPr>
          <w:p w14:paraId="08E45716"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Systematic review</w:t>
            </w:r>
          </w:p>
        </w:tc>
        <w:tc>
          <w:tcPr>
            <w:tcW w:w="0" w:type="auto"/>
            <w:hideMark/>
          </w:tcPr>
          <w:p w14:paraId="3AED9347"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Academic</w:t>
            </w:r>
          </w:p>
        </w:tc>
      </w:tr>
      <w:tr w:rsidR="009F6763" w:rsidRPr="009F6763" w14:paraId="10AFFD4E"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428DB797" w14:textId="77777777" w:rsidR="009F6763" w:rsidRPr="009F6763" w:rsidRDefault="009F6763" w:rsidP="009F6763">
            <w:r w:rsidRPr="009F6763">
              <w:t>Bitomsky et al. (2025)</w:t>
            </w:r>
          </w:p>
        </w:tc>
        <w:tc>
          <w:tcPr>
            <w:tcW w:w="0" w:type="auto"/>
            <w:hideMark/>
          </w:tcPr>
          <w:p w14:paraId="51C8EC7A"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Very recent</w:t>
            </w:r>
          </w:p>
        </w:tc>
        <w:tc>
          <w:tcPr>
            <w:tcW w:w="0" w:type="auto"/>
            <w:hideMark/>
          </w:tcPr>
          <w:p w14:paraId="2424EF3F"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Ethics &amp; equity</w:t>
            </w:r>
          </w:p>
        </w:tc>
        <w:tc>
          <w:tcPr>
            <w:tcW w:w="0" w:type="auto"/>
            <w:hideMark/>
          </w:tcPr>
          <w:p w14:paraId="37FAFF15"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BMJ Open</w:t>
            </w:r>
          </w:p>
        </w:tc>
        <w:tc>
          <w:tcPr>
            <w:tcW w:w="0" w:type="auto"/>
            <w:hideMark/>
          </w:tcPr>
          <w:p w14:paraId="33188F23"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Strong methodology</w:t>
            </w:r>
          </w:p>
        </w:tc>
        <w:tc>
          <w:tcPr>
            <w:tcW w:w="0" w:type="auto"/>
            <w:hideMark/>
          </w:tcPr>
          <w:p w14:paraId="503808A2"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Research</w:t>
            </w:r>
          </w:p>
        </w:tc>
      </w:tr>
      <w:tr w:rsidR="009F6763" w:rsidRPr="009F6763" w14:paraId="2B40D6B1"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553A1" w14:textId="77777777" w:rsidR="009F6763" w:rsidRPr="009F6763" w:rsidRDefault="009F6763" w:rsidP="009F6763">
            <w:r w:rsidRPr="009F6763">
              <w:t>Shi et al. (2024)</w:t>
            </w:r>
          </w:p>
        </w:tc>
        <w:tc>
          <w:tcPr>
            <w:tcW w:w="0" w:type="auto"/>
            <w:hideMark/>
          </w:tcPr>
          <w:p w14:paraId="5DB62D77"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Recent</w:t>
            </w:r>
          </w:p>
        </w:tc>
        <w:tc>
          <w:tcPr>
            <w:tcW w:w="0" w:type="auto"/>
            <w:hideMark/>
          </w:tcPr>
          <w:p w14:paraId="30FB103D"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Older adult literacy</w:t>
            </w:r>
          </w:p>
        </w:tc>
        <w:tc>
          <w:tcPr>
            <w:tcW w:w="0" w:type="auto"/>
            <w:hideMark/>
          </w:tcPr>
          <w:p w14:paraId="2AAABE1E"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Public health journal</w:t>
            </w:r>
          </w:p>
        </w:tc>
        <w:tc>
          <w:tcPr>
            <w:tcW w:w="0" w:type="auto"/>
            <w:hideMark/>
          </w:tcPr>
          <w:p w14:paraId="734C4316"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Evidence-based</w:t>
            </w:r>
          </w:p>
        </w:tc>
        <w:tc>
          <w:tcPr>
            <w:tcW w:w="0" w:type="auto"/>
            <w:hideMark/>
          </w:tcPr>
          <w:p w14:paraId="4FB69A0D"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Informative</w:t>
            </w:r>
          </w:p>
        </w:tc>
      </w:tr>
      <w:tr w:rsidR="009F6763" w:rsidRPr="009F6763" w14:paraId="296977B3"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71790257" w14:textId="77777777" w:rsidR="009F6763" w:rsidRPr="009F6763" w:rsidRDefault="009F6763" w:rsidP="009F6763">
            <w:r w:rsidRPr="009F6763">
              <w:t>Hossain et al. (2024)</w:t>
            </w:r>
          </w:p>
        </w:tc>
        <w:tc>
          <w:tcPr>
            <w:tcW w:w="0" w:type="auto"/>
            <w:hideMark/>
          </w:tcPr>
          <w:p w14:paraId="4A5BACBB"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Recent</w:t>
            </w:r>
          </w:p>
        </w:tc>
        <w:tc>
          <w:tcPr>
            <w:tcW w:w="0" w:type="auto"/>
            <w:hideMark/>
          </w:tcPr>
          <w:p w14:paraId="39FE55C7"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Diabetes prevalence</w:t>
            </w:r>
          </w:p>
        </w:tc>
        <w:tc>
          <w:tcPr>
            <w:tcW w:w="0" w:type="auto"/>
            <w:hideMark/>
          </w:tcPr>
          <w:p w14:paraId="6D2D96F2"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Health Science Reports</w:t>
            </w:r>
          </w:p>
        </w:tc>
        <w:tc>
          <w:tcPr>
            <w:tcW w:w="0" w:type="auto"/>
            <w:hideMark/>
          </w:tcPr>
          <w:p w14:paraId="0904B216"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Epidemiological data</w:t>
            </w:r>
          </w:p>
        </w:tc>
        <w:tc>
          <w:tcPr>
            <w:tcW w:w="0" w:type="auto"/>
            <w:hideMark/>
          </w:tcPr>
          <w:p w14:paraId="1430A653"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Informative</w:t>
            </w:r>
          </w:p>
        </w:tc>
      </w:tr>
      <w:tr w:rsidR="009F6763" w:rsidRPr="009F6763" w14:paraId="618DE1D1"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21D4AF" w14:textId="77777777" w:rsidR="009F6763" w:rsidRPr="009F6763" w:rsidRDefault="009F6763" w:rsidP="009F6763">
            <w:r w:rsidRPr="009F6763">
              <w:t>Wu et al. (2022)</w:t>
            </w:r>
          </w:p>
        </w:tc>
        <w:tc>
          <w:tcPr>
            <w:tcW w:w="0" w:type="auto"/>
            <w:hideMark/>
          </w:tcPr>
          <w:p w14:paraId="02E9226F"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Recent</w:t>
            </w:r>
          </w:p>
        </w:tc>
        <w:tc>
          <w:tcPr>
            <w:tcW w:w="0" w:type="auto"/>
            <w:hideMark/>
          </w:tcPr>
          <w:p w14:paraId="44DA9C2B"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Complications</w:t>
            </w:r>
          </w:p>
        </w:tc>
        <w:tc>
          <w:tcPr>
            <w:tcW w:w="0" w:type="auto"/>
            <w:hideMark/>
          </w:tcPr>
          <w:p w14:paraId="11A5FF09"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Cardiovascular journal</w:t>
            </w:r>
          </w:p>
        </w:tc>
        <w:tc>
          <w:tcPr>
            <w:tcW w:w="0" w:type="auto"/>
            <w:hideMark/>
          </w:tcPr>
          <w:p w14:paraId="2835A57B"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Systematic analysis</w:t>
            </w:r>
          </w:p>
        </w:tc>
        <w:tc>
          <w:tcPr>
            <w:tcW w:w="0" w:type="auto"/>
            <w:hideMark/>
          </w:tcPr>
          <w:p w14:paraId="2D1A35C7"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Scientific</w:t>
            </w:r>
          </w:p>
        </w:tc>
      </w:tr>
      <w:tr w:rsidR="009F6763" w:rsidRPr="009F6763" w14:paraId="63831FCF"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1B1CF68E" w14:textId="77777777" w:rsidR="009F6763" w:rsidRPr="009F6763" w:rsidRDefault="009F6763" w:rsidP="009F6763">
            <w:r w:rsidRPr="009F6763">
              <w:t>Ahmad &amp; Joshi (2023)</w:t>
            </w:r>
          </w:p>
        </w:tc>
        <w:tc>
          <w:tcPr>
            <w:tcW w:w="0" w:type="auto"/>
            <w:hideMark/>
          </w:tcPr>
          <w:p w14:paraId="412B6114"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Recent</w:t>
            </w:r>
          </w:p>
        </w:tc>
        <w:tc>
          <w:tcPr>
            <w:tcW w:w="0" w:type="auto"/>
            <w:hideMark/>
          </w:tcPr>
          <w:p w14:paraId="38381EA6"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Self-care behaviour</w:t>
            </w:r>
          </w:p>
        </w:tc>
        <w:tc>
          <w:tcPr>
            <w:tcW w:w="0" w:type="auto"/>
            <w:hideMark/>
          </w:tcPr>
          <w:p w14:paraId="5BFC8CBC"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proofErr w:type="spellStart"/>
            <w:r w:rsidRPr="009F6763">
              <w:t>Cureus</w:t>
            </w:r>
            <w:proofErr w:type="spellEnd"/>
            <w:r w:rsidRPr="009F6763">
              <w:t xml:space="preserve"> journal</w:t>
            </w:r>
          </w:p>
        </w:tc>
        <w:tc>
          <w:tcPr>
            <w:tcW w:w="0" w:type="auto"/>
            <w:hideMark/>
          </w:tcPr>
          <w:p w14:paraId="02AFFE9D"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Literature-based evidence</w:t>
            </w:r>
          </w:p>
        </w:tc>
        <w:tc>
          <w:tcPr>
            <w:tcW w:w="0" w:type="auto"/>
            <w:hideMark/>
          </w:tcPr>
          <w:p w14:paraId="34C7793E"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Educational</w:t>
            </w:r>
          </w:p>
        </w:tc>
      </w:tr>
      <w:tr w:rsidR="009F6763" w:rsidRPr="009F6763" w14:paraId="5D2B7BD7"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682257" w14:textId="77777777" w:rsidR="009F6763" w:rsidRPr="009F6763" w:rsidRDefault="009F6763" w:rsidP="009F6763">
            <w:r w:rsidRPr="009F6763">
              <w:t>Zhu et al. (2022)</w:t>
            </w:r>
          </w:p>
        </w:tc>
        <w:tc>
          <w:tcPr>
            <w:tcW w:w="0" w:type="auto"/>
            <w:hideMark/>
          </w:tcPr>
          <w:p w14:paraId="0DFA2ACA"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Recent</w:t>
            </w:r>
          </w:p>
        </w:tc>
        <w:tc>
          <w:tcPr>
            <w:tcW w:w="0" w:type="auto"/>
            <w:hideMark/>
          </w:tcPr>
          <w:p w14:paraId="5148504A"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Adherence factors</w:t>
            </w:r>
          </w:p>
        </w:tc>
        <w:tc>
          <w:tcPr>
            <w:tcW w:w="0" w:type="auto"/>
            <w:hideMark/>
          </w:tcPr>
          <w:p w14:paraId="5E3CF69B"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Peer-reviewed journal</w:t>
            </w:r>
          </w:p>
        </w:tc>
        <w:tc>
          <w:tcPr>
            <w:tcW w:w="0" w:type="auto"/>
            <w:hideMark/>
          </w:tcPr>
          <w:p w14:paraId="63CD7C56"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Quantitative data</w:t>
            </w:r>
          </w:p>
        </w:tc>
        <w:tc>
          <w:tcPr>
            <w:tcW w:w="0" w:type="auto"/>
            <w:hideMark/>
          </w:tcPr>
          <w:p w14:paraId="5D27DBE3"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Academic</w:t>
            </w:r>
          </w:p>
        </w:tc>
      </w:tr>
      <w:tr w:rsidR="009F6763" w:rsidRPr="009F6763" w14:paraId="6C1C41F5"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683AC1EB" w14:textId="77777777" w:rsidR="009F6763" w:rsidRPr="009F6763" w:rsidRDefault="009F6763" w:rsidP="009F6763">
            <w:proofErr w:type="spellStart"/>
            <w:r w:rsidRPr="009F6763">
              <w:t>Puzhakkal</w:t>
            </w:r>
            <w:proofErr w:type="spellEnd"/>
            <w:r w:rsidRPr="009F6763">
              <w:t xml:space="preserve"> et al. (2025)</w:t>
            </w:r>
          </w:p>
        </w:tc>
        <w:tc>
          <w:tcPr>
            <w:tcW w:w="0" w:type="auto"/>
            <w:hideMark/>
          </w:tcPr>
          <w:p w14:paraId="312E33E8"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Very recent</w:t>
            </w:r>
          </w:p>
        </w:tc>
        <w:tc>
          <w:tcPr>
            <w:tcW w:w="0" w:type="auto"/>
            <w:hideMark/>
          </w:tcPr>
          <w:p w14:paraId="548A1576"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Self-management theory</w:t>
            </w:r>
          </w:p>
        </w:tc>
        <w:tc>
          <w:tcPr>
            <w:tcW w:w="0" w:type="auto"/>
            <w:hideMark/>
          </w:tcPr>
          <w:p w14:paraId="506622F6"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Clinical pharmacy journal</w:t>
            </w:r>
          </w:p>
        </w:tc>
        <w:tc>
          <w:tcPr>
            <w:tcW w:w="0" w:type="auto"/>
            <w:hideMark/>
          </w:tcPr>
          <w:p w14:paraId="79582210"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Conceptual + empirical</w:t>
            </w:r>
          </w:p>
        </w:tc>
        <w:tc>
          <w:tcPr>
            <w:tcW w:w="0" w:type="auto"/>
            <w:hideMark/>
          </w:tcPr>
          <w:p w14:paraId="451FB2D4"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Research</w:t>
            </w:r>
          </w:p>
        </w:tc>
      </w:tr>
      <w:tr w:rsidR="009F6763" w:rsidRPr="009F6763" w14:paraId="0A681D43"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1B5722" w14:textId="77777777" w:rsidR="009F6763" w:rsidRPr="009F6763" w:rsidRDefault="009F6763" w:rsidP="009F6763">
            <w:proofErr w:type="spellStart"/>
            <w:r w:rsidRPr="009F6763">
              <w:lastRenderedPageBreak/>
              <w:t>Alyafei</w:t>
            </w:r>
            <w:proofErr w:type="spellEnd"/>
            <w:r w:rsidRPr="009F6763">
              <w:t xml:space="preserve"> &amp; Carr (2024)</w:t>
            </w:r>
          </w:p>
        </w:tc>
        <w:tc>
          <w:tcPr>
            <w:tcW w:w="0" w:type="auto"/>
            <w:hideMark/>
          </w:tcPr>
          <w:p w14:paraId="1AEA6209"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Recent</w:t>
            </w:r>
          </w:p>
        </w:tc>
        <w:tc>
          <w:tcPr>
            <w:tcW w:w="0" w:type="auto"/>
            <w:hideMark/>
          </w:tcPr>
          <w:p w14:paraId="2CBFACF7"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Health Belief Model</w:t>
            </w:r>
          </w:p>
        </w:tc>
        <w:tc>
          <w:tcPr>
            <w:tcW w:w="0" w:type="auto"/>
            <w:hideMark/>
          </w:tcPr>
          <w:p w14:paraId="505B5453"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NCBI source</w:t>
            </w:r>
          </w:p>
        </w:tc>
        <w:tc>
          <w:tcPr>
            <w:tcW w:w="0" w:type="auto"/>
            <w:hideMark/>
          </w:tcPr>
          <w:p w14:paraId="5ABED0C3"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Theoretical explanation</w:t>
            </w:r>
          </w:p>
        </w:tc>
        <w:tc>
          <w:tcPr>
            <w:tcW w:w="0" w:type="auto"/>
            <w:hideMark/>
          </w:tcPr>
          <w:p w14:paraId="655BB629"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Educational</w:t>
            </w:r>
          </w:p>
        </w:tc>
      </w:tr>
      <w:tr w:rsidR="009F6763" w:rsidRPr="009F6763" w14:paraId="4E590162"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57374910" w14:textId="77777777" w:rsidR="009F6763" w:rsidRPr="009F6763" w:rsidRDefault="009F6763" w:rsidP="009F6763">
            <w:r w:rsidRPr="009F6763">
              <w:t>Rahimi et al. (2018)</w:t>
            </w:r>
          </w:p>
        </w:tc>
        <w:tc>
          <w:tcPr>
            <w:tcW w:w="0" w:type="auto"/>
            <w:hideMark/>
          </w:tcPr>
          <w:p w14:paraId="7EFACDB7"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Acceptable</w:t>
            </w:r>
          </w:p>
        </w:tc>
        <w:tc>
          <w:tcPr>
            <w:tcW w:w="0" w:type="auto"/>
            <w:hideMark/>
          </w:tcPr>
          <w:p w14:paraId="76B2DCB0"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TAM model</w:t>
            </w:r>
          </w:p>
        </w:tc>
        <w:tc>
          <w:tcPr>
            <w:tcW w:w="0" w:type="auto"/>
            <w:hideMark/>
          </w:tcPr>
          <w:p w14:paraId="46C94BD7"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Informatics journal</w:t>
            </w:r>
          </w:p>
        </w:tc>
        <w:tc>
          <w:tcPr>
            <w:tcW w:w="0" w:type="auto"/>
            <w:hideMark/>
          </w:tcPr>
          <w:p w14:paraId="336F5358"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Systematic review</w:t>
            </w:r>
          </w:p>
        </w:tc>
        <w:tc>
          <w:tcPr>
            <w:tcW w:w="0" w:type="auto"/>
            <w:hideMark/>
          </w:tcPr>
          <w:p w14:paraId="50DD2172"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Academic</w:t>
            </w:r>
          </w:p>
        </w:tc>
      </w:tr>
      <w:tr w:rsidR="009F6763" w:rsidRPr="009F6763" w14:paraId="2F5BF65C"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6E6D1" w14:textId="77777777" w:rsidR="009F6763" w:rsidRPr="009F6763" w:rsidRDefault="009F6763" w:rsidP="009F6763">
            <w:r w:rsidRPr="009F6763">
              <w:t>Ahmad et al. (2020)</w:t>
            </w:r>
          </w:p>
        </w:tc>
        <w:tc>
          <w:tcPr>
            <w:tcW w:w="0" w:type="auto"/>
            <w:hideMark/>
          </w:tcPr>
          <w:p w14:paraId="0321AE14"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Recent</w:t>
            </w:r>
          </w:p>
        </w:tc>
        <w:tc>
          <w:tcPr>
            <w:tcW w:w="0" w:type="auto"/>
            <w:hideMark/>
          </w:tcPr>
          <w:p w14:paraId="3E1FFA0D"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Technology adoption</w:t>
            </w:r>
          </w:p>
        </w:tc>
        <w:tc>
          <w:tcPr>
            <w:tcW w:w="0" w:type="auto"/>
            <w:hideMark/>
          </w:tcPr>
          <w:p w14:paraId="6BC894D2"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Peer-reviewed journal</w:t>
            </w:r>
          </w:p>
        </w:tc>
        <w:tc>
          <w:tcPr>
            <w:tcW w:w="0" w:type="auto"/>
            <w:hideMark/>
          </w:tcPr>
          <w:p w14:paraId="090233CE"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Empirical analysis</w:t>
            </w:r>
          </w:p>
        </w:tc>
        <w:tc>
          <w:tcPr>
            <w:tcW w:w="0" w:type="auto"/>
            <w:hideMark/>
          </w:tcPr>
          <w:p w14:paraId="348A0E86"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Research</w:t>
            </w:r>
          </w:p>
        </w:tc>
      </w:tr>
      <w:tr w:rsidR="009F6763" w:rsidRPr="009F6763" w14:paraId="053FE949"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7606EC6E" w14:textId="77777777" w:rsidR="009F6763" w:rsidRPr="009F6763" w:rsidRDefault="009F6763" w:rsidP="009F6763">
            <w:r w:rsidRPr="009F6763">
              <w:t>Hossain et al. (2021)</w:t>
            </w:r>
          </w:p>
        </w:tc>
        <w:tc>
          <w:tcPr>
            <w:tcW w:w="0" w:type="auto"/>
            <w:hideMark/>
          </w:tcPr>
          <w:p w14:paraId="02A91CF8"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Recent</w:t>
            </w:r>
          </w:p>
        </w:tc>
        <w:tc>
          <w:tcPr>
            <w:tcW w:w="0" w:type="auto"/>
            <w:hideMark/>
          </w:tcPr>
          <w:p w14:paraId="2CC903E0"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IoT adoption (CGM)</w:t>
            </w:r>
          </w:p>
        </w:tc>
        <w:tc>
          <w:tcPr>
            <w:tcW w:w="0" w:type="auto"/>
            <w:hideMark/>
          </w:tcPr>
          <w:p w14:paraId="36A6818B"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IoT journal</w:t>
            </w:r>
          </w:p>
        </w:tc>
        <w:tc>
          <w:tcPr>
            <w:tcW w:w="0" w:type="auto"/>
            <w:hideMark/>
          </w:tcPr>
          <w:p w14:paraId="2CC481D2"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Data-driven findings</w:t>
            </w:r>
          </w:p>
        </w:tc>
        <w:tc>
          <w:tcPr>
            <w:tcW w:w="0" w:type="auto"/>
            <w:hideMark/>
          </w:tcPr>
          <w:p w14:paraId="09B52458"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Scientific</w:t>
            </w:r>
          </w:p>
        </w:tc>
      </w:tr>
      <w:tr w:rsidR="009F6763" w:rsidRPr="009F6763" w14:paraId="15F8FD4B"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55A86" w14:textId="77777777" w:rsidR="009F6763" w:rsidRPr="009F6763" w:rsidRDefault="009F6763" w:rsidP="009F6763">
            <w:r w:rsidRPr="009F6763">
              <w:t>Bender et al. (2025)</w:t>
            </w:r>
          </w:p>
        </w:tc>
        <w:tc>
          <w:tcPr>
            <w:tcW w:w="0" w:type="auto"/>
            <w:hideMark/>
          </w:tcPr>
          <w:p w14:paraId="1CCED20C"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Very recent</w:t>
            </w:r>
          </w:p>
        </w:tc>
        <w:tc>
          <w:tcPr>
            <w:tcW w:w="0" w:type="auto"/>
            <w:hideMark/>
          </w:tcPr>
          <w:p w14:paraId="455CEA81"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CGM evolution</w:t>
            </w:r>
          </w:p>
        </w:tc>
        <w:tc>
          <w:tcPr>
            <w:tcW w:w="0" w:type="auto"/>
            <w:hideMark/>
          </w:tcPr>
          <w:p w14:paraId="189D3008"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Diabetology journal</w:t>
            </w:r>
          </w:p>
        </w:tc>
        <w:tc>
          <w:tcPr>
            <w:tcW w:w="0" w:type="auto"/>
            <w:hideMark/>
          </w:tcPr>
          <w:p w14:paraId="61485C3A"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Review-based evidence</w:t>
            </w:r>
          </w:p>
        </w:tc>
        <w:tc>
          <w:tcPr>
            <w:tcW w:w="0" w:type="auto"/>
            <w:hideMark/>
          </w:tcPr>
          <w:p w14:paraId="3006F530"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Academic</w:t>
            </w:r>
          </w:p>
        </w:tc>
      </w:tr>
      <w:tr w:rsidR="009F6763" w:rsidRPr="009F6763" w14:paraId="606EBF59"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0C19EB55" w14:textId="77777777" w:rsidR="009F6763" w:rsidRPr="009F6763" w:rsidRDefault="009F6763" w:rsidP="009F6763">
            <w:r w:rsidRPr="009F6763">
              <w:t>Lau (2015)</w:t>
            </w:r>
          </w:p>
        </w:tc>
        <w:tc>
          <w:tcPr>
            <w:tcW w:w="0" w:type="auto"/>
            <w:hideMark/>
          </w:tcPr>
          <w:p w14:paraId="5965E17C"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Older but foundational</w:t>
            </w:r>
          </w:p>
        </w:tc>
        <w:tc>
          <w:tcPr>
            <w:tcW w:w="0" w:type="auto"/>
            <w:hideMark/>
          </w:tcPr>
          <w:p w14:paraId="3488486F"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Digital health transition</w:t>
            </w:r>
          </w:p>
        </w:tc>
        <w:tc>
          <w:tcPr>
            <w:tcW w:w="0" w:type="auto"/>
            <w:hideMark/>
          </w:tcPr>
          <w:p w14:paraId="6B4FA3DC"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Medical journal</w:t>
            </w:r>
          </w:p>
        </w:tc>
        <w:tc>
          <w:tcPr>
            <w:tcW w:w="0" w:type="auto"/>
            <w:hideMark/>
          </w:tcPr>
          <w:p w14:paraId="694E3172"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Conceptual support</w:t>
            </w:r>
          </w:p>
        </w:tc>
        <w:tc>
          <w:tcPr>
            <w:tcW w:w="0" w:type="auto"/>
            <w:hideMark/>
          </w:tcPr>
          <w:p w14:paraId="77CBCC6F"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Informative</w:t>
            </w:r>
          </w:p>
        </w:tc>
      </w:tr>
      <w:tr w:rsidR="009F6763" w:rsidRPr="009F6763" w14:paraId="022A45D1"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FB172" w14:textId="77777777" w:rsidR="009F6763" w:rsidRPr="009F6763" w:rsidRDefault="009F6763" w:rsidP="009F6763">
            <w:r w:rsidRPr="009F6763">
              <w:t>Boland et al. (2001)</w:t>
            </w:r>
          </w:p>
        </w:tc>
        <w:tc>
          <w:tcPr>
            <w:tcW w:w="0" w:type="auto"/>
            <w:hideMark/>
          </w:tcPr>
          <w:p w14:paraId="56371C68"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Foundational</w:t>
            </w:r>
          </w:p>
        </w:tc>
        <w:tc>
          <w:tcPr>
            <w:tcW w:w="0" w:type="auto"/>
            <w:hideMark/>
          </w:tcPr>
          <w:p w14:paraId="1B49B240"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Early CGM limitations</w:t>
            </w:r>
          </w:p>
        </w:tc>
        <w:tc>
          <w:tcPr>
            <w:tcW w:w="0" w:type="auto"/>
            <w:hideMark/>
          </w:tcPr>
          <w:p w14:paraId="75480D60"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Diabetes Care</w:t>
            </w:r>
          </w:p>
        </w:tc>
        <w:tc>
          <w:tcPr>
            <w:tcW w:w="0" w:type="auto"/>
            <w:hideMark/>
          </w:tcPr>
          <w:p w14:paraId="68360AB1"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Clinical evidence</w:t>
            </w:r>
          </w:p>
        </w:tc>
        <w:tc>
          <w:tcPr>
            <w:tcW w:w="0" w:type="auto"/>
            <w:hideMark/>
          </w:tcPr>
          <w:p w14:paraId="7C451B03"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Scientific</w:t>
            </w:r>
          </w:p>
        </w:tc>
      </w:tr>
      <w:tr w:rsidR="009F6763" w:rsidRPr="009F6763" w14:paraId="6B494888"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2AC522FE" w14:textId="77777777" w:rsidR="009F6763" w:rsidRPr="009F6763" w:rsidRDefault="009F6763" w:rsidP="009F6763">
            <w:proofErr w:type="spellStart"/>
            <w:r w:rsidRPr="009F6763">
              <w:t>Tonyushkina</w:t>
            </w:r>
            <w:proofErr w:type="spellEnd"/>
            <w:r w:rsidRPr="009F6763">
              <w:t xml:space="preserve"> &amp; Nichols (2009)</w:t>
            </w:r>
          </w:p>
        </w:tc>
        <w:tc>
          <w:tcPr>
            <w:tcW w:w="0" w:type="auto"/>
            <w:hideMark/>
          </w:tcPr>
          <w:p w14:paraId="67DC295D"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Foundational</w:t>
            </w:r>
          </w:p>
        </w:tc>
        <w:tc>
          <w:tcPr>
            <w:tcW w:w="0" w:type="auto"/>
            <w:hideMark/>
          </w:tcPr>
          <w:p w14:paraId="042BC362"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Glucose meter issues</w:t>
            </w:r>
          </w:p>
        </w:tc>
        <w:tc>
          <w:tcPr>
            <w:tcW w:w="0" w:type="auto"/>
            <w:hideMark/>
          </w:tcPr>
          <w:p w14:paraId="1DF33DFA"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Diabetes journal</w:t>
            </w:r>
          </w:p>
        </w:tc>
        <w:tc>
          <w:tcPr>
            <w:tcW w:w="0" w:type="auto"/>
            <w:hideMark/>
          </w:tcPr>
          <w:p w14:paraId="179D5C37"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Technical analysis</w:t>
            </w:r>
          </w:p>
        </w:tc>
        <w:tc>
          <w:tcPr>
            <w:tcW w:w="0" w:type="auto"/>
            <w:hideMark/>
          </w:tcPr>
          <w:p w14:paraId="0AE76CE5"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Academic</w:t>
            </w:r>
          </w:p>
        </w:tc>
      </w:tr>
      <w:tr w:rsidR="009F6763" w:rsidRPr="009F6763" w14:paraId="162897EA"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708436" w14:textId="77777777" w:rsidR="009F6763" w:rsidRPr="009F6763" w:rsidRDefault="009F6763" w:rsidP="009F6763">
            <w:proofErr w:type="spellStart"/>
            <w:r w:rsidRPr="009F6763">
              <w:t>Rodbard</w:t>
            </w:r>
            <w:proofErr w:type="spellEnd"/>
            <w:r w:rsidRPr="009F6763">
              <w:t xml:space="preserve"> (2016)</w:t>
            </w:r>
          </w:p>
        </w:tc>
        <w:tc>
          <w:tcPr>
            <w:tcW w:w="0" w:type="auto"/>
            <w:hideMark/>
          </w:tcPr>
          <w:p w14:paraId="788D00BA"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Acceptable</w:t>
            </w:r>
          </w:p>
        </w:tc>
        <w:tc>
          <w:tcPr>
            <w:tcW w:w="0" w:type="auto"/>
            <w:hideMark/>
          </w:tcPr>
          <w:p w14:paraId="5461DC2D"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CGM challenges</w:t>
            </w:r>
          </w:p>
        </w:tc>
        <w:tc>
          <w:tcPr>
            <w:tcW w:w="0" w:type="auto"/>
            <w:hideMark/>
          </w:tcPr>
          <w:p w14:paraId="494886E2"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Diabetes journal</w:t>
            </w:r>
          </w:p>
        </w:tc>
        <w:tc>
          <w:tcPr>
            <w:tcW w:w="0" w:type="auto"/>
            <w:hideMark/>
          </w:tcPr>
          <w:p w14:paraId="7E6B7273"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Review evidence</w:t>
            </w:r>
          </w:p>
        </w:tc>
        <w:tc>
          <w:tcPr>
            <w:tcW w:w="0" w:type="auto"/>
            <w:hideMark/>
          </w:tcPr>
          <w:p w14:paraId="7B12AA9F"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Informative</w:t>
            </w:r>
          </w:p>
        </w:tc>
      </w:tr>
      <w:tr w:rsidR="009F6763" w:rsidRPr="009F6763" w14:paraId="3344D79B"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2E58B31E" w14:textId="77777777" w:rsidR="009F6763" w:rsidRPr="009F6763" w:rsidRDefault="009F6763" w:rsidP="009F6763">
            <w:proofErr w:type="spellStart"/>
            <w:r w:rsidRPr="009F6763">
              <w:t>Rodbard</w:t>
            </w:r>
            <w:proofErr w:type="spellEnd"/>
            <w:r w:rsidRPr="009F6763">
              <w:t xml:space="preserve"> (2017)</w:t>
            </w:r>
          </w:p>
        </w:tc>
        <w:tc>
          <w:tcPr>
            <w:tcW w:w="0" w:type="auto"/>
            <w:hideMark/>
          </w:tcPr>
          <w:p w14:paraId="1BDC47D6"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Acceptable</w:t>
            </w:r>
          </w:p>
        </w:tc>
        <w:tc>
          <w:tcPr>
            <w:tcW w:w="0" w:type="auto"/>
            <w:hideMark/>
          </w:tcPr>
          <w:p w14:paraId="6CBCB096"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Clinical outcomes</w:t>
            </w:r>
          </w:p>
        </w:tc>
        <w:tc>
          <w:tcPr>
            <w:tcW w:w="0" w:type="auto"/>
            <w:hideMark/>
          </w:tcPr>
          <w:p w14:paraId="1DCF4E26"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Diabetes journal</w:t>
            </w:r>
          </w:p>
        </w:tc>
        <w:tc>
          <w:tcPr>
            <w:tcW w:w="0" w:type="auto"/>
            <w:hideMark/>
          </w:tcPr>
          <w:p w14:paraId="34F5D1C3"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Empirical review</w:t>
            </w:r>
          </w:p>
        </w:tc>
        <w:tc>
          <w:tcPr>
            <w:tcW w:w="0" w:type="auto"/>
            <w:hideMark/>
          </w:tcPr>
          <w:p w14:paraId="557CE408"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Scientific</w:t>
            </w:r>
          </w:p>
        </w:tc>
      </w:tr>
      <w:tr w:rsidR="009F6763" w:rsidRPr="009F6763" w14:paraId="0799FCD4"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1020D5" w14:textId="77777777" w:rsidR="009F6763" w:rsidRPr="009F6763" w:rsidRDefault="009F6763" w:rsidP="009F6763">
            <w:r w:rsidRPr="009F6763">
              <w:t>Diabetes UK (2018)</w:t>
            </w:r>
          </w:p>
        </w:tc>
        <w:tc>
          <w:tcPr>
            <w:tcW w:w="0" w:type="auto"/>
            <w:hideMark/>
          </w:tcPr>
          <w:p w14:paraId="4CC88F2D"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Relevant</w:t>
            </w:r>
          </w:p>
        </w:tc>
        <w:tc>
          <w:tcPr>
            <w:tcW w:w="0" w:type="auto"/>
            <w:hideMark/>
          </w:tcPr>
          <w:p w14:paraId="45299EAB"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NHS access</w:t>
            </w:r>
          </w:p>
        </w:tc>
        <w:tc>
          <w:tcPr>
            <w:tcW w:w="0" w:type="auto"/>
            <w:hideMark/>
          </w:tcPr>
          <w:p w14:paraId="68B8E07C"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Reputable organisation</w:t>
            </w:r>
          </w:p>
        </w:tc>
        <w:tc>
          <w:tcPr>
            <w:tcW w:w="0" w:type="auto"/>
            <w:hideMark/>
          </w:tcPr>
          <w:p w14:paraId="1788D123"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Policy-based info</w:t>
            </w:r>
          </w:p>
        </w:tc>
        <w:tc>
          <w:tcPr>
            <w:tcW w:w="0" w:type="auto"/>
            <w:hideMark/>
          </w:tcPr>
          <w:p w14:paraId="76CBE841"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Informative</w:t>
            </w:r>
          </w:p>
        </w:tc>
      </w:tr>
      <w:tr w:rsidR="009F6763" w:rsidRPr="009F6763" w14:paraId="2E9CB7CE"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39850431" w14:textId="77777777" w:rsidR="009F6763" w:rsidRPr="009F6763" w:rsidRDefault="009F6763" w:rsidP="009F6763">
            <w:r w:rsidRPr="009F6763">
              <w:t>NICE (2022)</w:t>
            </w:r>
          </w:p>
        </w:tc>
        <w:tc>
          <w:tcPr>
            <w:tcW w:w="0" w:type="auto"/>
            <w:hideMark/>
          </w:tcPr>
          <w:p w14:paraId="3EFEA7F7"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Recent</w:t>
            </w:r>
          </w:p>
        </w:tc>
        <w:tc>
          <w:tcPr>
            <w:tcW w:w="0" w:type="auto"/>
            <w:hideMark/>
          </w:tcPr>
          <w:p w14:paraId="4A7E723E"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UK guidelines</w:t>
            </w:r>
          </w:p>
        </w:tc>
        <w:tc>
          <w:tcPr>
            <w:tcW w:w="0" w:type="auto"/>
            <w:hideMark/>
          </w:tcPr>
          <w:p w14:paraId="6FF1813F"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Government authority</w:t>
            </w:r>
          </w:p>
        </w:tc>
        <w:tc>
          <w:tcPr>
            <w:tcW w:w="0" w:type="auto"/>
            <w:hideMark/>
          </w:tcPr>
          <w:p w14:paraId="1EF84E17"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Evidence-based policy</w:t>
            </w:r>
          </w:p>
        </w:tc>
        <w:tc>
          <w:tcPr>
            <w:tcW w:w="0" w:type="auto"/>
            <w:hideMark/>
          </w:tcPr>
          <w:p w14:paraId="36D89A1A"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Official</w:t>
            </w:r>
          </w:p>
        </w:tc>
      </w:tr>
      <w:tr w:rsidR="009F6763" w:rsidRPr="009F6763" w14:paraId="5F5403B4"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4423F1" w14:textId="77777777" w:rsidR="009F6763" w:rsidRPr="009F6763" w:rsidRDefault="009F6763" w:rsidP="009F6763">
            <w:r w:rsidRPr="009F6763">
              <w:t>NHS England (2024)</w:t>
            </w:r>
          </w:p>
        </w:tc>
        <w:tc>
          <w:tcPr>
            <w:tcW w:w="0" w:type="auto"/>
            <w:hideMark/>
          </w:tcPr>
          <w:p w14:paraId="4A23A0AD"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Recent</w:t>
            </w:r>
          </w:p>
        </w:tc>
        <w:tc>
          <w:tcPr>
            <w:tcW w:w="0" w:type="auto"/>
            <w:hideMark/>
          </w:tcPr>
          <w:p w14:paraId="53D7FBAA"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UK diabetes strategy</w:t>
            </w:r>
          </w:p>
        </w:tc>
        <w:tc>
          <w:tcPr>
            <w:tcW w:w="0" w:type="auto"/>
            <w:hideMark/>
          </w:tcPr>
          <w:p w14:paraId="1FDE9B66"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Government source</w:t>
            </w:r>
          </w:p>
        </w:tc>
        <w:tc>
          <w:tcPr>
            <w:tcW w:w="0" w:type="auto"/>
            <w:hideMark/>
          </w:tcPr>
          <w:p w14:paraId="39FC6E73"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National data</w:t>
            </w:r>
          </w:p>
        </w:tc>
        <w:tc>
          <w:tcPr>
            <w:tcW w:w="0" w:type="auto"/>
            <w:hideMark/>
          </w:tcPr>
          <w:p w14:paraId="2425F5D0"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Policy</w:t>
            </w:r>
          </w:p>
        </w:tc>
      </w:tr>
      <w:tr w:rsidR="009F6763" w:rsidRPr="009F6763" w14:paraId="2C637563"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351EF3BF" w14:textId="77777777" w:rsidR="009F6763" w:rsidRPr="009F6763" w:rsidRDefault="009F6763" w:rsidP="009F6763">
            <w:r w:rsidRPr="009F6763">
              <w:t>Sze May Ng (2023)</w:t>
            </w:r>
          </w:p>
        </w:tc>
        <w:tc>
          <w:tcPr>
            <w:tcW w:w="0" w:type="auto"/>
            <w:hideMark/>
          </w:tcPr>
          <w:p w14:paraId="7F79BAAD"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Recent</w:t>
            </w:r>
          </w:p>
        </w:tc>
        <w:tc>
          <w:tcPr>
            <w:tcW w:w="0" w:type="auto"/>
            <w:hideMark/>
          </w:tcPr>
          <w:p w14:paraId="7BFB8C4F"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CGM policy adoption</w:t>
            </w:r>
          </w:p>
        </w:tc>
        <w:tc>
          <w:tcPr>
            <w:tcW w:w="0" w:type="auto"/>
            <w:hideMark/>
          </w:tcPr>
          <w:p w14:paraId="7C42B080"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BMC Medicine</w:t>
            </w:r>
          </w:p>
        </w:tc>
        <w:tc>
          <w:tcPr>
            <w:tcW w:w="0" w:type="auto"/>
            <w:hideMark/>
          </w:tcPr>
          <w:p w14:paraId="257A1DCE"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Peer-reviewed</w:t>
            </w:r>
          </w:p>
        </w:tc>
        <w:tc>
          <w:tcPr>
            <w:tcW w:w="0" w:type="auto"/>
            <w:hideMark/>
          </w:tcPr>
          <w:p w14:paraId="58D632B0"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Academic</w:t>
            </w:r>
          </w:p>
        </w:tc>
      </w:tr>
      <w:tr w:rsidR="009F6763" w:rsidRPr="009F6763" w14:paraId="30553650" w14:textId="77777777" w:rsidTr="009F6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9B1C92" w14:textId="77777777" w:rsidR="009F6763" w:rsidRPr="009F6763" w:rsidRDefault="009F6763" w:rsidP="009F6763">
            <w:proofErr w:type="spellStart"/>
            <w:r w:rsidRPr="009F6763">
              <w:t>Jerjes</w:t>
            </w:r>
            <w:proofErr w:type="spellEnd"/>
            <w:r w:rsidRPr="009F6763">
              <w:t xml:space="preserve"> &amp; Majeed (2025)</w:t>
            </w:r>
          </w:p>
        </w:tc>
        <w:tc>
          <w:tcPr>
            <w:tcW w:w="0" w:type="auto"/>
            <w:hideMark/>
          </w:tcPr>
          <w:p w14:paraId="1FA4036E"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Very recent</w:t>
            </w:r>
          </w:p>
        </w:tc>
        <w:tc>
          <w:tcPr>
            <w:tcW w:w="0" w:type="auto"/>
            <w:hideMark/>
          </w:tcPr>
          <w:p w14:paraId="72244622"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NHS challenges</w:t>
            </w:r>
          </w:p>
        </w:tc>
        <w:tc>
          <w:tcPr>
            <w:tcW w:w="0" w:type="auto"/>
            <w:hideMark/>
          </w:tcPr>
          <w:p w14:paraId="74A388E0"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Medical journal</w:t>
            </w:r>
          </w:p>
        </w:tc>
        <w:tc>
          <w:tcPr>
            <w:tcW w:w="0" w:type="auto"/>
            <w:hideMark/>
          </w:tcPr>
          <w:p w14:paraId="40C6E366"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Evidence-based</w:t>
            </w:r>
          </w:p>
        </w:tc>
        <w:tc>
          <w:tcPr>
            <w:tcW w:w="0" w:type="auto"/>
            <w:hideMark/>
          </w:tcPr>
          <w:p w14:paraId="290E9ACB" w14:textId="77777777" w:rsidR="009F6763" w:rsidRPr="009F6763" w:rsidRDefault="009F6763" w:rsidP="009F6763">
            <w:pPr>
              <w:cnfStyle w:val="000000100000" w:firstRow="0" w:lastRow="0" w:firstColumn="0" w:lastColumn="0" w:oddVBand="0" w:evenVBand="0" w:oddHBand="1" w:evenHBand="0" w:firstRowFirstColumn="0" w:firstRowLastColumn="0" w:lastRowFirstColumn="0" w:lastRowLastColumn="0"/>
            </w:pPr>
            <w:r w:rsidRPr="009F6763">
              <w:t>Informative</w:t>
            </w:r>
          </w:p>
        </w:tc>
      </w:tr>
      <w:tr w:rsidR="009F6763" w:rsidRPr="009F6763" w14:paraId="4E975ECC" w14:textId="77777777" w:rsidTr="009F6763">
        <w:tc>
          <w:tcPr>
            <w:cnfStyle w:val="001000000000" w:firstRow="0" w:lastRow="0" w:firstColumn="1" w:lastColumn="0" w:oddVBand="0" w:evenVBand="0" w:oddHBand="0" w:evenHBand="0" w:firstRowFirstColumn="0" w:firstRowLastColumn="0" w:lastRowFirstColumn="0" w:lastRowLastColumn="0"/>
            <w:tcW w:w="0" w:type="auto"/>
            <w:hideMark/>
          </w:tcPr>
          <w:p w14:paraId="5011695D" w14:textId="77777777" w:rsidR="009F6763" w:rsidRPr="009F6763" w:rsidRDefault="009F6763" w:rsidP="009F6763">
            <w:r w:rsidRPr="009F6763">
              <w:lastRenderedPageBreak/>
              <w:t>Aleppo et al. (2023)</w:t>
            </w:r>
          </w:p>
        </w:tc>
        <w:tc>
          <w:tcPr>
            <w:tcW w:w="0" w:type="auto"/>
            <w:hideMark/>
          </w:tcPr>
          <w:p w14:paraId="4703E782"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Recent</w:t>
            </w:r>
          </w:p>
        </w:tc>
        <w:tc>
          <w:tcPr>
            <w:tcW w:w="0" w:type="auto"/>
            <w:hideMark/>
          </w:tcPr>
          <w:p w14:paraId="7BD52E14"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CGM integration</w:t>
            </w:r>
          </w:p>
        </w:tc>
        <w:tc>
          <w:tcPr>
            <w:tcW w:w="0" w:type="auto"/>
            <w:hideMark/>
          </w:tcPr>
          <w:p w14:paraId="3C55BCE3" w14:textId="35960905"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 xml:space="preserve">Diabetes </w:t>
            </w:r>
            <w:r w:rsidR="006D5F1C">
              <w:t>Technology Journal</w:t>
            </w:r>
          </w:p>
        </w:tc>
        <w:tc>
          <w:tcPr>
            <w:tcW w:w="0" w:type="auto"/>
            <w:hideMark/>
          </w:tcPr>
          <w:p w14:paraId="403C219D"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Empirical study</w:t>
            </w:r>
          </w:p>
        </w:tc>
        <w:tc>
          <w:tcPr>
            <w:tcW w:w="0" w:type="auto"/>
            <w:hideMark/>
          </w:tcPr>
          <w:p w14:paraId="5DE25302" w14:textId="77777777" w:rsidR="009F6763" w:rsidRPr="009F6763" w:rsidRDefault="009F6763" w:rsidP="009F6763">
            <w:pPr>
              <w:cnfStyle w:val="000000000000" w:firstRow="0" w:lastRow="0" w:firstColumn="0" w:lastColumn="0" w:oddVBand="0" w:evenVBand="0" w:oddHBand="0" w:evenHBand="0" w:firstRowFirstColumn="0" w:firstRowLastColumn="0" w:lastRowFirstColumn="0" w:lastRowLastColumn="0"/>
            </w:pPr>
            <w:r w:rsidRPr="009F6763">
              <w:t>Research</w:t>
            </w:r>
          </w:p>
        </w:tc>
      </w:tr>
    </w:tbl>
    <w:p w14:paraId="4B54C127" w14:textId="35DF6E22" w:rsidR="006D5F1C" w:rsidRPr="006D5F1C" w:rsidRDefault="006D5F1C" w:rsidP="006D5F1C">
      <w:pPr>
        <w:pStyle w:val="Heading2"/>
      </w:pPr>
      <w:bookmarkStart w:id="80" w:name="_Toc225702933"/>
      <w:r w:rsidRPr="006D5F1C">
        <w:t xml:space="preserve">Appendix </w:t>
      </w:r>
      <w:r>
        <w:t>2</w:t>
      </w:r>
      <w:r w:rsidRPr="006D5F1C">
        <w:t>: Thematic Coding Framework for CGM Literature Analysis</w:t>
      </w:r>
      <w:bookmarkEnd w:id="80"/>
    </w:p>
    <w:tbl>
      <w:tblPr>
        <w:tblStyle w:val="PlainTable1"/>
        <w:tblW w:w="0" w:type="auto"/>
        <w:tblLook w:val="04A0" w:firstRow="1" w:lastRow="0" w:firstColumn="1" w:lastColumn="0" w:noHBand="0" w:noVBand="1"/>
      </w:tblPr>
      <w:tblGrid>
        <w:gridCol w:w="1942"/>
        <w:gridCol w:w="3053"/>
        <w:gridCol w:w="1826"/>
        <w:gridCol w:w="2195"/>
      </w:tblGrid>
      <w:tr w:rsidR="006D5F1C" w:rsidRPr="006D5F1C" w14:paraId="68AE2D97" w14:textId="77777777" w:rsidTr="006D5F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82C0B3" w14:textId="77777777" w:rsidR="006D5F1C" w:rsidRPr="006D5F1C" w:rsidRDefault="006D5F1C" w:rsidP="006D5F1C">
            <w:r w:rsidRPr="006D5F1C">
              <w:t>Author (Year)</w:t>
            </w:r>
          </w:p>
        </w:tc>
        <w:tc>
          <w:tcPr>
            <w:tcW w:w="0" w:type="auto"/>
            <w:hideMark/>
          </w:tcPr>
          <w:p w14:paraId="6C274A19" w14:textId="77777777" w:rsidR="006D5F1C" w:rsidRPr="006D5F1C" w:rsidRDefault="006D5F1C" w:rsidP="006D5F1C">
            <w:pPr>
              <w:cnfStyle w:val="100000000000" w:firstRow="1" w:lastRow="0" w:firstColumn="0" w:lastColumn="0" w:oddVBand="0" w:evenVBand="0" w:oddHBand="0" w:evenHBand="0" w:firstRowFirstColumn="0" w:firstRowLastColumn="0" w:lastRowFirstColumn="0" w:lastRowLastColumn="0"/>
            </w:pPr>
            <w:r w:rsidRPr="006D5F1C">
              <w:t>Initial Codes Identified</w:t>
            </w:r>
          </w:p>
        </w:tc>
        <w:tc>
          <w:tcPr>
            <w:tcW w:w="0" w:type="auto"/>
            <w:hideMark/>
          </w:tcPr>
          <w:p w14:paraId="3A528E54" w14:textId="77777777" w:rsidR="006D5F1C" w:rsidRPr="006D5F1C" w:rsidRDefault="006D5F1C" w:rsidP="006D5F1C">
            <w:pPr>
              <w:cnfStyle w:val="100000000000" w:firstRow="1" w:lastRow="0" w:firstColumn="0" w:lastColumn="0" w:oddVBand="0" w:evenVBand="0" w:oddHBand="0" w:evenHBand="0" w:firstRowFirstColumn="0" w:firstRowLastColumn="0" w:lastRowFirstColumn="0" w:lastRowLastColumn="0"/>
            </w:pPr>
            <w:r w:rsidRPr="006D5F1C">
              <w:t>Category</w:t>
            </w:r>
          </w:p>
        </w:tc>
        <w:tc>
          <w:tcPr>
            <w:tcW w:w="0" w:type="auto"/>
            <w:hideMark/>
          </w:tcPr>
          <w:p w14:paraId="0C2B0010" w14:textId="77777777" w:rsidR="006D5F1C" w:rsidRPr="006D5F1C" w:rsidRDefault="006D5F1C" w:rsidP="006D5F1C">
            <w:pPr>
              <w:cnfStyle w:val="100000000000" w:firstRow="1" w:lastRow="0" w:firstColumn="0" w:lastColumn="0" w:oddVBand="0" w:evenVBand="0" w:oddHBand="0" w:evenHBand="0" w:firstRowFirstColumn="0" w:firstRowLastColumn="0" w:lastRowFirstColumn="0" w:lastRowLastColumn="0"/>
            </w:pPr>
            <w:r w:rsidRPr="006D5F1C">
              <w:t>Final Theme</w:t>
            </w:r>
          </w:p>
        </w:tc>
      </w:tr>
      <w:tr w:rsidR="006D5F1C" w:rsidRPr="006D5F1C" w14:paraId="3FA88A29" w14:textId="77777777" w:rsidTr="006D5F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7FA81" w14:textId="77777777" w:rsidR="006D5F1C" w:rsidRPr="006D5F1C" w:rsidRDefault="006D5F1C" w:rsidP="006D5F1C">
            <w:r w:rsidRPr="006D5F1C">
              <w:t>Edward &amp; Priefer (2023)</w:t>
            </w:r>
          </w:p>
        </w:tc>
        <w:tc>
          <w:tcPr>
            <w:tcW w:w="0" w:type="auto"/>
            <w:hideMark/>
          </w:tcPr>
          <w:p w14:paraId="1BF22259"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Device comparison, accuracy, usability differences</w:t>
            </w:r>
          </w:p>
        </w:tc>
        <w:tc>
          <w:tcPr>
            <w:tcW w:w="0" w:type="auto"/>
            <w:hideMark/>
          </w:tcPr>
          <w:p w14:paraId="331C70FF"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Device performance</w:t>
            </w:r>
          </w:p>
        </w:tc>
        <w:tc>
          <w:tcPr>
            <w:tcW w:w="0" w:type="auto"/>
            <w:hideMark/>
          </w:tcPr>
          <w:p w14:paraId="6527B71C"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Device Features and Usability</w:t>
            </w:r>
          </w:p>
        </w:tc>
      </w:tr>
      <w:tr w:rsidR="006D5F1C" w:rsidRPr="006D5F1C" w14:paraId="775820D9" w14:textId="77777777" w:rsidTr="006D5F1C">
        <w:tc>
          <w:tcPr>
            <w:cnfStyle w:val="001000000000" w:firstRow="0" w:lastRow="0" w:firstColumn="1" w:lastColumn="0" w:oddVBand="0" w:evenVBand="0" w:oddHBand="0" w:evenHBand="0" w:firstRowFirstColumn="0" w:firstRowLastColumn="0" w:lastRowFirstColumn="0" w:lastRowLastColumn="0"/>
            <w:tcW w:w="0" w:type="auto"/>
            <w:hideMark/>
          </w:tcPr>
          <w:p w14:paraId="3FC90A55" w14:textId="77777777" w:rsidR="006D5F1C" w:rsidRPr="006D5F1C" w:rsidRDefault="006D5F1C" w:rsidP="006D5F1C">
            <w:r w:rsidRPr="006D5F1C">
              <w:t>Yoo &amp; Kim (2023)</w:t>
            </w:r>
          </w:p>
        </w:tc>
        <w:tc>
          <w:tcPr>
            <w:tcW w:w="0" w:type="auto"/>
            <w:hideMark/>
          </w:tcPr>
          <w:p w14:paraId="1E9E24A4"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Glycaemic control, real-time monitoring, improved outcomes</w:t>
            </w:r>
          </w:p>
        </w:tc>
        <w:tc>
          <w:tcPr>
            <w:tcW w:w="0" w:type="auto"/>
            <w:hideMark/>
          </w:tcPr>
          <w:p w14:paraId="33F05F2D"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Clinical outcomes</w:t>
            </w:r>
          </w:p>
        </w:tc>
        <w:tc>
          <w:tcPr>
            <w:tcW w:w="0" w:type="auto"/>
            <w:hideMark/>
          </w:tcPr>
          <w:p w14:paraId="278012A6"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Self-Management and Glycaemic Control</w:t>
            </w:r>
          </w:p>
        </w:tc>
      </w:tr>
      <w:tr w:rsidR="006D5F1C" w:rsidRPr="006D5F1C" w14:paraId="316B6E9B" w14:textId="77777777" w:rsidTr="006D5F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F12E08" w14:textId="77777777" w:rsidR="006D5F1C" w:rsidRPr="006D5F1C" w:rsidRDefault="006D5F1C" w:rsidP="006D5F1C">
            <w:proofErr w:type="spellStart"/>
            <w:r w:rsidRPr="006D5F1C">
              <w:t>Chehregosha</w:t>
            </w:r>
            <w:proofErr w:type="spellEnd"/>
            <w:r w:rsidRPr="006D5F1C">
              <w:t xml:space="preserve"> et al. (2019)</w:t>
            </w:r>
          </w:p>
        </w:tc>
        <w:tc>
          <w:tcPr>
            <w:tcW w:w="0" w:type="auto"/>
            <w:hideMark/>
          </w:tcPr>
          <w:p w14:paraId="617F8C7F"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HbA1c reduction, continuous monitoring benefits</w:t>
            </w:r>
          </w:p>
        </w:tc>
        <w:tc>
          <w:tcPr>
            <w:tcW w:w="0" w:type="auto"/>
            <w:hideMark/>
          </w:tcPr>
          <w:p w14:paraId="753DC8B0"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Clinical improvement</w:t>
            </w:r>
          </w:p>
        </w:tc>
        <w:tc>
          <w:tcPr>
            <w:tcW w:w="0" w:type="auto"/>
            <w:hideMark/>
          </w:tcPr>
          <w:p w14:paraId="5E48FEFF"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Self-Management and Glycaemic Control</w:t>
            </w:r>
          </w:p>
        </w:tc>
      </w:tr>
      <w:tr w:rsidR="006D5F1C" w:rsidRPr="006D5F1C" w14:paraId="44836FE8" w14:textId="77777777" w:rsidTr="006D5F1C">
        <w:tc>
          <w:tcPr>
            <w:cnfStyle w:val="001000000000" w:firstRow="0" w:lastRow="0" w:firstColumn="1" w:lastColumn="0" w:oddVBand="0" w:evenVBand="0" w:oddHBand="0" w:evenHBand="0" w:firstRowFirstColumn="0" w:firstRowLastColumn="0" w:lastRowFirstColumn="0" w:lastRowLastColumn="0"/>
            <w:tcW w:w="0" w:type="auto"/>
            <w:hideMark/>
          </w:tcPr>
          <w:p w14:paraId="017EEE5A" w14:textId="77777777" w:rsidR="006D5F1C" w:rsidRPr="006D5F1C" w:rsidRDefault="006D5F1C" w:rsidP="006D5F1C">
            <w:proofErr w:type="spellStart"/>
            <w:r w:rsidRPr="006D5F1C">
              <w:t>Rodbard</w:t>
            </w:r>
            <w:proofErr w:type="spellEnd"/>
            <w:r w:rsidRPr="006D5F1C">
              <w:t xml:space="preserve"> (2017)</w:t>
            </w:r>
          </w:p>
        </w:tc>
        <w:tc>
          <w:tcPr>
            <w:tcW w:w="0" w:type="auto"/>
            <w:hideMark/>
          </w:tcPr>
          <w:p w14:paraId="7D8AB574"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Reduced hypoglycaemia, safety improvements</w:t>
            </w:r>
          </w:p>
        </w:tc>
        <w:tc>
          <w:tcPr>
            <w:tcW w:w="0" w:type="auto"/>
            <w:hideMark/>
          </w:tcPr>
          <w:p w14:paraId="4D601D46"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Patient safety</w:t>
            </w:r>
          </w:p>
        </w:tc>
        <w:tc>
          <w:tcPr>
            <w:tcW w:w="0" w:type="auto"/>
            <w:hideMark/>
          </w:tcPr>
          <w:p w14:paraId="7B4FEEA7"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Self-Management and Glycaemic Control</w:t>
            </w:r>
          </w:p>
        </w:tc>
      </w:tr>
      <w:tr w:rsidR="006D5F1C" w:rsidRPr="006D5F1C" w14:paraId="7B3C077C" w14:textId="77777777" w:rsidTr="006D5F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68FF36" w14:textId="77777777" w:rsidR="006D5F1C" w:rsidRPr="006D5F1C" w:rsidRDefault="006D5F1C" w:rsidP="006D5F1C">
            <w:r w:rsidRPr="006D5F1C">
              <w:t>Ahmad &amp; Joshi (2023)</w:t>
            </w:r>
          </w:p>
        </w:tc>
        <w:tc>
          <w:tcPr>
            <w:tcW w:w="0" w:type="auto"/>
            <w:hideMark/>
          </w:tcPr>
          <w:p w14:paraId="34136B9F"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Self-care behaviour, lifestyle change</w:t>
            </w:r>
          </w:p>
        </w:tc>
        <w:tc>
          <w:tcPr>
            <w:tcW w:w="0" w:type="auto"/>
            <w:hideMark/>
          </w:tcPr>
          <w:p w14:paraId="681484A8"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Behavioural factors</w:t>
            </w:r>
          </w:p>
        </w:tc>
        <w:tc>
          <w:tcPr>
            <w:tcW w:w="0" w:type="auto"/>
            <w:hideMark/>
          </w:tcPr>
          <w:p w14:paraId="76321AD3"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Self-Management and Glycaemic Control</w:t>
            </w:r>
          </w:p>
        </w:tc>
      </w:tr>
      <w:tr w:rsidR="006D5F1C" w:rsidRPr="006D5F1C" w14:paraId="56D77720" w14:textId="77777777" w:rsidTr="006D5F1C">
        <w:tc>
          <w:tcPr>
            <w:cnfStyle w:val="001000000000" w:firstRow="0" w:lastRow="0" w:firstColumn="1" w:lastColumn="0" w:oddVBand="0" w:evenVBand="0" w:oddHBand="0" w:evenHBand="0" w:firstRowFirstColumn="0" w:firstRowLastColumn="0" w:lastRowFirstColumn="0" w:lastRowLastColumn="0"/>
            <w:tcW w:w="0" w:type="auto"/>
            <w:hideMark/>
          </w:tcPr>
          <w:p w14:paraId="48F8238C" w14:textId="77777777" w:rsidR="006D5F1C" w:rsidRPr="006D5F1C" w:rsidRDefault="006D5F1C" w:rsidP="006D5F1C">
            <w:r w:rsidRPr="006D5F1C">
              <w:t>Zhu et al. (2022)</w:t>
            </w:r>
          </w:p>
        </w:tc>
        <w:tc>
          <w:tcPr>
            <w:tcW w:w="0" w:type="auto"/>
            <w:hideMark/>
          </w:tcPr>
          <w:p w14:paraId="7278834E"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Treatment adherence, patient compliance</w:t>
            </w:r>
          </w:p>
        </w:tc>
        <w:tc>
          <w:tcPr>
            <w:tcW w:w="0" w:type="auto"/>
            <w:hideMark/>
          </w:tcPr>
          <w:p w14:paraId="14523230"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Behavioural response</w:t>
            </w:r>
          </w:p>
        </w:tc>
        <w:tc>
          <w:tcPr>
            <w:tcW w:w="0" w:type="auto"/>
            <w:hideMark/>
          </w:tcPr>
          <w:p w14:paraId="305C0FD0"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Self-Management and Glycaemic Control</w:t>
            </w:r>
          </w:p>
        </w:tc>
      </w:tr>
      <w:tr w:rsidR="006D5F1C" w:rsidRPr="006D5F1C" w14:paraId="2D799EF4" w14:textId="77777777" w:rsidTr="006D5F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01FB4A" w14:textId="77777777" w:rsidR="006D5F1C" w:rsidRPr="006D5F1C" w:rsidRDefault="006D5F1C" w:rsidP="006D5F1C">
            <w:proofErr w:type="spellStart"/>
            <w:r w:rsidRPr="006D5F1C">
              <w:t>Puzhakkal</w:t>
            </w:r>
            <w:proofErr w:type="spellEnd"/>
            <w:r w:rsidRPr="006D5F1C">
              <w:t xml:space="preserve"> et al. (2025)</w:t>
            </w:r>
          </w:p>
        </w:tc>
        <w:tc>
          <w:tcPr>
            <w:tcW w:w="0" w:type="auto"/>
            <w:hideMark/>
          </w:tcPr>
          <w:p w14:paraId="1E12189B"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Feedback loop, behavioural adaptation</w:t>
            </w:r>
          </w:p>
        </w:tc>
        <w:tc>
          <w:tcPr>
            <w:tcW w:w="0" w:type="auto"/>
            <w:hideMark/>
          </w:tcPr>
          <w:p w14:paraId="3746BA2A"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Self-management process</w:t>
            </w:r>
          </w:p>
        </w:tc>
        <w:tc>
          <w:tcPr>
            <w:tcW w:w="0" w:type="auto"/>
            <w:hideMark/>
          </w:tcPr>
          <w:p w14:paraId="2F60BE84"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Self-Management and Glycaemic Control</w:t>
            </w:r>
          </w:p>
        </w:tc>
      </w:tr>
      <w:tr w:rsidR="006D5F1C" w:rsidRPr="006D5F1C" w14:paraId="060C88FB" w14:textId="77777777" w:rsidTr="006D5F1C">
        <w:tc>
          <w:tcPr>
            <w:cnfStyle w:val="001000000000" w:firstRow="0" w:lastRow="0" w:firstColumn="1" w:lastColumn="0" w:oddVBand="0" w:evenVBand="0" w:oddHBand="0" w:evenHBand="0" w:firstRowFirstColumn="0" w:firstRowLastColumn="0" w:lastRowFirstColumn="0" w:lastRowLastColumn="0"/>
            <w:tcW w:w="0" w:type="auto"/>
            <w:hideMark/>
          </w:tcPr>
          <w:p w14:paraId="2DD3B7AE" w14:textId="77777777" w:rsidR="006D5F1C" w:rsidRPr="006D5F1C" w:rsidRDefault="006D5F1C" w:rsidP="006D5F1C">
            <w:r w:rsidRPr="006D5F1C">
              <w:t>Lopez et al. (2023)</w:t>
            </w:r>
          </w:p>
        </w:tc>
        <w:tc>
          <w:tcPr>
            <w:tcW w:w="0" w:type="auto"/>
            <w:hideMark/>
          </w:tcPr>
          <w:p w14:paraId="2E3A5B2A"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Digital literacy barriers, data interpretation issues</w:t>
            </w:r>
          </w:p>
        </w:tc>
        <w:tc>
          <w:tcPr>
            <w:tcW w:w="0" w:type="auto"/>
            <w:hideMark/>
          </w:tcPr>
          <w:p w14:paraId="0FC822A4"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Digital inequality</w:t>
            </w:r>
          </w:p>
        </w:tc>
        <w:tc>
          <w:tcPr>
            <w:tcW w:w="0" w:type="auto"/>
            <w:hideMark/>
          </w:tcPr>
          <w:p w14:paraId="0BE5B2E4"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Challenges, Cost and Ethics</w:t>
            </w:r>
          </w:p>
        </w:tc>
      </w:tr>
      <w:tr w:rsidR="006D5F1C" w:rsidRPr="006D5F1C" w14:paraId="29AEA73F" w14:textId="77777777" w:rsidTr="006D5F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EFC8D8" w14:textId="77777777" w:rsidR="006D5F1C" w:rsidRPr="006D5F1C" w:rsidRDefault="006D5F1C" w:rsidP="006D5F1C">
            <w:r w:rsidRPr="006D5F1C">
              <w:t>Shi et al. (2024)</w:t>
            </w:r>
          </w:p>
        </w:tc>
        <w:tc>
          <w:tcPr>
            <w:tcW w:w="0" w:type="auto"/>
            <w:hideMark/>
          </w:tcPr>
          <w:p w14:paraId="6EF8E121"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Low digital skills, older adult challenges</w:t>
            </w:r>
          </w:p>
        </w:tc>
        <w:tc>
          <w:tcPr>
            <w:tcW w:w="0" w:type="auto"/>
            <w:hideMark/>
          </w:tcPr>
          <w:p w14:paraId="5CE1A6F2"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User limitations</w:t>
            </w:r>
          </w:p>
        </w:tc>
        <w:tc>
          <w:tcPr>
            <w:tcW w:w="0" w:type="auto"/>
            <w:hideMark/>
          </w:tcPr>
          <w:p w14:paraId="57CE8AC6"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Challenges, Cost and Ethics</w:t>
            </w:r>
          </w:p>
        </w:tc>
      </w:tr>
      <w:tr w:rsidR="006D5F1C" w:rsidRPr="006D5F1C" w14:paraId="495C3508" w14:textId="77777777" w:rsidTr="006D5F1C">
        <w:tc>
          <w:tcPr>
            <w:cnfStyle w:val="001000000000" w:firstRow="0" w:lastRow="0" w:firstColumn="1" w:lastColumn="0" w:oddVBand="0" w:evenVBand="0" w:oddHBand="0" w:evenHBand="0" w:firstRowFirstColumn="0" w:firstRowLastColumn="0" w:lastRowFirstColumn="0" w:lastRowLastColumn="0"/>
            <w:tcW w:w="0" w:type="auto"/>
            <w:hideMark/>
          </w:tcPr>
          <w:p w14:paraId="2C52E325" w14:textId="77777777" w:rsidR="006D5F1C" w:rsidRPr="006D5F1C" w:rsidRDefault="006D5F1C" w:rsidP="006D5F1C">
            <w:r w:rsidRPr="006D5F1C">
              <w:t>Beran et al. (2021)</w:t>
            </w:r>
          </w:p>
        </w:tc>
        <w:tc>
          <w:tcPr>
            <w:tcW w:w="0" w:type="auto"/>
            <w:hideMark/>
          </w:tcPr>
          <w:p w14:paraId="02E0D252"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High cost, limited affordability</w:t>
            </w:r>
          </w:p>
        </w:tc>
        <w:tc>
          <w:tcPr>
            <w:tcW w:w="0" w:type="auto"/>
            <w:hideMark/>
          </w:tcPr>
          <w:p w14:paraId="05F13908"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Economic barrier</w:t>
            </w:r>
          </w:p>
        </w:tc>
        <w:tc>
          <w:tcPr>
            <w:tcW w:w="0" w:type="auto"/>
            <w:hideMark/>
          </w:tcPr>
          <w:p w14:paraId="1225A5F4"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Challenges, Cost and Ethics</w:t>
            </w:r>
          </w:p>
        </w:tc>
      </w:tr>
      <w:tr w:rsidR="006D5F1C" w:rsidRPr="006D5F1C" w14:paraId="4166E51C" w14:textId="77777777" w:rsidTr="006D5F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6B55B9" w14:textId="77777777" w:rsidR="006D5F1C" w:rsidRPr="006D5F1C" w:rsidRDefault="006D5F1C" w:rsidP="006D5F1C">
            <w:r w:rsidRPr="006D5F1C">
              <w:t>Diabetes UK (2018)</w:t>
            </w:r>
          </w:p>
        </w:tc>
        <w:tc>
          <w:tcPr>
            <w:tcW w:w="0" w:type="auto"/>
            <w:hideMark/>
          </w:tcPr>
          <w:p w14:paraId="3DC48C40"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NHS eligibility restrictions, unequal access</w:t>
            </w:r>
          </w:p>
        </w:tc>
        <w:tc>
          <w:tcPr>
            <w:tcW w:w="0" w:type="auto"/>
            <w:hideMark/>
          </w:tcPr>
          <w:p w14:paraId="38453869"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Policy limitation</w:t>
            </w:r>
          </w:p>
        </w:tc>
        <w:tc>
          <w:tcPr>
            <w:tcW w:w="0" w:type="auto"/>
            <w:hideMark/>
          </w:tcPr>
          <w:p w14:paraId="5291E0B8"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Challenges, Cost and Ethics</w:t>
            </w:r>
          </w:p>
        </w:tc>
      </w:tr>
      <w:tr w:rsidR="006D5F1C" w:rsidRPr="006D5F1C" w14:paraId="28032A85" w14:textId="77777777" w:rsidTr="006D5F1C">
        <w:tc>
          <w:tcPr>
            <w:cnfStyle w:val="001000000000" w:firstRow="0" w:lastRow="0" w:firstColumn="1" w:lastColumn="0" w:oddVBand="0" w:evenVBand="0" w:oddHBand="0" w:evenHBand="0" w:firstRowFirstColumn="0" w:firstRowLastColumn="0" w:lastRowFirstColumn="0" w:lastRowLastColumn="0"/>
            <w:tcW w:w="0" w:type="auto"/>
            <w:hideMark/>
          </w:tcPr>
          <w:p w14:paraId="23703D17" w14:textId="77777777" w:rsidR="006D5F1C" w:rsidRPr="006D5F1C" w:rsidRDefault="006D5F1C" w:rsidP="006D5F1C">
            <w:r w:rsidRPr="006D5F1C">
              <w:t>NICE (2022)</w:t>
            </w:r>
          </w:p>
        </w:tc>
        <w:tc>
          <w:tcPr>
            <w:tcW w:w="0" w:type="auto"/>
            <w:hideMark/>
          </w:tcPr>
          <w:p w14:paraId="23E44DA2"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 xml:space="preserve">CGM recommendations, </w:t>
            </w:r>
            <w:r w:rsidRPr="006D5F1C">
              <w:lastRenderedPageBreak/>
              <w:t>healthcare policy</w:t>
            </w:r>
          </w:p>
        </w:tc>
        <w:tc>
          <w:tcPr>
            <w:tcW w:w="0" w:type="auto"/>
            <w:hideMark/>
          </w:tcPr>
          <w:p w14:paraId="08831520"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lastRenderedPageBreak/>
              <w:t>Policy support</w:t>
            </w:r>
          </w:p>
        </w:tc>
        <w:tc>
          <w:tcPr>
            <w:tcW w:w="0" w:type="auto"/>
            <w:hideMark/>
          </w:tcPr>
          <w:p w14:paraId="27CE14DD"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 xml:space="preserve">Challenges, Cost </w:t>
            </w:r>
            <w:r w:rsidRPr="006D5F1C">
              <w:lastRenderedPageBreak/>
              <w:t>and Ethics</w:t>
            </w:r>
          </w:p>
        </w:tc>
      </w:tr>
      <w:tr w:rsidR="006D5F1C" w:rsidRPr="006D5F1C" w14:paraId="5062B39E" w14:textId="77777777" w:rsidTr="006D5F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2E7B1" w14:textId="77777777" w:rsidR="006D5F1C" w:rsidRPr="006D5F1C" w:rsidRDefault="006D5F1C" w:rsidP="006D5F1C">
            <w:r w:rsidRPr="006D5F1C">
              <w:lastRenderedPageBreak/>
              <w:t>NHS England (2024)</w:t>
            </w:r>
          </w:p>
        </w:tc>
        <w:tc>
          <w:tcPr>
            <w:tcW w:w="0" w:type="auto"/>
            <w:hideMark/>
          </w:tcPr>
          <w:p w14:paraId="64FF2DB1"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Expansion of digital health, CGM integration</w:t>
            </w:r>
          </w:p>
        </w:tc>
        <w:tc>
          <w:tcPr>
            <w:tcW w:w="0" w:type="auto"/>
            <w:hideMark/>
          </w:tcPr>
          <w:p w14:paraId="2C88C894"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Healthcare development</w:t>
            </w:r>
          </w:p>
        </w:tc>
        <w:tc>
          <w:tcPr>
            <w:tcW w:w="0" w:type="auto"/>
            <w:hideMark/>
          </w:tcPr>
          <w:p w14:paraId="1683911D"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Challenges, Cost and Ethics</w:t>
            </w:r>
          </w:p>
        </w:tc>
      </w:tr>
      <w:tr w:rsidR="006D5F1C" w:rsidRPr="006D5F1C" w14:paraId="5D2D0968" w14:textId="77777777" w:rsidTr="006D5F1C">
        <w:tc>
          <w:tcPr>
            <w:cnfStyle w:val="001000000000" w:firstRow="0" w:lastRow="0" w:firstColumn="1" w:lastColumn="0" w:oddVBand="0" w:evenVBand="0" w:oddHBand="0" w:evenHBand="0" w:firstRowFirstColumn="0" w:firstRowLastColumn="0" w:lastRowFirstColumn="0" w:lastRowLastColumn="0"/>
            <w:tcW w:w="0" w:type="auto"/>
            <w:hideMark/>
          </w:tcPr>
          <w:p w14:paraId="75918312" w14:textId="77777777" w:rsidR="006D5F1C" w:rsidRPr="006D5F1C" w:rsidRDefault="006D5F1C" w:rsidP="006D5F1C">
            <w:r w:rsidRPr="006D5F1C">
              <w:t>Bitomsky et al. (2025)</w:t>
            </w:r>
          </w:p>
        </w:tc>
        <w:tc>
          <w:tcPr>
            <w:tcW w:w="0" w:type="auto"/>
            <w:hideMark/>
          </w:tcPr>
          <w:p w14:paraId="6A5E3F19"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Data privacy, digital ethics, equity issues</w:t>
            </w:r>
          </w:p>
        </w:tc>
        <w:tc>
          <w:tcPr>
            <w:tcW w:w="0" w:type="auto"/>
            <w:hideMark/>
          </w:tcPr>
          <w:p w14:paraId="3CA7A223"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Ethical concerns</w:t>
            </w:r>
          </w:p>
        </w:tc>
        <w:tc>
          <w:tcPr>
            <w:tcW w:w="0" w:type="auto"/>
            <w:hideMark/>
          </w:tcPr>
          <w:p w14:paraId="0603DC74" w14:textId="77777777" w:rsidR="006D5F1C" w:rsidRPr="006D5F1C" w:rsidRDefault="006D5F1C" w:rsidP="006D5F1C">
            <w:pPr>
              <w:cnfStyle w:val="000000000000" w:firstRow="0" w:lastRow="0" w:firstColumn="0" w:lastColumn="0" w:oddVBand="0" w:evenVBand="0" w:oddHBand="0" w:evenHBand="0" w:firstRowFirstColumn="0" w:firstRowLastColumn="0" w:lastRowFirstColumn="0" w:lastRowLastColumn="0"/>
            </w:pPr>
            <w:r w:rsidRPr="006D5F1C">
              <w:t>Challenges, Cost and Ethics</w:t>
            </w:r>
          </w:p>
        </w:tc>
      </w:tr>
      <w:tr w:rsidR="006D5F1C" w:rsidRPr="006D5F1C" w14:paraId="4E25AA8C" w14:textId="77777777" w:rsidTr="006D5F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CECE9F" w14:textId="77777777" w:rsidR="006D5F1C" w:rsidRPr="006D5F1C" w:rsidRDefault="006D5F1C" w:rsidP="006D5F1C">
            <w:r w:rsidRPr="006D5F1C">
              <w:t>Bender et al. (2025)</w:t>
            </w:r>
          </w:p>
        </w:tc>
        <w:tc>
          <w:tcPr>
            <w:tcW w:w="0" w:type="auto"/>
            <w:hideMark/>
          </w:tcPr>
          <w:p w14:paraId="4FD97C8F"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Evolution of CGM, technological development</w:t>
            </w:r>
          </w:p>
        </w:tc>
        <w:tc>
          <w:tcPr>
            <w:tcW w:w="0" w:type="auto"/>
            <w:hideMark/>
          </w:tcPr>
          <w:p w14:paraId="658C48C6"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Historical context</w:t>
            </w:r>
          </w:p>
        </w:tc>
        <w:tc>
          <w:tcPr>
            <w:tcW w:w="0" w:type="auto"/>
            <w:hideMark/>
          </w:tcPr>
          <w:p w14:paraId="51D0B111" w14:textId="77777777" w:rsidR="006D5F1C" w:rsidRPr="006D5F1C" w:rsidRDefault="006D5F1C" w:rsidP="006D5F1C">
            <w:pPr>
              <w:cnfStyle w:val="000000100000" w:firstRow="0" w:lastRow="0" w:firstColumn="0" w:lastColumn="0" w:oddVBand="0" w:evenVBand="0" w:oddHBand="1" w:evenHBand="0" w:firstRowFirstColumn="0" w:firstRowLastColumn="0" w:lastRowFirstColumn="0" w:lastRowLastColumn="0"/>
            </w:pPr>
            <w:r w:rsidRPr="006D5F1C">
              <w:t>Device Features and Usability</w:t>
            </w:r>
          </w:p>
        </w:tc>
      </w:tr>
    </w:tbl>
    <w:p w14:paraId="3B4A3BF9" w14:textId="2DF5B9A0" w:rsidR="005C2C7A" w:rsidRDefault="005C2C7A" w:rsidP="00C779A5"/>
    <w:p w14:paraId="46DF02AC" w14:textId="74764843" w:rsidR="000A6BCF" w:rsidRDefault="000A6BCF" w:rsidP="00C779A5"/>
    <w:p w14:paraId="4EA2364D" w14:textId="70968593" w:rsidR="000A6BCF" w:rsidRPr="00C779A5" w:rsidRDefault="000A6BCF" w:rsidP="000A6BCF">
      <w:pPr>
        <w:spacing w:line="240" w:lineRule="auto"/>
        <w:jc w:val="left"/>
      </w:pPr>
    </w:p>
    <w:sectPr w:rsidR="000A6BCF" w:rsidRPr="00C779A5" w:rsidSect="00C779A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F81BD" w14:textId="77777777" w:rsidR="000A13CC" w:rsidRDefault="000A13CC">
      <w:pPr>
        <w:spacing w:line="240" w:lineRule="auto"/>
      </w:pPr>
      <w:r>
        <w:separator/>
      </w:r>
    </w:p>
  </w:endnote>
  <w:endnote w:type="continuationSeparator" w:id="0">
    <w:p w14:paraId="1FC15EFC" w14:textId="77777777" w:rsidR="000A13CC" w:rsidRDefault="000A13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8194"/>
      <w:docPartObj>
        <w:docPartGallery w:val="Page Numbers (Bottom of Page)"/>
        <w:docPartUnique/>
      </w:docPartObj>
    </w:sdtPr>
    <w:sdtEndPr>
      <w:rPr>
        <w:color w:val="7F7F7F" w:themeColor="background1" w:themeShade="7F"/>
        <w:spacing w:val="60"/>
      </w:rPr>
    </w:sdtEndPr>
    <w:sdtContent>
      <w:p w14:paraId="001E4977" w14:textId="77777777" w:rsidR="00953346" w:rsidRDefault="00DB5B20">
        <w:pPr>
          <w:pStyle w:val="Footer"/>
          <w:pBdr>
            <w:top w:val="single" w:sz="4" w:space="1" w:color="D9D9D9" w:themeColor="background1" w:themeShade="D9"/>
          </w:pBdr>
          <w:rPr>
            <w:b/>
            <w:bCs/>
          </w:rPr>
        </w:pPr>
        <w:r w:rsidRPr="004342D4">
          <w:rPr>
            <w:rFonts w:ascii="Arial" w:hAnsi="Arial" w:cs="Arial"/>
          </w:rPr>
          <w:fldChar w:fldCharType="begin"/>
        </w:r>
        <w:r w:rsidRPr="004342D4">
          <w:rPr>
            <w:rFonts w:ascii="Arial" w:hAnsi="Arial" w:cs="Arial"/>
          </w:rPr>
          <w:instrText xml:space="preserve"> PAGE   \* MERGEFORMAT </w:instrText>
        </w:r>
        <w:r w:rsidRPr="004342D4">
          <w:rPr>
            <w:rFonts w:ascii="Arial" w:hAnsi="Arial" w:cs="Arial"/>
          </w:rPr>
          <w:fldChar w:fldCharType="separate"/>
        </w:r>
        <w:r w:rsidRPr="004342D4">
          <w:rPr>
            <w:rFonts w:ascii="Arial" w:hAnsi="Arial" w:cs="Arial"/>
            <w:b/>
            <w:bCs/>
            <w:noProof/>
          </w:rPr>
          <w:t>2</w:t>
        </w:r>
        <w:r w:rsidRPr="004342D4">
          <w:rPr>
            <w:rFonts w:ascii="Arial" w:hAnsi="Arial" w:cs="Arial"/>
            <w:b/>
            <w:bCs/>
            <w:noProof/>
          </w:rPr>
          <w:fldChar w:fldCharType="end"/>
        </w:r>
        <w:r w:rsidRPr="004342D4">
          <w:rPr>
            <w:rFonts w:ascii="Arial" w:hAnsi="Arial" w:cs="Arial"/>
            <w:b/>
            <w:bCs/>
          </w:rPr>
          <w:t xml:space="preserve"> | </w:t>
        </w:r>
        <w:r w:rsidRPr="004342D4">
          <w:rPr>
            <w:rFonts w:ascii="Arial" w:hAnsi="Arial" w:cs="Arial"/>
            <w:color w:val="7F7F7F" w:themeColor="background1" w:themeShade="7F"/>
            <w:spacing w:val="60"/>
          </w:rPr>
          <w:t>Page</w:t>
        </w:r>
      </w:p>
    </w:sdtContent>
  </w:sdt>
  <w:p w14:paraId="24F51A39"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43C5E" w14:textId="77777777" w:rsidR="000A13CC" w:rsidRDefault="000A13CC">
      <w:pPr>
        <w:spacing w:line="240" w:lineRule="auto"/>
      </w:pPr>
      <w:r>
        <w:separator/>
      </w:r>
    </w:p>
  </w:footnote>
  <w:footnote w:type="continuationSeparator" w:id="0">
    <w:p w14:paraId="0D3E1D99" w14:textId="77777777" w:rsidR="000A13CC" w:rsidRDefault="000A13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2320" w14:textId="77777777" w:rsidR="00D63D2C" w:rsidRDefault="00D63D2C">
    <w:pPr>
      <w:pStyle w:val="Header"/>
      <w:jc w:val="center"/>
    </w:pPr>
  </w:p>
  <w:p w14:paraId="6528599D"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14DE107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E4D436C6">
      <w:numFmt w:val="bullet"/>
      <w:lvlText w:val="•"/>
      <w:lvlJc w:val="left"/>
      <w:pPr>
        <w:ind w:left="1936" w:hanging="721"/>
      </w:pPr>
      <w:rPr>
        <w:rFonts w:hint="default"/>
        <w:lang w:val="en-GB" w:eastAsia="en-GB" w:bidi="en-GB"/>
      </w:rPr>
    </w:lvl>
    <w:lvl w:ilvl="2" w:tplc="A3382334">
      <w:numFmt w:val="bullet"/>
      <w:lvlText w:val="•"/>
      <w:lvlJc w:val="left"/>
      <w:pPr>
        <w:ind w:left="2932" w:hanging="721"/>
      </w:pPr>
      <w:rPr>
        <w:rFonts w:hint="default"/>
        <w:lang w:val="en-GB" w:eastAsia="en-GB" w:bidi="en-GB"/>
      </w:rPr>
    </w:lvl>
    <w:lvl w:ilvl="3" w:tplc="C2C82B7C">
      <w:numFmt w:val="bullet"/>
      <w:lvlText w:val="•"/>
      <w:lvlJc w:val="left"/>
      <w:pPr>
        <w:ind w:left="3928" w:hanging="721"/>
      </w:pPr>
      <w:rPr>
        <w:rFonts w:hint="default"/>
        <w:lang w:val="en-GB" w:eastAsia="en-GB" w:bidi="en-GB"/>
      </w:rPr>
    </w:lvl>
    <w:lvl w:ilvl="4" w:tplc="BC6C15A2">
      <w:numFmt w:val="bullet"/>
      <w:lvlText w:val="•"/>
      <w:lvlJc w:val="left"/>
      <w:pPr>
        <w:ind w:left="4924" w:hanging="721"/>
      </w:pPr>
      <w:rPr>
        <w:rFonts w:hint="default"/>
        <w:lang w:val="en-GB" w:eastAsia="en-GB" w:bidi="en-GB"/>
      </w:rPr>
    </w:lvl>
    <w:lvl w:ilvl="5" w:tplc="4FD03DF6">
      <w:numFmt w:val="bullet"/>
      <w:lvlText w:val="•"/>
      <w:lvlJc w:val="left"/>
      <w:pPr>
        <w:ind w:left="5920" w:hanging="721"/>
      </w:pPr>
      <w:rPr>
        <w:rFonts w:hint="default"/>
        <w:lang w:val="en-GB" w:eastAsia="en-GB" w:bidi="en-GB"/>
      </w:rPr>
    </w:lvl>
    <w:lvl w:ilvl="6" w:tplc="801C16B0">
      <w:numFmt w:val="bullet"/>
      <w:lvlText w:val="•"/>
      <w:lvlJc w:val="left"/>
      <w:pPr>
        <w:ind w:left="6916" w:hanging="721"/>
      </w:pPr>
      <w:rPr>
        <w:rFonts w:hint="default"/>
        <w:lang w:val="en-GB" w:eastAsia="en-GB" w:bidi="en-GB"/>
      </w:rPr>
    </w:lvl>
    <w:lvl w:ilvl="7" w:tplc="9FA4E030">
      <w:numFmt w:val="bullet"/>
      <w:lvlText w:val="•"/>
      <w:lvlJc w:val="left"/>
      <w:pPr>
        <w:ind w:left="7912" w:hanging="721"/>
      </w:pPr>
      <w:rPr>
        <w:rFonts w:hint="default"/>
        <w:lang w:val="en-GB" w:eastAsia="en-GB" w:bidi="en-GB"/>
      </w:rPr>
    </w:lvl>
    <w:lvl w:ilvl="8" w:tplc="44AC112A">
      <w:numFmt w:val="bullet"/>
      <w:lvlText w:val="•"/>
      <w:lvlJc w:val="left"/>
      <w:pPr>
        <w:ind w:left="8908" w:hanging="721"/>
      </w:pPr>
      <w:rPr>
        <w:rFonts w:hint="default"/>
        <w:lang w:val="en-GB" w:eastAsia="en-GB" w:bidi="en-GB"/>
      </w:rPr>
    </w:lvl>
  </w:abstractNum>
  <w:abstractNum w:abstractNumId="1" w15:restartNumberingAfterBreak="0">
    <w:nsid w:val="1B3A35DC"/>
    <w:multiLevelType w:val="multilevel"/>
    <w:tmpl w:val="5FF47A8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46E9E"/>
    <w:multiLevelType w:val="hybridMultilevel"/>
    <w:tmpl w:val="C2247C16"/>
    <w:lvl w:ilvl="0" w:tplc="BFCCA902">
      <w:start w:val="1"/>
      <w:numFmt w:val="decimal"/>
      <w:lvlText w:val="%1."/>
      <w:lvlJc w:val="left"/>
      <w:pPr>
        <w:ind w:left="720" w:hanging="360"/>
      </w:pPr>
    </w:lvl>
    <w:lvl w:ilvl="1" w:tplc="60308EC8" w:tentative="1">
      <w:start w:val="1"/>
      <w:numFmt w:val="lowerLetter"/>
      <w:lvlText w:val="%2."/>
      <w:lvlJc w:val="left"/>
      <w:pPr>
        <w:ind w:left="1440" w:hanging="360"/>
      </w:pPr>
    </w:lvl>
    <w:lvl w:ilvl="2" w:tplc="0DBE847C" w:tentative="1">
      <w:start w:val="1"/>
      <w:numFmt w:val="lowerRoman"/>
      <w:lvlText w:val="%3."/>
      <w:lvlJc w:val="right"/>
      <w:pPr>
        <w:ind w:left="2160" w:hanging="180"/>
      </w:pPr>
    </w:lvl>
    <w:lvl w:ilvl="3" w:tplc="13A88B3E" w:tentative="1">
      <w:start w:val="1"/>
      <w:numFmt w:val="decimal"/>
      <w:lvlText w:val="%4."/>
      <w:lvlJc w:val="left"/>
      <w:pPr>
        <w:ind w:left="2880" w:hanging="360"/>
      </w:pPr>
    </w:lvl>
    <w:lvl w:ilvl="4" w:tplc="5A4A1C02" w:tentative="1">
      <w:start w:val="1"/>
      <w:numFmt w:val="lowerLetter"/>
      <w:lvlText w:val="%5."/>
      <w:lvlJc w:val="left"/>
      <w:pPr>
        <w:ind w:left="3600" w:hanging="360"/>
      </w:pPr>
    </w:lvl>
    <w:lvl w:ilvl="5" w:tplc="E166A7C0" w:tentative="1">
      <w:start w:val="1"/>
      <w:numFmt w:val="lowerRoman"/>
      <w:lvlText w:val="%6."/>
      <w:lvlJc w:val="right"/>
      <w:pPr>
        <w:ind w:left="4320" w:hanging="180"/>
      </w:pPr>
    </w:lvl>
    <w:lvl w:ilvl="6" w:tplc="16120972" w:tentative="1">
      <w:start w:val="1"/>
      <w:numFmt w:val="decimal"/>
      <w:lvlText w:val="%7."/>
      <w:lvlJc w:val="left"/>
      <w:pPr>
        <w:ind w:left="5040" w:hanging="360"/>
      </w:pPr>
    </w:lvl>
    <w:lvl w:ilvl="7" w:tplc="CEB0F498" w:tentative="1">
      <w:start w:val="1"/>
      <w:numFmt w:val="lowerLetter"/>
      <w:lvlText w:val="%8."/>
      <w:lvlJc w:val="left"/>
      <w:pPr>
        <w:ind w:left="5760" w:hanging="360"/>
      </w:pPr>
    </w:lvl>
    <w:lvl w:ilvl="8" w:tplc="F36AE378" w:tentative="1">
      <w:start w:val="1"/>
      <w:numFmt w:val="lowerRoman"/>
      <w:lvlText w:val="%9."/>
      <w:lvlJc w:val="right"/>
      <w:pPr>
        <w:ind w:left="6480" w:hanging="180"/>
      </w:pPr>
    </w:lvl>
  </w:abstractNum>
  <w:abstractNum w:abstractNumId="3" w15:restartNumberingAfterBreak="0">
    <w:nsid w:val="28D833DB"/>
    <w:multiLevelType w:val="hybridMultilevel"/>
    <w:tmpl w:val="1B4EE690"/>
    <w:lvl w:ilvl="0" w:tplc="38465720">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B91E52FA">
      <w:numFmt w:val="bullet"/>
      <w:lvlText w:val="•"/>
      <w:lvlJc w:val="left"/>
      <w:pPr>
        <w:ind w:left="1936" w:hanging="361"/>
      </w:pPr>
      <w:rPr>
        <w:rFonts w:hint="default"/>
        <w:lang w:val="en-GB" w:eastAsia="en-GB" w:bidi="en-GB"/>
      </w:rPr>
    </w:lvl>
    <w:lvl w:ilvl="2" w:tplc="D59C50AA">
      <w:numFmt w:val="bullet"/>
      <w:lvlText w:val="•"/>
      <w:lvlJc w:val="left"/>
      <w:pPr>
        <w:ind w:left="2932" w:hanging="361"/>
      </w:pPr>
      <w:rPr>
        <w:rFonts w:hint="default"/>
        <w:lang w:val="en-GB" w:eastAsia="en-GB" w:bidi="en-GB"/>
      </w:rPr>
    </w:lvl>
    <w:lvl w:ilvl="3" w:tplc="EA0C4AA0">
      <w:numFmt w:val="bullet"/>
      <w:lvlText w:val="•"/>
      <w:lvlJc w:val="left"/>
      <w:pPr>
        <w:ind w:left="3928" w:hanging="361"/>
      </w:pPr>
      <w:rPr>
        <w:rFonts w:hint="default"/>
        <w:lang w:val="en-GB" w:eastAsia="en-GB" w:bidi="en-GB"/>
      </w:rPr>
    </w:lvl>
    <w:lvl w:ilvl="4" w:tplc="6B32BF3A">
      <w:numFmt w:val="bullet"/>
      <w:lvlText w:val="•"/>
      <w:lvlJc w:val="left"/>
      <w:pPr>
        <w:ind w:left="4924" w:hanging="361"/>
      </w:pPr>
      <w:rPr>
        <w:rFonts w:hint="default"/>
        <w:lang w:val="en-GB" w:eastAsia="en-GB" w:bidi="en-GB"/>
      </w:rPr>
    </w:lvl>
    <w:lvl w:ilvl="5" w:tplc="960E3526">
      <w:numFmt w:val="bullet"/>
      <w:lvlText w:val="•"/>
      <w:lvlJc w:val="left"/>
      <w:pPr>
        <w:ind w:left="5920" w:hanging="361"/>
      </w:pPr>
      <w:rPr>
        <w:rFonts w:hint="default"/>
        <w:lang w:val="en-GB" w:eastAsia="en-GB" w:bidi="en-GB"/>
      </w:rPr>
    </w:lvl>
    <w:lvl w:ilvl="6" w:tplc="4A061EBE">
      <w:numFmt w:val="bullet"/>
      <w:lvlText w:val="•"/>
      <w:lvlJc w:val="left"/>
      <w:pPr>
        <w:ind w:left="6916" w:hanging="361"/>
      </w:pPr>
      <w:rPr>
        <w:rFonts w:hint="default"/>
        <w:lang w:val="en-GB" w:eastAsia="en-GB" w:bidi="en-GB"/>
      </w:rPr>
    </w:lvl>
    <w:lvl w:ilvl="7" w:tplc="D9460A82">
      <w:numFmt w:val="bullet"/>
      <w:lvlText w:val="•"/>
      <w:lvlJc w:val="left"/>
      <w:pPr>
        <w:ind w:left="7912" w:hanging="361"/>
      </w:pPr>
      <w:rPr>
        <w:rFonts w:hint="default"/>
        <w:lang w:val="en-GB" w:eastAsia="en-GB" w:bidi="en-GB"/>
      </w:rPr>
    </w:lvl>
    <w:lvl w:ilvl="8" w:tplc="599AE8E4">
      <w:numFmt w:val="bullet"/>
      <w:lvlText w:val="•"/>
      <w:lvlJc w:val="left"/>
      <w:pPr>
        <w:ind w:left="8908" w:hanging="361"/>
      </w:pPr>
      <w:rPr>
        <w:rFonts w:hint="default"/>
        <w:lang w:val="en-GB" w:eastAsia="en-GB" w:bidi="en-GB"/>
      </w:rPr>
    </w:lvl>
  </w:abstractNum>
  <w:abstractNum w:abstractNumId="4" w15:restartNumberingAfterBreak="0">
    <w:nsid w:val="2C736E85"/>
    <w:multiLevelType w:val="hybridMultilevel"/>
    <w:tmpl w:val="5D66AA28"/>
    <w:lvl w:ilvl="0" w:tplc="A5ECE9B8">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F8850D0">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8CB68CB2">
      <w:numFmt w:val="bullet"/>
      <w:lvlText w:val="•"/>
      <w:lvlJc w:val="left"/>
      <w:pPr>
        <w:ind w:left="2932" w:hanging="166"/>
      </w:pPr>
      <w:rPr>
        <w:rFonts w:hint="default"/>
        <w:lang w:val="en-GB" w:eastAsia="en-GB" w:bidi="en-GB"/>
      </w:rPr>
    </w:lvl>
    <w:lvl w:ilvl="3" w:tplc="2B0CFAF0">
      <w:numFmt w:val="bullet"/>
      <w:lvlText w:val="•"/>
      <w:lvlJc w:val="left"/>
      <w:pPr>
        <w:ind w:left="3928" w:hanging="166"/>
      </w:pPr>
      <w:rPr>
        <w:rFonts w:hint="default"/>
        <w:lang w:val="en-GB" w:eastAsia="en-GB" w:bidi="en-GB"/>
      </w:rPr>
    </w:lvl>
    <w:lvl w:ilvl="4" w:tplc="6CFC6170">
      <w:numFmt w:val="bullet"/>
      <w:lvlText w:val="•"/>
      <w:lvlJc w:val="left"/>
      <w:pPr>
        <w:ind w:left="4924" w:hanging="166"/>
      </w:pPr>
      <w:rPr>
        <w:rFonts w:hint="default"/>
        <w:lang w:val="en-GB" w:eastAsia="en-GB" w:bidi="en-GB"/>
      </w:rPr>
    </w:lvl>
    <w:lvl w:ilvl="5" w:tplc="795AF65C">
      <w:numFmt w:val="bullet"/>
      <w:lvlText w:val="•"/>
      <w:lvlJc w:val="left"/>
      <w:pPr>
        <w:ind w:left="5920" w:hanging="166"/>
      </w:pPr>
      <w:rPr>
        <w:rFonts w:hint="default"/>
        <w:lang w:val="en-GB" w:eastAsia="en-GB" w:bidi="en-GB"/>
      </w:rPr>
    </w:lvl>
    <w:lvl w:ilvl="6" w:tplc="DA5EC6C8">
      <w:numFmt w:val="bullet"/>
      <w:lvlText w:val="•"/>
      <w:lvlJc w:val="left"/>
      <w:pPr>
        <w:ind w:left="6916" w:hanging="166"/>
      </w:pPr>
      <w:rPr>
        <w:rFonts w:hint="default"/>
        <w:lang w:val="en-GB" w:eastAsia="en-GB" w:bidi="en-GB"/>
      </w:rPr>
    </w:lvl>
    <w:lvl w:ilvl="7" w:tplc="65B6935C">
      <w:numFmt w:val="bullet"/>
      <w:lvlText w:val="•"/>
      <w:lvlJc w:val="left"/>
      <w:pPr>
        <w:ind w:left="7912" w:hanging="166"/>
      </w:pPr>
      <w:rPr>
        <w:rFonts w:hint="default"/>
        <w:lang w:val="en-GB" w:eastAsia="en-GB" w:bidi="en-GB"/>
      </w:rPr>
    </w:lvl>
    <w:lvl w:ilvl="8" w:tplc="B100C81E">
      <w:numFmt w:val="bullet"/>
      <w:lvlText w:val="•"/>
      <w:lvlJc w:val="left"/>
      <w:pPr>
        <w:ind w:left="8908" w:hanging="166"/>
      </w:pPr>
      <w:rPr>
        <w:rFonts w:hint="default"/>
        <w:lang w:val="en-GB" w:eastAsia="en-GB" w:bidi="en-GB"/>
      </w:rPr>
    </w:lvl>
  </w:abstractNum>
  <w:abstractNum w:abstractNumId="5" w15:restartNumberingAfterBreak="0">
    <w:nsid w:val="35C918FE"/>
    <w:multiLevelType w:val="multilevel"/>
    <w:tmpl w:val="DF7ADB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D1D18"/>
    <w:multiLevelType w:val="multilevel"/>
    <w:tmpl w:val="A87A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7F5CC5"/>
    <w:multiLevelType w:val="hybridMultilevel"/>
    <w:tmpl w:val="98624C74"/>
    <w:lvl w:ilvl="0" w:tplc="09BAA53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1004E98">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74541A1E">
      <w:numFmt w:val="bullet"/>
      <w:lvlText w:val="•"/>
      <w:lvlJc w:val="left"/>
      <w:pPr>
        <w:ind w:left="2686" w:hanging="720"/>
      </w:pPr>
      <w:rPr>
        <w:rFonts w:hint="default"/>
        <w:lang w:val="en-GB" w:eastAsia="en-GB" w:bidi="en-GB"/>
      </w:rPr>
    </w:lvl>
    <w:lvl w:ilvl="3" w:tplc="54F494EC">
      <w:numFmt w:val="bullet"/>
      <w:lvlText w:val="•"/>
      <w:lvlJc w:val="left"/>
      <w:pPr>
        <w:ind w:left="3713" w:hanging="720"/>
      </w:pPr>
      <w:rPr>
        <w:rFonts w:hint="default"/>
        <w:lang w:val="en-GB" w:eastAsia="en-GB" w:bidi="en-GB"/>
      </w:rPr>
    </w:lvl>
    <w:lvl w:ilvl="4" w:tplc="88E8A066">
      <w:numFmt w:val="bullet"/>
      <w:lvlText w:val="•"/>
      <w:lvlJc w:val="left"/>
      <w:pPr>
        <w:ind w:left="4740" w:hanging="720"/>
      </w:pPr>
      <w:rPr>
        <w:rFonts w:hint="default"/>
        <w:lang w:val="en-GB" w:eastAsia="en-GB" w:bidi="en-GB"/>
      </w:rPr>
    </w:lvl>
    <w:lvl w:ilvl="5" w:tplc="EB302C50">
      <w:numFmt w:val="bullet"/>
      <w:lvlText w:val="•"/>
      <w:lvlJc w:val="left"/>
      <w:pPr>
        <w:ind w:left="5766" w:hanging="720"/>
      </w:pPr>
      <w:rPr>
        <w:rFonts w:hint="default"/>
        <w:lang w:val="en-GB" w:eastAsia="en-GB" w:bidi="en-GB"/>
      </w:rPr>
    </w:lvl>
    <w:lvl w:ilvl="6" w:tplc="50B0C80A">
      <w:numFmt w:val="bullet"/>
      <w:lvlText w:val="•"/>
      <w:lvlJc w:val="left"/>
      <w:pPr>
        <w:ind w:left="6793" w:hanging="720"/>
      </w:pPr>
      <w:rPr>
        <w:rFonts w:hint="default"/>
        <w:lang w:val="en-GB" w:eastAsia="en-GB" w:bidi="en-GB"/>
      </w:rPr>
    </w:lvl>
    <w:lvl w:ilvl="7" w:tplc="D8A23D2E">
      <w:numFmt w:val="bullet"/>
      <w:lvlText w:val="•"/>
      <w:lvlJc w:val="left"/>
      <w:pPr>
        <w:ind w:left="7820" w:hanging="720"/>
      </w:pPr>
      <w:rPr>
        <w:rFonts w:hint="default"/>
        <w:lang w:val="en-GB" w:eastAsia="en-GB" w:bidi="en-GB"/>
      </w:rPr>
    </w:lvl>
    <w:lvl w:ilvl="8" w:tplc="98A21514">
      <w:numFmt w:val="bullet"/>
      <w:lvlText w:val="•"/>
      <w:lvlJc w:val="left"/>
      <w:pPr>
        <w:ind w:left="8846" w:hanging="720"/>
      </w:pPr>
      <w:rPr>
        <w:rFonts w:hint="default"/>
        <w:lang w:val="en-GB" w:eastAsia="en-GB" w:bidi="en-GB"/>
      </w:rPr>
    </w:lvl>
  </w:abstractNum>
  <w:abstractNum w:abstractNumId="8" w15:restartNumberingAfterBreak="0">
    <w:nsid w:val="48A222D5"/>
    <w:multiLevelType w:val="hybridMultilevel"/>
    <w:tmpl w:val="DF3A58A8"/>
    <w:lvl w:ilvl="0" w:tplc="33B62902">
      <w:numFmt w:val="bullet"/>
      <w:lvlText w:val=""/>
      <w:lvlJc w:val="left"/>
      <w:pPr>
        <w:ind w:left="940" w:hanging="361"/>
      </w:pPr>
      <w:rPr>
        <w:rFonts w:ascii="Symbol" w:eastAsia="Symbol" w:hAnsi="Symbol" w:cs="Symbol" w:hint="default"/>
        <w:w w:val="99"/>
        <w:sz w:val="20"/>
        <w:szCs w:val="20"/>
        <w:lang w:val="en-GB" w:eastAsia="en-GB" w:bidi="en-GB"/>
      </w:rPr>
    </w:lvl>
    <w:lvl w:ilvl="1" w:tplc="9CFE4ACA">
      <w:numFmt w:val="bullet"/>
      <w:lvlText w:val="•"/>
      <w:lvlJc w:val="left"/>
      <w:pPr>
        <w:ind w:left="1936" w:hanging="361"/>
      </w:pPr>
      <w:rPr>
        <w:rFonts w:hint="default"/>
        <w:lang w:val="en-GB" w:eastAsia="en-GB" w:bidi="en-GB"/>
      </w:rPr>
    </w:lvl>
    <w:lvl w:ilvl="2" w:tplc="9528C0C2">
      <w:numFmt w:val="bullet"/>
      <w:lvlText w:val="•"/>
      <w:lvlJc w:val="left"/>
      <w:pPr>
        <w:ind w:left="2932" w:hanging="361"/>
      </w:pPr>
      <w:rPr>
        <w:rFonts w:hint="default"/>
        <w:lang w:val="en-GB" w:eastAsia="en-GB" w:bidi="en-GB"/>
      </w:rPr>
    </w:lvl>
    <w:lvl w:ilvl="3" w:tplc="561604DE">
      <w:numFmt w:val="bullet"/>
      <w:lvlText w:val="•"/>
      <w:lvlJc w:val="left"/>
      <w:pPr>
        <w:ind w:left="3928" w:hanging="361"/>
      </w:pPr>
      <w:rPr>
        <w:rFonts w:hint="default"/>
        <w:lang w:val="en-GB" w:eastAsia="en-GB" w:bidi="en-GB"/>
      </w:rPr>
    </w:lvl>
    <w:lvl w:ilvl="4" w:tplc="1284AE24">
      <w:numFmt w:val="bullet"/>
      <w:lvlText w:val="•"/>
      <w:lvlJc w:val="left"/>
      <w:pPr>
        <w:ind w:left="4924" w:hanging="361"/>
      </w:pPr>
      <w:rPr>
        <w:rFonts w:hint="default"/>
        <w:lang w:val="en-GB" w:eastAsia="en-GB" w:bidi="en-GB"/>
      </w:rPr>
    </w:lvl>
    <w:lvl w:ilvl="5" w:tplc="16307C68">
      <w:numFmt w:val="bullet"/>
      <w:lvlText w:val="•"/>
      <w:lvlJc w:val="left"/>
      <w:pPr>
        <w:ind w:left="5920" w:hanging="361"/>
      </w:pPr>
      <w:rPr>
        <w:rFonts w:hint="default"/>
        <w:lang w:val="en-GB" w:eastAsia="en-GB" w:bidi="en-GB"/>
      </w:rPr>
    </w:lvl>
    <w:lvl w:ilvl="6" w:tplc="2FE6DEEC">
      <w:numFmt w:val="bullet"/>
      <w:lvlText w:val="•"/>
      <w:lvlJc w:val="left"/>
      <w:pPr>
        <w:ind w:left="6916" w:hanging="361"/>
      </w:pPr>
      <w:rPr>
        <w:rFonts w:hint="default"/>
        <w:lang w:val="en-GB" w:eastAsia="en-GB" w:bidi="en-GB"/>
      </w:rPr>
    </w:lvl>
    <w:lvl w:ilvl="7" w:tplc="993E85AE">
      <w:numFmt w:val="bullet"/>
      <w:lvlText w:val="•"/>
      <w:lvlJc w:val="left"/>
      <w:pPr>
        <w:ind w:left="7912" w:hanging="361"/>
      </w:pPr>
      <w:rPr>
        <w:rFonts w:hint="default"/>
        <w:lang w:val="en-GB" w:eastAsia="en-GB" w:bidi="en-GB"/>
      </w:rPr>
    </w:lvl>
    <w:lvl w:ilvl="8" w:tplc="02DE4C88">
      <w:numFmt w:val="bullet"/>
      <w:lvlText w:val="•"/>
      <w:lvlJc w:val="left"/>
      <w:pPr>
        <w:ind w:left="8908" w:hanging="361"/>
      </w:pPr>
      <w:rPr>
        <w:rFonts w:hint="default"/>
        <w:lang w:val="en-GB" w:eastAsia="en-GB" w:bidi="en-GB"/>
      </w:rPr>
    </w:lvl>
  </w:abstractNum>
  <w:abstractNum w:abstractNumId="9" w15:restartNumberingAfterBreak="0">
    <w:nsid w:val="48B32DCB"/>
    <w:multiLevelType w:val="multilevel"/>
    <w:tmpl w:val="21E2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E11C42"/>
    <w:multiLevelType w:val="hybridMultilevel"/>
    <w:tmpl w:val="73D2D48A"/>
    <w:lvl w:ilvl="0" w:tplc="C4F224A0">
      <w:start w:val="1"/>
      <w:numFmt w:val="bullet"/>
      <w:lvlText w:val=""/>
      <w:lvlJc w:val="left"/>
      <w:pPr>
        <w:ind w:left="720" w:hanging="360"/>
      </w:pPr>
      <w:rPr>
        <w:rFonts w:ascii="Symbol" w:hAnsi="Symbol" w:hint="default"/>
      </w:rPr>
    </w:lvl>
    <w:lvl w:ilvl="1" w:tplc="97B8EACE" w:tentative="1">
      <w:start w:val="1"/>
      <w:numFmt w:val="bullet"/>
      <w:lvlText w:val="o"/>
      <w:lvlJc w:val="left"/>
      <w:pPr>
        <w:ind w:left="1440" w:hanging="360"/>
      </w:pPr>
      <w:rPr>
        <w:rFonts w:ascii="Courier New" w:hAnsi="Courier New" w:cs="Courier New" w:hint="default"/>
      </w:rPr>
    </w:lvl>
    <w:lvl w:ilvl="2" w:tplc="719A9418" w:tentative="1">
      <w:start w:val="1"/>
      <w:numFmt w:val="bullet"/>
      <w:lvlText w:val=""/>
      <w:lvlJc w:val="left"/>
      <w:pPr>
        <w:ind w:left="2160" w:hanging="360"/>
      </w:pPr>
      <w:rPr>
        <w:rFonts w:ascii="Wingdings" w:hAnsi="Wingdings" w:hint="default"/>
      </w:rPr>
    </w:lvl>
    <w:lvl w:ilvl="3" w:tplc="C7B61398" w:tentative="1">
      <w:start w:val="1"/>
      <w:numFmt w:val="bullet"/>
      <w:lvlText w:val=""/>
      <w:lvlJc w:val="left"/>
      <w:pPr>
        <w:ind w:left="2880" w:hanging="360"/>
      </w:pPr>
      <w:rPr>
        <w:rFonts w:ascii="Symbol" w:hAnsi="Symbol" w:hint="default"/>
      </w:rPr>
    </w:lvl>
    <w:lvl w:ilvl="4" w:tplc="33720C42" w:tentative="1">
      <w:start w:val="1"/>
      <w:numFmt w:val="bullet"/>
      <w:lvlText w:val="o"/>
      <w:lvlJc w:val="left"/>
      <w:pPr>
        <w:ind w:left="3600" w:hanging="360"/>
      </w:pPr>
      <w:rPr>
        <w:rFonts w:ascii="Courier New" w:hAnsi="Courier New" w:cs="Courier New" w:hint="default"/>
      </w:rPr>
    </w:lvl>
    <w:lvl w:ilvl="5" w:tplc="8DBAAE84" w:tentative="1">
      <w:start w:val="1"/>
      <w:numFmt w:val="bullet"/>
      <w:lvlText w:val=""/>
      <w:lvlJc w:val="left"/>
      <w:pPr>
        <w:ind w:left="4320" w:hanging="360"/>
      </w:pPr>
      <w:rPr>
        <w:rFonts w:ascii="Wingdings" w:hAnsi="Wingdings" w:hint="default"/>
      </w:rPr>
    </w:lvl>
    <w:lvl w:ilvl="6" w:tplc="A6A812E4" w:tentative="1">
      <w:start w:val="1"/>
      <w:numFmt w:val="bullet"/>
      <w:lvlText w:val=""/>
      <w:lvlJc w:val="left"/>
      <w:pPr>
        <w:ind w:left="5040" w:hanging="360"/>
      </w:pPr>
      <w:rPr>
        <w:rFonts w:ascii="Symbol" w:hAnsi="Symbol" w:hint="default"/>
      </w:rPr>
    </w:lvl>
    <w:lvl w:ilvl="7" w:tplc="F7760F52" w:tentative="1">
      <w:start w:val="1"/>
      <w:numFmt w:val="bullet"/>
      <w:lvlText w:val="o"/>
      <w:lvlJc w:val="left"/>
      <w:pPr>
        <w:ind w:left="5760" w:hanging="360"/>
      </w:pPr>
      <w:rPr>
        <w:rFonts w:ascii="Courier New" w:hAnsi="Courier New" w:cs="Courier New" w:hint="default"/>
      </w:rPr>
    </w:lvl>
    <w:lvl w:ilvl="8" w:tplc="2B62CFF6" w:tentative="1">
      <w:start w:val="1"/>
      <w:numFmt w:val="bullet"/>
      <w:lvlText w:val=""/>
      <w:lvlJc w:val="left"/>
      <w:pPr>
        <w:ind w:left="6480" w:hanging="360"/>
      </w:pPr>
      <w:rPr>
        <w:rFonts w:ascii="Wingdings" w:hAnsi="Wingdings" w:hint="default"/>
      </w:rPr>
    </w:lvl>
  </w:abstractNum>
  <w:abstractNum w:abstractNumId="11" w15:restartNumberingAfterBreak="0">
    <w:nsid w:val="490051F6"/>
    <w:multiLevelType w:val="hybridMultilevel"/>
    <w:tmpl w:val="2B142D06"/>
    <w:lvl w:ilvl="0" w:tplc="7C9846A0">
      <w:start w:val="1"/>
      <w:numFmt w:val="bullet"/>
      <w:lvlText w:val=""/>
      <w:lvlJc w:val="left"/>
      <w:pPr>
        <w:ind w:left="720" w:hanging="360"/>
      </w:pPr>
      <w:rPr>
        <w:rFonts w:ascii="Symbol" w:hAnsi="Symbol" w:hint="default"/>
      </w:rPr>
    </w:lvl>
    <w:lvl w:ilvl="1" w:tplc="C97C39F8" w:tentative="1">
      <w:start w:val="1"/>
      <w:numFmt w:val="bullet"/>
      <w:lvlText w:val="o"/>
      <w:lvlJc w:val="left"/>
      <w:pPr>
        <w:ind w:left="1440" w:hanging="360"/>
      </w:pPr>
      <w:rPr>
        <w:rFonts w:ascii="Courier New" w:hAnsi="Courier New" w:cs="Courier New" w:hint="default"/>
      </w:rPr>
    </w:lvl>
    <w:lvl w:ilvl="2" w:tplc="6D200660" w:tentative="1">
      <w:start w:val="1"/>
      <w:numFmt w:val="bullet"/>
      <w:lvlText w:val=""/>
      <w:lvlJc w:val="left"/>
      <w:pPr>
        <w:ind w:left="2160" w:hanging="360"/>
      </w:pPr>
      <w:rPr>
        <w:rFonts w:ascii="Wingdings" w:hAnsi="Wingdings" w:hint="default"/>
      </w:rPr>
    </w:lvl>
    <w:lvl w:ilvl="3" w:tplc="F612A1D8" w:tentative="1">
      <w:start w:val="1"/>
      <w:numFmt w:val="bullet"/>
      <w:lvlText w:val=""/>
      <w:lvlJc w:val="left"/>
      <w:pPr>
        <w:ind w:left="2880" w:hanging="360"/>
      </w:pPr>
      <w:rPr>
        <w:rFonts w:ascii="Symbol" w:hAnsi="Symbol" w:hint="default"/>
      </w:rPr>
    </w:lvl>
    <w:lvl w:ilvl="4" w:tplc="858484C8" w:tentative="1">
      <w:start w:val="1"/>
      <w:numFmt w:val="bullet"/>
      <w:lvlText w:val="o"/>
      <w:lvlJc w:val="left"/>
      <w:pPr>
        <w:ind w:left="3600" w:hanging="360"/>
      </w:pPr>
      <w:rPr>
        <w:rFonts w:ascii="Courier New" w:hAnsi="Courier New" w:cs="Courier New" w:hint="default"/>
      </w:rPr>
    </w:lvl>
    <w:lvl w:ilvl="5" w:tplc="8EC0C2D8" w:tentative="1">
      <w:start w:val="1"/>
      <w:numFmt w:val="bullet"/>
      <w:lvlText w:val=""/>
      <w:lvlJc w:val="left"/>
      <w:pPr>
        <w:ind w:left="4320" w:hanging="360"/>
      </w:pPr>
      <w:rPr>
        <w:rFonts w:ascii="Wingdings" w:hAnsi="Wingdings" w:hint="default"/>
      </w:rPr>
    </w:lvl>
    <w:lvl w:ilvl="6" w:tplc="746814BC" w:tentative="1">
      <w:start w:val="1"/>
      <w:numFmt w:val="bullet"/>
      <w:lvlText w:val=""/>
      <w:lvlJc w:val="left"/>
      <w:pPr>
        <w:ind w:left="5040" w:hanging="360"/>
      </w:pPr>
      <w:rPr>
        <w:rFonts w:ascii="Symbol" w:hAnsi="Symbol" w:hint="default"/>
      </w:rPr>
    </w:lvl>
    <w:lvl w:ilvl="7" w:tplc="C7C2DDCA" w:tentative="1">
      <w:start w:val="1"/>
      <w:numFmt w:val="bullet"/>
      <w:lvlText w:val="o"/>
      <w:lvlJc w:val="left"/>
      <w:pPr>
        <w:ind w:left="5760" w:hanging="360"/>
      </w:pPr>
      <w:rPr>
        <w:rFonts w:ascii="Courier New" w:hAnsi="Courier New" w:cs="Courier New" w:hint="default"/>
      </w:rPr>
    </w:lvl>
    <w:lvl w:ilvl="8" w:tplc="4664E08E" w:tentative="1">
      <w:start w:val="1"/>
      <w:numFmt w:val="bullet"/>
      <w:lvlText w:val=""/>
      <w:lvlJc w:val="left"/>
      <w:pPr>
        <w:ind w:left="6480" w:hanging="360"/>
      </w:pPr>
      <w:rPr>
        <w:rFonts w:ascii="Wingdings" w:hAnsi="Wingdings" w:hint="default"/>
      </w:rPr>
    </w:lvl>
  </w:abstractNum>
  <w:abstractNum w:abstractNumId="12" w15:restartNumberingAfterBreak="0">
    <w:nsid w:val="4E556955"/>
    <w:multiLevelType w:val="hybridMultilevel"/>
    <w:tmpl w:val="5A445110"/>
    <w:lvl w:ilvl="0" w:tplc="CF8EF24A">
      <w:start w:val="1"/>
      <w:numFmt w:val="bullet"/>
      <w:lvlText w:val=""/>
      <w:lvlJc w:val="left"/>
      <w:pPr>
        <w:ind w:left="720" w:hanging="360"/>
      </w:pPr>
      <w:rPr>
        <w:rFonts w:ascii="Wingdings" w:hAnsi="Wingdings" w:hint="default"/>
      </w:rPr>
    </w:lvl>
    <w:lvl w:ilvl="1" w:tplc="AFACEA1C">
      <w:start w:val="1"/>
      <w:numFmt w:val="bullet"/>
      <w:lvlText w:val="o"/>
      <w:lvlJc w:val="left"/>
      <w:pPr>
        <w:ind w:left="1440" w:hanging="360"/>
      </w:pPr>
      <w:rPr>
        <w:rFonts w:ascii="Courier New" w:hAnsi="Courier New" w:cs="Courier New" w:hint="default"/>
      </w:rPr>
    </w:lvl>
    <w:lvl w:ilvl="2" w:tplc="DF5C9210" w:tentative="1">
      <w:start w:val="1"/>
      <w:numFmt w:val="bullet"/>
      <w:lvlText w:val=""/>
      <w:lvlJc w:val="left"/>
      <w:pPr>
        <w:ind w:left="2160" w:hanging="360"/>
      </w:pPr>
      <w:rPr>
        <w:rFonts w:ascii="Wingdings" w:hAnsi="Wingdings" w:hint="default"/>
      </w:rPr>
    </w:lvl>
    <w:lvl w:ilvl="3" w:tplc="1A56C758" w:tentative="1">
      <w:start w:val="1"/>
      <w:numFmt w:val="bullet"/>
      <w:lvlText w:val=""/>
      <w:lvlJc w:val="left"/>
      <w:pPr>
        <w:ind w:left="2880" w:hanging="360"/>
      </w:pPr>
      <w:rPr>
        <w:rFonts w:ascii="Symbol" w:hAnsi="Symbol" w:hint="default"/>
      </w:rPr>
    </w:lvl>
    <w:lvl w:ilvl="4" w:tplc="22ACA63C" w:tentative="1">
      <w:start w:val="1"/>
      <w:numFmt w:val="bullet"/>
      <w:lvlText w:val="o"/>
      <w:lvlJc w:val="left"/>
      <w:pPr>
        <w:ind w:left="3600" w:hanging="360"/>
      </w:pPr>
      <w:rPr>
        <w:rFonts w:ascii="Courier New" w:hAnsi="Courier New" w:cs="Courier New" w:hint="default"/>
      </w:rPr>
    </w:lvl>
    <w:lvl w:ilvl="5" w:tplc="C4E291C0" w:tentative="1">
      <w:start w:val="1"/>
      <w:numFmt w:val="bullet"/>
      <w:lvlText w:val=""/>
      <w:lvlJc w:val="left"/>
      <w:pPr>
        <w:ind w:left="4320" w:hanging="360"/>
      </w:pPr>
      <w:rPr>
        <w:rFonts w:ascii="Wingdings" w:hAnsi="Wingdings" w:hint="default"/>
      </w:rPr>
    </w:lvl>
    <w:lvl w:ilvl="6" w:tplc="E4427E6A" w:tentative="1">
      <w:start w:val="1"/>
      <w:numFmt w:val="bullet"/>
      <w:lvlText w:val=""/>
      <w:lvlJc w:val="left"/>
      <w:pPr>
        <w:ind w:left="5040" w:hanging="360"/>
      </w:pPr>
      <w:rPr>
        <w:rFonts w:ascii="Symbol" w:hAnsi="Symbol" w:hint="default"/>
      </w:rPr>
    </w:lvl>
    <w:lvl w:ilvl="7" w:tplc="36A4A0C2" w:tentative="1">
      <w:start w:val="1"/>
      <w:numFmt w:val="bullet"/>
      <w:lvlText w:val="o"/>
      <w:lvlJc w:val="left"/>
      <w:pPr>
        <w:ind w:left="5760" w:hanging="360"/>
      </w:pPr>
      <w:rPr>
        <w:rFonts w:ascii="Courier New" w:hAnsi="Courier New" w:cs="Courier New" w:hint="default"/>
      </w:rPr>
    </w:lvl>
    <w:lvl w:ilvl="8" w:tplc="A6FECAFE" w:tentative="1">
      <w:start w:val="1"/>
      <w:numFmt w:val="bullet"/>
      <w:lvlText w:val=""/>
      <w:lvlJc w:val="left"/>
      <w:pPr>
        <w:ind w:left="6480" w:hanging="360"/>
      </w:pPr>
      <w:rPr>
        <w:rFonts w:ascii="Wingdings" w:hAnsi="Wingdings" w:hint="default"/>
      </w:rPr>
    </w:lvl>
  </w:abstractNum>
  <w:abstractNum w:abstractNumId="13" w15:restartNumberingAfterBreak="0">
    <w:nsid w:val="56E01C1B"/>
    <w:multiLevelType w:val="hybridMultilevel"/>
    <w:tmpl w:val="FDFEC28E"/>
    <w:lvl w:ilvl="0" w:tplc="E98A02AA">
      <w:numFmt w:val="bullet"/>
      <w:lvlText w:val=""/>
      <w:lvlJc w:val="left"/>
      <w:pPr>
        <w:ind w:left="940" w:hanging="361"/>
      </w:pPr>
      <w:rPr>
        <w:rFonts w:ascii="Symbol" w:eastAsia="Symbol" w:hAnsi="Symbol" w:cs="Symbol" w:hint="default"/>
        <w:w w:val="100"/>
        <w:sz w:val="22"/>
        <w:szCs w:val="22"/>
        <w:lang w:val="en-GB" w:eastAsia="en-GB" w:bidi="en-GB"/>
      </w:rPr>
    </w:lvl>
    <w:lvl w:ilvl="1" w:tplc="B3C40072">
      <w:numFmt w:val="bullet"/>
      <w:lvlText w:val="•"/>
      <w:lvlJc w:val="left"/>
      <w:pPr>
        <w:ind w:left="1936" w:hanging="361"/>
      </w:pPr>
      <w:rPr>
        <w:rFonts w:hint="default"/>
        <w:lang w:val="en-GB" w:eastAsia="en-GB" w:bidi="en-GB"/>
      </w:rPr>
    </w:lvl>
    <w:lvl w:ilvl="2" w:tplc="6D9C6610">
      <w:numFmt w:val="bullet"/>
      <w:lvlText w:val="•"/>
      <w:lvlJc w:val="left"/>
      <w:pPr>
        <w:ind w:left="2932" w:hanging="361"/>
      </w:pPr>
      <w:rPr>
        <w:rFonts w:hint="default"/>
        <w:lang w:val="en-GB" w:eastAsia="en-GB" w:bidi="en-GB"/>
      </w:rPr>
    </w:lvl>
    <w:lvl w:ilvl="3" w:tplc="E536D672">
      <w:numFmt w:val="bullet"/>
      <w:lvlText w:val="•"/>
      <w:lvlJc w:val="left"/>
      <w:pPr>
        <w:ind w:left="3928" w:hanging="361"/>
      </w:pPr>
      <w:rPr>
        <w:rFonts w:hint="default"/>
        <w:lang w:val="en-GB" w:eastAsia="en-GB" w:bidi="en-GB"/>
      </w:rPr>
    </w:lvl>
    <w:lvl w:ilvl="4" w:tplc="8CB0BBC0">
      <w:numFmt w:val="bullet"/>
      <w:lvlText w:val="•"/>
      <w:lvlJc w:val="left"/>
      <w:pPr>
        <w:ind w:left="4924" w:hanging="361"/>
      </w:pPr>
      <w:rPr>
        <w:rFonts w:hint="default"/>
        <w:lang w:val="en-GB" w:eastAsia="en-GB" w:bidi="en-GB"/>
      </w:rPr>
    </w:lvl>
    <w:lvl w:ilvl="5" w:tplc="5D6EB618">
      <w:numFmt w:val="bullet"/>
      <w:lvlText w:val="•"/>
      <w:lvlJc w:val="left"/>
      <w:pPr>
        <w:ind w:left="5920" w:hanging="361"/>
      </w:pPr>
      <w:rPr>
        <w:rFonts w:hint="default"/>
        <w:lang w:val="en-GB" w:eastAsia="en-GB" w:bidi="en-GB"/>
      </w:rPr>
    </w:lvl>
    <w:lvl w:ilvl="6" w:tplc="36AA7A6E">
      <w:numFmt w:val="bullet"/>
      <w:lvlText w:val="•"/>
      <w:lvlJc w:val="left"/>
      <w:pPr>
        <w:ind w:left="6916" w:hanging="361"/>
      </w:pPr>
      <w:rPr>
        <w:rFonts w:hint="default"/>
        <w:lang w:val="en-GB" w:eastAsia="en-GB" w:bidi="en-GB"/>
      </w:rPr>
    </w:lvl>
    <w:lvl w:ilvl="7" w:tplc="6DBC1C92">
      <w:numFmt w:val="bullet"/>
      <w:lvlText w:val="•"/>
      <w:lvlJc w:val="left"/>
      <w:pPr>
        <w:ind w:left="7912" w:hanging="361"/>
      </w:pPr>
      <w:rPr>
        <w:rFonts w:hint="default"/>
        <w:lang w:val="en-GB" w:eastAsia="en-GB" w:bidi="en-GB"/>
      </w:rPr>
    </w:lvl>
    <w:lvl w:ilvl="8" w:tplc="773A515A">
      <w:numFmt w:val="bullet"/>
      <w:lvlText w:val="•"/>
      <w:lvlJc w:val="left"/>
      <w:pPr>
        <w:ind w:left="8908" w:hanging="361"/>
      </w:pPr>
      <w:rPr>
        <w:rFonts w:hint="default"/>
        <w:lang w:val="en-GB" w:eastAsia="en-GB" w:bidi="en-GB"/>
      </w:rPr>
    </w:lvl>
  </w:abstractNum>
  <w:abstractNum w:abstractNumId="14" w15:restartNumberingAfterBreak="0">
    <w:nsid w:val="5A4E28EE"/>
    <w:multiLevelType w:val="multilevel"/>
    <w:tmpl w:val="EC46EB7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C04924"/>
    <w:multiLevelType w:val="hybridMultilevel"/>
    <w:tmpl w:val="3EE086B2"/>
    <w:lvl w:ilvl="0" w:tplc="48868D92">
      <w:start w:val="1"/>
      <w:numFmt w:val="bullet"/>
      <w:lvlText w:val=""/>
      <w:lvlJc w:val="left"/>
      <w:pPr>
        <w:ind w:left="360" w:hanging="360"/>
      </w:pPr>
      <w:rPr>
        <w:rFonts w:ascii="Wingdings" w:hAnsi="Wingdings" w:hint="default"/>
      </w:rPr>
    </w:lvl>
    <w:lvl w:ilvl="1" w:tplc="7FBE26D2" w:tentative="1">
      <w:start w:val="1"/>
      <w:numFmt w:val="bullet"/>
      <w:lvlText w:val="o"/>
      <w:lvlJc w:val="left"/>
      <w:pPr>
        <w:ind w:left="1440" w:hanging="360"/>
      </w:pPr>
      <w:rPr>
        <w:rFonts w:ascii="Courier New" w:hAnsi="Courier New" w:cs="Courier New" w:hint="default"/>
      </w:rPr>
    </w:lvl>
    <w:lvl w:ilvl="2" w:tplc="BD10AFC2" w:tentative="1">
      <w:start w:val="1"/>
      <w:numFmt w:val="bullet"/>
      <w:lvlText w:val=""/>
      <w:lvlJc w:val="left"/>
      <w:pPr>
        <w:ind w:left="2160" w:hanging="360"/>
      </w:pPr>
      <w:rPr>
        <w:rFonts w:ascii="Wingdings" w:hAnsi="Wingdings" w:hint="default"/>
      </w:rPr>
    </w:lvl>
    <w:lvl w:ilvl="3" w:tplc="18921E10" w:tentative="1">
      <w:start w:val="1"/>
      <w:numFmt w:val="bullet"/>
      <w:lvlText w:val=""/>
      <w:lvlJc w:val="left"/>
      <w:pPr>
        <w:ind w:left="2880" w:hanging="360"/>
      </w:pPr>
      <w:rPr>
        <w:rFonts w:ascii="Symbol" w:hAnsi="Symbol" w:hint="default"/>
      </w:rPr>
    </w:lvl>
    <w:lvl w:ilvl="4" w:tplc="D79AAC6E" w:tentative="1">
      <w:start w:val="1"/>
      <w:numFmt w:val="bullet"/>
      <w:lvlText w:val="o"/>
      <w:lvlJc w:val="left"/>
      <w:pPr>
        <w:ind w:left="3600" w:hanging="360"/>
      </w:pPr>
      <w:rPr>
        <w:rFonts w:ascii="Courier New" w:hAnsi="Courier New" w:cs="Courier New" w:hint="default"/>
      </w:rPr>
    </w:lvl>
    <w:lvl w:ilvl="5" w:tplc="87764AB6" w:tentative="1">
      <w:start w:val="1"/>
      <w:numFmt w:val="bullet"/>
      <w:lvlText w:val=""/>
      <w:lvlJc w:val="left"/>
      <w:pPr>
        <w:ind w:left="4320" w:hanging="360"/>
      </w:pPr>
      <w:rPr>
        <w:rFonts w:ascii="Wingdings" w:hAnsi="Wingdings" w:hint="default"/>
      </w:rPr>
    </w:lvl>
    <w:lvl w:ilvl="6" w:tplc="851E737C" w:tentative="1">
      <w:start w:val="1"/>
      <w:numFmt w:val="bullet"/>
      <w:lvlText w:val=""/>
      <w:lvlJc w:val="left"/>
      <w:pPr>
        <w:ind w:left="5040" w:hanging="360"/>
      </w:pPr>
      <w:rPr>
        <w:rFonts w:ascii="Symbol" w:hAnsi="Symbol" w:hint="default"/>
      </w:rPr>
    </w:lvl>
    <w:lvl w:ilvl="7" w:tplc="C57CBADC" w:tentative="1">
      <w:start w:val="1"/>
      <w:numFmt w:val="bullet"/>
      <w:lvlText w:val="o"/>
      <w:lvlJc w:val="left"/>
      <w:pPr>
        <w:ind w:left="5760" w:hanging="360"/>
      </w:pPr>
      <w:rPr>
        <w:rFonts w:ascii="Courier New" w:hAnsi="Courier New" w:cs="Courier New" w:hint="default"/>
      </w:rPr>
    </w:lvl>
    <w:lvl w:ilvl="8" w:tplc="0A3608DC" w:tentative="1">
      <w:start w:val="1"/>
      <w:numFmt w:val="bullet"/>
      <w:lvlText w:val=""/>
      <w:lvlJc w:val="left"/>
      <w:pPr>
        <w:ind w:left="6480" w:hanging="360"/>
      </w:pPr>
      <w:rPr>
        <w:rFonts w:ascii="Wingdings" w:hAnsi="Wingdings" w:hint="default"/>
      </w:rPr>
    </w:lvl>
  </w:abstractNum>
  <w:abstractNum w:abstractNumId="16" w15:restartNumberingAfterBreak="0">
    <w:nsid w:val="6A2E2EBF"/>
    <w:multiLevelType w:val="hybridMultilevel"/>
    <w:tmpl w:val="2E8C37C8"/>
    <w:lvl w:ilvl="0" w:tplc="165AE3DA">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D054BF0E">
      <w:numFmt w:val="bullet"/>
      <w:lvlText w:val="•"/>
      <w:lvlJc w:val="left"/>
      <w:pPr>
        <w:ind w:left="1522" w:hanging="261"/>
      </w:pPr>
      <w:rPr>
        <w:rFonts w:hint="default"/>
        <w:lang w:val="en-GB" w:eastAsia="en-GB" w:bidi="en-GB"/>
      </w:rPr>
    </w:lvl>
    <w:lvl w:ilvl="2" w:tplc="2B804442">
      <w:numFmt w:val="bullet"/>
      <w:lvlText w:val="•"/>
      <w:lvlJc w:val="left"/>
      <w:pPr>
        <w:ind w:left="2564" w:hanging="261"/>
      </w:pPr>
      <w:rPr>
        <w:rFonts w:hint="default"/>
        <w:lang w:val="en-GB" w:eastAsia="en-GB" w:bidi="en-GB"/>
      </w:rPr>
    </w:lvl>
    <w:lvl w:ilvl="3" w:tplc="1CF2DFA8">
      <w:numFmt w:val="bullet"/>
      <w:lvlText w:val="•"/>
      <w:lvlJc w:val="left"/>
      <w:pPr>
        <w:ind w:left="3606" w:hanging="261"/>
      </w:pPr>
      <w:rPr>
        <w:rFonts w:hint="default"/>
        <w:lang w:val="en-GB" w:eastAsia="en-GB" w:bidi="en-GB"/>
      </w:rPr>
    </w:lvl>
    <w:lvl w:ilvl="4" w:tplc="C77098D6">
      <w:numFmt w:val="bullet"/>
      <w:lvlText w:val="•"/>
      <w:lvlJc w:val="left"/>
      <w:pPr>
        <w:ind w:left="4648" w:hanging="261"/>
      </w:pPr>
      <w:rPr>
        <w:rFonts w:hint="default"/>
        <w:lang w:val="en-GB" w:eastAsia="en-GB" w:bidi="en-GB"/>
      </w:rPr>
    </w:lvl>
    <w:lvl w:ilvl="5" w:tplc="DB04CD1E">
      <w:numFmt w:val="bullet"/>
      <w:lvlText w:val="•"/>
      <w:lvlJc w:val="left"/>
      <w:pPr>
        <w:ind w:left="5690" w:hanging="261"/>
      </w:pPr>
      <w:rPr>
        <w:rFonts w:hint="default"/>
        <w:lang w:val="en-GB" w:eastAsia="en-GB" w:bidi="en-GB"/>
      </w:rPr>
    </w:lvl>
    <w:lvl w:ilvl="6" w:tplc="71EAA4A0">
      <w:numFmt w:val="bullet"/>
      <w:lvlText w:val="•"/>
      <w:lvlJc w:val="left"/>
      <w:pPr>
        <w:ind w:left="6732" w:hanging="261"/>
      </w:pPr>
      <w:rPr>
        <w:rFonts w:hint="default"/>
        <w:lang w:val="en-GB" w:eastAsia="en-GB" w:bidi="en-GB"/>
      </w:rPr>
    </w:lvl>
    <w:lvl w:ilvl="7" w:tplc="35542762">
      <w:numFmt w:val="bullet"/>
      <w:lvlText w:val="•"/>
      <w:lvlJc w:val="left"/>
      <w:pPr>
        <w:ind w:left="7774" w:hanging="261"/>
      </w:pPr>
      <w:rPr>
        <w:rFonts w:hint="default"/>
        <w:lang w:val="en-GB" w:eastAsia="en-GB" w:bidi="en-GB"/>
      </w:rPr>
    </w:lvl>
    <w:lvl w:ilvl="8" w:tplc="27A438E6">
      <w:numFmt w:val="bullet"/>
      <w:lvlText w:val="•"/>
      <w:lvlJc w:val="left"/>
      <w:pPr>
        <w:ind w:left="8816" w:hanging="261"/>
      </w:pPr>
      <w:rPr>
        <w:rFonts w:hint="default"/>
        <w:lang w:val="en-GB" w:eastAsia="en-GB" w:bidi="en-GB"/>
      </w:rPr>
    </w:lvl>
  </w:abstractNum>
  <w:abstractNum w:abstractNumId="17" w15:restartNumberingAfterBreak="0">
    <w:nsid w:val="715A4ECC"/>
    <w:multiLevelType w:val="hybridMultilevel"/>
    <w:tmpl w:val="5506409E"/>
    <w:lvl w:ilvl="0" w:tplc="9C8E6ED0">
      <w:numFmt w:val="bullet"/>
      <w:lvlText w:val=""/>
      <w:lvlJc w:val="left"/>
      <w:pPr>
        <w:ind w:left="700" w:hanging="480"/>
      </w:pPr>
      <w:rPr>
        <w:rFonts w:ascii="Symbol" w:eastAsia="Symbol" w:hAnsi="Symbol" w:cs="Symbol" w:hint="default"/>
        <w:w w:val="100"/>
        <w:sz w:val="22"/>
        <w:szCs w:val="22"/>
        <w:lang w:val="en-GB" w:eastAsia="en-GB" w:bidi="en-GB"/>
      </w:rPr>
    </w:lvl>
    <w:lvl w:ilvl="1" w:tplc="98BCCD9A">
      <w:numFmt w:val="bullet"/>
      <w:lvlText w:val=""/>
      <w:lvlJc w:val="left"/>
      <w:pPr>
        <w:ind w:left="940" w:hanging="361"/>
      </w:pPr>
      <w:rPr>
        <w:rFonts w:ascii="Symbol" w:eastAsia="Symbol" w:hAnsi="Symbol" w:cs="Symbol" w:hint="default"/>
        <w:w w:val="100"/>
        <w:sz w:val="22"/>
        <w:szCs w:val="22"/>
        <w:lang w:val="en-GB" w:eastAsia="en-GB" w:bidi="en-GB"/>
      </w:rPr>
    </w:lvl>
    <w:lvl w:ilvl="2" w:tplc="07C8F4B2">
      <w:numFmt w:val="bullet"/>
      <w:lvlText w:val="•"/>
      <w:lvlJc w:val="left"/>
      <w:pPr>
        <w:ind w:left="2046" w:hanging="361"/>
      </w:pPr>
      <w:rPr>
        <w:rFonts w:hint="default"/>
        <w:lang w:val="en-GB" w:eastAsia="en-GB" w:bidi="en-GB"/>
      </w:rPr>
    </w:lvl>
    <w:lvl w:ilvl="3" w:tplc="D1F43162">
      <w:numFmt w:val="bullet"/>
      <w:lvlText w:val="•"/>
      <w:lvlJc w:val="left"/>
      <w:pPr>
        <w:ind w:left="3153" w:hanging="361"/>
      </w:pPr>
      <w:rPr>
        <w:rFonts w:hint="default"/>
        <w:lang w:val="en-GB" w:eastAsia="en-GB" w:bidi="en-GB"/>
      </w:rPr>
    </w:lvl>
    <w:lvl w:ilvl="4" w:tplc="DD7ECF9C">
      <w:numFmt w:val="bullet"/>
      <w:lvlText w:val="•"/>
      <w:lvlJc w:val="left"/>
      <w:pPr>
        <w:ind w:left="4260" w:hanging="361"/>
      </w:pPr>
      <w:rPr>
        <w:rFonts w:hint="default"/>
        <w:lang w:val="en-GB" w:eastAsia="en-GB" w:bidi="en-GB"/>
      </w:rPr>
    </w:lvl>
    <w:lvl w:ilvl="5" w:tplc="4DC25F3A">
      <w:numFmt w:val="bullet"/>
      <w:lvlText w:val="•"/>
      <w:lvlJc w:val="left"/>
      <w:pPr>
        <w:ind w:left="5366" w:hanging="361"/>
      </w:pPr>
      <w:rPr>
        <w:rFonts w:hint="default"/>
        <w:lang w:val="en-GB" w:eastAsia="en-GB" w:bidi="en-GB"/>
      </w:rPr>
    </w:lvl>
    <w:lvl w:ilvl="6" w:tplc="8F12159A">
      <w:numFmt w:val="bullet"/>
      <w:lvlText w:val="•"/>
      <w:lvlJc w:val="left"/>
      <w:pPr>
        <w:ind w:left="6473" w:hanging="361"/>
      </w:pPr>
      <w:rPr>
        <w:rFonts w:hint="default"/>
        <w:lang w:val="en-GB" w:eastAsia="en-GB" w:bidi="en-GB"/>
      </w:rPr>
    </w:lvl>
    <w:lvl w:ilvl="7" w:tplc="1F74E6B8">
      <w:numFmt w:val="bullet"/>
      <w:lvlText w:val="•"/>
      <w:lvlJc w:val="left"/>
      <w:pPr>
        <w:ind w:left="7580" w:hanging="361"/>
      </w:pPr>
      <w:rPr>
        <w:rFonts w:hint="default"/>
        <w:lang w:val="en-GB" w:eastAsia="en-GB" w:bidi="en-GB"/>
      </w:rPr>
    </w:lvl>
    <w:lvl w:ilvl="8" w:tplc="C0A88C70">
      <w:numFmt w:val="bullet"/>
      <w:lvlText w:val="•"/>
      <w:lvlJc w:val="left"/>
      <w:pPr>
        <w:ind w:left="8686" w:hanging="361"/>
      </w:pPr>
      <w:rPr>
        <w:rFonts w:hint="default"/>
        <w:lang w:val="en-GB" w:eastAsia="en-GB" w:bidi="en-GB"/>
      </w:rPr>
    </w:lvl>
  </w:abstractNum>
  <w:abstractNum w:abstractNumId="18" w15:restartNumberingAfterBreak="0">
    <w:nsid w:val="72A73016"/>
    <w:multiLevelType w:val="multilevel"/>
    <w:tmpl w:val="F56E258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7117773">
    <w:abstractNumId w:val="8"/>
  </w:num>
  <w:num w:numId="2" w16cid:durableId="1678385993">
    <w:abstractNumId w:val="3"/>
  </w:num>
  <w:num w:numId="3" w16cid:durableId="1020863275">
    <w:abstractNumId w:val="4"/>
  </w:num>
  <w:num w:numId="4" w16cid:durableId="828399551">
    <w:abstractNumId w:val="0"/>
  </w:num>
  <w:num w:numId="5" w16cid:durableId="1178348590">
    <w:abstractNumId w:val="7"/>
  </w:num>
  <w:num w:numId="6" w16cid:durableId="857735343">
    <w:abstractNumId w:val="16"/>
  </w:num>
  <w:num w:numId="7" w16cid:durableId="1586106379">
    <w:abstractNumId w:val="17"/>
  </w:num>
  <w:num w:numId="8" w16cid:durableId="382407230">
    <w:abstractNumId w:val="13"/>
  </w:num>
  <w:num w:numId="9" w16cid:durableId="1639650846">
    <w:abstractNumId w:val="11"/>
  </w:num>
  <w:num w:numId="10" w16cid:durableId="889849749">
    <w:abstractNumId w:val="10"/>
  </w:num>
  <w:num w:numId="11" w16cid:durableId="587156192">
    <w:abstractNumId w:val="12"/>
  </w:num>
  <w:num w:numId="12" w16cid:durableId="975450658">
    <w:abstractNumId w:val="5"/>
  </w:num>
  <w:num w:numId="13" w16cid:durableId="1464154135">
    <w:abstractNumId w:val="2"/>
  </w:num>
  <w:num w:numId="14" w16cid:durableId="828330358">
    <w:abstractNumId w:val="1"/>
  </w:num>
  <w:num w:numId="15" w16cid:durableId="1507938149">
    <w:abstractNumId w:val="6"/>
  </w:num>
  <w:num w:numId="16" w16cid:durableId="790586431">
    <w:abstractNumId w:val="9"/>
  </w:num>
  <w:num w:numId="17" w16cid:durableId="604581834">
    <w:abstractNumId w:val="15"/>
  </w:num>
  <w:num w:numId="18" w16cid:durableId="227037496">
    <w:abstractNumId w:val="14"/>
  </w:num>
  <w:num w:numId="19" w16cid:durableId="10969425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removePersonalInformation/>
  <w:removeDateAndTime/>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34942"/>
    <w:rsid w:val="0005132A"/>
    <w:rsid w:val="00052FF7"/>
    <w:rsid w:val="00055CD7"/>
    <w:rsid w:val="000922D9"/>
    <w:rsid w:val="000A13CC"/>
    <w:rsid w:val="000A6BCF"/>
    <w:rsid w:val="000B3B99"/>
    <w:rsid w:val="000B5F85"/>
    <w:rsid w:val="000B6539"/>
    <w:rsid w:val="000D14AE"/>
    <w:rsid w:val="000E5886"/>
    <w:rsid w:val="00114BFD"/>
    <w:rsid w:val="00124E4B"/>
    <w:rsid w:val="00141A69"/>
    <w:rsid w:val="00175B5D"/>
    <w:rsid w:val="00192FC5"/>
    <w:rsid w:val="001936FD"/>
    <w:rsid w:val="001975B3"/>
    <w:rsid w:val="001F1324"/>
    <w:rsid w:val="00204939"/>
    <w:rsid w:val="00224B83"/>
    <w:rsid w:val="002B4534"/>
    <w:rsid w:val="002C4DB6"/>
    <w:rsid w:val="002D245E"/>
    <w:rsid w:val="00304A2B"/>
    <w:rsid w:val="00306F6F"/>
    <w:rsid w:val="00323841"/>
    <w:rsid w:val="00333B11"/>
    <w:rsid w:val="003F2B6D"/>
    <w:rsid w:val="003F3EB9"/>
    <w:rsid w:val="003F607D"/>
    <w:rsid w:val="00402BA5"/>
    <w:rsid w:val="004342D4"/>
    <w:rsid w:val="0046736D"/>
    <w:rsid w:val="00472EA6"/>
    <w:rsid w:val="00484AC6"/>
    <w:rsid w:val="00490E47"/>
    <w:rsid w:val="004A6BE9"/>
    <w:rsid w:val="004B09DC"/>
    <w:rsid w:val="004E643B"/>
    <w:rsid w:val="00533383"/>
    <w:rsid w:val="00535BBA"/>
    <w:rsid w:val="005527C3"/>
    <w:rsid w:val="00564FD4"/>
    <w:rsid w:val="00585286"/>
    <w:rsid w:val="00585777"/>
    <w:rsid w:val="005C2C7A"/>
    <w:rsid w:val="005C5E9D"/>
    <w:rsid w:val="005E4522"/>
    <w:rsid w:val="005F24D2"/>
    <w:rsid w:val="00612635"/>
    <w:rsid w:val="00620D31"/>
    <w:rsid w:val="00622597"/>
    <w:rsid w:val="006371C0"/>
    <w:rsid w:val="006B7C10"/>
    <w:rsid w:val="006C2B3D"/>
    <w:rsid w:val="006D5F1C"/>
    <w:rsid w:val="006D62E9"/>
    <w:rsid w:val="007334A5"/>
    <w:rsid w:val="00735A7A"/>
    <w:rsid w:val="00747001"/>
    <w:rsid w:val="0076171C"/>
    <w:rsid w:val="00766AA1"/>
    <w:rsid w:val="00766D97"/>
    <w:rsid w:val="00802A09"/>
    <w:rsid w:val="00812591"/>
    <w:rsid w:val="00866678"/>
    <w:rsid w:val="008825E0"/>
    <w:rsid w:val="008B347D"/>
    <w:rsid w:val="008E7DCC"/>
    <w:rsid w:val="00911CFE"/>
    <w:rsid w:val="00920C15"/>
    <w:rsid w:val="00933916"/>
    <w:rsid w:val="00953346"/>
    <w:rsid w:val="009565F3"/>
    <w:rsid w:val="00956FE0"/>
    <w:rsid w:val="009A62BC"/>
    <w:rsid w:val="009C3138"/>
    <w:rsid w:val="009F6763"/>
    <w:rsid w:val="00A65D43"/>
    <w:rsid w:val="00AB2FA9"/>
    <w:rsid w:val="00AE4375"/>
    <w:rsid w:val="00B006B1"/>
    <w:rsid w:val="00B00AEA"/>
    <w:rsid w:val="00B36AE3"/>
    <w:rsid w:val="00B54ED2"/>
    <w:rsid w:val="00B633FA"/>
    <w:rsid w:val="00B75A29"/>
    <w:rsid w:val="00B80583"/>
    <w:rsid w:val="00BC1C53"/>
    <w:rsid w:val="00BF0439"/>
    <w:rsid w:val="00C13E20"/>
    <w:rsid w:val="00C17E2F"/>
    <w:rsid w:val="00C64B8A"/>
    <w:rsid w:val="00C764A3"/>
    <w:rsid w:val="00C779A5"/>
    <w:rsid w:val="00C9301E"/>
    <w:rsid w:val="00C93C3A"/>
    <w:rsid w:val="00D03C15"/>
    <w:rsid w:val="00D11175"/>
    <w:rsid w:val="00D11CA6"/>
    <w:rsid w:val="00D1679B"/>
    <w:rsid w:val="00D63D2C"/>
    <w:rsid w:val="00D65A4A"/>
    <w:rsid w:val="00D86D63"/>
    <w:rsid w:val="00D948AC"/>
    <w:rsid w:val="00DA04B4"/>
    <w:rsid w:val="00DA52F0"/>
    <w:rsid w:val="00DB5B20"/>
    <w:rsid w:val="00DC1687"/>
    <w:rsid w:val="00DD27BE"/>
    <w:rsid w:val="00DD6828"/>
    <w:rsid w:val="00DF6CF5"/>
    <w:rsid w:val="00E606AC"/>
    <w:rsid w:val="00E6373C"/>
    <w:rsid w:val="00E7070E"/>
    <w:rsid w:val="00E70759"/>
    <w:rsid w:val="00E870FC"/>
    <w:rsid w:val="00EB0E93"/>
    <w:rsid w:val="00EB4085"/>
    <w:rsid w:val="00EB6C3D"/>
    <w:rsid w:val="00EC468D"/>
    <w:rsid w:val="00F42E86"/>
    <w:rsid w:val="00F80EFA"/>
    <w:rsid w:val="00F8745F"/>
    <w:rsid w:val="00FB62BF"/>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43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56FE0"/>
    <w:pPr>
      <w:spacing w:line="360" w:lineRule="auto"/>
      <w:jc w:val="both"/>
    </w:pPr>
    <w:rPr>
      <w:rFonts w:ascii="Arial" w:eastAsia="Calibri Light" w:hAnsi="Arial" w:cs="Calibri Light"/>
      <w:lang w:val="en-GB" w:eastAsia="en-GB" w:bidi="en-GB"/>
    </w:rPr>
  </w:style>
  <w:style w:type="paragraph" w:styleId="Heading1">
    <w:name w:val="heading 1"/>
    <w:link w:val="Heading1Char"/>
    <w:autoRedefine/>
    <w:uiPriority w:val="1"/>
    <w:qFormat/>
    <w:rsid w:val="006D62E9"/>
    <w:pPr>
      <w:spacing w:line="360" w:lineRule="auto"/>
      <w:jc w:val="both"/>
      <w:outlineLvl w:val="0"/>
    </w:pPr>
    <w:rPr>
      <w:rFonts w:ascii="Arial" w:eastAsia="Calibri Light" w:hAnsi="Arial" w:cs="Arial"/>
      <w:b/>
      <w:sz w:val="28"/>
      <w:szCs w:val="32"/>
      <w:lang w:val="en-GB" w:eastAsia="en-GB" w:bidi="en-GB"/>
    </w:rPr>
  </w:style>
  <w:style w:type="paragraph" w:styleId="Heading2">
    <w:name w:val="heading 2"/>
    <w:basedOn w:val="Normal"/>
    <w:autoRedefine/>
    <w:uiPriority w:val="1"/>
    <w:qFormat/>
    <w:rsid w:val="00F8745F"/>
    <w:pPr>
      <w:outlineLvl w:val="1"/>
    </w:pPr>
    <w:rPr>
      <w:b/>
      <w:sz w:val="26"/>
      <w:szCs w:val="28"/>
    </w:rPr>
  </w:style>
  <w:style w:type="paragraph" w:styleId="Heading3">
    <w:name w:val="heading 3"/>
    <w:basedOn w:val="Normal"/>
    <w:uiPriority w:val="1"/>
    <w:qFormat/>
    <w:rsid w:val="001936FD"/>
    <w:pPr>
      <w:outlineLvl w:val="2"/>
    </w:pPr>
    <w:rPr>
      <w:b/>
      <w:sz w:val="26"/>
      <w:szCs w:val="24"/>
    </w:rPr>
  </w:style>
  <w:style w:type="paragraph" w:styleId="Heading4">
    <w:name w:val="heading 4"/>
    <w:basedOn w:val="Normal"/>
    <w:next w:val="Normal"/>
    <w:link w:val="Heading4Char"/>
    <w:uiPriority w:val="9"/>
    <w:semiHidden/>
    <w:unhideWhenUsed/>
    <w:qFormat/>
    <w:rsid w:val="00B75A2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DF6CF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rsid w:val="00622597"/>
    <w:pPr>
      <w:spacing w:before="120" w:after="240"/>
      <w:ind w:left="101"/>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75A29"/>
    <w:rPr>
      <w:rFonts w:asciiTheme="majorHAnsi" w:eastAsiaTheme="majorEastAsia" w:hAnsiTheme="majorHAnsi" w:cstheme="majorBidi"/>
      <w:i/>
      <w:iCs/>
      <w:color w:val="365F91" w:themeColor="accent1" w:themeShade="BF"/>
      <w:lang w:val="en-GB" w:eastAsia="en-GB" w:bidi="en-GB"/>
    </w:rPr>
  </w:style>
  <w:style w:type="character" w:customStyle="1" w:styleId="Heading6Char">
    <w:name w:val="Heading 6 Char"/>
    <w:basedOn w:val="DefaultParagraphFont"/>
    <w:link w:val="Heading6"/>
    <w:uiPriority w:val="9"/>
    <w:semiHidden/>
    <w:rsid w:val="00DF6CF5"/>
    <w:rPr>
      <w:rFonts w:asciiTheme="majorHAnsi" w:eastAsiaTheme="majorEastAsia" w:hAnsiTheme="majorHAnsi" w:cstheme="majorBidi"/>
      <w:color w:val="243F60" w:themeColor="accent1" w:themeShade="7F"/>
      <w:lang w:val="en-GB" w:eastAsia="en-GB" w:bidi="en-GB"/>
    </w:rPr>
  </w:style>
  <w:style w:type="table" w:styleId="TableGridLight">
    <w:name w:val="Grid Table Light"/>
    <w:basedOn w:val="TableNormal"/>
    <w:uiPriority w:val="40"/>
    <w:rsid w:val="00735A7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35A7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C9301E"/>
    <w:rPr>
      <w:color w:val="0000FF" w:themeColor="hyperlink"/>
      <w:u w:val="single"/>
    </w:rPr>
  </w:style>
  <w:style w:type="character" w:styleId="UnresolvedMention">
    <w:name w:val="Unresolved Mention"/>
    <w:basedOn w:val="DefaultParagraphFont"/>
    <w:uiPriority w:val="99"/>
    <w:semiHidden/>
    <w:unhideWhenUsed/>
    <w:rsid w:val="00C9301E"/>
    <w:rPr>
      <w:color w:val="605E5C"/>
      <w:shd w:val="clear" w:color="auto" w:fill="E1DFDD"/>
    </w:rPr>
  </w:style>
  <w:style w:type="paragraph" w:styleId="TOCHeading">
    <w:name w:val="TOC Heading"/>
    <w:basedOn w:val="Heading1"/>
    <w:next w:val="Normal"/>
    <w:uiPriority w:val="39"/>
    <w:unhideWhenUsed/>
    <w:qFormat/>
    <w:rsid w:val="005E4522"/>
    <w:pPr>
      <w:keepNext/>
      <w:keepLines/>
      <w:widowControl/>
      <w:autoSpaceDE/>
      <w:autoSpaceDN/>
      <w:spacing w:before="240" w:line="259" w:lineRule="auto"/>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5E4522"/>
    <w:pPr>
      <w:spacing w:after="100"/>
    </w:pPr>
  </w:style>
  <w:style w:type="paragraph" w:styleId="TOC2">
    <w:name w:val="toc 2"/>
    <w:basedOn w:val="Normal"/>
    <w:next w:val="Normal"/>
    <w:autoRedefine/>
    <w:uiPriority w:val="39"/>
    <w:unhideWhenUsed/>
    <w:rsid w:val="005E4522"/>
    <w:pPr>
      <w:spacing w:after="100"/>
      <w:ind w:left="220"/>
    </w:pPr>
  </w:style>
  <w:style w:type="paragraph" w:styleId="TOC3">
    <w:name w:val="toc 3"/>
    <w:basedOn w:val="Normal"/>
    <w:next w:val="Normal"/>
    <w:autoRedefine/>
    <w:uiPriority w:val="39"/>
    <w:unhideWhenUsed/>
    <w:rsid w:val="005E4522"/>
    <w:pPr>
      <w:spacing w:after="100"/>
      <w:ind w:left="440"/>
    </w:pPr>
  </w:style>
  <w:style w:type="paragraph" w:styleId="Caption">
    <w:name w:val="caption"/>
    <w:basedOn w:val="Normal"/>
    <w:next w:val="Normal"/>
    <w:uiPriority w:val="35"/>
    <w:unhideWhenUsed/>
    <w:qFormat/>
    <w:rsid w:val="006371C0"/>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5F24D2"/>
  </w:style>
  <w:style w:type="paragraph" w:styleId="NoSpacing">
    <w:name w:val="No Spacing"/>
    <w:uiPriority w:val="1"/>
    <w:qFormat/>
    <w:rsid w:val="00C779A5"/>
    <w:pPr>
      <w:jc w:val="both"/>
    </w:pPr>
    <w:rPr>
      <w:rFonts w:ascii="Arial" w:eastAsia="Calibri Light" w:hAnsi="Arial" w:cs="Calibri Light"/>
      <w:lang w:val="en-GB" w:eastAsia="en-GB" w:bidi="en-GB"/>
    </w:rPr>
  </w:style>
  <w:style w:type="character" w:customStyle="1" w:styleId="Heading1Char">
    <w:name w:val="Heading 1 Char"/>
    <w:basedOn w:val="DefaultParagraphFont"/>
    <w:link w:val="Heading1"/>
    <w:uiPriority w:val="1"/>
    <w:rsid w:val="006D62E9"/>
    <w:rPr>
      <w:rFonts w:ascii="Arial" w:eastAsia="Calibri Light" w:hAnsi="Arial" w:cs="Arial"/>
      <w:b/>
      <w:sz w:val="28"/>
      <w:szCs w:val="32"/>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diabetology6030017" TargetMode="External"/><Relationship Id="rId21" Type="http://schemas.openxmlformats.org/officeDocument/2006/relationships/hyperlink" Target="https://doi.org/10.3390/joitmc6030081" TargetMode="External"/><Relationship Id="rId34" Type="http://schemas.openxmlformats.org/officeDocument/2006/relationships/hyperlink" Target="https://www.diabetes.org.uk/about-us/about-the-charity/our-strategy/statistics" TargetMode="External"/><Relationship Id="rId42" Type="http://schemas.openxmlformats.org/officeDocument/2006/relationships/hyperlink" Target="https://doi.org/10.3389/fmed.2025.1592010" TargetMode="External"/><Relationship Id="rId47" Type="http://schemas.openxmlformats.org/officeDocument/2006/relationships/hyperlink" Target="https://www.england.nhs.uk/2024/06/nhs-identifies-over-half-a-million-more-people-at-risk-of-type-2-diabetes-in-a-year/" TargetMode="External"/><Relationship Id="rId50" Type="http://schemas.openxmlformats.org/officeDocument/2006/relationships/hyperlink" Target="https://doi.org/10.2147/CLEP.S227621" TargetMode="External"/><Relationship Id="rId55" Type="http://schemas.openxmlformats.org/officeDocument/2006/relationships/hyperlink" Target="https://jamaicahospital.org/newsletter/the-history-of-diabetes-testing/" TargetMode="External"/><Relationship Id="rId63" Type="http://schemas.openxmlformats.org/officeDocument/2006/relationships/hyperlink" Target="https://doi.org/10.7759/cureus.4583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doi.org/10.2337/diacare.24.11.1858" TargetMode="External"/><Relationship Id="rId11" Type="http://schemas.openxmlformats.org/officeDocument/2006/relationships/hyperlink" Target="https://doi.org/10.3390/healthcare13080927" TargetMode="External"/><Relationship Id="rId24" Type="http://schemas.openxmlformats.org/officeDocument/2006/relationships/hyperlink" Target="https://www.ncbi.nlm.nih.gov/books/NBK606120/" TargetMode="External"/><Relationship Id="rId32" Type="http://schemas.openxmlformats.org/officeDocument/2006/relationships/hyperlink" Target="https://doi.org/10.1007/s13300-019-0619-1" TargetMode="External"/><Relationship Id="rId37" Type="http://schemas.openxmlformats.org/officeDocument/2006/relationships/hyperlink" Target="https://doi.org/10.18553/jmcp.2024.24025" TargetMode="External"/><Relationship Id="rId40" Type="http://schemas.openxmlformats.org/officeDocument/2006/relationships/hyperlink" Target="https://doi.org/10.1016/j.iot.2020.100353" TargetMode="External"/><Relationship Id="rId45" Type="http://schemas.openxmlformats.org/officeDocument/2006/relationships/hyperlink" Target="https://doi.org/10.1371/journal.pdig.0000279" TargetMode="External"/><Relationship Id="rId53" Type="http://schemas.openxmlformats.org/officeDocument/2006/relationships/hyperlink" Target="https://doi.org/10.1089/dia.2015.0417" TargetMode="External"/><Relationship Id="rId58" Type="http://schemas.openxmlformats.org/officeDocument/2006/relationships/hyperlink" Target="https://doi.org/10.1186/s12916-023-03014-2"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3389/fcvm.2022.841928" TargetMode="External"/><Relationship Id="rId19" Type="http://schemas.openxmlformats.org/officeDocument/2006/relationships/hyperlink" Target="https://doi.org/10.4093/dmj.2022.0271" TargetMode="External"/><Relationship Id="rId14" Type="http://schemas.openxmlformats.org/officeDocument/2006/relationships/footer" Target="footer1.xml"/><Relationship Id="rId22" Type="http://schemas.openxmlformats.org/officeDocument/2006/relationships/hyperlink" Target="https://doi.org/10.7759/cureus.41409" TargetMode="External"/><Relationship Id="rId27" Type="http://schemas.openxmlformats.org/officeDocument/2006/relationships/hyperlink" Target="https://doi.org/10.1007/s00125-020-05375-2" TargetMode="External"/><Relationship Id="rId30" Type="http://schemas.openxmlformats.org/officeDocument/2006/relationships/hyperlink" Target="https://www.verywellmind.com/health-belief-model-3132721" TargetMode="External"/><Relationship Id="rId35" Type="http://schemas.openxmlformats.org/officeDocument/2006/relationships/hyperlink" Target="https://doi.org/10.1016/j.pcd.2023.10.009" TargetMode="External"/><Relationship Id="rId43" Type="http://schemas.openxmlformats.org/officeDocument/2006/relationships/hyperlink" Target="https://doi.org/10.70135/seejph.vi.2363" TargetMode="External"/><Relationship Id="rId48" Type="http://schemas.openxmlformats.org/officeDocument/2006/relationships/hyperlink" Target="https://www.nice.org.uk/guidance/ng17/chapter/Recommendations" TargetMode="External"/><Relationship Id="rId56" Type="http://schemas.openxmlformats.org/officeDocument/2006/relationships/hyperlink" Target="https://doi.org/10.1016/j.outlook.2008.10.004" TargetMode="External"/><Relationship Id="rId64" Type="http://schemas.openxmlformats.org/officeDocument/2006/relationships/hyperlink" Target="https://doi.org/10.2147/ppa.s374120" TargetMode="External"/><Relationship Id="rId8" Type="http://schemas.openxmlformats.org/officeDocument/2006/relationships/image" Target="media/image1.jpeg"/><Relationship Id="rId51" Type="http://schemas.openxmlformats.org/officeDocument/2006/relationships/hyperlink" Target="https://doi.org/10.1007/s11096-025-01941-z" TargetMode="External"/><Relationship Id="rId3" Type="http://schemas.openxmlformats.org/officeDocument/2006/relationships/styles" Target="styles.xml"/><Relationship Id="rId12" Type="http://schemas.openxmlformats.org/officeDocument/2006/relationships/hyperlink" Target="https://doi.org/10.4093/dmj.2022.0271" TargetMode="External"/><Relationship Id="rId17" Type="http://schemas.openxmlformats.org/officeDocument/2006/relationships/hyperlink" Target="https://doi.org/10.1016/j.pcd.2023.10.009" TargetMode="External"/><Relationship Id="rId25" Type="http://schemas.openxmlformats.org/officeDocument/2006/relationships/hyperlink" Target="https://doi.org/10.1177/193229680900300449" TargetMode="External"/><Relationship Id="rId33" Type="http://schemas.openxmlformats.org/officeDocument/2006/relationships/hyperlink" Target="https://www.diabetes.org.uk/about-diabetes/looking-after-diabetes/technology/continuous-glucose-monitors/can-i-get-cgm-on-the-nhs" TargetMode="External"/><Relationship Id="rId38" Type="http://schemas.openxmlformats.org/officeDocument/2006/relationships/hyperlink" Target="https://www.grandviewresearch.com/industry-analysis/continuous-glucose-monitoring-market" TargetMode="External"/><Relationship Id="rId46" Type="http://schemas.openxmlformats.org/officeDocument/2006/relationships/hyperlink" Target="https://www.ncbi.nlm.nih.gov/books/NBK555976/" TargetMode="External"/><Relationship Id="rId59" Type="http://schemas.openxmlformats.org/officeDocument/2006/relationships/hyperlink" Target="https://doi.org/10.1177/19322968231186575" TargetMode="External"/><Relationship Id="rId20" Type="http://schemas.openxmlformats.org/officeDocument/2006/relationships/image" Target="media/image4.png"/><Relationship Id="rId41" Type="http://schemas.openxmlformats.org/officeDocument/2006/relationships/hyperlink" Target="https://doi.org/10.1002/hsr2.2004" TargetMode="External"/><Relationship Id="rId54" Type="http://schemas.openxmlformats.org/officeDocument/2006/relationships/hyperlink" Target="https://doi.org/10.1089/dia.2017.0035" TargetMode="External"/><Relationship Id="rId62" Type="http://schemas.openxmlformats.org/officeDocument/2006/relationships/hyperlink" Target="https://doi.org/10.4093/dmj.2022.027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hyperlink" Target="https://doi.org/10.1177/19322968231196168" TargetMode="External"/><Relationship Id="rId28" Type="http://schemas.openxmlformats.org/officeDocument/2006/relationships/hyperlink" Target="https://doi.org/10.1136/bmjopen-2025-099306" TargetMode="External"/><Relationship Id="rId36" Type="http://schemas.openxmlformats.org/officeDocument/2006/relationships/hyperlink" Target="https://doi.org/10.1136/archdischild-2020-320967" TargetMode="External"/><Relationship Id="rId49" Type="http://schemas.openxmlformats.org/officeDocument/2006/relationships/hyperlink" Target="https://www.gov.uk/government/statistics/diabetes-profile-update-march-2025/diabetes-profile-statistical-commentary-march-2025" TargetMode="External"/><Relationship Id="rId57" Type="http://schemas.openxmlformats.org/officeDocument/2006/relationships/hyperlink" Target="https://doi.org/10.3389/fpubh.2024.1447747" TargetMode="External"/><Relationship Id="rId10" Type="http://schemas.openxmlformats.org/officeDocument/2006/relationships/hyperlink" Target="https://doi.org/10.1002/hsr2.2004" TargetMode="External"/><Relationship Id="rId31" Type="http://schemas.openxmlformats.org/officeDocument/2006/relationships/hyperlink" Target="https://www.msdmanuals.com/professional/endocrine-and-metabolic-disorders/diabetes-mellitus-and-disorders-of-carbohydrate-metabolism/complications-of-diabetes-mellitus" TargetMode="External"/><Relationship Id="rId44" Type="http://schemas.openxmlformats.org/officeDocument/2006/relationships/hyperlink" Target="https://doi.org/10.1016/j.jcjd.2015.04.003" TargetMode="External"/><Relationship Id="rId52" Type="http://schemas.openxmlformats.org/officeDocument/2006/relationships/hyperlink" Target="https://doi.org/10.1055/s-0038-1668091" TargetMode="External"/><Relationship Id="rId60" Type="http://schemas.openxmlformats.org/officeDocument/2006/relationships/hyperlink" Target="https://doi.org/10.1177/193229680900300446"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pcd.2023.10.009" TargetMode="External"/><Relationship Id="rId13" Type="http://schemas.openxmlformats.org/officeDocument/2006/relationships/header" Target="header1.xml"/><Relationship Id="rId18" Type="http://schemas.openxmlformats.org/officeDocument/2006/relationships/hyperlink" Target="https://doi.org/10.3390/healthcare13080927" TargetMode="External"/><Relationship Id="rId39" Type="http://schemas.openxmlformats.org/officeDocument/2006/relationships/hyperlink" Target="https://www.ncbi.nlm.nih.gov/books/NBK538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0D618-128E-4183-AA4E-4B3A2BD9E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14519</Words>
  <Characters>82762</Characters>
  <Application>Microsoft Office Word</Application>
  <DocSecurity>0</DocSecurity>
  <Lines>689</Lines>
  <Paragraphs>194</Paragraphs>
  <ScaleCrop>false</ScaleCrop>
  <Company/>
  <LinksUpToDate>false</LinksUpToDate>
  <CharactersWithSpaces>97087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2026-03-29T12:59:00Z</dcterms:created>
  <dcterms:modified xsi:type="dcterms:W3CDTF">2026-03-29T12:59:00Z</dcterms:modified>
</cp:coreProperties>
</file>