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44CA1" w14:textId="77777777" w:rsidR="004435CB" w:rsidRDefault="00000000" w:rsidP="006C7A1C">
      <w:pPr>
        <w:spacing w:after="0" w:line="360" w:lineRule="auto"/>
      </w:pPr>
      <w:r>
        <w:rPr>
          <w:rFonts w:ascii="Arial" w:eastAsia="Arial" w:hAnsi="Arial" w:cs="Arial"/>
          <w:sz w:val="24"/>
        </w:rPr>
        <w:t xml:space="preserve"> </w:t>
      </w:r>
    </w:p>
    <w:p w14:paraId="240C6819" w14:textId="77777777" w:rsidR="004435CB" w:rsidRDefault="00000000" w:rsidP="006C7A1C">
      <w:pPr>
        <w:spacing w:after="171" w:line="360" w:lineRule="auto"/>
        <w:ind w:left="-1"/>
      </w:pPr>
      <w:r>
        <w:rPr>
          <w:noProof/>
        </w:rPr>
        <w:drawing>
          <wp:inline distT="0" distB="0" distL="0" distR="0" wp14:anchorId="757A00B2" wp14:editId="64799317">
            <wp:extent cx="1809750" cy="723900"/>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7"/>
                    <a:stretch>
                      <a:fillRect/>
                    </a:stretch>
                  </pic:blipFill>
                  <pic:spPr>
                    <a:xfrm>
                      <a:off x="0" y="0"/>
                      <a:ext cx="1809750" cy="723900"/>
                    </a:xfrm>
                    <a:prstGeom prst="rect">
                      <a:avLst/>
                    </a:prstGeom>
                  </pic:spPr>
                </pic:pic>
              </a:graphicData>
            </a:graphic>
          </wp:inline>
        </w:drawing>
      </w:r>
    </w:p>
    <w:p w14:paraId="0B0255FC" w14:textId="77777777" w:rsidR="004435CB" w:rsidRDefault="00000000" w:rsidP="006C7A1C">
      <w:pPr>
        <w:spacing w:after="317" w:line="360" w:lineRule="auto"/>
        <w:rPr>
          <w:rFonts w:ascii="Arial" w:eastAsia="Arial" w:hAnsi="Arial" w:cs="Arial"/>
          <w:sz w:val="24"/>
        </w:rPr>
      </w:pPr>
      <w:r>
        <w:rPr>
          <w:rFonts w:ascii="Arial" w:eastAsia="Arial" w:hAnsi="Arial" w:cs="Arial"/>
          <w:sz w:val="24"/>
        </w:rPr>
        <w:t xml:space="preserve"> </w:t>
      </w:r>
    </w:p>
    <w:p w14:paraId="3B969AF7" w14:textId="77777777" w:rsidR="0089102C" w:rsidRDefault="0089102C" w:rsidP="006C7A1C">
      <w:pPr>
        <w:spacing w:after="317" w:line="360" w:lineRule="auto"/>
        <w:rPr>
          <w:rFonts w:ascii="Arial" w:eastAsia="Arial" w:hAnsi="Arial" w:cs="Arial"/>
          <w:sz w:val="24"/>
        </w:rPr>
      </w:pPr>
    </w:p>
    <w:p w14:paraId="7054DF97" w14:textId="77777777" w:rsidR="0089102C" w:rsidRPr="0089102C" w:rsidRDefault="0089102C" w:rsidP="0089102C">
      <w:pPr>
        <w:spacing w:after="267" w:line="360" w:lineRule="auto"/>
        <w:rPr>
          <w:rFonts w:ascii="Arial" w:hAnsi="Arial" w:cs="Arial"/>
          <w:b/>
          <w:bCs/>
          <w:sz w:val="36"/>
          <w:szCs w:val="40"/>
        </w:rPr>
      </w:pPr>
      <w:r w:rsidRPr="0089102C">
        <w:rPr>
          <w:rFonts w:ascii="Arial" w:hAnsi="Arial" w:cs="Arial"/>
          <w:b/>
          <w:bCs/>
          <w:sz w:val="36"/>
          <w:szCs w:val="40"/>
        </w:rPr>
        <w:t>Reflective Report on the Principles of Health and Social Care Practice</w:t>
      </w:r>
    </w:p>
    <w:p w14:paraId="73A96249" w14:textId="03128C89" w:rsidR="004435CB" w:rsidRDefault="004435CB" w:rsidP="006C7A1C">
      <w:pPr>
        <w:spacing w:after="298" w:line="360" w:lineRule="auto"/>
      </w:pPr>
    </w:p>
    <w:p w14:paraId="442C7E22" w14:textId="0E84FC15" w:rsidR="004435CB" w:rsidRDefault="00000000" w:rsidP="006C7A1C">
      <w:pPr>
        <w:spacing w:after="295" w:line="360" w:lineRule="auto"/>
        <w:ind w:left="-5" w:hanging="10"/>
      </w:pPr>
      <w:r>
        <w:rPr>
          <w:rFonts w:ascii="Arial" w:eastAsia="Arial" w:hAnsi="Arial" w:cs="Arial"/>
          <w:b/>
          <w:sz w:val="28"/>
        </w:rPr>
        <w:t>Student name</w:t>
      </w:r>
      <w:r>
        <w:rPr>
          <w:rFonts w:ascii="Arial" w:eastAsia="Arial" w:hAnsi="Arial" w:cs="Arial"/>
          <w:sz w:val="28"/>
        </w:rPr>
        <w:t xml:space="preserve">: </w:t>
      </w:r>
      <w:r w:rsidR="006C7A1C">
        <w:rPr>
          <w:rFonts w:ascii="Arial" w:eastAsia="Arial" w:hAnsi="Arial" w:cs="Arial"/>
          <w:sz w:val="28"/>
        </w:rPr>
        <w:t xml:space="preserve">Rajneesh Sinha </w:t>
      </w:r>
    </w:p>
    <w:p w14:paraId="3F332EB2" w14:textId="36D3F28C" w:rsidR="0089102C" w:rsidRPr="0089102C" w:rsidRDefault="00000000" w:rsidP="0089102C">
      <w:pPr>
        <w:spacing w:after="295" w:line="360" w:lineRule="auto"/>
        <w:ind w:left="-5" w:hanging="10"/>
        <w:rPr>
          <w:rFonts w:ascii="Arial" w:eastAsia="Arial" w:hAnsi="Arial" w:cs="Arial"/>
          <w:sz w:val="28"/>
        </w:rPr>
      </w:pPr>
      <w:r>
        <w:rPr>
          <w:rFonts w:ascii="Arial" w:eastAsia="Arial" w:hAnsi="Arial" w:cs="Arial"/>
          <w:b/>
          <w:sz w:val="28"/>
        </w:rPr>
        <w:t>Student ID</w:t>
      </w:r>
      <w:r>
        <w:rPr>
          <w:rFonts w:ascii="Arial" w:eastAsia="Arial" w:hAnsi="Arial" w:cs="Arial"/>
          <w:sz w:val="28"/>
        </w:rPr>
        <w:t xml:space="preserve">: </w:t>
      </w:r>
      <w:r w:rsidR="004B513F">
        <w:rPr>
          <w:rFonts w:ascii="Arial" w:eastAsia="Arial" w:hAnsi="Arial" w:cs="Arial"/>
          <w:sz w:val="28"/>
        </w:rPr>
        <w:t>2514106</w:t>
      </w:r>
    </w:p>
    <w:p w14:paraId="7E0C6F5D" w14:textId="77777777" w:rsidR="004435CB" w:rsidRDefault="00000000" w:rsidP="006C7A1C">
      <w:pPr>
        <w:spacing w:after="298" w:line="360" w:lineRule="auto"/>
      </w:pPr>
      <w:r>
        <w:rPr>
          <w:rFonts w:ascii="Arial" w:eastAsia="Arial" w:hAnsi="Arial" w:cs="Arial"/>
          <w:sz w:val="28"/>
        </w:rPr>
        <w:t xml:space="preserve"> </w:t>
      </w:r>
    </w:p>
    <w:p w14:paraId="3E194131" w14:textId="77777777" w:rsidR="004435CB" w:rsidRDefault="00000000" w:rsidP="006C7A1C">
      <w:pPr>
        <w:spacing w:after="295" w:line="360" w:lineRule="auto"/>
        <w:ind w:left="-5" w:hanging="10"/>
      </w:pPr>
      <w:r>
        <w:rPr>
          <w:rFonts w:ascii="Arial" w:eastAsia="Arial" w:hAnsi="Arial" w:cs="Arial"/>
          <w:b/>
          <w:sz w:val="28"/>
        </w:rPr>
        <w:t>Module name</w:t>
      </w:r>
      <w:r>
        <w:rPr>
          <w:rFonts w:ascii="Arial" w:eastAsia="Arial" w:hAnsi="Arial" w:cs="Arial"/>
          <w:sz w:val="28"/>
        </w:rPr>
        <w:t xml:space="preserve">: </w:t>
      </w:r>
      <w:r>
        <w:rPr>
          <w:rFonts w:ascii="Arial" w:eastAsia="Arial" w:hAnsi="Arial" w:cs="Arial"/>
          <w:b/>
          <w:sz w:val="28"/>
        </w:rPr>
        <w:t xml:space="preserve">Principles of Health and Social Care Practice </w:t>
      </w:r>
    </w:p>
    <w:p w14:paraId="69E6B8C2" w14:textId="77777777" w:rsidR="004435CB" w:rsidRDefault="00000000" w:rsidP="006C7A1C">
      <w:pPr>
        <w:spacing w:after="295" w:line="360" w:lineRule="auto"/>
        <w:ind w:left="-5" w:hanging="10"/>
      </w:pPr>
      <w:r>
        <w:rPr>
          <w:rFonts w:ascii="Arial" w:eastAsia="Arial" w:hAnsi="Arial" w:cs="Arial"/>
          <w:b/>
          <w:sz w:val="28"/>
        </w:rPr>
        <w:t>Component: 1</w:t>
      </w:r>
      <w:r>
        <w:rPr>
          <w:rFonts w:ascii="Arial" w:eastAsia="Arial" w:hAnsi="Arial" w:cs="Arial"/>
          <w:sz w:val="28"/>
        </w:rPr>
        <w:t xml:space="preserve"> </w:t>
      </w:r>
    </w:p>
    <w:p w14:paraId="534AE103" w14:textId="77777777" w:rsidR="004435CB" w:rsidRDefault="00000000" w:rsidP="006C7A1C">
      <w:pPr>
        <w:spacing w:after="295" w:line="360" w:lineRule="auto"/>
        <w:ind w:left="-5" w:hanging="10"/>
      </w:pPr>
      <w:r>
        <w:rPr>
          <w:rFonts w:ascii="Arial" w:eastAsia="Arial" w:hAnsi="Arial" w:cs="Arial"/>
          <w:b/>
          <w:sz w:val="28"/>
        </w:rPr>
        <w:t>Module code</w:t>
      </w:r>
      <w:r>
        <w:rPr>
          <w:rFonts w:ascii="Arial" w:eastAsia="Arial" w:hAnsi="Arial" w:cs="Arial"/>
          <w:sz w:val="28"/>
        </w:rPr>
        <w:t xml:space="preserve">: </w:t>
      </w:r>
      <w:r>
        <w:rPr>
          <w:rFonts w:ascii="Arial" w:eastAsia="Arial" w:hAnsi="Arial" w:cs="Arial"/>
          <w:b/>
          <w:sz w:val="28"/>
        </w:rPr>
        <w:t xml:space="preserve">BMHP5016 </w:t>
      </w:r>
      <w:r>
        <w:rPr>
          <w:rFonts w:ascii="Arial" w:eastAsia="Arial" w:hAnsi="Arial" w:cs="Arial"/>
          <w:sz w:val="28"/>
        </w:rPr>
        <w:t xml:space="preserve"> </w:t>
      </w:r>
    </w:p>
    <w:p w14:paraId="2E29ED37" w14:textId="57D881EB" w:rsidR="006C7A1C" w:rsidRDefault="00000000" w:rsidP="006C7A1C">
      <w:pPr>
        <w:spacing w:after="295" w:line="360" w:lineRule="auto"/>
        <w:ind w:left="-5" w:hanging="10"/>
        <w:rPr>
          <w:rFonts w:ascii="Arial" w:eastAsia="Arial" w:hAnsi="Arial" w:cs="Arial"/>
          <w:sz w:val="28"/>
        </w:rPr>
      </w:pPr>
      <w:r>
        <w:rPr>
          <w:rFonts w:ascii="Arial" w:eastAsia="Arial" w:hAnsi="Arial" w:cs="Arial"/>
          <w:b/>
          <w:sz w:val="28"/>
        </w:rPr>
        <w:t>Lecturer name</w:t>
      </w:r>
      <w:r>
        <w:rPr>
          <w:rFonts w:ascii="Arial" w:eastAsia="Arial" w:hAnsi="Arial" w:cs="Arial"/>
          <w:sz w:val="28"/>
        </w:rPr>
        <w:t xml:space="preserve">: </w:t>
      </w:r>
      <w:r w:rsidR="006C7A1C" w:rsidRPr="006C7A1C">
        <w:rPr>
          <w:rFonts w:ascii="Arial" w:eastAsia="Arial" w:hAnsi="Arial" w:cs="Arial"/>
          <w:sz w:val="28"/>
        </w:rPr>
        <w:t xml:space="preserve">G1: Laila Surani </w:t>
      </w:r>
    </w:p>
    <w:p w14:paraId="25008A9F" w14:textId="77777777" w:rsidR="006C7A1C" w:rsidRDefault="006C7A1C" w:rsidP="006C7A1C">
      <w:pPr>
        <w:spacing w:after="295" w:line="360" w:lineRule="auto"/>
        <w:ind w:left="2080" w:hanging="10"/>
        <w:rPr>
          <w:rFonts w:ascii="Arial" w:eastAsia="Arial" w:hAnsi="Arial" w:cs="Arial"/>
          <w:sz w:val="28"/>
        </w:rPr>
      </w:pPr>
      <w:r w:rsidRPr="006C7A1C">
        <w:rPr>
          <w:rFonts w:ascii="Arial" w:eastAsia="Arial" w:hAnsi="Arial" w:cs="Arial"/>
          <w:sz w:val="28"/>
        </w:rPr>
        <w:t>G2: Lou Wells</w:t>
      </w:r>
      <w:r>
        <w:rPr>
          <w:rFonts w:ascii="Arial" w:eastAsia="Arial" w:hAnsi="Arial" w:cs="Arial"/>
          <w:sz w:val="28"/>
        </w:rPr>
        <w:t xml:space="preserve"> </w:t>
      </w:r>
    </w:p>
    <w:p w14:paraId="4E68472D" w14:textId="77777777" w:rsidR="006C7A1C" w:rsidRDefault="006C7A1C" w:rsidP="006C7A1C">
      <w:pPr>
        <w:spacing w:after="295" w:line="360" w:lineRule="auto"/>
        <w:ind w:left="2080" w:hanging="10"/>
        <w:rPr>
          <w:rFonts w:ascii="Arial" w:eastAsia="Arial" w:hAnsi="Arial" w:cs="Arial"/>
          <w:sz w:val="28"/>
        </w:rPr>
      </w:pPr>
      <w:r w:rsidRPr="006C7A1C">
        <w:rPr>
          <w:rFonts w:ascii="Arial" w:eastAsia="Arial" w:hAnsi="Arial" w:cs="Arial"/>
          <w:sz w:val="28"/>
        </w:rPr>
        <w:t xml:space="preserve">G3: Arif Ahmed Flexi </w:t>
      </w:r>
    </w:p>
    <w:p w14:paraId="001200AE" w14:textId="3933AE60" w:rsidR="004971D0" w:rsidRPr="0089102C" w:rsidRDefault="006C7A1C" w:rsidP="0089102C">
      <w:pPr>
        <w:spacing w:after="295" w:line="360" w:lineRule="auto"/>
        <w:ind w:left="2080" w:hanging="10"/>
      </w:pPr>
      <w:r w:rsidRPr="006C7A1C">
        <w:rPr>
          <w:rFonts w:ascii="Arial" w:eastAsia="Arial" w:hAnsi="Arial" w:cs="Arial"/>
          <w:sz w:val="28"/>
        </w:rPr>
        <w:t>GF1: Muhammed Khan (Module leader)</w:t>
      </w:r>
    </w:p>
    <w:sdt>
      <w:sdtPr>
        <w:rPr>
          <w:rFonts w:ascii="Calibri" w:eastAsia="Calibri" w:hAnsi="Calibri" w:cs="Calibri"/>
          <w:color w:val="000000"/>
          <w:kern w:val="2"/>
          <w:sz w:val="22"/>
          <w:szCs w:val="24"/>
          <w:lang w:val="en-GB" w:eastAsia="en-GB"/>
          <w14:ligatures w14:val="standardContextual"/>
        </w:rPr>
        <w:id w:val="-60951175"/>
        <w:docPartObj>
          <w:docPartGallery w:val="Table of Contents"/>
          <w:docPartUnique/>
        </w:docPartObj>
      </w:sdtPr>
      <w:sdtEndPr>
        <w:rPr>
          <w:rFonts w:ascii="Arial" w:hAnsi="Arial" w:cs="Arial"/>
          <w:b/>
          <w:bCs/>
          <w:noProof/>
        </w:rPr>
      </w:sdtEndPr>
      <w:sdtContent>
        <w:p w14:paraId="63C02A70" w14:textId="4515F14E" w:rsidR="006C7A1C" w:rsidRDefault="006C7A1C">
          <w:pPr>
            <w:pStyle w:val="TOCHeading"/>
            <w:rPr>
              <w:sz w:val="36"/>
              <w:szCs w:val="36"/>
            </w:rPr>
          </w:pPr>
          <w:r>
            <w:t xml:space="preserve">                                         </w:t>
          </w:r>
          <w:r w:rsidRPr="006C7A1C">
            <w:rPr>
              <w:sz w:val="36"/>
              <w:szCs w:val="36"/>
            </w:rPr>
            <w:t>Table of Contents</w:t>
          </w:r>
        </w:p>
        <w:p w14:paraId="5EF0CB54" w14:textId="77777777" w:rsidR="0089102C" w:rsidRPr="0089102C" w:rsidRDefault="0089102C" w:rsidP="0089102C">
          <w:pPr>
            <w:rPr>
              <w:lang w:val="en-US" w:eastAsia="en-US"/>
            </w:rPr>
          </w:pPr>
        </w:p>
        <w:p w14:paraId="48B3E63D" w14:textId="1A041CAD" w:rsidR="0089102C" w:rsidRPr="0089102C" w:rsidRDefault="006C7A1C" w:rsidP="0089102C">
          <w:pPr>
            <w:pStyle w:val="TOC1"/>
            <w:tabs>
              <w:tab w:val="right" w:leader="dot" w:pos="8994"/>
            </w:tabs>
            <w:spacing w:line="360" w:lineRule="auto"/>
            <w:rPr>
              <w:rFonts w:ascii="Arial" w:eastAsiaTheme="minorEastAsia" w:hAnsi="Arial" w:cs="Arial"/>
              <w:noProof/>
              <w:color w:val="auto"/>
              <w:sz w:val="24"/>
            </w:rPr>
          </w:pPr>
          <w:r w:rsidRPr="0089102C">
            <w:rPr>
              <w:rFonts w:ascii="Arial" w:hAnsi="Arial" w:cs="Arial"/>
            </w:rPr>
            <w:fldChar w:fldCharType="begin"/>
          </w:r>
          <w:r w:rsidRPr="0089102C">
            <w:rPr>
              <w:rFonts w:ascii="Arial" w:hAnsi="Arial" w:cs="Arial"/>
            </w:rPr>
            <w:instrText xml:space="preserve"> TOC \o "1-3" \h \z \u </w:instrText>
          </w:r>
          <w:r w:rsidRPr="0089102C">
            <w:rPr>
              <w:rFonts w:ascii="Arial" w:hAnsi="Arial" w:cs="Arial"/>
            </w:rPr>
            <w:fldChar w:fldCharType="separate"/>
          </w:r>
          <w:hyperlink w:anchor="_Toc242839194" w:history="1">
            <w:r w:rsidR="0089102C" w:rsidRPr="0089102C">
              <w:rPr>
                <w:rStyle w:val="Hyperlink"/>
                <w:rFonts w:ascii="Arial" w:hAnsi="Arial" w:cs="Arial"/>
                <w:noProof/>
              </w:rPr>
              <w:t>Part 1: Reflection on the Importance of Principles of Health and Social Care</w:t>
            </w:r>
            <w:r w:rsidR="0089102C" w:rsidRPr="0089102C">
              <w:rPr>
                <w:rFonts w:ascii="Arial" w:hAnsi="Arial" w:cs="Arial"/>
                <w:noProof/>
                <w:webHidden/>
              </w:rPr>
              <w:tab/>
            </w:r>
            <w:r w:rsidR="0089102C" w:rsidRPr="0089102C">
              <w:rPr>
                <w:rFonts w:ascii="Arial" w:hAnsi="Arial" w:cs="Arial"/>
                <w:noProof/>
                <w:webHidden/>
              </w:rPr>
              <w:fldChar w:fldCharType="begin"/>
            </w:r>
            <w:r w:rsidR="0089102C" w:rsidRPr="0089102C">
              <w:rPr>
                <w:rFonts w:ascii="Arial" w:hAnsi="Arial" w:cs="Arial"/>
                <w:noProof/>
                <w:webHidden/>
              </w:rPr>
              <w:instrText xml:space="preserve"> PAGEREF _Toc242839194 \h </w:instrText>
            </w:r>
            <w:r w:rsidR="0089102C" w:rsidRPr="0089102C">
              <w:rPr>
                <w:rFonts w:ascii="Arial" w:hAnsi="Arial" w:cs="Arial"/>
                <w:noProof/>
                <w:webHidden/>
              </w:rPr>
            </w:r>
            <w:r w:rsidR="0089102C" w:rsidRPr="0089102C">
              <w:rPr>
                <w:rFonts w:ascii="Arial" w:hAnsi="Arial" w:cs="Arial"/>
                <w:noProof/>
                <w:webHidden/>
              </w:rPr>
              <w:fldChar w:fldCharType="separate"/>
            </w:r>
            <w:r w:rsidR="0089102C" w:rsidRPr="0089102C">
              <w:rPr>
                <w:rFonts w:ascii="Arial" w:hAnsi="Arial" w:cs="Arial"/>
                <w:noProof/>
                <w:webHidden/>
              </w:rPr>
              <w:t>2</w:t>
            </w:r>
            <w:r w:rsidR="0089102C" w:rsidRPr="0089102C">
              <w:rPr>
                <w:rFonts w:ascii="Arial" w:hAnsi="Arial" w:cs="Arial"/>
                <w:noProof/>
                <w:webHidden/>
              </w:rPr>
              <w:fldChar w:fldCharType="end"/>
            </w:r>
          </w:hyperlink>
        </w:p>
        <w:p w14:paraId="38948CC0" w14:textId="1136F641" w:rsidR="0089102C" w:rsidRPr="0089102C" w:rsidRDefault="0089102C" w:rsidP="0089102C">
          <w:pPr>
            <w:pStyle w:val="TOC2"/>
            <w:tabs>
              <w:tab w:val="right" w:leader="dot" w:pos="8994"/>
            </w:tabs>
            <w:spacing w:line="360" w:lineRule="auto"/>
            <w:rPr>
              <w:rFonts w:ascii="Arial" w:eastAsiaTheme="minorEastAsia" w:hAnsi="Arial" w:cs="Arial"/>
              <w:noProof/>
              <w:color w:val="auto"/>
              <w:sz w:val="24"/>
            </w:rPr>
          </w:pPr>
          <w:hyperlink w:anchor="_Toc242839195" w:history="1">
            <w:r w:rsidRPr="0089102C">
              <w:rPr>
                <w:rStyle w:val="Hyperlink"/>
                <w:rFonts w:ascii="Arial" w:hAnsi="Arial" w:cs="Arial"/>
                <w:noProof/>
              </w:rPr>
              <w:t>1.1 Person-centred care</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_Toc242839195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2</w:t>
            </w:r>
            <w:r w:rsidRPr="0089102C">
              <w:rPr>
                <w:rFonts w:ascii="Arial" w:hAnsi="Arial" w:cs="Arial"/>
                <w:noProof/>
                <w:webHidden/>
              </w:rPr>
              <w:fldChar w:fldCharType="end"/>
            </w:r>
          </w:hyperlink>
        </w:p>
        <w:p w14:paraId="35E86C61" w14:textId="696EEF44" w:rsidR="0089102C" w:rsidRPr="0089102C" w:rsidRDefault="0089102C" w:rsidP="0089102C">
          <w:pPr>
            <w:pStyle w:val="TOC2"/>
            <w:tabs>
              <w:tab w:val="right" w:leader="dot" w:pos="8994"/>
            </w:tabs>
            <w:spacing w:line="360" w:lineRule="auto"/>
            <w:rPr>
              <w:rFonts w:ascii="Arial" w:eastAsiaTheme="minorEastAsia" w:hAnsi="Arial" w:cs="Arial"/>
              <w:noProof/>
              <w:color w:val="auto"/>
              <w:sz w:val="24"/>
            </w:rPr>
          </w:pPr>
          <w:hyperlink w:anchor="_Toc242839196" w:history="1">
            <w:r w:rsidRPr="0089102C">
              <w:rPr>
                <w:rStyle w:val="Hyperlink"/>
                <w:rFonts w:ascii="Arial" w:hAnsi="Arial" w:cs="Arial"/>
                <w:noProof/>
              </w:rPr>
              <w:t>1.2 Partnership working</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_Toc242839196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3</w:t>
            </w:r>
            <w:r w:rsidRPr="0089102C">
              <w:rPr>
                <w:rFonts w:ascii="Arial" w:hAnsi="Arial" w:cs="Arial"/>
                <w:noProof/>
                <w:webHidden/>
              </w:rPr>
              <w:fldChar w:fldCharType="end"/>
            </w:r>
          </w:hyperlink>
        </w:p>
        <w:p w14:paraId="30929BC8" w14:textId="60A80B37" w:rsidR="0089102C" w:rsidRPr="0089102C" w:rsidRDefault="0089102C" w:rsidP="0089102C">
          <w:pPr>
            <w:pStyle w:val="TOC2"/>
            <w:tabs>
              <w:tab w:val="right" w:leader="dot" w:pos="8994"/>
            </w:tabs>
            <w:spacing w:line="360" w:lineRule="auto"/>
            <w:rPr>
              <w:rFonts w:ascii="Arial" w:eastAsiaTheme="minorEastAsia" w:hAnsi="Arial" w:cs="Arial"/>
              <w:noProof/>
              <w:color w:val="auto"/>
              <w:sz w:val="24"/>
            </w:rPr>
          </w:pPr>
          <w:hyperlink w:anchor="_Toc242839197" w:history="1">
            <w:r w:rsidRPr="0089102C">
              <w:rPr>
                <w:rStyle w:val="Hyperlink"/>
                <w:rFonts w:ascii="Arial" w:hAnsi="Arial" w:cs="Arial"/>
                <w:noProof/>
              </w:rPr>
              <w:t>1.3 Ethics, autonomy and legislation</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_Toc242839197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3</w:t>
            </w:r>
            <w:r w:rsidRPr="0089102C">
              <w:rPr>
                <w:rFonts w:ascii="Arial" w:hAnsi="Arial" w:cs="Arial"/>
                <w:noProof/>
                <w:webHidden/>
              </w:rPr>
              <w:fldChar w:fldCharType="end"/>
            </w:r>
          </w:hyperlink>
        </w:p>
        <w:p w14:paraId="036F19A2" w14:textId="3D073FAF" w:rsidR="0089102C" w:rsidRPr="0089102C" w:rsidRDefault="0089102C" w:rsidP="0089102C">
          <w:pPr>
            <w:pStyle w:val="TOC1"/>
            <w:tabs>
              <w:tab w:val="right" w:leader="dot" w:pos="8994"/>
            </w:tabs>
            <w:spacing w:line="360" w:lineRule="auto"/>
            <w:rPr>
              <w:rFonts w:ascii="Arial" w:eastAsiaTheme="minorEastAsia" w:hAnsi="Arial" w:cs="Arial"/>
              <w:noProof/>
              <w:color w:val="auto"/>
              <w:sz w:val="24"/>
            </w:rPr>
          </w:pPr>
          <w:hyperlink w:anchor="_Toc242839198" w:history="1">
            <w:r w:rsidRPr="0089102C">
              <w:rPr>
                <w:rStyle w:val="Hyperlink"/>
                <w:rFonts w:ascii="Arial" w:hAnsi="Arial" w:cs="Arial"/>
                <w:noProof/>
              </w:rPr>
              <w:t>Part 2: Practical Examples of Concepts in Practice</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_Toc242839198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4</w:t>
            </w:r>
            <w:r w:rsidRPr="0089102C">
              <w:rPr>
                <w:rFonts w:ascii="Arial" w:hAnsi="Arial" w:cs="Arial"/>
                <w:noProof/>
                <w:webHidden/>
              </w:rPr>
              <w:fldChar w:fldCharType="end"/>
            </w:r>
          </w:hyperlink>
        </w:p>
        <w:p w14:paraId="58370463" w14:textId="0AFACAAF" w:rsidR="0089102C" w:rsidRPr="0089102C" w:rsidRDefault="0089102C" w:rsidP="0089102C">
          <w:pPr>
            <w:pStyle w:val="TOC2"/>
            <w:tabs>
              <w:tab w:val="right" w:leader="dot" w:pos="8994"/>
            </w:tabs>
            <w:spacing w:line="360" w:lineRule="auto"/>
            <w:rPr>
              <w:rFonts w:ascii="Arial" w:eastAsiaTheme="minorEastAsia" w:hAnsi="Arial" w:cs="Arial"/>
              <w:noProof/>
              <w:color w:val="auto"/>
              <w:sz w:val="24"/>
            </w:rPr>
          </w:pPr>
          <w:hyperlink w:anchor="_Toc242839199" w:history="1">
            <w:r w:rsidRPr="0089102C">
              <w:rPr>
                <w:rStyle w:val="Hyperlink"/>
                <w:rFonts w:ascii="Arial" w:hAnsi="Arial" w:cs="Arial"/>
                <w:noProof/>
              </w:rPr>
              <w:t>2.1 A UK hospital discharge example</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_Toc242839199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4</w:t>
            </w:r>
            <w:r w:rsidRPr="0089102C">
              <w:rPr>
                <w:rFonts w:ascii="Arial" w:hAnsi="Arial" w:cs="Arial"/>
                <w:noProof/>
                <w:webHidden/>
              </w:rPr>
              <w:fldChar w:fldCharType="end"/>
            </w:r>
          </w:hyperlink>
        </w:p>
        <w:p w14:paraId="51B02E11" w14:textId="3A07076E" w:rsidR="0089102C" w:rsidRPr="0089102C" w:rsidRDefault="0089102C" w:rsidP="0089102C">
          <w:pPr>
            <w:pStyle w:val="TOC2"/>
            <w:tabs>
              <w:tab w:val="right" w:leader="dot" w:pos="8994"/>
            </w:tabs>
            <w:spacing w:line="360" w:lineRule="auto"/>
            <w:rPr>
              <w:rFonts w:ascii="Arial" w:eastAsiaTheme="minorEastAsia" w:hAnsi="Arial" w:cs="Arial"/>
              <w:noProof/>
              <w:color w:val="auto"/>
              <w:sz w:val="24"/>
            </w:rPr>
          </w:pPr>
          <w:hyperlink w:anchor="_Toc242839200" w:history="1">
            <w:r w:rsidRPr="0089102C">
              <w:rPr>
                <w:rStyle w:val="Hyperlink"/>
                <w:rFonts w:ascii="Arial" w:hAnsi="Arial" w:cs="Arial"/>
                <w:noProof/>
              </w:rPr>
              <w:t>2.2 Person-centred and ethical application</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_Toc242839200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4</w:t>
            </w:r>
            <w:r w:rsidRPr="0089102C">
              <w:rPr>
                <w:rFonts w:ascii="Arial" w:hAnsi="Arial" w:cs="Arial"/>
                <w:noProof/>
                <w:webHidden/>
              </w:rPr>
              <w:fldChar w:fldCharType="end"/>
            </w:r>
          </w:hyperlink>
        </w:p>
        <w:p w14:paraId="6EE435CA" w14:textId="49E715B6" w:rsidR="0089102C" w:rsidRPr="0089102C" w:rsidRDefault="0089102C" w:rsidP="0089102C">
          <w:pPr>
            <w:pStyle w:val="TOC2"/>
            <w:tabs>
              <w:tab w:val="right" w:leader="dot" w:pos="8994"/>
            </w:tabs>
            <w:spacing w:line="360" w:lineRule="auto"/>
            <w:rPr>
              <w:rFonts w:ascii="Arial" w:eastAsiaTheme="minorEastAsia" w:hAnsi="Arial" w:cs="Arial"/>
              <w:noProof/>
              <w:color w:val="auto"/>
              <w:sz w:val="24"/>
            </w:rPr>
          </w:pPr>
          <w:hyperlink w:anchor="_Toc242839201" w:history="1">
            <w:r w:rsidRPr="0089102C">
              <w:rPr>
                <w:rStyle w:val="Hyperlink"/>
                <w:rFonts w:ascii="Arial" w:hAnsi="Arial" w:cs="Arial"/>
                <w:noProof/>
              </w:rPr>
              <w:t>2.3 Partnership working and evaluation</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_Toc242839201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5</w:t>
            </w:r>
            <w:r w:rsidRPr="0089102C">
              <w:rPr>
                <w:rFonts w:ascii="Arial" w:hAnsi="Arial" w:cs="Arial"/>
                <w:noProof/>
                <w:webHidden/>
              </w:rPr>
              <w:fldChar w:fldCharType="end"/>
            </w:r>
          </w:hyperlink>
        </w:p>
        <w:p w14:paraId="43F06AA3" w14:textId="396647A4" w:rsidR="0089102C" w:rsidRPr="0089102C" w:rsidRDefault="0089102C" w:rsidP="0089102C">
          <w:pPr>
            <w:pStyle w:val="TOC1"/>
            <w:tabs>
              <w:tab w:val="right" w:leader="dot" w:pos="8994"/>
            </w:tabs>
            <w:spacing w:line="360" w:lineRule="auto"/>
            <w:rPr>
              <w:rFonts w:ascii="Arial" w:eastAsiaTheme="minorEastAsia" w:hAnsi="Arial" w:cs="Arial"/>
              <w:noProof/>
              <w:color w:val="auto"/>
              <w:sz w:val="24"/>
            </w:rPr>
          </w:pPr>
          <w:hyperlink w:anchor="_Toc242839202" w:history="1">
            <w:r w:rsidRPr="0089102C">
              <w:rPr>
                <w:rStyle w:val="Hyperlink"/>
                <w:rFonts w:ascii="Arial" w:hAnsi="Arial" w:cs="Arial"/>
                <w:noProof/>
              </w:rPr>
              <w:t>Part 3: Self-Reflection as a Health and Social Care Professional</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_Toc242839202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6</w:t>
            </w:r>
            <w:r w:rsidRPr="0089102C">
              <w:rPr>
                <w:rFonts w:ascii="Arial" w:hAnsi="Arial" w:cs="Arial"/>
                <w:noProof/>
                <w:webHidden/>
              </w:rPr>
              <w:fldChar w:fldCharType="end"/>
            </w:r>
          </w:hyperlink>
        </w:p>
        <w:p w14:paraId="7937CA8D" w14:textId="1359EA03" w:rsidR="0089102C" w:rsidRPr="0089102C" w:rsidRDefault="0089102C" w:rsidP="0089102C">
          <w:pPr>
            <w:pStyle w:val="TOC2"/>
            <w:tabs>
              <w:tab w:val="right" w:leader="dot" w:pos="8994"/>
            </w:tabs>
            <w:spacing w:line="360" w:lineRule="auto"/>
            <w:rPr>
              <w:rFonts w:ascii="Arial" w:eastAsiaTheme="minorEastAsia" w:hAnsi="Arial" w:cs="Arial"/>
              <w:noProof/>
              <w:color w:val="auto"/>
              <w:sz w:val="24"/>
            </w:rPr>
          </w:pPr>
          <w:hyperlink w:anchor="_Toc242839203" w:history="1">
            <w:r w:rsidRPr="0089102C">
              <w:rPr>
                <w:rStyle w:val="Hyperlink"/>
                <w:rFonts w:ascii="Arial" w:hAnsi="Arial" w:cs="Arial"/>
                <w:noProof/>
              </w:rPr>
              <w:t>3.1 Description and feelings</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_Toc242839203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6</w:t>
            </w:r>
            <w:r w:rsidRPr="0089102C">
              <w:rPr>
                <w:rFonts w:ascii="Arial" w:hAnsi="Arial" w:cs="Arial"/>
                <w:noProof/>
                <w:webHidden/>
              </w:rPr>
              <w:fldChar w:fldCharType="end"/>
            </w:r>
          </w:hyperlink>
        </w:p>
        <w:p w14:paraId="6C626D2B" w14:textId="0B529B13" w:rsidR="0089102C" w:rsidRPr="0089102C" w:rsidRDefault="0089102C" w:rsidP="0089102C">
          <w:pPr>
            <w:pStyle w:val="TOC2"/>
            <w:tabs>
              <w:tab w:val="right" w:leader="dot" w:pos="8994"/>
            </w:tabs>
            <w:spacing w:line="360" w:lineRule="auto"/>
            <w:rPr>
              <w:rFonts w:ascii="Arial" w:eastAsiaTheme="minorEastAsia" w:hAnsi="Arial" w:cs="Arial"/>
              <w:noProof/>
              <w:color w:val="auto"/>
              <w:sz w:val="24"/>
            </w:rPr>
          </w:pPr>
          <w:hyperlink w:anchor="_Toc242839204" w:history="1">
            <w:r w:rsidRPr="0089102C">
              <w:rPr>
                <w:rStyle w:val="Hyperlink"/>
                <w:rFonts w:ascii="Arial" w:hAnsi="Arial" w:cs="Arial"/>
                <w:noProof/>
              </w:rPr>
              <w:t>3.2 Evaluation</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_Toc242839204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6</w:t>
            </w:r>
            <w:r w:rsidRPr="0089102C">
              <w:rPr>
                <w:rFonts w:ascii="Arial" w:hAnsi="Arial" w:cs="Arial"/>
                <w:noProof/>
                <w:webHidden/>
              </w:rPr>
              <w:fldChar w:fldCharType="end"/>
            </w:r>
          </w:hyperlink>
        </w:p>
        <w:p w14:paraId="170304D5" w14:textId="4726C3A1" w:rsidR="0089102C" w:rsidRPr="0089102C" w:rsidRDefault="0089102C" w:rsidP="0089102C">
          <w:pPr>
            <w:pStyle w:val="TOC2"/>
            <w:tabs>
              <w:tab w:val="right" w:leader="dot" w:pos="8994"/>
            </w:tabs>
            <w:spacing w:line="360" w:lineRule="auto"/>
            <w:rPr>
              <w:rFonts w:ascii="Arial" w:eastAsiaTheme="minorEastAsia" w:hAnsi="Arial" w:cs="Arial"/>
              <w:noProof/>
              <w:color w:val="auto"/>
              <w:sz w:val="24"/>
            </w:rPr>
          </w:pPr>
          <w:hyperlink w:anchor="_Toc242839205" w:history="1">
            <w:r w:rsidRPr="0089102C">
              <w:rPr>
                <w:rStyle w:val="Hyperlink"/>
                <w:rFonts w:ascii="Arial" w:hAnsi="Arial" w:cs="Arial"/>
                <w:noProof/>
              </w:rPr>
              <w:t>3.3 Analysis of professional responsibilities</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_Toc242839205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6</w:t>
            </w:r>
            <w:r w:rsidRPr="0089102C">
              <w:rPr>
                <w:rFonts w:ascii="Arial" w:hAnsi="Arial" w:cs="Arial"/>
                <w:noProof/>
                <w:webHidden/>
              </w:rPr>
              <w:fldChar w:fldCharType="end"/>
            </w:r>
          </w:hyperlink>
        </w:p>
        <w:p w14:paraId="69DD1CBE" w14:textId="6E29C841" w:rsidR="0089102C" w:rsidRPr="0089102C" w:rsidRDefault="0089102C" w:rsidP="0089102C">
          <w:pPr>
            <w:pStyle w:val="TOC2"/>
            <w:tabs>
              <w:tab w:val="right" w:leader="dot" w:pos="8994"/>
            </w:tabs>
            <w:spacing w:line="360" w:lineRule="auto"/>
            <w:rPr>
              <w:rFonts w:ascii="Arial" w:eastAsiaTheme="minorEastAsia" w:hAnsi="Arial" w:cs="Arial"/>
              <w:noProof/>
              <w:color w:val="auto"/>
              <w:sz w:val="24"/>
            </w:rPr>
          </w:pPr>
          <w:hyperlink w:anchor="_Toc242839206" w:history="1">
            <w:r w:rsidRPr="0089102C">
              <w:rPr>
                <w:rStyle w:val="Hyperlink"/>
                <w:rFonts w:ascii="Arial" w:hAnsi="Arial" w:cs="Arial"/>
                <w:noProof/>
              </w:rPr>
              <w:t>3.4 Strengths and areas for improvement</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_Toc242839206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7</w:t>
            </w:r>
            <w:r w:rsidRPr="0089102C">
              <w:rPr>
                <w:rFonts w:ascii="Arial" w:hAnsi="Arial" w:cs="Arial"/>
                <w:noProof/>
                <w:webHidden/>
              </w:rPr>
              <w:fldChar w:fldCharType="end"/>
            </w:r>
          </w:hyperlink>
        </w:p>
        <w:p w14:paraId="62A49C28" w14:textId="5D9D4697" w:rsidR="0089102C" w:rsidRPr="0089102C" w:rsidRDefault="0089102C" w:rsidP="0089102C">
          <w:pPr>
            <w:pStyle w:val="TOC2"/>
            <w:tabs>
              <w:tab w:val="right" w:leader="dot" w:pos="8994"/>
            </w:tabs>
            <w:spacing w:line="360" w:lineRule="auto"/>
            <w:rPr>
              <w:rFonts w:ascii="Arial" w:eastAsiaTheme="minorEastAsia" w:hAnsi="Arial" w:cs="Arial"/>
              <w:noProof/>
              <w:color w:val="auto"/>
              <w:sz w:val="24"/>
            </w:rPr>
          </w:pPr>
          <w:hyperlink w:anchor="_Toc242839207" w:history="1">
            <w:r w:rsidRPr="0089102C">
              <w:rPr>
                <w:rStyle w:val="Hyperlink"/>
                <w:rFonts w:ascii="Arial" w:hAnsi="Arial" w:cs="Arial"/>
                <w:noProof/>
              </w:rPr>
              <w:t>3.5 Action plan and future practice</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_Toc242839207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7</w:t>
            </w:r>
            <w:r w:rsidRPr="0089102C">
              <w:rPr>
                <w:rFonts w:ascii="Arial" w:hAnsi="Arial" w:cs="Arial"/>
                <w:noProof/>
                <w:webHidden/>
              </w:rPr>
              <w:fldChar w:fldCharType="end"/>
            </w:r>
          </w:hyperlink>
        </w:p>
        <w:p w14:paraId="6007A364" w14:textId="15F6FC4F" w:rsidR="0089102C" w:rsidRPr="0089102C" w:rsidRDefault="0089102C" w:rsidP="0089102C">
          <w:pPr>
            <w:pStyle w:val="TOC1"/>
            <w:tabs>
              <w:tab w:val="right" w:leader="dot" w:pos="8994"/>
            </w:tabs>
            <w:spacing w:line="360" w:lineRule="auto"/>
            <w:rPr>
              <w:rFonts w:ascii="Arial" w:eastAsiaTheme="minorEastAsia" w:hAnsi="Arial" w:cs="Arial"/>
              <w:noProof/>
              <w:color w:val="auto"/>
              <w:sz w:val="24"/>
            </w:rPr>
          </w:pPr>
          <w:hyperlink w:anchor="_Toc242839208" w:history="1">
            <w:r w:rsidRPr="0089102C">
              <w:rPr>
                <w:rStyle w:val="Hyperlink"/>
                <w:rFonts w:ascii="Arial" w:hAnsi="Arial" w:cs="Arial"/>
                <w:noProof/>
              </w:rPr>
              <w:t>Conclusion</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_Toc242839208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8</w:t>
            </w:r>
            <w:r w:rsidRPr="0089102C">
              <w:rPr>
                <w:rFonts w:ascii="Arial" w:hAnsi="Arial" w:cs="Arial"/>
                <w:noProof/>
                <w:webHidden/>
              </w:rPr>
              <w:fldChar w:fldCharType="end"/>
            </w:r>
          </w:hyperlink>
        </w:p>
        <w:p w14:paraId="20140CA5" w14:textId="32E488D9" w:rsidR="0089102C" w:rsidRPr="0089102C" w:rsidRDefault="0089102C" w:rsidP="0089102C">
          <w:pPr>
            <w:pStyle w:val="TOC1"/>
            <w:tabs>
              <w:tab w:val="right" w:leader="dot" w:pos="8994"/>
            </w:tabs>
            <w:spacing w:line="360" w:lineRule="auto"/>
            <w:rPr>
              <w:rFonts w:ascii="Arial" w:eastAsiaTheme="minorEastAsia" w:hAnsi="Arial" w:cs="Arial"/>
              <w:noProof/>
              <w:color w:val="auto"/>
              <w:sz w:val="24"/>
            </w:rPr>
          </w:pPr>
          <w:hyperlink w:anchor="_Toc242839209" w:history="1">
            <w:r w:rsidRPr="0089102C">
              <w:rPr>
                <w:rStyle w:val="Hyperlink"/>
                <w:rFonts w:ascii="Arial" w:hAnsi="Arial" w:cs="Arial"/>
                <w:noProof/>
              </w:rPr>
              <w:t>References</w:t>
            </w:r>
            <w:r w:rsidRPr="0089102C">
              <w:rPr>
                <w:rFonts w:ascii="Arial" w:hAnsi="Arial" w:cs="Arial"/>
                <w:noProof/>
                <w:webHidden/>
              </w:rPr>
              <w:tab/>
            </w:r>
            <w:r w:rsidRPr="0089102C">
              <w:rPr>
                <w:rFonts w:ascii="Arial" w:hAnsi="Arial" w:cs="Arial"/>
                <w:noProof/>
                <w:webHidden/>
              </w:rPr>
              <w:fldChar w:fldCharType="begin"/>
            </w:r>
            <w:r w:rsidRPr="0089102C">
              <w:rPr>
                <w:rFonts w:ascii="Arial" w:hAnsi="Arial" w:cs="Arial"/>
                <w:noProof/>
                <w:webHidden/>
              </w:rPr>
              <w:instrText xml:space="preserve"> PAGEREF _Toc242839209 \h </w:instrText>
            </w:r>
            <w:r w:rsidRPr="0089102C">
              <w:rPr>
                <w:rFonts w:ascii="Arial" w:hAnsi="Arial" w:cs="Arial"/>
                <w:noProof/>
                <w:webHidden/>
              </w:rPr>
            </w:r>
            <w:r w:rsidRPr="0089102C">
              <w:rPr>
                <w:rFonts w:ascii="Arial" w:hAnsi="Arial" w:cs="Arial"/>
                <w:noProof/>
                <w:webHidden/>
              </w:rPr>
              <w:fldChar w:fldCharType="separate"/>
            </w:r>
            <w:r w:rsidRPr="0089102C">
              <w:rPr>
                <w:rFonts w:ascii="Arial" w:hAnsi="Arial" w:cs="Arial"/>
                <w:noProof/>
                <w:webHidden/>
              </w:rPr>
              <w:t>8</w:t>
            </w:r>
            <w:r w:rsidRPr="0089102C">
              <w:rPr>
                <w:rFonts w:ascii="Arial" w:hAnsi="Arial" w:cs="Arial"/>
                <w:noProof/>
                <w:webHidden/>
              </w:rPr>
              <w:fldChar w:fldCharType="end"/>
            </w:r>
          </w:hyperlink>
        </w:p>
        <w:p w14:paraId="5E28EA72" w14:textId="3C35DD33" w:rsidR="006C7A1C" w:rsidRPr="0089102C" w:rsidRDefault="006C7A1C" w:rsidP="0089102C">
          <w:pPr>
            <w:spacing w:line="360" w:lineRule="auto"/>
            <w:rPr>
              <w:rFonts w:ascii="Arial" w:hAnsi="Arial" w:cs="Arial"/>
            </w:rPr>
          </w:pPr>
          <w:r w:rsidRPr="0089102C">
            <w:rPr>
              <w:rFonts w:ascii="Arial" w:hAnsi="Arial" w:cs="Arial"/>
              <w:b/>
              <w:bCs/>
              <w:noProof/>
            </w:rPr>
            <w:fldChar w:fldCharType="end"/>
          </w:r>
        </w:p>
      </w:sdtContent>
    </w:sdt>
    <w:p w14:paraId="10140A02" w14:textId="77777777" w:rsidR="004971D0" w:rsidRPr="0089102C" w:rsidRDefault="004971D0" w:rsidP="0089102C">
      <w:pPr>
        <w:spacing w:after="253" w:line="360" w:lineRule="auto"/>
        <w:rPr>
          <w:rFonts w:ascii="Arial" w:eastAsia="Arial" w:hAnsi="Arial" w:cs="Arial"/>
          <w:sz w:val="28"/>
        </w:rPr>
      </w:pPr>
    </w:p>
    <w:p w14:paraId="405B3A80" w14:textId="77777777" w:rsidR="004971D0" w:rsidRDefault="004971D0" w:rsidP="006C7A1C">
      <w:pPr>
        <w:spacing w:after="253" w:line="360" w:lineRule="auto"/>
        <w:rPr>
          <w:rFonts w:ascii="Arial" w:eastAsia="Arial" w:hAnsi="Arial" w:cs="Arial"/>
          <w:sz w:val="28"/>
        </w:rPr>
      </w:pPr>
    </w:p>
    <w:p w14:paraId="5C87E27C" w14:textId="77777777" w:rsidR="004971D0" w:rsidRDefault="004971D0" w:rsidP="006C7A1C">
      <w:pPr>
        <w:spacing w:after="253" w:line="360" w:lineRule="auto"/>
        <w:rPr>
          <w:rFonts w:ascii="Arial" w:eastAsia="Arial" w:hAnsi="Arial" w:cs="Arial"/>
          <w:sz w:val="28"/>
        </w:rPr>
      </w:pPr>
    </w:p>
    <w:p w14:paraId="39F3560C" w14:textId="77777777" w:rsidR="004971D0" w:rsidRDefault="004971D0" w:rsidP="006C7A1C">
      <w:pPr>
        <w:spacing w:after="253" w:line="360" w:lineRule="auto"/>
        <w:rPr>
          <w:rFonts w:ascii="Arial" w:eastAsia="Arial" w:hAnsi="Arial" w:cs="Arial"/>
          <w:sz w:val="28"/>
        </w:rPr>
      </w:pPr>
    </w:p>
    <w:p w14:paraId="32CE2908" w14:textId="67F8701E" w:rsidR="004435CB" w:rsidRDefault="004435CB" w:rsidP="0089102C">
      <w:pPr>
        <w:spacing w:after="0" w:line="360" w:lineRule="auto"/>
      </w:pPr>
    </w:p>
    <w:p w14:paraId="1C4ED532" w14:textId="77777777" w:rsidR="006C7A1C" w:rsidRPr="006C7A1C" w:rsidRDefault="006C7A1C" w:rsidP="006C7A1C">
      <w:pPr>
        <w:pStyle w:val="Heading1"/>
        <w:ind w:left="0" w:firstLine="0"/>
      </w:pPr>
      <w:bookmarkStart w:id="0" w:name="_Toc242839194"/>
      <w:r w:rsidRPr="006C7A1C">
        <w:lastRenderedPageBreak/>
        <w:t>Part 1: Reflection on the Importance of Principles of Health and Social Care</w:t>
      </w:r>
      <w:bookmarkEnd w:id="0"/>
    </w:p>
    <w:p w14:paraId="1755AAB2" w14:textId="77777777" w:rsidR="006C7A1C" w:rsidRPr="006C7A1C" w:rsidRDefault="006C7A1C" w:rsidP="006C7A1C">
      <w:pPr>
        <w:pStyle w:val="Heading2"/>
      </w:pPr>
      <w:bookmarkStart w:id="1" w:name="_Toc242839195"/>
      <w:r w:rsidRPr="006C7A1C">
        <w:t>1.1 Person-centred care</w:t>
      </w:r>
      <w:bookmarkEnd w:id="1"/>
    </w:p>
    <w:p w14:paraId="3A4C719D" w14:textId="77777777" w:rsidR="006C7A1C" w:rsidRDefault="006C7A1C" w:rsidP="006C7A1C">
      <w:pPr>
        <w:spacing w:after="267" w:line="360" w:lineRule="auto"/>
        <w:rPr>
          <w:rFonts w:ascii="Arial" w:hAnsi="Arial" w:cs="Arial"/>
        </w:rPr>
      </w:pPr>
      <w:r w:rsidRPr="006C7A1C">
        <w:rPr>
          <w:rFonts w:ascii="Arial" w:hAnsi="Arial" w:cs="Arial"/>
        </w:rPr>
        <w:t xml:space="preserve">Person centred care respects people as decision makers about their health, independence and wellbeing. It demands a practitioner is aware of his/her preferences, social conditions, communication needs and desired outcomes, and not just diagnoses or institutional routines. Ahmed, van den Muijsenbergh and Vrijhoef (2022) shows how person-centred care is reliant on the relationship between individual circumstances, professional relationships and service contexts. Its implementation needs more than respectful communication; care plans need to be about what is important to the individual. </w:t>
      </w:r>
    </w:p>
    <w:p w14:paraId="09CA1EE4" w14:textId="645488A5" w:rsidR="006C7A1C" w:rsidRDefault="006C7A1C" w:rsidP="006C7A1C">
      <w:pPr>
        <w:spacing w:after="267" w:line="360" w:lineRule="auto"/>
        <w:rPr>
          <w:rFonts w:ascii="Arial" w:hAnsi="Arial" w:cs="Arial"/>
        </w:rPr>
      </w:pPr>
      <w:r w:rsidRPr="006C7A1C">
        <w:rPr>
          <w:rFonts w:ascii="Arial" w:hAnsi="Arial" w:cs="Arial"/>
        </w:rPr>
        <w:t xml:space="preserve">A theoretical model that might be useful is Maslow's hierarchy of need, which consists of needs of physiological needs, safety, belonging, esteem and self-actualisation (Maslow, 1943). </w:t>
      </w:r>
      <w:r w:rsidR="002B4D7D" w:rsidRPr="006C7A1C">
        <w:rPr>
          <w:rFonts w:ascii="Arial" w:hAnsi="Arial" w:cs="Arial"/>
        </w:rPr>
        <w:t>Nutrition</w:t>
      </w:r>
      <w:r w:rsidRPr="006C7A1C">
        <w:rPr>
          <w:rFonts w:ascii="Arial" w:hAnsi="Arial" w:cs="Arial"/>
        </w:rPr>
        <w:t xml:space="preserve"> and physical safety are important elements of wellbeing, alongside relationships, identity and independence. But cannot be applied rigidly with Maslow's hierarchy as people have different ways of prioritizing needs. Person-centred care, therefore, cannot be defined in terms of a typical sequence of needs.</w:t>
      </w:r>
    </w:p>
    <w:p w14:paraId="5545C9E4" w14:textId="17B805FB" w:rsidR="006C7A1C" w:rsidRPr="006C7A1C" w:rsidRDefault="006C7A1C" w:rsidP="006C7A1C">
      <w:pPr>
        <w:pStyle w:val="Heading2"/>
      </w:pPr>
      <w:bookmarkStart w:id="2" w:name="_Toc242839196"/>
      <w:r w:rsidRPr="006C7A1C">
        <w:t>1.2 Partnership working</w:t>
      </w:r>
      <w:bookmarkEnd w:id="2"/>
    </w:p>
    <w:p w14:paraId="6A89C65F" w14:textId="77777777" w:rsidR="006C7A1C" w:rsidRDefault="006C7A1C" w:rsidP="006C7A1C">
      <w:pPr>
        <w:spacing w:after="267" w:line="360" w:lineRule="auto"/>
        <w:rPr>
          <w:rFonts w:ascii="Arial" w:hAnsi="Arial" w:cs="Arial"/>
        </w:rPr>
      </w:pPr>
      <w:r w:rsidRPr="006C7A1C">
        <w:rPr>
          <w:rFonts w:ascii="Arial" w:hAnsi="Arial" w:cs="Arial"/>
        </w:rPr>
        <w:t>Partnership working requires co-ordinated involvement with service users, families (as appropriate) and other professionals, such as healthcare staff, social workers and community services to ensure their respective inputs are co-ordinated. Collaboration can help to ensure continuity, minimise gaps in information and assist in meeting needs beyond the scope of one professional's ability. Team performance, organisational conditions, and information-sharing are named as factors that impact interprofessional collaboration (Doornebosch, Smaling and Achterberg 2022).</w:t>
      </w:r>
    </w:p>
    <w:p w14:paraId="567D3736" w14:textId="0E79F0B4" w:rsidR="006C7A1C" w:rsidRDefault="006C7A1C" w:rsidP="006C7A1C">
      <w:pPr>
        <w:spacing w:after="267" w:line="360" w:lineRule="auto"/>
        <w:rPr>
          <w:rFonts w:ascii="Arial" w:hAnsi="Arial" w:cs="Arial"/>
        </w:rPr>
      </w:pPr>
      <w:r w:rsidRPr="006C7A1C">
        <w:rPr>
          <w:rFonts w:ascii="Arial" w:hAnsi="Arial" w:cs="Arial"/>
        </w:rPr>
        <w:t xml:space="preserve">However, better outcomes </w:t>
      </w:r>
      <w:r w:rsidR="00DF5F81" w:rsidRPr="006C7A1C">
        <w:rPr>
          <w:rFonts w:ascii="Arial" w:hAnsi="Arial" w:cs="Arial"/>
        </w:rPr>
        <w:t>don’t</w:t>
      </w:r>
      <w:r w:rsidRPr="006C7A1C">
        <w:rPr>
          <w:rFonts w:ascii="Arial" w:hAnsi="Arial" w:cs="Arial"/>
        </w:rPr>
        <w:t xml:space="preserve"> necessarily mean collaboration. In a systematic review of reviews, Alderwick et al. (2021) reported mixed evidence about the impact of multi-sectoral collaboration on health outcomes. This implies that when forming a partnership there should be defined roles, resources and goals. More importantly, service users should never be treated as a passive object of professional </w:t>
      </w:r>
      <w:r w:rsidR="00DF5F81" w:rsidRPr="006C7A1C">
        <w:rPr>
          <w:rFonts w:ascii="Arial" w:hAnsi="Arial" w:cs="Arial"/>
        </w:rPr>
        <w:t>discussion but</w:t>
      </w:r>
      <w:r w:rsidRPr="006C7A1C">
        <w:rPr>
          <w:rFonts w:ascii="Arial" w:hAnsi="Arial" w:cs="Arial"/>
        </w:rPr>
        <w:t xml:space="preserve"> should be involved as partners in the </w:t>
      </w:r>
      <w:r w:rsidR="00DF5F81" w:rsidRPr="006C7A1C">
        <w:rPr>
          <w:rFonts w:ascii="Arial" w:hAnsi="Arial" w:cs="Arial"/>
        </w:rPr>
        <w:t>decision-making</w:t>
      </w:r>
      <w:r w:rsidRPr="006C7A1C">
        <w:rPr>
          <w:rFonts w:ascii="Arial" w:hAnsi="Arial" w:cs="Arial"/>
        </w:rPr>
        <w:t xml:space="preserve"> process.</w:t>
      </w:r>
    </w:p>
    <w:p w14:paraId="2396062F" w14:textId="77777777" w:rsidR="0089102C" w:rsidRDefault="0089102C" w:rsidP="006C7A1C">
      <w:pPr>
        <w:spacing w:after="267" w:line="360" w:lineRule="auto"/>
        <w:rPr>
          <w:rFonts w:ascii="Arial" w:hAnsi="Arial" w:cs="Arial"/>
        </w:rPr>
      </w:pPr>
    </w:p>
    <w:p w14:paraId="0E727B1C" w14:textId="77777777" w:rsidR="0089102C" w:rsidRDefault="0089102C" w:rsidP="006C7A1C">
      <w:pPr>
        <w:spacing w:after="267" w:line="360" w:lineRule="auto"/>
        <w:rPr>
          <w:rFonts w:ascii="Arial" w:hAnsi="Arial" w:cs="Arial"/>
        </w:rPr>
      </w:pPr>
    </w:p>
    <w:p w14:paraId="2E8C8BEB" w14:textId="3AAB3E2E" w:rsidR="006C7A1C" w:rsidRPr="006C7A1C" w:rsidRDefault="006C7A1C" w:rsidP="006C7A1C">
      <w:pPr>
        <w:pStyle w:val="Heading2"/>
      </w:pPr>
      <w:bookmarkStart w:id="3" w:name="_Toc242839197"/>
      <w:r w:rsidRPr="006C7A1C">
        <w:lastRenderedPageBreak/>
        <w:t>1.3 Ethics, autonomy and legislation</w:t>
      </w:r>
      <w:bookmarkEnd w:id="3"/>
    </w:p>
    <w:p w14:paraId="78EB7C37" w14:textId="3BB8E47D" w:rsidR="006C7A1C" w:rsidRDefault="006C7A1C" w:rsidP="006C7A1C">
      <w:pPr>
        <w:spacing w:after="267" w:line="360" w:lineRule="auto"/>
        <w:rPr>
          <w:rFonts w:ascii="Arial" w:hAnsi="Arial" w:cs="Arial"/>
        </w:rPr>
      </w:pPr>
      <w:r w:rsidRPr="006C7A1C">
        <w:rPr>
          <w:rFonts w:ascii="Arial" w:hAnsi="Arial" w:cs="Arial"/>
        </w:rPr>
        <w:t xml:space="preserve">Ethical practice is a matter of balancing autonomy, beneficence, non-maleficence and justice. When one's own preferred way of doing things seems to carry some risk, these principles may clash. The MCA 2005 holds that capacity is presumed unless it is demonstrated, that support should be made practicable to make a decision and an unwise decision does not suffice to establish incapacity. If someone </w:t>
      </w:r>
      <w:r w:rsidR="00D06D8B" w:rsidRPr="006C7A1C">
        <w:rPr>
          <w:rFonts w:ascii="Arial" w:hAnsi="Arial" w:cs="Arial"/>
        </w:rPr>
        <w:t>cannot</w:t>
      </w:r>
      <w:r w:rsidRPr="006C7A1C">
        <w:rPr>
          <w:rFonts w:ascii="Arial" w:hAnsi="Arial" w:cs="Arial"/>
        </w:rPr>
        <w:t xml:space="preserve"> make a decision, decisions must be made under the statutory best </w:t>
      </w:r>
      <w:r w:rsidR="00DF5F81" w:rsidRPr="006C7A1C">
        <w:rPr>
          <w:rFonts w:ascii="Arial" w:hAnsi="Arial" w:cs="Arial"/>
        </w:rPr>
        <w:t>interests’</w:t>
      </w:r>
      <w:r w:rsidRPr="006C7A1C">
        <w:rPr>
          <w:rFonts w:ascii="Arial" w:hAnsi="Arial" w:cs="Arial"/>
        </w:rPr>
        <w:t xml:space="preserve"> framework, and in accordance with the least restrictive option.</w:t>
      </w:r>
    </w:p>
    <w:p w14:paraId="0FA2684F" w14:textId="77777777" w:rsidR="006C7A1C" w:rsidRDefault="006C7A1C" w:rsidP="006C7A1C">
      <w:pPr>
        <w:spacing w:after="267" w:line="360" w:lineRule="auto"/>
        <w:rPr>
          <w:rFonts w:ascii="Arial" w:hAnsi="Arial" w:cs="Arial"/>
        </w:rPr>
      </w:pPr>
      <w:r w:rsidRPr="006C7A1C">
        <w:rPr>
          <w:rFonts w:ascii="Arial" w:hAnsi="Arial" w:cs="Arial"/>
        </w:rPr>
        <w:t>The Care Act 2014 puts the individual's wellbeing at the heart of adult social care in England, with a particular focus on dignity, control over the choices in their daily life, relationships and protection from abuse. NICE (2021) also reiterates the importance of shared decision making, which is a process of together talking about options, benefits and risks. These frameworks make clear that protecting does not need to be a justification for limiting independence.</w:t>
      </w:r>
    </w:p>
    <w:p w14:paraId="6B1C7950" w14:textId="62715FED" w:rsidR="006C7A1C" w:rsidRDefault="006C7A1C" w:rsidP="006C7A1C">
      <w:pPr>
        <w:spacing w:after="267" w:line="360" w:lineRule="auto"/>
        <w:rPr>
          <w:rFonts w:ascii="Arial" w:hAnsi="Arial" w:cs="Arial"/>
        </w:rPr>
      </w:pPr>
      <w:r w:rsidRPr="006C7A1C">
        <w:rPr>
          <w:rFonts w:ascii="Arial" w:hAnsi="Arial" w:cs="Arial"/>
        </w:rPr>
        <w:t xml:space="preserve">Overall, person centred care, partnership working and ethical practice go hand in hand. These are only effective if </w:t>
      </w:r>
      <w:r w:rsidR="00B62B5A" w:rsidRPr="006C7A1C">
        <w:rPr>
          <w:rFonts w:ascii="Arial" w:hAnsi="Arial" w:cs="Arial"/>
        </w:rPr>
        <w:t>practitioners’</w:t>
      </w:r>
      <w:r w:rsidRPr="006C7A1C">
        <w:rPr>
          <w:rFonts w:ascii="Arial" w:hAnsi="Arial" w:cs="Arial"/>
        </w:rPr>
        <w:t xml:space="preserve"> approach legal duties in a critical way, communicate in a respectful way, and understand the boundaries of professional control.</w:t>
      </w:r>
    </w:p>
    <w:p w14:paraId="24518E72" w14:textId="2436F332" w:rsidR="006C7A1C" w:rsidRPr="006C7A1C" w:rsidRDefault="006C7A1C" w:rsidP="006C7A1C">
      <w:pPr>
        <w:pStyle w:val="Heading1"/>
      </w:pPr>
      <w:bookmarkStart w:id="4" w:name="_Toc242839198"/>
      <w:r w:rsidRPr="006C7A1C">
        <w:t>Part 2: Practical Examples of Concepts in Practice</w:t>
      </w:r>
      <w:bookmarkEnd w:id="4"/>
    </w:p>
    <w:p w14:paraId="67D26ACD" w14:textId="77777777" w:rsidR="006C7A1C" w:rsidRPr="006C7A1C" w:rsidRDefault="006C7A1C" w:rsidP="006C7A1C">
      <w:pPr>
        <w:pStyle w:val="Heading2"/>
      </w:pPr>
      <w:bookmarkStart w:id="5" w:name="_Toc242839199"/>
      <w:r w:rsidRPr="006C7A1C">
        <w:t>2.1 A UK hospital discharge example</w:t>
      </w:r>
      <w:bookmarkEnd w:id="5"/>
    </w:p>
    <w:p w14:paraId="0A58C572" w14:textId="77777777" w:rsidR="006C7A1C" w:rsidRDefault="006C7A1C" w:rsidP="006C7A1C">
      <w:pPr>
        <w:spacing w:after="267" w:line="360" w:lineRule="auto"/>
        <w:rPr>
          <w:rFonts w:ascii="Arial" w:hAnsi="Arial" w:cs="Arial"/>
        </w:rPr>
      </w:pPr>
      <w:r w:rsidRPr="006C7A1C">
        <w:rPr>
          <w:rFonts w:ascii="Arial" w:hAnsi="Arial" w:cs="Arial"/>
        </w:rPr>
        <w:t>For example, the co-ordinated hospital discharge model outlined in the guidance for hospital discharge and community support from the Department of Health and Social Care and NHS England, updated in January 2024. The guidance covers collaboration between NHS organisations and local authorities, the role of unpaid carers (when relevant) and a care transfer hub to coordinate across organisations (Department of Health and Social Care and NHS England, 2024). It recognises the care transfer centre in Croydon as an example of local co-ordination. While this guidance provides a description of the intended practice model, this description is not evidence of achieving better outcomes in all local implementations.</w:t>
      </w:r>
    </w:p>
    <w:p w14:paraId="07163AC1" w14:textId="77777777" w:rsidR="006C7A1C" w:rsidRDefault="006C7A1C" w:rsidP="006C7A1C">
      <w:pPr>
        <w:spacing w:after="267" w:line="360" w:lineRule="auto"/>
        <w:rPr>
          <w:rFonts w:ascii="Arial" w:hAnsi="Arial" w:cs="Arial"/>
        </w:rPr>
      </w:pPr>
      <w:r w:rsidRPr="006C7A1C">
        <w:rPr>
          <w:rFonts w:ascii="Arial" w:hAnsi="Arial" w:cs="Arial"/>
        </w:rPr>
        <w:t xml:space="preserve">An older adult who has fallen and is recovering and wants to return home but requires an assessment of their mobility and assistance with their daily activities, as well as medication assistance. This scenario demonstrates the application of the discharge model to competing </w:t>
      </w:r>
      <w:r w:rsidRPr="006C7A1C">
        <w:rPr>
          <w:rFonts w:ascii="Arial" w:hAnsi="Arial" w:cs="Arial"/>
        </w:rPr>
        <w:lastRenderedPageBreak/>
        <w:t>priorities: the individual's preferred living arrangements, the need to manage anticipated risk and community support available.</w:t>
      </w:r>
    </w:p>
    <w:p w14:paraId="29BD064B" w14:textId="05541E2C" w:rsidR="006C7A1C" w:rsidRPr="006C7A1C" w:rsidRDefault="006C7A1C" w:rsidP="006C7A1C">
      <w:pPr>
        <w:pStyle w:val="Heading2"/>
      </w:pPr>
      <w:bookmarkStart w:id="6" w:name="_Toc242839200"/>
      <w:r w:rsidRPr="006C7A1C">
        <w:t>2.2 Person-centred and ethical application</w:t>
      </w:r>
      <w:bookmarkEnd w:id="6"/>
    </w:p>
    <w:p w14:paraId="529F6604" w14:textId="39A7AD3E" w:rsidR="006C7A1C" w:rsidRDefault="006C7A1C" w:rsidP="006C7A1C">
      <w:pPr>
        <w:spacing w:after="267" w:line="360" w:lineRule="auto"/>
        <w:rPr>
          <w:rFonts w:ascii="Arial" w:hAnsi="Arial" w:cs="Arial"/>
        </w:rPr>
      </w:pPr>
      <w:r w:rsidRPr="006C7A1C">
        <w:rPr>
          <w:rFonts w:ascii="Arial" w:hAnsi="Arial" w:cs="Arial"/>
        </w:rPr>
        <w:t xml:space="preserve">Discharge planning should start with enquiries regarding the individual's priorities, their typical habits and concerns. They should communicate the options that are available in terms that are easy to understand and discuss the pros and cons of going home with support. NICE (2021) suggests engaging people in decisions and, if desired, their relatives, carers or advocates. This enables autonomy </w:t>
      </w:r>
      <w:r w:rsidR="00D06D8B" w:rsidRPr="006C7A1C">
        <w:rPr>
          <w:rFonts w:ascii="Arial" w:hAnsi="Arial" w:cs="Arial"/>
        </w:rPr>
        <w:t>and</w:t>
      </w:r>
      <w:r w:rsidRPr="006C7A1C">
        <w:rPr>
          <w:rFonts w:ascii="Arial" w:hAnsi="Arial" w:cs="Arial"/>
        </w:rPr>
        <w:t xml:space="preserve"> takes into account the importance of communication and support in relation to participation.</w:t>
      </w:r>
    </w:p>
    <w:p w14:paraId="29811E34" w14:textId="65A09B9E" w:rsidR="006C7A1C" w:rsidRDefault="006C7A1C" w:rsidP="006C7A1C">
      <w:pPr>
        <w:spacing w:after="267" w:line="360" w:lineRule="auto"/>
        <w:rPr>
          <w:rFonts w:ascii="Arial" w:hAnsi="Arial" w:cs="Arial"/>
        </w:rPr>
      </w:pPr>
      <w:r w:rsidRPr="006C7A1C">
        <w:rPr>
          <w:rFonts w:ascii="Arial" w:hAnsi="Arial" w:cs="Arial"/>
        </w:rPr>
        <w:t xml:space="preserve">The Care Act 2014 considers wellbeing and </w:t>
      </w:r>
      <w:r w:rsidR="00DF5F81" w:rsidRPr="006C7A1C">
        <w:rPr>
          <w:rFonts w:ascii="Arial" w:hAnsi="Arial" w:cs="Arial"/>
        </w:rPr>
        <w:t>independence,</w:t>
      </w:r>
      <w:r w:rsidRPr="006C7A1C">
        <w:rPr>
          <w:rFonts w:ascii="Arial" w:hAnsi="Arial" w:cs="Arial"/>
        </w:rPr>
        <w:t xml:space="preserve"> and the Mental Capacity Act 2005 applies if capacity to make a particular decision is being considered. The wishes of an adult with capacity to return home should not be disregarded simply on the basis that they feel it is not safe to do so. Practitioners, however, should discuss alternative strategies, such as mobility, rehabilitation, home-care support and follow-up, that are proportionate.</w:t>
      </w:r>
    </w:p>
    <w:p w14:paraId="2ACEE512" w14:textId="758C7C15" w:rsidR="006C7A1C" w:rsidRPr="006C7A1C" w:rsidRDefault="006C7A1C" w:rsidP="006C7A1C">
      <w:pPr>
        <w:pStyle w:val="Heading2"/>
      </w:pPr>
      <w:bookmarkStart w:id="7" w:name="_Toc242839201"/>
      <w:r w:rsidRPr="006C7A1C">
        <w:t>2.3 Partnership working and evaluation</w:t>
      </w:r>
      <w:bookmarkEnd w:id="7"/>
    </w:p>
    <w:p w14:paraId="74F08BBA" w14:textId="77777777" w:rsidR="006C7A1C" w:rsidRDefault="006C7A1C" w:rsidP="006C7A1C">
      <w:pPr>
        <w:spacing w:after="267" w:line="360" w:lineRule="auto"/>
        <w:rPr>
          <w:rFonts w:ascii="Arial" w:hAnsi="Arial" w:cs="Arial"/>
        </w:rPr>
      </w:pPr>
      <w:r w:rsidRPr="006C7A1C">
        <w:rPr>
          <w:rFonts w:ascii="Arial" w:hAnsi="Arial" w:cs="Arial"/>
        </w:rPr>
        <w:t>To achieve effective discharge, there must be a coordinated effort between hospital nurses, doctors, therapists, social work and community teams and providers. The national guidance for 2024 is for discharge planning to start early, engage relevant partners and provide people with the right support in the community (Department of Health and Social Care and NHS England, 2024). The instructions for taking the medicine, the follow-up arrangements and who is responsible for outstanding actions should be made clear.</w:t>
      </w:r>
    </w:p>
    <w:p w14:paraId="5E02BB08" w14:textId="77777777" w:rsidR="006C7A1C" w:rsidRDefault="006C7A1C" w:rsidP="006C7A1C">
      <w:pPr>
        <w:spacing w:after="267" w:line="360" w:lineRule="auto"/>
        <w:rPr>
          <w:rFonts w:ascii="Arial" w:hAnsi="Arial" w:cs="Arial"/>
        </w:rPr>
      </w:pPr>
      <w:r w:rsidRPr="006C7A1C">
        <w:rPr>
          <w:rFonts w:ascii="Arial" w:hAnsi="Arial" w:cs="Arial"/>
        </w:rPr>
        <w:t>The research confirms a critical view on collaboration and not an idealised one. Doornebosch, Smaling and Achterberg (2022) emphasise that information sharing and organisational conditions are central to this, and Alderwick et al. (2021) warn that there are mixed reports about evidence of better outcomes from multi-agency collaboration. Therefore, a discharge meeting is not enough - effectiveness of partnership working should be judged on whether agreed support is in place, responsibilities are clear and individual understands the plan.</w:t>
      </w:r>
    </w:p>
    <w:p w14:paraId="723DBC6B" w14:textId="77777777" w:rsidR="006C7A1C" w:rsidRDefault="006C7A1C" w:rsidP="006C7A1C">
      <w:pPr>
        <w:spacing w:after="267" w:line="360" w:lineRule="auto"/>
        <w:rPr>
          <w:rFonts w:ascii="Arial" w:hAnsi="Arial" w:cs="Arial"/>
        </w:rPr>
      </w:pPr>
      <w:r w:rsidRPr="006C7A1C">
        <w:rPr>
          <w:rFonts w:ascii="Arial" w:hAnsi="Arial" w:cs="Arial"/>
        </w:rPr>
        <w:t xml:space="preserve">Staffing levels, late delivery of community services and competing work priorities are some of the potential barriers. These can sabotage otherwise good plans. Practice, therefore, needs to involve escalation of unresolved concerns, recording and monitoring of the suitability of the discharge arrangements to the individual's needs. The following example </w:t>
      </w:r>
      <w:r w:rsidRPr="006C7A1C">
        <w:rPr>
          <w:rFonts w:ascii="Arial" w:hAnsi="Arial" w:cs="Arial"/>
        </w:rPr>
        <w:lastRenderedPageBreak/>
        <w:t>illustrates the need for person-centred decisions and coordinated implementation to work in tandem.</w:t>
      </w:r>
    </w:p>
    <w:p w14:paraId="4E42EA67" w14:textId="196FD4A7" w:rsidR="006C7A1C" w:rsidRPr="006C7A1C" w:rsidRDefault="006C7A1C" w:rsidP="006C7A1C">
      <w:pPr>
        <w:pStyle w:val="Heading1"/>
      </w:pPr>
      <w:bookmarkStart w:id="8" w:name="_Toc242839202"/>
      <w:r w:rsidRPr="006C7A1C">
        <w:t>Part 3: Self-Reflection as a Health and Social Care Professional</w:t>
      </w:r>
      <w:bookmarkEnd w:id="8"/>
    </w:p>
    <w:p w14:paraId="7827579E" w14:textId="77777777" w:rsidR="006C7A1C" w:rsidRPr="006C7A1C" w:rsidRDefault="006C7A1C" w:rsidP="006C7A1C">
      <w:pPr>
        <w:pStyle w:val="Heading2"/>
      </w:pPr>
      <w:bookmarkStart w:id="9" w:name="_Toc242839203"/>
      <w:r w:rsidRPr="006C7A1C">
        <w:t>3.1 Description and feelings</w:t>
      </w:r>
      <w:bookmarkEnd w:id="9"/>
    </w:p>
    <w:p w14:paraId="30730C57" w14:textId="325D47DF" w:rsidR="006C7A1C" w:rsidRDefault="006C7A1C" w:rsidP="006C7A1C">
      <w:pPr>
        <w:spacing w:after="267" w:line="360" w:lineRule="auto"/>
        <w:rPr>
          <w:rFonts w:ascii="Arial" w:hAnsi="Arial" w:cs="Arial"/>
        </w:rPr>
      </w:pPr>
      <w:r w:rsidRPr="006C7A1C">
        <w:rPr>
          <w:rFonts w:ascii="Arial" w:hAnsi="Arial" w:cs="Arial"/>
        </w:rPr>
        <w:t>The Gibbs' reflective cycle is a systematic approach to reflecting on professional experiences and learning about what can be improved (</w:t>
      </w:r>
      <w:r w:rsidR="00D06D8B" w:rsidRPr="006C7A1C">
        <w:rPr>
          <w:rFonts w:ascii="Arial" w:hAnsi="Arial" w:cs="Arial"/>
        </w:rPr>
        <w:t>Gibb’s</w:t>
      </w:r>
      <w:r w:rsidRPr="006C7A1C">
        <w:rPr>
          <w:rFonts w:ascii="Arial" w:hAnsi="Arial" w:cs="Arial"/>
        </w:rPr>
        <w:t xml:space="preserve">, 1988). In practice, I appreciate the conflict with respecting an individual's desire to return home and addressing concerns about safety when applied to the discharge scenario. At first, I might think I am responsible for causing harm and turn to excessive risk. If I were to </w:t>
      </w:r>
      <w:r w:rsidR="00D06D8B" w:rsidRPr="006C7A1C">
        <w:rPr>
          <w:rFonts w:ascii="Arial" w:hAnsi="Arial" w:cs="Arial"/>
        </w:rPr>
        <w:t>reflect,</w:t>
      </w:r>
      <w:r w:rsidRPr="006C7A1C">
        <w:rPr>
          <w:rFonts w:ascii="Arial" w:hAnsi="Arial" w:cs="Arial"/>
        </w:rPr>
        <w:t xml:space="preserve"> I would have to ask </w:t>
      </w:r>
      <w:r w:rsidR="00D06D8B" w:rsidRPr="006C7A1C">
        <w:rPr>
          <w:rFonts w:ascii="Arial" w:hAnsi="Arial" w:cs="Arial"/>
        </w:rPr>
        <w:t>myself</w:t>
      </w:r>
      <w:r w:rsidRPr="006C7A1C">
        <w:rPr>
          <w:rFonts w:ascii="Arial" w:hAnsi="Arial" w:cs="Arial"/>
        </w:rPr>
        <w:t xml:space="preserve"> does this response further the person's wellbeing, or does it </w:t>
      </w:r>
      <w:proofErr w:type="gramStart"/>
      <w:r w:rsidRPr="006C7A1C">
        <w:rPr>
          <w:rFonts w:ascii="Arial" w:hAnsi="Arial" w:cs="Arial"/>
        </w:rPr>
        <w:t>actually limit</w:t>
      </w:r>
      <w:proofErr w:type="gramEnd"/>
      <w:r w:rsidRPr="006C7A1C">
        <w:rPr>
          <w:rFonts w:ascii="Arial" w:hAnsi="Arial" w:cs="Arial"/>
        </w:rPr>
        <w:t xml:space="preserve"> his or her independence</w:t>
      </w:r>
      <w:r>
        <w:rPr>
          <w:rFonts w:ascii="Arial" w:hAnsi="Arial" w:cs="Arial"/>
        </w:rPr>
        <w:t>.</w:t>
      </w:r>
    </w:p>
    <w:p w14:paraId="0FB17EA8" w14:textId="641D028E" w:rsidR="006C7A1C" w:rsidRDefault="006C7A1C" w:rsidP="006C7A1C">
      <w:pPr>
        <w:spacing w:after="267" w:line="360" w:lineRule="auto"/>
        <w:rPr>
          <w:rFonts w:ascii="Arial" w:hAnsi="Arial" w:cs="Arial"/>
        </w:rPr>
      </w:pPr>
      <w:r w:rsidRPr="006C7A1C">
        <w:rPr>
          <w:rFonts w:ascii="Arial" w:hAnsi="Arial" w:cs="Arial"/>
        </w:rPr>
        <w:t xml:space="preserve">I should understand that in my role as a developing health and social care practitioner, I need to be mindful that when I'm not certain about the right course of action, I should not make decisions for others. My job is listening, evaluating, providing information about options and communicating within my abilities. This scenario is </w:t>
      </w:r>
      <w:r w:rsidR="00DF5F81" w:rsidRPr="006C7A1C">
        <w:rPr>
          <w:rFonts w:ascii="Arial" w:hAnsi="Arial" w:cs="Arial"/>
        </w:rPr>
        <w:t>a</w:t>
      </w:r>
      <w:r w:rsidRPr="006C7A1C">
        <w:rPr>
          <w:rFonts w:ascii="Arial" w:hAnsi="Arial" w:cs="Arial"/>
        </w:rPr>
        <w:t xml:space="preserve"> hypothetical reflection and not a reflection of my life at work unless it's something I really experienced.</w:t>
      </w:r>
    </w:p>
    <w:p w14:paraId="2155D538" w14:textId="618D959C" w:rsidR="006C7A1C" w:rsidRPr="006C7A1C" w:rsidRDefault="006C7A1C" w:rsidP="006C7A1C">
      <w:pPr>
        <w:pStyle w:val="Heading2"/>
      </w:pPr>
      <w:bookmarkStart w:id="10" w:name="_Toc242839204"/>
      <w:r w:rsidRPr="006C7A1C">
        <w:t>3.2 Evaluation</w:t>
      </w:r>
      <w:bookmarkEnd w:id="10"/>
    </w:p>
    <w:p w14:paraId="70BA579D" w14:textId="281F5891" w:rsidR="006C7A1C" w:rsidRDefault="006C7A1C" w:rsidP="006C7A1C">
      <w:pPr>
        <w:spacing w:after="267" w:line="360" w:lineRule="auto"/>
        <w:rPr>
          <w:rFonts w:ascii="Arial" w:hAnsi="Arial" w:cs="Arial"/>
        </w:rPr>
      </w:pPr>
      <w:r w:rsidRPr="006C7A1C">
        <w:rPr>
          <w:rFonts w:ascii="Arial" w:hAnsi="Arial" w:cs="Arial"/>
        </w:rPr>
        <w:t xml:space="preserve">There is one positive aspect of the proposed response, which focuses on the individual's preferences. If the person can hear and understand what is being said, they may be able to agree to a </w:t>
      </w:r>
      <w:r w:rsidR="00DF5F81" w:rsidRPr="006C7A1C">
        <w:rPr>
          <w:rFonts w:ascii="Arial" w:hAnsi="Arial" w:cs="Arial"/>
        </w:rPr>
        <w:t>care plan</w:t>
      </w:r>
      <w:r w:rsidRPr="006C7A1C">
        <w:rPr>
          <w:rFonts w:ascii="Arial" w:hAnsi="Arial" w:cs="Arial"/>
        </w:rPr>
        <w:t xml:space="preserve"> that they are more likely to be able to follow. Shared decision-making is supported by NICE (2021) and wellbeing and control over daily life has been emphasised by the Care Act 2014. These principles are about moving away from decisions made by professionals and towards informed participation.</w:t>
      </w:r>
    </w:p>
    <w:p w14:paraId="4DBB8B01" w14:textId="77777777" w:rsidR="006C7A1C" w:rsidRDefault="006C7A1C" w:rsidP="006C7A1C">
      <w:pPr>
        <w:spacing w:after="267" w:line="360" w:lineRule="auto"/>
        <w:rPr>
          <w:rFonts w:ascii="Arial" w:hAnsi="Arial" w:cs="Arial"/>
        </w:rPr>
      </w:pPr>
      <w:r w:rsidRPr="006C7A1C">
        <w:rPr>
          <w:rFonts w:ascii="Arial" w:hAnsi="Arial" w:cs="Arial"/>
        </w:rPr>
        <w:t>But even with the best of intentions, however, practical competence will not be beaten with a stick. Discharge may appear person centred but may not be safe if I have not documented concerns, communicated changes or confirmed that community support was available. Cooperation and coordinated support, both within and between hospital and community services, form a strong emphasis of the Department of Health and Social Care and NHS England (2024). This involves not only the passing on of information to another practitioner, but also ensuring arrangements are followed and concerns raised when the arrangements are not completed.</w:t>
      </w:r>
    </w:p>
    <w:p w14:paraId="6119B28B" w14:textId="020D27C6" w:rsidR="006C7A1C" w:rsidRPr="006C7A1C" w:rsidRDefault="006C7A1C" w:rsidP="006C7A1C">
      <w:pPr>
        <w:pStyle w:val="Heading2"/>
      </w:pPr>
      <w:bookmarkStart w:id="11" w:name="_Toc242839205"/>
      <w:r w:rsidRPr="006C7A1C">
        <w:lastRenderedPageBreak/>
        <w:t>3.3 Analysis of professional responsibilities</w:t>
      </w:r>
      <w:bookmarkEnd w:id="11"/>
    </w:p>
    <w:p w14:paraId="670C6595" w14:textId="77777777" w:rsidR="006C7A1C" w:rsidRDefault="006C7A1C" w:rsidP="006C7A1C">
      <w:pPr>
        <w:spacing w:after="267" w:line="360" w:lineRule="auto"/>
        <w:rPr>
          <w:rFonts w:ascii="Arial" w:hAnsi="Arial" w:cs="Arial"/>
        </w:rPr>
      </w:pPr>
      <w:r w:rsidRPr="006C7A1C">
        <w:rPr>
          <w:rFonts w:ascii="Arial" w:hAnsi="Arial" w:cs="Arial"/>
        </w:rPr>
        <w:t>When a decision seems to have a high risk of involving the Mental Capacity Act 2005 is important. In a way, I must never mistake a decision I don't like, or feel is unwise, for not being able to make a decision. Capacity is not general and provision of practicable assistance should be made to help the person to understand and consider relevant information. Where there is a shortage of capacity, options should be determined by the legal framework, not on the assumption of what is best.</w:t>
      </w:r>
    </w:p>
    <w:p w14:paraId="254D433E" w14:textId="77777777" w:rsidR="006C7A1C" w:rsidRDefault="006C7A1C" w:rsidP="006C7A1C">
      <w:pPr>
        <w:spacing w:after="267" w:line="360" w:lineRule="auto"/>
        <w:rPr>
          <w:rFonts w:ascii="Arial" w:hAnsi="Arial" w:cs="Arial"/>
        </w:rPr>
      </w:pPr>
      <w:r w:rsidRPr="006C7A1C">
        <w:rPr>
          <w:rFonts w:ascii="Arial" w:hAnsi="Arial" w:cs="Arial"/>
        </w:rPr>
        <w:t>There's also a balance of potential benefits and harms to be performed when practicing ethical reasoning. A restrictive arrangement can result in the reduction of one risk but at the same time impact independence, relationships and emotional wellbeing. On the other hand, respecting choice without taking into account risks that are reasonably foreseeable may mean that someone is vulnerable to risks that they could have avoided. This is to evaluate situations, talk through possibilities or to consult with professionals if needed.</w:t>
      </w:r>
    </w:p>
    <w:p w14:paraId="7959E4B7" w14:textId="77777777" w:rsidR="006C7A1C" w:rsidRDefault="006C7A1C" w:rsidP="006C7A1C">
      <w:pPr>
        <w:spacing w:after="267" w:line="360" w:lineRule="auto"/>
        <w:rPr>
          <w:rFonts w:ascii="Arial" w:hAnsi="Arial" w:cs="Arial"/>
        </w:rPr>
      </w:pPr>
      <w:r w:rsidRPr="006C7A1C">
        <w:rPr>
          <w:rFonts w:ascii="Arial" w:hAnsi="Arial" w:cs="Arial"/>
        </w:rPr>
        <w:t>Research also refutes the notion that cooperation leads to improved care. Earlier, Alderwick et al. (2021) discovered mixed results regarding the impacts of cross-sector partnerships and Doornebosch, Smaling and Achterberg (2022) highlighted the importance of information sharing and organisational conditions for collaboration. The results show that there needs to be a level of trust and accountability built into team-working. In my practice I need to therefore consider not only the professionals' ability to communicate, but whether the communication resulted in a suitable, understood and workable plan.</w:t>
      </w:r>
    </w:p>
    <w:p w14:paraId="2AD612B8" w14:textId="77AE6B5E" w:rsidR="006C7A1C" w:rsidRPr="006C7A1C" w:rsidRDefault="006C7A1C" w:rsidP="006C7A1C">
      <w:pPr>
        <w:pStyle w:val="Heading2"/>
      </w:pPr>
      <w:bookmarkStart w:id="12" w:name="_Toc242839206"/>
      <w:r w:rsidRPr="006C7A1C">
        <w:t>3.4 Strengths and areas for improvement</w:t>
      </w:r>
      <w:bookmarkEnd w:id="12"/>
    </w:p>
    <w:p w14:paraId="4206E46A" w14:textId="77777777" w:rsidR="006C7A1C" w:rsidRDefault="006C7A1C" w:rsidP="006C7A1C">
      <w:pPr>
        <w:spacing w:after="267" w:line="360" w:lineRule="auto"/>
        <w:rPr>
          <w:rFonts w:ascii="Arial" w:hAnsi="Arial" w:cs="Arial"/>
        </w:rPr>
      </w:pPr>
      <w:r w:rsidRPr="006C7A1C">
        <w:rPr>
          <w:rFonts w:ascii="Arial" w:hAnsi="Arial" w:cs="Arial"/>
        </w:rPr>
        <w:t>My strengths are going to be empathy, meeting the needs of listening and recognition of choice. These characteristics may be useful in developing respectful relationships and preventing treating care as a list of tasks. However, I should not presume that these wishes represent competence without feedback, or evidence from practice.</w:t>
      </w:r>
    </w:p>
    <w:p w14:paraId="6740E012" w14:textId="77777777" w:rsidR="006C7A1C" w:rsidRDefault="006C7A1C" w:rsidP="006C7A1C">
      <w:pPr>
        <w:spacing w:after="267" w:line="360" w:lineRule="auto"/>
        <w:rPr>
          <w:rFonts w:ascii="Arial" w:hAnsi="Arial" w:cs="Arial"/>
        </w:rPr>
      </w:pPr>
      <w:r w:rsidRPr="006C7A1C">
        <w:rPr>
          <w:rFonts w:ascii="Arial" w:hAnsi="Arial" w:cs="Arial"/>
        </w:rPr>
        <w:t>Further training in areas of relevant legislation, safeguarding, confidentiality and professional documentation is required. I would also greatly appreciate the ability to strengthen my ability to communicate across multiple disciplines, especially when there are conflicting opinions among professionals or resources are scarce. These are priorities in development as without the ability to implement person centred values in a safe, coordinated manner they are ineffective.</w:t>
      </w:r>
    </w:p>
    <w:p w14:paraId="4B50617C" w14:textId="3DAE6AB8" w:rsidR="006C7A1C" w:rsidRPr="006C7A1C" w:rsidRDefault="006C7A1C" w:rsidP="006C7A1C">
      <w:pPr>
        <w:pStyle w:val="Heading2"/>
      </w:pPr>
      <w:bookmarkStart w:id="13" w:name="_Toc242839207"/>
      <w:r w:rsidRPr="006C7A1C">
        <w:lastRenderedPageBreak/>
        <w:t>3.5 Action plan and future practice</w:t>
      </w:r>
      <w:bookmarkEnd w:id="13"/>
    </w:p>
    <w:p w14:paraId="7E64852F" w14:textId="77777777" w:rsidR="006C7A1C" w:rsidRDefault="006C7A1C" w:rsidP="006C7A1C">
      <w:pPr>
        <w:spacing w:after="267" w:line="360" w:lineRule="auto"/>
        <w:rPr>
          <w:rFonts w:ascii="Arial" w:hAnsi="Arial" w:cs="Arial"/>
        </w:rPr>
      </w:pPr>
      <w:r w:rsidRPr="006C7A1C">
        <w:rPr>
          <w:rFonts w:ascii="Arial" w:hAnsi="Arial" w:cs="Arial"/>
        </w:rPr>
        <w:t>My primary development priority is to build my knowledge of the Care Act 2014, Mental Capacity Act 2005 and latest guidance on discharges. I would be checking in with authoritative guidance and having discussions with a supervisor about anonymised scenarios. Progress could be assessed using the feedback from supervision and explaining the application of legal principles to specific decisions.</w:t>
      </w:r>
    </w:p>
    <w:p w14:paraId="5EFF5FA0" w14:textId="77777777" w:rsidR="006C7A1C" w:rsidRDefault="006C7A1C" w:rsidP="006C7A1C">
      <w:pPr>
        <w:spacing w:after="267" w:line="360" w:lineRule="auto"/>
        <w:rPr>
          <w:rFonts w:ascii="Arial" w:hAnsi="Arial" w:cs="Arial"/>
        </w:rPr>
      </w:pPr>
      <w:r w:rsidRPr="006C7A1C">
        <w:rPr>
          <w:rFonts w:ascii="Arial" w:hAnsi="Arial" w:cs="Arial"/>
        </w:rPr>
        <w:t>Second, I would build communication and partnership-working skills through the completion of appropriate training and witnessing the practice of others who had done so in a professional context. I would review using supervision to check: if I communicate concerns clearly; if I record responsibilities and confirm actions have been carried out.</w:t>
      </w:r>
    </w:p>
    <w:p w14:paraId="0B0C7C6C" w14:textId="77777777" w:rsidR="006C7A1C" w:rsidRDefault="006C7A1C" w:rsidP="006C7A1C">
      <w:pPr>
        <w:spacing w:after="267" w:line="360" w:lineRule="auto"/>
        <w:rPr>
          <w:rFonts w:ascii="Arial" w:hAnsi="Arial" w:cs="Arial"/>
        </w:rPr>
      </w:pPr>
      <w:r w:rsidRPr="006C7A1C">
        <w:rPr>
          <w:rFonts w:ascii="Arial" w:hAnsi="Arial" w:cs="Arial"/>
        </w:rPr>
        <w:t>Third, I would keep reflective notes based on Gibbs' cycle, in which I would describe the situation, my response, evidence on which my judgement was made, and what actions would I take to improve. I would meet with a supervisor every so often to check on these records. This would then transform reflection into an ongoing process of development instead of one-off academic activity.</w:t>
      </w:r>
    </w:p>
    <w:p w14:paraId="60F4E61F" w14:textId="77777777" w:rsidR="006C7A1C" w:rsidRDefault="006C7A1C" w:rsidP="006C7A1C">
      <w:pPr>
        <w:spacing w:after="267" w:line="360" w:lineRule="auto"/>
        <w:rPr>
          <w:rFonts w:ascii="Arial" w:hAnsi="Arial" w:cs="Arial"/>
        </w:rPr>
      </w:pPr>
      <w:r w:rsidRPr="006C7A1C">
        <w:rPr>
          <w:rFonts w:ascii="Arial" w:hAnsi="Arial" w:cs="Arial"/>
        </w:rPr>
        <w:t>For future practice I would strive to ensure that children's autonomy, wellbeing and safeguarding needs are met via accessible communication, risk assessment and collaboration that is proportionate. When decisions were beyond my capability, I would seek advice and when I had concerns as to the support I needed, I would raise concerns. Structured learning, supervision, and critical reflection enabled me to enhance my role in safe, respectful and coordinated care.</w:t>
      </w:r>
    </w:p>
    <w:p w14:paraId="5546CBB9" w14:textId="47B76044" w:rsidR="006C7A1C" w:rsidRPr="006C7A1C" w:rsidRDefault="006C7A1C" w:rsidP="006C7A1C">
      <w:pPr>
        <w:pStyle w:val="Heading1"/>
      </w:pPr>
      <w:bookmarkStart w:id="14" w:name="_Toc242839208"/>
      <w:r w:rsidRPr="006C7A1C">
        <w:t>Conclusion</w:t>
      </w:r>
      <w:bookmarkEnd w:id="14"/>
    </w:p>
    <w:p w14:paraId="7E84D069" w14:textId="661A47D5" w:rsidR="006C7A1C" w:rsidRDefault="006C7A1C" w:rsidP="006C7A1C">
      <w:pPr>
        <w:spacing w:after="267" w:line="360" w:lineRule="auto"/>
      </w:pPr>
      <w:r w:rsidRPr="006C7A1C">
        <w:rPr>
          <w:rFonts w:ascii="Arial" w:hAnsi="Arial" w:cs="Arial"/>
        </w:rPr>
        <w:t xml:space="preserve">Important principles of health and social care are partnership working and ethical decision making along with person centred care. The example of hospital discharge illustrates the need to respect the individual choice with proportionate risk management, communication and co-ordinated services. The legislation and existing guidance set out </w:t>
      </w:r>
      <w:proofErr w:type="gramStart"/>
      <w:r w:rsidRPr="006C7A1C">
        <w:rPr>
          <w:rFonts w:ascii="Arial" w:hAnsi="Arial" w:cs="Arial"/>
        </w:rPr>
        <w:t>a number of</w:t>
      </w:r>
      <w:proofErr w:type="gramEnd"/>
      <w:r w:rsidRPr="006C7A1C">
        <w:rPr>
          <w:rFonts w:ascii="Arial" w:hAnsi="Arial" w:cs="Arial"/>
        </w:rPr>
        <w:t xml:space="preserve"> responsibilities, which will only be met through professional judgement and organisational circumstances. Assumptions can be identified through reflective practice and development can be measured. Practitioners working with empathy and legal awareness, accountability and collaboration, can help achieve dignity, independence and wellbeing.</w:t>
      </w:r>
    </w:p>
    <w:p w14:paraId="304AEFF0" w14:textId="77777777" w:rsidR="0089102C" w:rsidRDefault="0089102C" w:rsidP="0089102C">
      <w:pPr>
        <w:spacing w:after="267" w:line="360" w:lineRule="auto"/>
        <w:rPr>
          <w:rFonts w:ascii="Arial" w:eastAsia="Arial" w:hAnsi="Arial" w:cs="Arial"/>
        </w:rPr>
      </w:pPr>
    </w:p>
    <w:p w14:paraId="40B758DC" w14:textId="55BC3505" w:rsidR="006C7A1C" w:rsidRPr="0089102C" w:rsidRDefault="006C7A1C" w:rsidP="0089102C">
      <w:pPr>
        <w:pStyle w:val="Heading1"/>
      </w:pPr>
      <w:bookmarkStart w:id="15" w:name="_Toc242839209"/>
      <w:r w:rsidRPr="006C7A1C">
        <w:lastRenderedPageBreak/>
        <w:t>References</w:t>
      </w:r>
      <w:bookmarkEnd w:id="15"/>
    </w:p>
    <w:p w14:paraId="54D8B634"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 xml:space="preserve">Alderwick, H., Hutchings, A., Briggs, A. and Mays, N. (2021) ‘The impacts of collaboration between local health care and non-health care organizations and factors shaping how they work: a systematic review of reviews’, BMC Public Health, 21, article 753. Available at: </w:t>
      </w:r>
      <w:hyperlink r:id="rId8" w:history="1">
        <w:r w:rsidRPr="006C7A1C">
          <w:rPr>
            <w:rStyle w:val="Hyperlink"/>
            <w:rFonts w:ascii="Arial" w:hAnsi="Arial" w:cs="Arial"/>
          </w:rPr>
          <w:t>https://doi.org/10.1186/s12889-021-10630-1</w:t>
        </w:r>
      </w:hyperlink>
    </w:p>
    <w:p w14:paraId="18D2D145"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 xml:space="preserve">Ahmed, A., van den Muijsenbergh, M.E.T.C. and Vrijhoef, H.J.M. (2022) ‘Person-centred care in primary care: What works for whom, how and in what circumstances?’, Health &amp; Social Care in the Community, 30(6), pp. e3328–e3341. Available at: </w:t>
      </w:r>
      <w:hyperlink r:id="rId9" w:history="1">
        <w:r w:rsidRPr="006C7A1C">
          <w:rPr>
            <w:rStyle w:val="Hyperlink"/>
            <w:rFonts w:ascii="Arial" w:hAnsi="Arial" w:cs="Arial"/>
          </w:rPr>
          <w:t>https://doi.org/10.1111/hsc.13913</w:t>
        </w:r>
      </w:hyperlink>
    </w:p>
    <w:p w14:paraId="6AB2F884" w14:textId="72E036B9" w:rsidR="006C7A1C" w:rsidRPr="006C7A1C" w:rsidRDefault="006C7A1C" w:rsidP="006C7A1C">
      <w:pPr>
        <w:spacing w:after="0" w:line="480" w:lineRule="auto"/>
        <w:ind w:left="454" w:hanging="454"/>
        <w:rPr>
          <w:rFonts w:ascii="Arial" w:hAnsi="Arial" w:cs="Arial"/>
        </w:rPr>
      </w:pPr>
      <w:r w:rsidRPr="006C7A1C">
        <w:rPr>
          <w:rFonts w:ascii="Arial" w:hAnsi="Arial" w:cs="Arial"/>
        </w:rPr>
        <w:t>Berkovic, D., Macrae, A., Gulline, H., Horsman, P., Soh, S.-E., Skouteris, H. and Ayton, D. (2024) ‘The delivery of person-</w:t>
      </w:r>
      <w:r w:rsidR="00F71F91" w:rsidRPr="006C7A1C">
        <w:rPr>
          <w:rFonts w:ascii="Arial" w:hAnsi="Arial" w:cs="Arial"/>
        </w:rPr>
        <w:t>cantered</w:t>
      </w:r>
      <w:r w:rsidRPr="006C7A1C">
        <w:rPr>
          <w:rFonts w:ascii="Arial" w:hAnsi="Arial" w:cs="Arial"/>
        </w:rPr>
        <w:t xml:space="preserve"> care for people living with dementia in residential aged care: a systematic review and meta-analysis’, The Gerontologist, 64(5), article gnad052. Available at: </w:t>
      </w:r>
      <w:hyperlink r:id="rId10" w:history="1">
        <w:r w:rsidRPr="006C7A1C">
          <w:rPr>
            <w:rStyle w:val="Hyperlink"/>
            <w:rFonts w:ascii="Arial" w:hAnsi="Arial" w:cs="Arial"/>
          </w:rPr>
          <w:t>https://doi.org/10.1093/geront/gnad052</w:t>
        </w:r>
      </w:hyperlink>
    </w:p>
    <w:p w14:paraId="6EF4BF7C"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 xml:space="preserve">Department of Health and Social Care and NHS England (2024) Hospital discharge and community support guidance. Available at: </w:t>
      </w:r>
      <w:hyperlink r:id="rId11" w:history="1">
        <w:r w:rsidRPr="006C7A1C">
          <w:rPr>
            <w:rStyle w:val="Hyperlink"/>
            <w:rFonts w:ascii="Arial" w:hAnsi="Arial" w:cs="Arial"/>
          </w:rPr>
          <w:t>https://www.gov.uk/government/publications/hospital-discharge-and-community-support-guidance</w:t>
        </w:r>
      </w:hyperlink>
      <w:r w:rsidRPr="006C7A1C">
        <w:rPr>
          <w:rFonts w:ascii="Arial" w:hAnsi="Arial" w:cs="Arial"/>
        </w:rPr>
        <w:t xml:space="preserve"> (Accessed: 14 October 2026).</w:t>
      </w:r>
    </w:p>
    <w:p w14:paraId="3E62E897"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 xml:space="preserve">Doornebosch, A.J., Smaling, H.J.A. and Achterberg, W.P. (2022) ‘Interprofessional collaboration in long-term care and rehabilitation: a systematic review’, Journal of the American Medical Directors Association, 23(5), pp. 764–777.e2. Available at: </w:t>
      </w:r>
      <w:hyperlink r:id="rId12" w:history="1">
        <w:r w:rsidRPr="006C7A1C">
          <w:rPr>
            <w:rStyle w:val="Hyperlink"/>
            <w:rFonts w:ascii="Arial" w:hAnsi="Arial" w:cs="Arial"/>
          </w:rPr>
          <w:t>https://doi.org/10.1016/j.jamda.2021.12.028</w:t>
        </w:r>
      </w:hyperlink>
    </w:p>
    <w:p w14:paraId="7381BC19"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Gibbs, G. (1988) Learning by Doing: A Guide to Teaching and Learning Methods. Oxford: Further Education Unit, Oxford Polytechnic.</w:t>
      </w:r>
    </w:p>
    <w:p w14:paraId="531A03B7"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 xml:space="preserve">Great Britain (2005) Mental Capacity Act 2005. Available at: </w:t>
      </w:r>
      <w:hyperlink r:id="rId13" w:history="1">
        <w:r w:rsidRPr="006C7A1C">
          <w:rPr>
            <w:rStyle w:val="Hyperlink"/>
            <w:rFonts w:ascii="Arial" w:hAnsi="Arial" w:cs="Arial"/>
          </w:rPr>
          <w:t>https://www.legislation.gov.uk/ukpga/2005/9/contents</w:t>
        </w:r>
      </w:hyperlink>
      <w:r w:rsidRPr="006C7A1C">
        <w:rPr>
          <w:rFonts w:ascii="Arial" w:hAnsi="Arial" w:cs="Arial"/>
        </w:rPr>
        <w:t xml:space="preserve"> (Accessed: 14 October 2026).</w:t>
      </w:r>
    </w:p>
    <w:p w14:paraId="280D6E68"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lastRenderedPageBreak/>
        <w:t xml:space="preserve">Great Britain (2014) Care Act 2014. Available at: </w:t>
      </w:r>
      <w:hyperlink r:id="rId14" w:history="1">
        <w:r w:rsidRPr="006C7A1C">
          <w:rPr>
            <w:rStyle w:val="Hyperlink"/>
            <w:rFonts w:ascii="Arial" w:hAnsi="Arial" w:cs="Arial"/>
          </w:rPr>
          <w:t>https://www.legislation.gov.uk/ukpga/2014/23/contents</w:t>
        </w:r>
      </w:hyperlink>
      <w:r w:rsidRPr="006C7A1C">
        <w:rPr>
          <w:rFonts w:ascii="Arial" w:hAnsi="Arial" w:cs="Arial"/>
        </w:rPr>
        <w:t xml:space="preserve"> (Accessed: 14 October 2026).</w:t>
      </w:r>
    </w:p>
    <w:p w14:paraId="265146FA"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 xml:space="preserve">Great Britain (2022) Health and Care Act 2022. Available at: </w:t>
      </w:r>
      <w:hyperlink r:id="rId15" w:history="1">
        <w:r w:rsidRPr="006C7A1C">
          <w:rPr>
            <w:rStyle w:val="Hyperlink"/>
            <w:rFonts w:ascii="Arial" w:hAnsi="Arial" w:cs="Arial"/>
          </w:rPr>
          <w:t>https://www.legislation.gov.uk/ukpga/2022/31/contents</w:t>
        </w:r>
      </w:hyperlink>
      <w:r w:rsidRPr="006C7A1C">
        <w:rPr>
          <w:rFonts w:ascii="Arial" w:hAnsi="Arial" w:cs="Arial"/>
        </w:rPr>
        <w:t xml:space="preserve"> (Accessed: 14 October 2026).</w:t>
      </w:r>
    </w:p>
    <w:p w14:paraId="171CAB55"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 xml:space="preserve">Maslow, A.H. (1943) ‘A theory of human motivation’, Psychological Review, 50(4), pp. 370–396. Available at: </w:t>
      </w:r>
      <w:hyperlink r:id="rId16" w:history="1">
        <w:r w:rsidRPr="006C7A1C">
          <w:rPr>
            <w:rStyle w:val="Hyperlink"/>
            <w:rFonts w:ascii="Arial" w:hAnsi="Arial" w:cs="Arial"/>
          </w:rPr>
          <w:t>https://doi.org/10.1037/h0054346</w:t>
        </w:r>
      </w:hyperlink>
    </w:p>
    <w:p w14:paraId="41E58C6F"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 xml:space="preserve">National Institute for Health and Care Excellence (2015) Transition between inpatient hospital settings and community or care home settings for adults with social care needs. NICE guideline NG27. Available at: </w:t>
      </w:r>
      <w:hyperlink r:id="rId17" w:history="1">
        <w:r w:rsidRPr="006C7A1C">
          <w:rPr>
            <w:rStyle w:val="Hyperlink"/>
            <w:rFonts w:ascii="Arial" w:hAnsi="Arial" w:cs="Arial"/>
          </w:rPr>
          <w:t>https://www.nice.org.uk/guidance/ng27</w:t>
        </w:r>
      </w:hyperlink>
      <w:r w:rsidRPr="006C7A1C">
        <w:rPr>
          <w:rFonts w:ascii="Arial" w:hAnsi="Arial" w:cs="Arial"/>
        </w:rPr>
        <w:t xml:space="preserve"> (Accessed: 14 October 2026).</w:t>
      </w:r>
    </w:p>
    <w:p w14:paraId="1E494CC7"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 xml:space="preserve">National Institute for Health and Care Excellence (2021) Shared decision making. NICE guideline NG197. Available at: </w:t>
      </w:r>
      <w:hyperlink r:id="rId18" w:history="1">
        <w:r w:rsidRPr="006C7A1C">
          <w:rPr>
            <w:rStyle w:val="Hyperlink"/>
            <w:rFonts w:ascii="Arial" w:hAnsi="Arial" w:cs="Arial"/>
          </w:rPr>
          <w:t>https://www.nice.org.uk/guidance/ng197</w:t>
        </w:r>
      </w:hyperlink>
      <w:r w:rsidRPr="006C7A1C">
        <w:rPr>
          <w:rFonts w:ascii="Arial" w:hAnsi="Arial" w:cs="Arial"/>
        </w:rPr>
        <w:t xml:space="preserve"> (Accessed: 14 October 2026).</w:t>
      </w:r>
    </w:p>
    <w:p w14:paraId="7D132895"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 xml:space="preserve">Noel, L., Chen, Q., Petruzzi, L.J., Phillips, F., Garay, R., Valdez, C., Aranda, M.P. and Jones, B. (2022) ‘Interprofessional collaboration between social workers and community health workers to address health and mental health in the United States: a systematised review’, Health &amp; Social Care in the Community, 30(6), pp. e6240–e6254. Available at: </w:t>
      </w:r>
      <w:hyperlink r:id="rId19" w:history="1">
        <w:r w:rsidRPr="006C7A1C">
          <w:rPr>
            <w:rStyle w:val="Hyperlink"/>
            <w:rFonts w:ascii="Arial" w:hAnsi="Arial" w:cs="Arial"/>
          </w:rPr>
          <w:t>https://doi.org/10.1111/hsc.14061</w:t>
        </w:r>
      </w:hyperlink>
    </w:p>
    <w:p w14:paraId="6308E878" w14:textId="77777777" w:rsidR="006C7A1C" w:rsidRPr="006C7A1C" w:rsidRDefault="006C7A1C" w:rsidP="006C7A1C">
      <w:pPr>
        <w:spacing w:after="0" w:line="480" w:lineRule="auto"/>
        <w:ind w:left="454" w:hanging="454"/>
        <w:rPr>
          <w:rFonts w:ascii="Arial" w:hAnsi="Arial" w:cs="Arial"/>
        </w:rPr>
      </w:pPr>
      <w:r w:rsidRPr="006C7A1C">
        <w:rPr>
          <w:rFonts w:ascii="Arial" w:hAnsi="Arial" w:cs="Arial"/>
        </w:rPr>
        <w:t xml:space="preserve">Simons, M., Goossensen, A. and Nies, H. (2022) ‘Interventions fostering interdisciplinary and inter-organizational collaboration in health and social care: an integrative literature review’, Journal of Interprofessional Education &amp; Practice, 28, article 100515. Available at: </w:t>
      </w:r>
      <w:hyperlink r:id="rId20" w:history="1">
        <w:r w:rsidRPr="006C7A1C">
          <w:rPr>
            <w:rStyle w:val="Hyperlink"/>
            <w:rFonts w:ascii="Arial" w:hAnsi="Arial" w:cs="Arial"/>
          </w:rPr>
          <w:t>https://doi.org/10.1016/j.xjep.2022.100515</w:t>
        </w:r>
      </w:hyperlink>
    </w:p>
    <w:p w14:paraId="78DDF12B" w14:textId="5C3E1A5A" w:rsidR="004435CB" w:rsidRPr="006C7A1C" w:rsidRDefault="004435CB" w:rsidP="006C7A1C">
      <w:pPr>
        <w:spacing w:after="0" w:line="480" w:lineRule="auto"/>
        <w:ind w:left="454" w:hanging="454"/>
        <w:rPr>
          <w:rFonts w:ascii="Arial" w:hAnsi="Arial" w:cs="Arial"/>
        </w:rPr>
      </w:pPr>
    </w:p>
    <w:sectPr w:rsidR="004435CB" w:rsidRPr="006C7A1C" w:rsidSect="0089102C">
      <w:footerReference w:type="default" r:id="rId21"/>
      <w:pgSz w:w="11905" w:h="16840"/>
      <w:pgMar w:top="1491" w:right="1460" w:bottom="1939" w:left="1441"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7AE95C" w14:textId="77777777" w:rsidR="0010471C" w:rsidRDefault="0010471C" w:rsidP="0089102C">
      <w:pPr>
        <w:spacing w:after="0" w:line="240" w:lineRule="auto"/>
      </w:pPr>
      <w:r>
        <w:separator/>
      </w:r>
    </w:p>
  </w:endnote>
  <w:endnote w:type="continuationSeparator" w:id="0">
    <w:p w14:paraId="78BAEA25" w14:textId="77777777" w:rsidR="0010471C" w:rsidRDefault="0010471C" w:rsidP="00891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1817201"/>
      <w:docPartObj>
        <w:docPartGallery w:val="Page Numbers (Bottom of Page)"/>
        <w:docPartUnique/>
      </w:docPartObj>
    </w:sdtPr>
    <w:sdtEndPr>
      <w:rPr>
        <w:color w:val="7F7F7F" w:themeColor="background1" w:themeShade="7F"/>
        <w:spacing w:val="60"/>
      </w:rPr>
    </w:sdtEndPr>
    <w:sdtContent>
      <w:p w14:paraId="17F02922" w14:textId="3A09D2C2" w:rsidR="0089102C" w:rsidRDefault="0089102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1F06408" w14:textId="77777777" w:rsidR="0089102C" w:rsidRDefault="00891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111E6" w14:textId="77777777" w:rsidR="0010471C" w:rsidRDefault="0010471C" w:rsidP="0089102C">
      <w:pPr>
        <w:spacing w:after="0" w:line="240" w:lineRule="auto"/>
      </w:pPr>
      <w:r>
        <w:separator/>
      </w:r>
    </w:p>
  </w:footnote>
  <w:footnote w:type="continuationSeparator" w:id="0">
    <w:p w14:paraId="69893191" w14:textId="77777777" w:rsidR="0010471C" w:rsidRDefault="0010471C" w:rsidP="00891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297185"/>
    <w:multiLevelType w:val="hybridMultilevel"/>
    <w:tmpl w:val="6ECE4C32"/>
    <w:lvl w:ilvl="0" w:tplc="AE209894">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4D8E006">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4B61C62">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ECB362">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5A45A5E">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F286F24">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D7C5918">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E7A749C">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0BE62AE">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CC32C1D"/>
    <w:multiLevelType w:val="hybridMultilevel"/>
    <w:tmpl w:val="057CABF6"/>
    <w:lvl w:ilvl="0" w:tplc="9086E43A">
      <w:start w:val="1"/>
      <w:numFmt w:val="bullet"/>
      <w:lvlText w:val="-"/>
      <w:lvlJc w:val="left"/>
      <w:pPr>
        <w:ind w:left="706"/>
      </w:pPr>
      <w:rPr>
        <w:rFonts w:ascii="Arial" w:eastAsia="Arial" w:hAnsi="Arial" w:cs="Arial"/>
        <w:b/>
        <w:bCs/>
        <w:i w:val="0"/>
        <w:strike w:val="0"/>
        <w:dstrike w:val="0"/>
        <w:color w:val="4472C4"/>
        <w:sz w:val="24"/>
        <w:szCs w:val="24"/>
        <w:u w:val="none" w:color="000000"/>
        <w:bdr w:val="none" w:sz="0" w:space="0" w:color="auto"/>
        <w:shd w:val="clear" w:color="auto" w:fill="auto"/>
        <w:vertAlign w:val="baseline"/>
      </w:rPr>
    </w:lvl>
    <w:lvl w:ilvl="1" w:tplc="44B664E8">
      <w:start w:val="1"/>
      <w:numFmt w:val="bullet"/>
      <w:lvlText w:val="o"/>
      <w:lvlJc w:val="left"/>
      <w:pPr>
        <w:ind w:left="1441"/>
      </w:pPr>
      <w:rPr>
        <w:rFonts w:ascii="Arial" w:eastAsia="Arial" w:hAnsi="Arial" w:cs="Arial"/>
        <w:b/>
        <w:bCs/>
        <w:i w:val="0"/>
        <w:strike w:val="0"/>
        <w:dstrike w:val="0"/>
        <w:color w:val="4472C4"/>
        <w:sz w:val="24"/>
        <w:szCs w:val="24"/>
        <w:u w:val="none" w:color="000000"/>
        <w:bdr w:val="none" w:sz="0" w:space="0" w:color="auto"/>
        <w:shd w:val="clear" w:color="auto" w:fill="auto"/>
        <w:vertAlign w:val="baseline"/>
      </w:rPr>
    </w:lvl>
    <w:lvl w:ilvl="2" w:tplc="A6FCBB46">
      <w:start w:val="1"/>
      <w:numFmt w:val="bullet"/>
      <w:lvlText w:val="▪"/>
      <w:lvlJc w:val="left"/>
      <w:pPr>
        <w:ind w:left="2161"/>
      </w:pPr>
      <w:rPr>
        <w:rFonts w:ascii="Arial" w:eastAsia="Arial" w:hAnsi="Arial" w:cs="Arial"/>
        <w:b/>
        <w:bCs/>
        <w:i w:val="0"/>
        <w:strike w:val="0"/>
        <w:dstrike w:val="0"/>
        <w:color w:val="4472C4"/>
        <w:sz w:val="24"/>
        <w:szCs w:val="24"/>
        <w:u w:val="none" w:color="000000"/>
        <w:bdr w:val="none" w:sz="0" w:space="0" w:color="auto"/>
        <w:shd w:val="clear" w:color="auto" w:fill="auto"/>
        <w:vertAlign w:val="baseline"/>
      </w:rPr>
    </w:lvl>
    <w:lvl w:ilvl="3" w:tplc="F8BE48FC">
      <w:start w:val="1"/>
      <w:numFmt w:val="bullet"/>
      <w:lvlText w:val="•"/>
      <w:lvlJc w:val="left"/>
      <w:pPr>
        <w:ind w:left="2881"/>
      </w:pPr>
      <w:rPr>
        <w:rFonts w:ascii="Arial" w:eastAsia="Arial" w:hAnsi="Arial" w:cs="Arial"/>
        <w:b/>
        <w:bCs/>
        <w:i w:val="0"/>
        <w:strike w:val="0"/>
        <w:dstrike w:val="0"/>
        <w:color w:val="4472C4"/>
        <w:sz w:val="24"/>
        <w:szCs w:val="24"/>
        <w:u w:val="none" w:color="000000"/>
        <w:bdr w:val="none" w:sz="0" w:space="0" w:color="auto"/>
        <w:shd w:val="clear" w:color="auto" w:fill="auto"/>
        <w:vertAlign w:val="baseline"/>
      </w:rPr>
    </w:lvl>
    <w:lvl w:ilvl="4" w:tplc="57FCB312">
      <w:start w:val="1"/>
      <w:numFmt w:val="bullet"/>
      <w:lvlText w:val="o"/>
      <w:lvlJc w:val="left"/>
      <w:pPr>
        <w:ind w:left="3601"/>
      </w:pPr>
      <w:rPr>
        <w:rFonts w:ascii="Arial" w:eastAsia="Arial" w:hAnsi="Arial" w:cs="Arial"/>
        <w:b/>
        <w:bCs/>
        <w:i w:val="0"/>
        <w:strike w:val="0"/>
        <w:dstrike w:val="0"/>
        <w:color w:val="4472C4"/>
        <w:sz w:val="24"/>
        <w:szCs w:val="24"/>
        <w:u w:val="none" w:color="000000"/>
        <w:bdr w:val="none" w:sz="0" w:space="0" w:color="auto"/>
        <w:shd w:val="clear" w:color="auto" w:fill="auto"/>
        <w:vertAlign w:val="baseline"/>
      </w:rPr>
    </w:lvl>
    <w:lvl w:ilvl="5" w:tplc="6CC2EFC8">
      <w:start w:val="1"/>
      <w:numFmt w:val="bullet"/>
      <w:lvlText w:val="▪"/>
      <w:lvlJc w:val="left"/>
      <w:pPr>
        <w:ind w:left="4321"/>
      </w:pPr>
      <w:rPr>
        <w:rFonts w:ascii="Arial" w:eastAsia="Arial" w:hAnsi="Arial" w:cs="Arial"/>
        <w:b/>
        <w:bCs/>
        <w:i w:val="0"/>
        <w:strike w:val="0"/>
        <w:dstrike w:val="0"/>
        <w:color w:val="4472C4"/>
        <w:sz w:val="24"/>
        <w:szCs w:val="24"/>
        <w:u w:val="none" w:color="000000"/>
        <w:bdr w:val="none" w:sz="0" w:space="0" w:color="auto"/>
        <w:shd w:val="clear" w:color="auto" w:fill="auto"/>
        <w:vertAlign w:val="baseline"/>
      </w:rPr>
    </w:lvl>
    <w:lvl w:ilvl="6" w:tplc="58ECD25A">
      <w:start w:val="1"/>
      <w:numFmt w:val="bullet"/>
      <w:lvlText w:val="•"/>
      <w:lvlJc w:val="left"/>
      <w:pPr>
        <w:ind w:left="5041"/>
      </w:pPr>
      <w:rPr>
        <w:rFonts w:ascii="Arial" w:eastAsia="Arial" w:hAnsi="Arial" w:cs="Arial"/>
        <w:b/>
        <w:bCs/>
        <w:i w:val="0"/>
        <w:strike w:val="0"/>
        <w:dstrike w:val="0"/>
        <w:color w:val="4472C4"/>
        <w:sz w:val="24"/>
        <w:szCs w:val="24"/>
        <w:u w:val="none" w:color="000000"/>
        <w:bdr w:val="none" w:sz="0" w:space="0" w:color="auto"/>
        <w:shd w:val="clear" w:color="auto" w:fill="auto"/>
        <w:vertAlign w:val="baseline"/>
      </w:rPr>
    </w:lvl>
    <w:lvl w:ilvl="7" w:tplc="7750BCA4">
      <w:start w:val="1"/>
      <w:numFmt w:val="bullet"/>
      <w:lvlText w:val="o"/>
      <w:lvlJc w:val="left"/>
      <w:pPr>
        <w:ind w:left="5761"/>
      </w:pPr>
      <w:rPr>
        <w:rFonts w:ascii="Arial" w:eastAsia="Arial" w:hAnsi="Arial" w:cs="Arial"/>
        <w:b/>
        <w:bCs/>
        <w:i w:val="0"/>
        <w:strike w:val="0"/>
        <w:dstrike w:val="0"/>
        <w:color w:val="4472C4"/>
        <w:sz w:val="24"/>
        <w:szCs w:val="24"/>
        <w:u w:val="none" w:color="000000"/>
        <w:bdr w:val="none" w:sz="0" w:space="0" w:color="auto"/>
        <w:shd w:val="clear" w:color="auto" w:fill="auto"/>
        <w:vertAlign w:val="baseline"/>
      </w:rPr>
    </w:lvl>
    <w:lvl w:ilvl="8" w:tplc="822438E8">
      <w:start w:val="1"/>
      <w:numFmt w:val="bullet"/>
      <w:lvlText w:val="▪"/>
      <w:lvlJc w:val="left"/>
      <w:pPr>
        <w:ind w:left="6481"/>
      </w:pPr>
      <w:rPr>
        <w:rFonts w:ascii="Arial" w:eastAsia="Arial" w:hAnsi="Arial" w:cs="Arial"/>
        <w:b/>
        <w:bCs/>
        <w:i w:val="0"/>
        <w:strike w:val="0"/>
        <w:dstrike w:val="0"/>
        <w:color w:val="4472C4"/>
        <w:sz w:val="24"/>
        <w:szCs w:val="24"/>
        <w:u w:val="none" w:color="000000"/>
        <w:bdr w:val="none" w:sz="0" w:space="0" w:color="auto"/>
        <w:shd w:val="clear" w:color="auto" w:fill="auto"/>
        <w:vertAlign w:val="baseline"/>
      </w:rPr>
    </w:lvl>
  </w:abstractNum>
  <w:num w:numId="1" w16cid:durableId="951084772">
    <w:abstractNumId w:val="0"/>
  </w:num>
  <w:num w:numId="2" w16cid:durableId="417138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5CB"/>
    <w:rsid w:val="0010471C"/>
    <w:rsid w:val="002B4D7D"/>
    <w:rsid w:val="0040684F"/>
    <w:rsid w:val="004435CB"/>
    <w:rsid w:val="004971D0"/>
    <w:rsid w:val="004B513F"/>
    <w:rsid w:val="0052075A"/>
    <w:rsid w:val="006C7A1C"/>
    <w:rsid w:val="007A2964"/>
    <w:rsid w:val="0089102C"/>
    <w:rsid w:val="00B62B5A"/>
    <w:rsid w:val="00CF4D42"/>
    <w:rsid w:val="00D06D8B"/>
    <w:rsid w:val="00D75E44"/>
    <w:rsid w:val="00DF5F81"/>
    <w:rsid w:val="00ED27A8"/>
    <w:rsid w:val="00F71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357B2"/>
  <w15:docId w15:val="{957E22EB-58CE-46D8-8B4C-553903B6F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262" w:line="259" w:lineRule="auto"/>
      <w:ind w:left="10" w:hanging="10"/>
      <w:outlineLvl w:val="0"/>
    </w:pPr>
    <w:rPr>
      <w:rFonts w:ascii="Arial" w:eastAsia="Arial" w:hAnsi="Arial" w:cs="Arial"/>
      <w:b/>
      <w:color w:val="000000"/>
    </w:rPr>
  </w:style>
  <w:style w:type="paragraph" w:styleId="Heading2">
    <w:name w:val="heading 2"/>
    <w:basedOn w:val="Normal"/>
    <w:next w:val="Normal"/>
    <w:link w:val="Heading2Char"/>
    <w:uiPriority w:val="9"/>
    <w:unhideWhenUsed/>
    <w:qFormat/>
    <w:rsid w:val="006C7A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C7A1C"/>
    <w:pPr>
      <w:keepNext/>
      <w:keepLines/>
      <w:spacing w:before="40" w:after="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basedOn w:val="DefaultParagraphFont"/>
    <w:link w:val="Heading2"/>
    <w:uiPriority w:val="9"/>
    <w:rsid w:val="006C7A1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C7A1C"/>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6C7A1C"/>
    <w:rPr>
      <w:color w:val="0563C1" w:themeColor="hyperlink"/>
      <w:u w:val="single"/>
    </w:rPr>
  </w:style>
  <w:style w:type="character" w:styleId="UnresolvedMention">
    <w:name w:val="Unresolved Mention"/>
    <w:basedOn w:val="DefaultParagraphFont"/>
    <w:uiPriority w:val="99"/>
    <w:semiHidden/>
    <w:unhideWhenUsed/>
    <w:rsid w:val="006C7A1C"/>
    <w:rPr>
      <w:color w:val="605E5C"/>
      <w:shd w:val="clear" w:color="auto" w:fill="E1DFDD"/>
    </w:rPr>
  </w:style>
  <w:style w:type="paragraph" w:styleId="TOCHeading">
    <w:name w:val="TOC Heading"/>
    <w:basedOn w:val="Heading1"/>
    <w:next w:val="Normal"/>
    <w:uiPriority w:val="39"/>
    <w:unhideWhenUsed/>
    <w:qFormat/>
    <w:rsid w:val="006C7A1C"/>
    <w:pPr>
      <w:spacing w:before="240" w:after="0"/>
      <w:ind w:left="0" w:firstLine="0"/>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6C7A1C"/>
    <w:pPr>
      <w:spacing w:after="100"/>
    </w:pPr>
  </w:style>
  <w:style w:type="paragraph" w:styleId="TOC2">
    <w:name w:val="toc 2"/>
    <w:basedOn w:val="Normal"/>
    <w:next w:val="Normal"/>
    <w:autoRedefine/>
    <w:uiPriority w:val="39"/>
    <w:unhideWhenUsed/>
    <w:rsid w:val="006C7A1C"/>
    <w:pPr>
      <w:spacing w:after="100"/>
      <w:ind w:left="220"/>
    </w:pPr>
  </w:style>
  <w:style w:type="paragraph" w:styleId="Header">
    <w:name w:val="header"/>
    <w:basedOn w:val="Normal"/>
    <w:link w:val="HeaderChar"/>
    <w:uiPriority w:val="99"/>
    <w:unhideWhenUsed/>
    <w:rsid w:val="00891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02C"/>
    <w:rPr>
      <w:rFonts w:ascii="Calibri" w:eastAsia="Calibri" w:hAnsi="Calibri" w:cs="Calibri"/>
      <w:color w:val="000000"/>
      <w:sz w:val="22"/>
    </w:rPr>
  </w:style>
  <w:style w:type="paragraph" w:styleId="Footer">
    <w:name w:val="footer"/>
    <w:basedOn w:val="Normal"/>
    <w:link w:val="FooterChar"/>
    <w:uiPriority w:val="99"/>
    <w:unhideWhenUsed/>
    <w:rsid w:val="00891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02C"/>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186/s12889-021-10630-1" TargetMode="External"/><Relationship Id="rId13" Type="http://schemas.openxmlformats.org/officeDocument/2006/relationships/hyperlink" Target="https://www.legislation.gov.uk/ukpga/2005/9/contents" TargetMode="External"/><Relationship Id="rId18" Type="http://schemas.openxmlformats.org/officeDocument/2006/relationships/hyperlink" Target="https://www.nice.org.uk/guidance/ng197"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16/j.jamda.2021.12.028" TargetMode="External"/><Relationship Id="rId17" Type="http://schemas.openxmlformats.org/officeDocument/2006/relationships/hyperlink" Target="https://www.nice.org.uk/guidance/ng27" TargetMode="External"/><Relationship Id="rId2" Type="http://schemas.openxmlformats.org/officeDocument/2006/relationships/styles" Target="styles.xml"/><Relationship Id="rId16" Type="http://schemas.openxmlformats.org/officeDocument/2006/relationships/hyperlink" Target="https://doi.org/10.1037/h0054346" TargetMode="External"/><Relationship Id="rId20" Type="http://schemas.openxmlformats.org/officeDocument/2006/relationships/hyperlink" Target="https://doi.org/10.1016/j.xjep.2022.1005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hospital-discharge-and-community-support-guidance" TargetMode="External"/><Relationship Id="rId5" Type="http://schemas.openxmlformats.org/officeDocument/2006/relationships/footnotes" Target="footnotes.xml"/><Relationship Id="rId15" Type="http://schemas.openxmlformats.org/officeDocument/2006/relationships/hyperlink" Target="https://www.legislation.gov.uk/ukpga/2022/31/contents" TargetMode="External"/><Relationship Id="rId23" Type="http://schemas.openxmlformats.org/officeDocument/2006/relationships/theme" Target="theme/theme1.xml"/><Relationship Id="rId10" Type="http://schemas.openxmlformats.org/officeDocument/2006/relationships/hyperlink" Target="https://doi.org/10.1093/geront/gnad052" TargetMode="External"/><Relationship Id="rId19" Type="http://schemas.openxmlformats.org/officeDocument/2006/relationships/hyperlink" Target="https://doi.org/10.1111/hsc.14061" TargetMode="External"/><Relationship Id="rId4" Type="http://schemas.openxmlformats.org/officeDocument/2006/relationships/webSettings" Target="webSettings.xml"/><Relationship Id="rId9" Type="http://schemas.openxmlformats.org/officeDocument/2006/relationships/hyperlink" Target="https://doi.org/10.1111/hsc.13913" TargetMode="External"/><Relationship Id="rId14" Type="http://schemas.openxmlformats.org/officeDocument/2006/relationships/hyperlink" Target="https://www.legislation.gov.uk/ukpga/2014/23/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3074</Words>
  <Characters>17523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Rajneesh Sinha</dc:creator>
  <cp:keywords/>
  <cp:lastModifiedBy>Rajneesh Sinha</cp:lastModifiedBy>
  <cp:revision>9</cp:revision>
  <dcterms:created xsi:type="dcterms:W3CDTF">2026-10-13T21:30:00Z</dcterms:created>
  <dcterms:modified xsi:type="dcterms:W3CDTF">2026-10-23T10:47:00Z</dcterms:modified>
</cp:coreProperties>
</file>