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66DD1" w14:textId="7653F70B" w:rsidR="003F60C7" w:rsidRDefault="009F1172" w:rsidP="008A6D00">
      <w:pPr>
        <w:spacing w:after="0"/>
        <w:rPr>
          <w:rFonts w:cstheme="minorHAnsi"/>
          <w:b/>
          <w:sz w:val="24"/>
          <w:szCs w:val="24"/>
          <w:u w:val="single"/>
        </w:rPr>
      </w:pPr>
      <w:r w:rsidRPr="00BE28D4">
        <w:rPr>
          <w:rFonts w:cstheme="minorHAnsi"/>
          <w:b/>
          <w:sz w:val="24"/>
          <w:szCs w:val="24"/>
          <w:u w:val="single"/>
        </w:rPr>
        <w:t xml:space="preserve">ANALYSE THE IMPACT OF NARRATIVE FACTORS ON THE TEXTUAL PRESENTATION OF THE PERSEPHONE </w:t>
      </w:r>
      <w:r>
        <w:rPr>
          <w:rFonts w:cstheme="minorHAnsi"/>
          <w:b/>
          <w:sz w:val="24"/>
          <w:szCs w:val="24"/>
          <w:u w:val="single"/>
        </w:rPr>
        <w:t xml:space="preserve">ABDUCTION </w:t>
      </w:r>
      <w:r w:rsidRPr="00BE28D4">
        <w:rPr>
          <w:rFonts w:cstheme="minorHAnsi"/>
          <w:b/>
          <w:sz w:val="24"/>
          <w:szCs w:val="24"/>
          <w:u w:val="single"/>
        </w:rPr>
        <w:t>MYTH</w:t>
      </w:r>
      <w:r>
        <w:rPr>
          <w:rFonts w:cstheme="minorHAnsi"/>
          <w:b/>
          <w:sz w:val="24"/>
          <w:szCs w:val="24"/>
          <w:u w:val="single"/>
        </w:rPr>
        <w:t>.</w:t>
      </w:r>
    </w:p>
    <w:p w14:paraId="63381831" w14:textId="77777777" w:rsidR="008A6D00" w:rsidRDefault="008A6D00" w:rsidP="008A6D00">
      <w:pPr>
        <w:spacing w:after="0"/>
        <w:rPr>
          <w:rFonts w:cstheme="minorHAnsi"/>
          <w:b/>
          <w:sz w:val="24"/>
          <w:szCs w:val="24"/>
          <w:u w:val="single"/>
        </w:rPr>
      </w:pPr>
    </w:p>
    <w:p w14:paraId="694FD6BF" w14:textId="77777777" w:rsidR="00FF32D3" w:rsidRDefault="009F1172" w:rsidP="008A6D00">
      <w:pPr>
        <w:spacing w:after="0"/>
        <w:ind w:left="567" w:right="567"/>
        <w:rPr>
          <w:rFonts w:cstheme="minorHAnsi"/>
          <w:sz w:val="24"/>
          <w:szCs w:val="24"/>
        </w:rPr>
      </w:pPr>
      <w:r w:rsidRPr="00BE28D4">
        <w:rPr>
          <w:rFonts w:cstheme="minorHAnsi"/>
          <w:sz w:val="24"/>
          <w:szCs w:val="24"/>
        </w:rPr>
        <w:t>"My soul is wrought to sing of forms transformed to bodies new and strange!  Immortal Gods inspire my heart, for ye have changed yourselves and all things you have changed!  Oh lead my song in smooth and measured strains, from olden days when earth began t</w:t>
      </w:r>
      <w:r w:rsidRPr="00BE28D4">
        <w:rPr>
          <w:rFonts w:cstheme="minorHAnsi"/>
          <w:sz w:val="24"/>
          <w:szCs w:val="24"/>
        </w:rPr>
        <w:t>o this completed time!"</w:t>
      </w:r>
      <w:r>
        <w:rPr>
          <w:rStyle w:val="FootnoteReference"/>
          <w:rFonts w:cstheme="minorHAnsi"/>
          <w:sz w:val="24"/>
          <w:szCs w:val="24"/>
        </w:rPr>
        <w:footnoteReference w:id="1"/>
      </w:r>
      <w:r w:rsidRPr="00BE28D4">
        <w:rPr>
          <w:rFonts w:cstheme="minorHAnsi"/>
          <w:sz w:val="24"/>
          <w:szCs w:val="24"/>
        </w:rPr>
        <w:t xml:space="preserve"> </w:t>
      </w:r>
    </w:p>
    <w:p w14:paraId="36EE45EA" w14:textId="77777777" w:rsidR="001F35A7" w:rsidRPr="00BE28D4" w:rsidRDefault="001F35A7" w:rsidP="001F35A7">
      <w:pPr>
        <w:spacing w:after="0"/>
        <w:ind w:left="567" w:right="567"/>
        <w:rPr>
          <w:rFonts w:cstheme="minorHAnsi"/>
          <w:sz w:val="24"/>
          <w:szCs w:val="24"/>
        </w:rPr>
      </w:pPr>
    </w:p>
    <w:p w14:paraId="6DFCE464" w14:textId="77777777" w:rsidR="00FF32D3" w:rsidRDefault="009F1172" w:rsidP="001F35A7">
      <w:pPr>
        <w:spacing w:after="0"/>
        <w:rPr>
          <w:rFonts w:cstheme="minorHAnsi"/>
          <w:sz w:val="24"/>
          <w:szCs w:val="24"/>
        </w:rPr>
      </w:pPr>
      <w:r w:rsidRPr="00BE28D4">
        <w:rPr>
          <w:rFonts w:cstheme="minorHAnsi"/>
          <w:sz w:val="24"/>
          <w:szCs w:val="24"/>
        </w:rPr>
        <w:t xml:space="preserve">Ovid’s opening lines in his </w:t>
      </w:r>
      <w:r w:rsidRPr="00BE28D4">
        <w:rPr>
          <w:rFonts w:cstheme="minorHAnsi"/>
          <w:i/>
          <w:sz w:val="24"/>
          <w:szCs w:val="24"/>
        </w:rPr>
        <w:t xml:space="preserve">Metamorphoses </w:t>
      </w:r>
      <w:r w:rsidRPr="00BE28D4">
        <w:rPr>
          <w:rFonts w:cstheme="minorHAnsi"/>
          <w:sz w:val="24"/>
          <w:szCs w:val="24"/>
        </w:rPr>
        <w:t>imply that he had both targeted and achieved a true metamorphosis, a revolution almost, in literary style, partly as a product of his own genius and partly through divine inspiration.  C</w:t>
      </w:r>
      <w:r w:rsidRPr="00BE28D4">
        <w:rPr>
          <w:rFonts w:cstheme="minorHAnsi"/>
          <w:sz w:val="24"/>
          <w:szCs w:val="24"/>
        </w:rPr>
        <w:t xml:space="preserve">ontained within his work is an account of the Persephone myth.  This was not the first such rendition, and indeed Ovid himself was simultaneously penning another variant, the </w:t>
      </w:r>
      <w:r w:rsidRPr="00BE28D4">
        <w:rPr>
          <w:rFonts w:cstheme="minorHAnsi"/>
          <w:i/>
          <w:sz w:val="24"/>
          <w:szCs w:val="24"/>
        </w:rPr>
        <w:t>Fasti</w:t>
      </w:r>
      <w:r w:rsidRPr="00BE28D4">
        <w:rPr>
          <w:rFonts w:cstheme="minorHAnsi"/>
          <w:sz w:val="24"/>
          <w:szCs w:val="24"/>
        </w:rPr>
        <w:t>.  There have been a large number of variants from those within the Hellenis</w:t>
      </w:r>
      <w:r w:rsidRPr="00BE28D4">
        <w:rPr>
          <w:rFonts w:cstheme="minorHAnsi"/>
          <w:sz w:val="24"/>
          <w:szCs w:val="24"/>
        </w:rPr>
        <w:t xml:space="preserve">tic Age to modern times, such as the 1934 Disney cartoon "The Goddess of Spring" and, more recently, Ringle’s </w:t>
      </w:r>
      <w:r w:rsidRPr="00BE28D4">
        <w:rPr>
          <w:rFonts w:cstheme="minorHAnsi"/>
          <w:i/>
          <w:sz w:val="24"/>
          <w:szCs w:val="24"/>
        </w:rPr>
        <w:t>Persephone’s Orchard</w:t>
      </w:r>
      <w:r w:rsidRPr="00BE28D4">
        <w:rPr>
          <w:rFonts w:cstheme="minorHAnsi"/>
          <w:sz w:val="24"/>
          <w:szCs w:val="24"/>
        </w:rPr>
        <w:t xml:space="preserve"> in 2013.  Unsurprisingly there has been a wide divergence in narrative style over this time, which, equally unsurprisingly, h</w:t>
      </w:r>
      <w:r w:rsidRPr="00BE28D4">
        <w:rPr>
          <w:rFonts w:cstheme="minorHAnsi"/>
          <w:sz w:val="24"/>
          <w:szCs w:val="24"/>
        </w:rPr>
        <w:t xml:space="preserve">as encouraged considerable discussion of the effect those differing styles have upon the story.  When considering </w:t>
      </w:r>
      <w:r w:rsidRPr="00BE28D4">
        <w:rPr>
          <w:rFonts w:cstheme="minorHAnsi"/>
          <w:bCs/>
          <w:sz w:val="24"/>
          <w:szCs w:val="24"/>
        </w:rPr>
        <w:t>narrative factors</w:t>
      </w:r>
      <w:r w:rsidRPr="00BE28D4">
        <w:rPr>
          <w:rFonts w:cstheme="minorHAnsi"/>
          <w:sz w:val="24"/>
          <w:szCs w:val="24"/>
        </w:rPr>
        <w:t>, we should examine structure, patterns in story-telling, style, characters, themes, settings, symbolism and opinion.  This e</w:t>
      </w:r>
      <w:r w:rsidRPr="00BE28D4">
        <w:rPr>
          <w:rFonts w:cstheme="minorHAnsi"/>
          <w:sz w:val="24"/>
          <w:szCs w:val="24"/>
        </w:rPr>
        <w:t xml:space="preserve">ssay will examine the contrast between Ovid's two offerings and the </w:t>
      </w:r>
      <w:r w:rsidRPr="00C5386B">
        <w:rPr>
          <w:rFonts w:cstheme="minorHAnsi"/>
          <w:i/>
          <w:iCs/>
          <w:sz w:val="24"/>
          <w:szCs w:val="24"/>
        </w:rPr>
        <w:t>Homeric Hymn to Demeter</w:t>
      </w:r>
      <w:r w:rsidRPr="00BE28D4">
        <w:rPr>
          <w:rFonts w:cstheme="minorHAnsi"/>
          <w:sz w:val="24"/>
          <w:szCs w:val="24"/>
        </w:rPr>
        <w:t xml:space="preserve"> in some of these dimensions.</w:t>
      </w:r>
    </w:p>
    <w:p w14:paraId="19D2CDFC" w14:textId="77777777" w:rsidR="001F35A7" w:rsidRPr="00BE28D4" w:rsidRDefault="001F35A7" w:rsidP="001F35A7">
      <w:pPr>
        <w:spacing w:after="0"/>
        <w:rPr>
          <w:rFonts w:cstheme="minorHAnsi"/>
          <w:sz w:val="24"/>
          <w:szCs w:val="24"/>
        </w:rPr>
      </w:pPr>
    </w:p>
    <w:p w14:paraId="4735078D" w14:textId="77777777" w:rsidR="00902245" w:rsidRDefault="009F1172" w:rsidP="001F35A7">
      <w:pPr>
        <w:spacing w:after="0"/>
        <w:rPr>
          <w:rFonts w:cstheme="minorHAnsi"/>
          <w:sz w:val="24"/>
          <w:szCs w:val="24"/>
        </w:rPr>
      </w:pPr>
      <w:r w:rsidRPr="00BE28D4">
        <w:rPr>
          <w:rFonts w:cstheme="minorHAnsi"/>
          <w:sz w:val="24"/>
          <w:szCs w:val="24"/>
        </w:rPr>
        <w:t xml:space="preserve">Whilst Ovid’s work in the </w:t>
      </w:r>
      <w:r w:rsidRPr="00BE28D4">
        <w:rPr>
          <w:rFonts w:cstheme="minorHAnsi"/>
          <w:i/>
          <w:sz w:val="24"/>
          <w:szCs w:val="24"/>
        </w:rPr>
        <w:t>Metamorphoses</w:t>
      </w:r>
      <w:r w:rsidRPr="00BE28D4">
        <w:rPr>
          <w:rFonts w:cstheme="minorHAnsi"/>
          <w:sz w:val="24"/>
          <w:szCs w:val="24"/>
        </w:rPr>
        <w:t xml:space="preserve"> appears to be an ambitious new departure in narrative style; the </w:t>
      </w:r>
      <w:r w:rsidRPr="00BE28D4">
        <w:rPr>
          <w:rFonts w:cstheme="minorHAnsi"/>
          <w:i/>
          <w:sz w:val="24"/>
          <w:szCs w:val="24"/>
        </w:rPr>
        <w:t xml:space="preserve">Fasti </w:t>
      </w:r>
      <w:r w:rsidRPr="00BE28D4">
        <w:rPr>
          <w:rFonts w:cstheme="minorHAnsi"/>
          <w:sz w:val="24"/>
          <w:szCs w:val="24"/>
        </w:rPr>
        <w:t>might be viewed as almo</w:t>
      </w:r>
      <w:r w:rsidRPr="00BE28D4">
        <w:rPr>
          <w:rFonts w:cstheme="minorHAnsi"/>
          <w:sz w:val="24"/>
          <w:szCs w:val="24"/>
        </w:rPr>
        <w:t xml:space="preserve">st reactionary in character, a </w:t>
      </w:r>
      <w:r w:rsidRPr="00BE28D4">
        <w:rPr>
          <w:rFonts w:cstheme="minorHAnsi"/>
          <w:i/>
          <w:sz w:val="24"/>
          <w:szCs w:val="24"/>
        </w:rPr>
        <w:t>Brostamorphoses</w:t>
      </w:r>
      <w:r w:rsidRPr="00BE28D4">
        <w:rPr>
          <w:rFonts w:cstheme="minorHAnsi"/>
          <w:sz w:val="24"/>
          <w:szCs w:val="24"/>
        </w:rPr>
        <w:t>, with more of a quality</w:t>
      </w:r>
      <w:r w:rsidRPr="00BE28D4">
        <w:rPr>
          <w:rFonts w:cstheme="minorHAnsi"/>
          <w:i/>
          <w:sz w:val="24"/>
          <w:szCs w:val="24"/>
        </w:rPr>
        <w:t xml:space="preserve"> </w:t>
      </w:r>
      <w:r w:rsidRPr="00BE28D4">
        <w:rPr>
          <w:rFonts w:cstheme="minorHAnsi"/>
          <w:sz w:val="24"/>
          <w:szCs w:val="24"/>
        </w:rPr>
        <w:t>of</w:t>
      </w:r>
      <w:r w:rsidRPr="00BE28D4">
        <w:rPr>
          <w:rFonts w:cstheme="minorHAnsi"/>
          <w:i/>
          <w:sz w:val="24"/>
          <w:szCs w:val="24"/>
        </w:rPr>
        <w:t xml:space="preserve"> μπροστά</w:t>
      </w:r>
      <w:r w:rsidRPr="00BE28D4">
        <w:rPr>
          <w:rFonts w:cstheme="minorHAnsi"/>
          <w:sz w:val="24"/>
          <w:szCs w:val="24"/>
        </w:rPr>
        <w:t xml:space="preserve">, because it closely follows a predecessor, </w:t>
      </w:r>
      <w:r w:rsidRPr="00902245">
        <w:rPr>
          <w:rFonts w:cstheme="minorHAnsi"/>
          <w:bCs/>
          <w:sz w:val="24"/>
          <w:szCs w:val="24"/>
        </w:rPr>
        <w:t xml:space="preserve">the </w:t>
      </w:r>
      <w:r w:rsidRPr="00902245">
        <w:rPr>
          <w:rFonts w:cstheme="minorHAnsi"/>
          <w:bCs/>
          <w:i/>
          <w:sz w:val="24"/>
          <w:szCs w:val="24"/>
        </w:rPr>
        <w:t>Homeric Hymn to Demeter</w:t>
      </w:r>
      <w:r w:rsidRPr="00BE28D4">
        <w:rPr>
          <w:rFonts w:cstheme="minorHAnsi"/>
          <w:sz w:val="24"/>
          <w:szCs w:val="24"/>
        </w:rPr>
        <w:t xml:space="preserve">.  The </w:t>
      </w:r>
      <w:r w:rsidRPr="00BE28D4">
        <w:rPr>
          <w:rFonts w:cstheme="minorHAnsi"/>
          <w:i/>
          <w:sz w:val="24"/>
          <w:szCs w:val="24"/>
        </w:rPr>
        <w:t>Hymn i</w:t>
      </w:r>
      <w:r w:rsidRPr="00BE28D4">
        <w:rPr>
          <w:rFonts w:cstheme="minorHAnsi"/>
          <w:sz w:val="24"/>
          <w:szCs w:val="24"/>
        </w:rPr>
        <w:t xml:space="preserve">s seen as a part of a genre of poems with broadly similar narrative </w:t>
      </w:r>
      <w:r w:rsidRPr="00BE28D4">
        <w:rPr>
          <w:rFonts w:cstheme="minorHAnsi"/>
          <w:sz w:val="24"/>
          <w:szCs w:val="24"/>
        </w:rPr>
        <w:t>characteristics.</w:t>
      </w:r>
      <w:r>
        <w:rPr>
          <w:rStyle w:val="FootnoteReference"/>
          <w:rFonts w:cstheme="minorHAnsi"/>
          <w:sz w:val="24"/>
          <w:szCs w:val="24"/>
        </w:rPr>
        <w:footnoteReference w:id="2"/>
      </w:r>
      <w:r w:rsidRPr="00BE28D4">
        <w:rPr>
          <w:rFonts w:cstheme="minorHAnsi"/>
          <w:sz w:val="24"/>
          <w:szCs w:val="24"/>
        </w:rPr>
        <w:t xml:space="preserve"> One of these defining characteristics is the use of “dactylic hexameter verse (the same meter that is used in the Homeric epics)</w:t>
      </w:r>
      <w:r w:rsidR="00BE28D4">
        <w:rPr>
          <w:rFonts w:cstheme="minorHAnsi"/>
          <w:sz w:val="24"/>
          <w:szCs w:val="24"/>
        </w:rPr>
        <w:t>,</w:t>
      </w:r>
      <w:r w:rsidRPr="00BE28D4">
        <w:rPr>
          <w:rFonts w:cstheme="minorHAnsi"/>
          <w:sz w:val="24"/>
          <w:szCs w:val="24"/>
        </w:rPr>
        <w:t>”</w:t>
      </w:r>
      <w:r>
        <w:rPr>
          <w:rStyle w:val="FootnoteReference"/>
          <w:rFonts w:cstheme="minorHAnsi"/>
          <w:sz w:val="24"/>
          <w:szCs w:val="24"/>
        </w:rPr>
        <w:footnoteReference w:id="3"/>
      </w:r>
      <w:r w:rsidRPr="00BE28D4">
        <w:rPr>
          <w:rFonts w:cstheme="minorHAnsi"/>
          <w:sz w:val="24"/>
          <w:szCs w:val="24"/>
        </w:rPr>
        <w:t xml:space="preserve"> which “follows the tradition of oral epic in its diction, style and narrative technique</w:t>
      </w:r>
      <w:r w:rsidR="00BE28D4">
        <w:rPr>
          <w:rFonts w:cstheme="minorHAnsi"/>
          <w:sz w:val="24"/>
          <w:szCs w:val="24"/>
        </w:rPr>
        <w:t>.</w:t>
      </w:r>
      <w:r w:rsidRPr="00BE28D4">
        <w:rPr>
          <w:rFonts w:cstheme="minorHAnsi"/>
          <w:sz w:val="24"/>
          <w:szCs w:val="24"/>
        </w:rPr>
        <w:t>”</w:t>
      </w:r>
      <w:r>
        <w:rPr>
          <w:rStyle w:val="FootnoteReference"/>
          <w:rFonts w:cstheme="minorHAnsi"/>
          <w:sz w:val="24"/>
          <w:szCs w:val="24"/>
        </w:rPr>
        <w:footnoteReference w:id="4"/>
      </w:r>
      <w:r w:rsidRPr="00BE28D4">
        <w:rPr>
          <w:rFonts w:cstheme="minorHAnsi"/>
          <w:sz w:val="24"/>
          <w:szCs w:val="24"/>
        </w:rPr>
        <w:t xml:space="preserve">  Designed es</w:t>
      </w:r>
      <w:r w:rsidRPr="00BE28D4">
        <w:rPr>
          <w:rFonts w:cstheme="minorHAnsi"/>
          <w:sz w:val="24"/>
          <w:szCs w:val="24"/>
        </w:rPr>
        <w:t xml:space="preserve">sentially as songs to be recited as </w:t>
      </w:r>
      <w:r w:rsidRPr="00BE28D4">
        <w:rPr>
          <w:rFonts w:cstheme="minorHAnsi"/>
          <w:i/>
          <w:sz w:val="24"/>
          <w:szCs w:val="24"/>
        </w:rPr>
        <w:t xml:space="preserve">prooimia, </w:t>
      </w:r>
      <w:r w:rsidRPr="00BE28D4">
        <w:rPr>
          <w:rFonts w:cstheme="minorHAnsi"/>
          <w:sz w:val="24"/>
          <w:szCs w:val="24"/>
        </w:rPr>
        <w:t xml:space="preserve">presumably, the composition had to lend itself to easy repetition in front of an audience.  This imposed design limitations on the text, particularly apparent in the </w:t>
      </w:r>
      <w:r w:rsidRPr="00BE28D4">
        <w:rPr>
          <w:rFonts w:cstheme="minorHAnsi"/>
          <w:i/>
          <w:sz w:val="24"/>
          <w:szCs w:val="24"/>
        </w:rPr>
        <w:t xml:space="preserve">Hymn’s </w:t>
      </w:r>
      <w:r w:rsidRPr="00BE28D4">
        <w:rPr>
          <w:rFonts w:cstheme="minorHAnsi"/>
          <w:sz w:val="24"/>
          <w:szCs w:val="24"/>
        </w:rPr>
        <w:t>opening lines, which feature a fast-p</w:t>
      </w:r>
      <w:r w:rsidRPr="00BE28D4">
        <w:rPr>
          <w:rFonts w:cstheme="minorHAnsi"/>
          <w:sz w:val="24"/>
          <w:szCs w:val="24"/>
        </w:rPr>
        <w:t>aced narrative and "extended sentence structure</w:t>
      </w:r>
      <w:r w:rsidR="00BE28D4">
        <w:rPr>
          <w:rFonts w:cstheme="minorHAnsi"/>
          <w:sz w:val="24"/>
          <w:szCs w:val="24"/>
        </w:rPr>
        <w:t>.</w:t>
      </w:r>
      <w:r w:rsidRPr="00BE28D4">
        <w:rPr>
          <w:rFonts w:cstheme="minorHAnsi"/>
          <w:sz w:val="24"/>
          <w:szCs w:val="24"/>
        </w:rPr>
        <w:t>”</w:t>
      </w:r>
      <w:r>
        <w:rPr>
          <w:rStyle w:val="FootnoteReference"/>
          <w:rFonts w:cstheme="minorHAnsi"/>
          <w:sz w:val="24"/>
          <w:szCs w:val="24"/>
        </w:rPr>
        <w:footnoteReference w:id="5"/>
      </w:r>
      <w:r w:rsidRPr="00BE28D4">
        <w:rPr>
          <w:rFonts w:cstheme="minorHAnsi"/>
          <w:sz w:val="24"/>
          <w:szCs w:val="24"/>
        </w:rPr>
        <w:t xml:space="preserve"> The way the poem sounds rather than reads is of fundamental importance to the author.   Richardson points to the "repetition and alliteration" in lines 31-2, which gives the work an "Incantatory effect</w:t>
      </w:r>
      <w:r>
        <w:rPr>
          <w:rFonts w:cstheme="minorHAnsi"/>
          <w:sz w:val="24"/>
          <w:szCs w:val="24"/>
        </w:rPr>
        <w:t>.</w:t>
      </w:r>
      <w:r w:rsidRPr="00BE28D4">
        <w:rPr>
          <w:rFonts w:cstheme="minorHAnsi"/>
          <w:sz w:val="24"/>
          <w:szCs w:val="24"/>
        </w:rPr>
        <w:t>”</w:t>
      </w:r>
      <w:r>
        <w:rPr>
          <w:rStyle w:val="FootnoteReference"/>
          <w:rFonts w:cstheme="minorHAnsi"/>
          <w:sz w:val="24"/>
          <w:szCs w:val="24"/>
        </w:rPr>
        <w:footnoteReference w:id="6"/>
      </w:r>
      <w:r w:rsidRPr="00BE28D4">
        <w:rPr>
          <w:rFonts w:cstheme="minorHAnsi"/>
          <w:sz w:val="24"/>
          <w:szCs w:val="24"/>
        </w:rPr>
        <w:t xml:space="preserve"> The implication is that the poem has a quasi-religious, evangelical delivery, possibly intended to match that of the </w:t>
      </w:r>
      <w:r w:rsidRPr="00BE28D4">
        <w:rPr>
          <w:rFonts w:cstheme="minorHAnsi"/>
          <w:i/>
          <w:sz w:val="24"/>
          <w:szCs w:val="24"/>
        </w:rPr>
        <w:t>Mysteries.</w:t>
      </w:r>
      <w:r w:rsidRPr="00BE28D4">
        <w:rPr>
          <w:rFonts w:cstheme="minorHAnsi"/>
          <w:b/>
          <w:sz w:val="24"/>
          <w:szCs w:val="24"/>
        </w:rPr>
        <w:t xml:space="preserve">  </w:t>
      </w:r>
      <w:r w:rsidRPr="00BE28D4">
        <w:rPr>
          <w:rFonts w:cstheme="minorHAnsi"/>
          <w:sz w:val="24"/>
          <w:szCs w:val="24"/>
        </w:rPr>
        <w:t xml:space="preserve">The use of epithets is a common theme in Homeric literature.  However, the poem shows evidence of other sources, such as the </w:t>
      </w:r>
      <w:r w:rsidRPr="00BE28D4">
        <w:rPr>
          <w:rFonts w:cstheme="minorHAnsi"/>
          <w:sz w:val="24"/>
          <w:szCs w:val="24"/>
        </w:rPr>
        <w:t xml:space="preserve">use of double epithets with </w:t>
      </w:r>
      <w:r w:rsidRPr="00BE28D4">
        <w:rPr>
          <w:rFonts w:cstheme="minorHAnsi"/>
          <w:color w:val="000000"/>
          <w:sz w:val="24"/>
          <w:szCs w:val="24"/>
          <w:shd w:val="clear" w:color="auto" w:fill="FFFFFF"/>
        </w:rPr>
        <w:t>πολν-</w:t>
      </w:r>
      <w:r w:rsidRPr="00BE28D4">
        <w:rPr>
          <w:rFonts w:cstheme="minorHAnsi"/>
          <w:sz w:val="24"/>
          <w:szCs w:val="24"/>
        </w:rPr>
        <w:t xml:space="preserve"> such as </w:t>
      </w:r>
      <w:r w:rsidRPr="00BE28D4">
        <w:rPr>
          <w:rFonts w:cstheme="minorHAnsi"/>
          <w:color w:val="000000"/>
          <w:sz w:val="24"/>
          <w:szCs w:val="24"/>
          <w:shd w:val="clear" w:color="auto" w:fill="FFFFFF"/>
        </w:rPr>
        <w:t>πολνδέκτη</w:t>
      </w:r>
      <w:r w:rsidR="007D6674">
        <w:rPr>
          <w:rFonts w:cstheme="minorHAnsi"/>
          <w:color w:val="000000"/>
          <w:sz w:val="24"/>
          <w:szCs w:val="24"/>
          <w:shd w:val="clear" w:color="auto" w:fill="FFFFFF"/>
        </w:rPr>
        <w:t>,</w:t>
      </w:r>
      <w:r>
        <w:rPr>
          <w:rStyle w:val="FootnoteReference"/>
          <w:rFonts w:cstheme="minorHAnsi"/>
          <w:color w:val="000000"/>
          <w:sz w:val="24"/>
          <w:szCs w:val="24"/>
          <w:shd w:val="clear" w:color="auto" w:fill="FFFFFF"/>
        </w:rPr>
        <w:footnoteReference w:id="7"/>
      </w:r>
      <w:r w:rsidRPr="00BE28D4">
        <w:rPr>
          <w:rFonts w:cstheme="minorHAnsi"/>
          <w:sz w:val="24"/>
          <w:szCs w:val="24"/>
        </w:rPr>
        <w:t xml:space="preserve"> which occur in </w:t>
      </w:r>
      <w:r w:rsidRPr="00BE28D4">
        <w:rPr>
          <w:rFonts w:cstheme="minorHAnsi"/>
          <w:i/>
          <w:sz w:val="24"/>
          <w:szCs w:val="24"/>
        </w:rPr>
        <w:t>Hesiod</w:t>
      </w:r>
      <w:r w:rsidRPr="00BE28D4">
        <w:rPr>
          <w:rFonts w:cstheme="minorHAnsi"/>
          <w:sz w:val="24"/>
          <w:szCs w:val="24"/>
        </w:rPr>
        <w:t xml:space="preserve"> and the other </w:t>
      </w:r>
      <w:r w:rsidRPr="00902245">
        <w:rPr>
          <w:rFonts w:cstheme="minorHAnsi"/>
          <w:i/>
          <w:sz w:val="24"/>
          <w:szCs w:val="24"/>
        </w:rPr>
        <w:t>Homeric Hymns</w:t>
      </w:r>
      <w:r>
        <w:rPr>
          <w:rFonts w:cstheme="minorHAnsi"/>
          <w:i/>
          <w:sz w:val="24"/>
          <w:szCs w:val="24"/>
        </w:rPr>
        <w:t>.</w:t>
      </w:r>
      <w:r>
        <w:rPr>
          <w:rStyle w:val="FootnoteReference"/>
          <w:rFonts w:cstheme="minorHAnsi"/>
          <w:i/>
          <w:sz w:val="24"/>
          <w:szCs w:val="24"/>
        </w:rPr>
        <w:footnoteReference w:id="8"/>
      </w:r>
      <w:r w:rsidRPr="00902245">
        <w:rPr>
          <w:rFonts w:cstheme="minorHAnsi"/>
          <w:sz w:val="24"/>
          <w:szCs w:val="24"/>
        </w:rPr>
        <w:t xml:space="preserve"> </w:t>
      </w:r>
    </w:p>
    <w:p w14:paraId="586F7F3E" w14:textId="77777777" w:rsidR="00902245" w:rsidRDefault="00902245" w:rsidP="00902245">
      <w:pPr>
        <w:spacing w:after="0"/>
        <w:rPr>
          <w:rFonts w:cstheme="minorHAnsi"/>
          <w:sz w:val="24"/>
          <w:szCs w:val="24"/>
        </w:rPr>
      </w:pPr>
    </w:p>
    <w:p w14:paraId="48715141" w14:textId="77777777" w:rsidR="00A330B3" w:rsidRDefault="009F1172" w:rsidP="00A330B3">
      <w:pPr>
        <w:spacing w:after="0"/>
        <w:rPr>
          <w:rFonts w:cstheme="minorHAnsi"/>
          <w:sz w:val="24"/>
          <w:szCs w:val="24"/>
        </w:rPr>
      </w:pPr>
      <w:r w:rsidRPr="00BE28D4">
        <w:rPr>
          <w:rFonts w:cstheme="minorHAnsi"/>
          <w:sz w:val="24"/>
          <w:szCs w:val="24"/>
        </w:rPr>
        <w:t xml:space="preserve">Lord has argued that in the </w:t>
      </w:r>
      <w:r w:rsidRPr="00C5386B">
        <w:rPr>
          <w:rFonts w:cstheme="minorHAnsi"/>
          <w:i/>
          <w:iCs/>
          <w:sz w:val="24"/>
          <w:szCs w:val="24"/>
        </w:rPr>
        <w:t>Hymn</w:t>
      </w:r>
      <w:r w:rsidRPr="00BE28D4">
        <w:rPr>
          <w:rFonts w:cstheme="minorHAnsi"/>
          <w:sz w:val="24"/>
          <w:szCs w:val="24"/>
        </w:rPr>
        <w:t xml:space="preserve">, the Persephone myth follows an almost formulaic story pattern seen elsewhere in Homeric epics such as the </w:t>
      </w:r>
      <w:r w:rsidRPr="00BE28D4">
        <w:rPr>
          <w:rFonts w:cstheme="minorHAnsi"/>
          <w:i/>
          <w:sz w:val="24"/>
          <w:szCs w:val="24"/>
        </w:rPr>
        <w:t>Iliad a</w:t>
      </w:r>
      <w:r w:rsidRPr="00BE28D4">
        <w:rPr>
          <w:rFonts w:cstheme="minorHAnsi"/>
          <w:sz w:val="24"/>
          <w:szCs w:val="24"/>
        </w:rPr>
        <w:t xml:space="preserve">nd </w:t>
      </w:r>
      <w:r w:rsidRPr="00BE28D4">
        <w:rPr>
          <w:rFonts w:cstheme="minorHAnsi"/>
          <w:i/>
          <w:sz w:val="24"/>
          <w:szCs w:val="24"/>
        </w:rPr>
        <w:t>Odyssey.</w:t>
      </w:r>
      <w:r>
        <w:rPr>
          <w:rStyle w:val="FootnoteReference"/>
          <w:rFonts w:cstheme="minorHAnsi"/>
          <w:i/>
          <w:sz w:val="24"/>
          <w:szCs w:val="24"/>
        </w:rPr>
        <w:footnoteReference w:id="9"/>
      </w:r>
      <w:r w:rsidRPr="00BE28D4">
        <w:rPr>
          <w:rFonts w:cstheme="minorHAnsi"/>
          <w:sz w:val="24"/>
          <w:szCs w:val="24"/>
        </w:rPr>
        <w:t xml:space="preserve">  “This is because the same story pattern –</w:t>
      </w:r>
      <w:r w:rsidRPr="00BE28D4">
        <w:rPr>
          <w:rFonts w:cstheme="minorHAnsi"/>
          <w:sz w:val="24"/>
          <w:szCs w:val="24"/>
        </w:rPr>
        <w:lastRenderedPageBreak/>
        <w:t>wrath, withdrawal and return-serves as the principal organisational device of each po</w:t>
      </w:r>
      <w:r w:rsidRPr="00BE28D4">
        <w:rPr>
          <w:rFonts w:cstheme="minorHAnsi"/>
          <w:sz w:val="24"/>
          <w:szCs w:val="24"/>
        </w:rPr>
        <w:t>em’s narrative</w:t>
      </w:r>
      <w:r w:rsidR="009D652A">
        <w:rPr>
          <w:rFonts w:cstheme="minorHAnsi"/>
          <w:sz w:val="24"/>
          <w:szCs w:val="24"/>
        </w:rPr>
        <w:t>.</w:t>
      </w:r>
      <w:r w:rsidRPr="00BE28D4">
        <w:rPr>
          <w:rFonts w:cstheme="minorHAnsi"/>
          <w:sz w:val="24"/>
          <w:szCs w:val="24"/>
        </w:rPr>
        <w:t xml:space="preserve">” </w:t>
      </w:r>
      <w:r>
        <w:rPr>
          <w:rStyle w:val="FootnoteReference"/>
          <w:rFonts w:cstheme="minorHAnsi"/>
          <w:sz w:val="24"/>
          <w:szCs w:val="24"/>
        </w:rPr>
        <w:footnoteReference w:id="10"/>
      </w:r>
      <w:r w:rsidRPr="00BE28D4">
        <w:rPr>
          <w:rFonts w:cstheme="minorHAnsi"/>
          <w:sz w:val="24"/>
          <w:szCs w:val="24"/>
        </w:rPr>
        <w:t xml:space="preserve"> Nickel contests that story patterns are particularly significant, being "the largest of the oral poet's compositional units</w:t>
      </w:r>
      <w:r w:rsidR="009D652A">
        <w:rPr>
          <w:rFonts w:cstheme="minorHAnsi"/>
          <w:sz w:val="24"/>
          <w:szCs w:val="24"/>
        </w:rPr>
        <w:t>.</w:t>
      </w:r>
      <w:r w:rsidRPr="00BE28D4">
        <w:rPr>
          <w:rFonts w:cstheme="minorHAnsi"/>
          <w:sz w:val="24"/>
          <w:szCs w:val="24"/>
        </w:rPr>
        <w:t>”</w:t>
      </w:r>
      <w:r>
        <w:rPr>
          <w:rStyle w:val="FootnoteReference"/>
          <w:rFonts w:cstheme="minorHAnsi"/>
          <w:sz w:val="24"/>
          <w:szCs w:val="24"/>
        </w:rPr>
        <w:footnoteReference w:id="11"/>
      </w:r>
      <w:r w:rsidRPr="00BE28D4">
        <w:rPr>
          <w:rFonts w:cstheme="minorHAnsi"/>
          <w:sz w:val="24"/>
          <w:szCs w:val="24"/>
        </w:rPr>
        <w:t xml:space="preserve">  Foley agrees that this mechanism</w:t>
      </w:r>
    </w:p>
    <w:p w14:paraId="3E46FB63" w14:textId="77777777" w:rsidR="00A330B3" w:rsidRDefault="00A330B3" w:rsidP="00A330B3">
      <w:pPr>
        <w:spacing w:after="0"/>
        <w:rPr>
          <w:rFonts w:cstheme="minorHAnsi"/>
          <w:sz w:val="24"/>
          <w:szCs w:val="24"/>
        </w:rPr>
      </w:pPr>
    </w:p>
    <w:p w14:paraId="4426D776" w14:textId="77777777" w:rsidR="00941636" w:rsidRDefault="009F1172" w:rsidP="00A330B3">
      <w:pPr>
        <w:spacing w:after="0"/>
        <w:ind w:left="720"/>
        <w:rPr>
          <w:rFonts w:cstheme="minorHAnsi"/>
          <w:sz w:val="24"/>
          <w:szCs w:val="24"/>
        </w:rPr>
      </w:pPr>
      <w:r w:rsidRPr="00BE28D4">
        <w:rPr>
          <w:rFonts w:cstheme="minorHAnsi"/>
          <w:sz w:val="24"/>
          <w:szCs w:val="24"/>
        </w:rPr>
        <w:t xml:space="preserve"> “inheres in certain songs and certain types of song as an inseparable (indeed defining)</w:t>
      </w:r>
      <w:r w:rsidR="00F603AA">
        <w:rPr>
          <w:rFonts w:cstheme="minorHAnsi"/>
          <w:sz w:val="24"/>
          <w:szCs w:val="24"/>
        </w:rPr>
        <w:t xml:space="preserve"> </w:t>
      </w:r>
      <w:r w:rsidRPr="00BE28D4">
        <w:rPr>
          <w:rFonts w:cstheme="minorHAnsi"/>
          <w:sz w:val="24"/>
          <w:szCs w:val="24"/>
        </w:rPr>
        <w:t>feature of these songs and supersedes the individual text or performance, poet local tradition and so forth</w:t>
      </w:r>
      <w:r w:rsidR="00F603AA">
        <w:rPr>
          <w:rFonts w:cstheme="minorHAnsi"/>
          <w:sz w:val="24"/>
          <w:szCs w:val="24"/>
        </w:rPr>
        <w:t>.</w:t>
      </w:r>
      <w:r w:rsidRPr="00BE28D4">
        <w:rPr>
          <w:rFonts w:cstheme="minorHAnsi"/>
          <w:sz w:val="24"/>
          <w:szCs w:val="24"/>
        </w:rPr>
        <w:t>”</w:t>
      </w:r>
      <w:r>
        <w:rPr>
          <w:rStyle w:val="FootnoteReference"/>
          <w:rFonts w:cstheme="minorHAnsi"/>
          <w:sz w:val="24"/>
          <w:szCs w:val="24"/>
        </w:rPr>
        <w:footnoteReference w:id="12"/>
      </w:r>
      <w:r w:rsidRPr="00BE28D4">
        <w:rPr>
          <w:rFonts w:cstheme="minorHAnsi"/>
          <w:sz w:val="24"/>
          <w:szCs w:val="24"/>
        </w:rPr>
        <w:t xml:space="preserve"> </w:t>
      </w:r>
    </w:p>
    <w:p w14:paraId="2124A32F" w14:textId="77777777" w:rsidR="00941636" w:rsidRDefault="00941636" w:rsidP="00902245">
      <w:pPr>
        <w:spacing w:after="0"/>
        <w:rPr>
          <w:rFonts w:cstheme="minorHAnsi"/>
          <w:sz w:val="24"/>
          <w:szCs w:val="24"/>
        </w:rPr>
      </w:pPr>
    </w:p>
    <w:p w14:paraId="15950955" w14:textId="77777777" w:rsidR="00FF32D3" w:rsidRDefault="009F1172" w:rsidP="00902245">
      <w:pPr>
        <w:spacing w:after="0"/>
        <w:rPr>
          <w:rFonts w:cstheme="minorHAnsi"/>
          <w:sz w:val="24"/>
          <w:szCs w:val="24"/>
        </w:rPr>
      </w:pPr>
      <w:r w:rsidRPr="00BE28D4">
        <w:rPr>
          <w:rFonts w:cstheme="minorHAnsi"/>
          <w:sz w:val="24"/>
          <w:szCs w:val="24"/>
        </w:rPr>
        <w:t>The pre-eminence of this element is a function of the</w:t>
      </w:r>
      <w:r w:rsidRPr="00BE28D4">
        <w:rPr>
          <w:rFonts w:cstheme="minorHAnsi"/>
          <w:sz w:val="24"/>
          <w:szCs w:val="24"/>
        </w:rPr>
        <w:t xml:space="preserve"> meaning that the contemporary audience would attach to that familiar structure.  Nickel argues that the technique always leads to a glorification of the central character who withdraws, "Taking with him that which he alone contributed to the community</w:t>
      </w:r>
      <w:r w:rsidR="00F603AA">
        <w:rPr>
          <w:rFonts w:cstheme="minorHAnsi"/>
          <w:sz w:val="24"/>
          <w:szCs w:val="24"/>
        </w:rPr>
        <w:t>.</w:t>
      </w:r>
      <w:r w:rsidRPr="00BE28D4">
        <w:rPr>
          <w:rFonts w:cstheme="minorHAnsi"/>
          <w:sz w:val="24"/>
          <w:szCs w:val="24"/>
        </w:rPr>
        <w:t>”</w:t>
      </w:r>
      <w:r>
        <w:rPr>
          <w:rStyle w:val="FootnoteReference"/>
          <w:rFonts w:cstheme="minorHAnsi"/>
          <w:sz w:val="24"/>
          <w:szCs w:val="24"/>
        </w:rPr>
        <w:footnoteReference w:id="13"/>
      </w:r>
      <w:r w:rsidRPr="00BE28D4">
        <w:rPr>
          <w:rFonts w:cstheme="minorHAnsi"/>
          <w:sz w:val="24"/>
          <w:szCs w:val="24"/>
        </w:rPr>
        <w:t xml:space="preserve"> Only when the honour that has been removed is restored does the god return, and the disastrous effect on society is removed.  In the </w:t>
      </w:r>
      <w:r w:rsidRPr="00BE28D4">
        <w:rPr>
          <w:rFonts w:cstheme="minorHAnsi"/>
          <w:i/>
          <w:sz w:val="24"/>
          <w:szCs w:val="24"/>
        </w:rPr>
        <w:t>Hymn to Demeter</w:t>
      </w:r>
      <w:r w:rsidRPr="00BE28D4">
        <w:rPr>
          <w:rFonts w:cstheme="minorHAnsi"/>
          <w:sz w:val="24"/>
          <w:szCs w:val="24"/>
        </w:rPr>
        <w:t>, the central figure is the eponymous hero rather than the victim</w:t>
      </w:r>
      <w:r w:rsidRPr="00C5386B">
        <w:rPr>
          <w:rFonts w:cstheme="minorHAnsi"/>
          <w:sz w:val="24"/>
          <w:szCs w:val="24"/>
        </w:rPr>
        <w:t>, Persephone</w:t>
      </w:r>
      <w:r w:rsidRPr="00BE28D4">
        <w:rPr>
          <w:rFonts w:cstheme="minorHAnsi"/>
          <w:sz w:val="24"/>
          <w:szCs w:val="24"/>
        </w:rPr>
        <w:t xml:space="preserve">.  This story pattern is essential for the central thrust of the </w:t>
      </w:r>
      <w:r w:rsidRPr="00BE28D4">
        <w:rPr>
          <w:rFonts w:cstheme="minorHAnsi"/>
          <w:i/>
          <w:sz w:val="24"/>
          <w:szCs w:val="24"/>
        </w:rPr>
        <w:t>Homeric hymns</w:t>
      </w:r>
      <w:r w:rsidRPr="00BE28D4">
        <w:rPr>
          <w:rFonts w:cstheme="minorHAnsi"/>
          <w:sz w:val="24"/>
          <w:szCs w:val="24"/>
        </w:rPr>
        <w:t xml:space="preserve">, that of theogonic development and crystallisation </w:t>
      </w:r>
      <w:r w:rsidRPr="00F603AA">
        <w:rPr>
          <w:rFonts w:cstheme="minorHAnsi"/>
          <w:bCs/>
          <w:sz w:val="24"/>
          <w:szCs w:val="24"/>
        </w:rPr>
        <w:t>of Olympian power</w:t>
      </w:r>
      <w:r w:rsidRPr="00BE28D4">
        <w:rPr>
          <w:rFonts w:cstheme="minorHAnsi"/>
          <w:b/>
          <w:sz w:val="24"/>
          <w:szCs w:val="24"/>
        </w:rPr>
        <w:t xml:space="preserve">. </w:t>
      </w:r>
      <w:r w:rsidR="00F603AA">
        <w:rPr>
          <w:rFonts w:cstheme="minorHAnsi"/>
          <w:b/>
          <w:sz w:val="24"/>
          <w:szCs w:val="24"/>
        </w:rPr>
        <w:t xml:space="preserve"> </w:t>
      </w:r>
      <w:r w:rsidRPr="00BE28D4">
        <w:rPr>
          <w:rFonts w:cstheme="minorHAnsi"/>
          <w:sz w:val="24"/>
          <w:szCs w:val="24"/>
        </w:rPr>
        <w:t>According to Clay</w:t>
      </w:r>
      <w:r w:rsidR="00F603AA">
        <w:rPr>
          <w:rFonts w:cstheme="minorHAnsi"/>
          <w:sz w:val="24"/>
          <w:szCs w:val="24"/>
        </w:rPr>
        <w:t>,</w:t>
      </w:r>
      <w:r w:rsidRPr="00BE28D4">
        <w:rPr>
          <w:rFonts w:cstheme="minorHAnsi"/>
          <w:sz w:val="24"/>
          <w:szCs w:val="24"/>
        </w:rPr>
        <w:t xml:space="preserve"> </w:t>
      </w:r>
      <w:r w:rsidRPr="00BE28D4">
        <w:rPr>
          <w:rFonts w:cstheme="minorHAnsi"/>
          <w:i/>
          <w:sz w:val="24"/>
          <w:szCs w:val="24"/>
        </w:rPr>
        <w:t>The Hymn to Demeter</w:t>
      </w:r>
      <w:r w:rsidRPr="00BE28D4">
        <w:rPr>
          <w:rFonts w:cstheme="minorHAnsi"/>
          <w:sz w:val="24"/>
          <w:szCs w:val="24"/>
        </w:rPr>
        <w:t xml:space="preserve"> functions in a clear histological way like all of the four main Hom</w:t>
      </w:r>
      <w:r w:rsidRPr="00BE28D4">
        <w:rPr>
          <w:rFonts w:cstheme="minorHAnsi"/>
          <w:sz w:val="24"/>
          <w:szCs w:val="24"/>
        </w:rPr>
        <w:t>eric hymns.</w:t>
      </w:r>
      <w:r>
        <w:rPr>
          <w:rStyle w:val="FootnoteReference"/>
          <w:rFonts w:cstheme="minorHAnsi"/>
          <w:sz w:val="24"/>
          <w:szCs w:val="24"/>
        </w:rPr>
        <w:footnoteReference w:id="14"/>
      </w:r>
      <w:r w:rsidRPr="00BE28D4">
        <w:rPr>
          <w:rFonts w:cstheme="minorHAnsi"/>
          <w:sz w:val="24"/>
          <w:szCs w:val="24"/>
        </w:rPr>
        <w:t xml:space="preserve">  They provide a link between “theogonic poetry and epic</w:t>
      </w:r>
      <w:r w:rsidR="006468B2">
        <w:rPr>
          <w:rFonts w:cstheme="minorHAnsi"/>
          <w:sz w:val="24"/>
          <w:szCs w:val="24"/>
        </w:rPr>
        <w:t>.</w:t>
      </w:r>
      <w:r w:rsidRPr="00BE28D4">
        <w:rPr>
          <w:rFonts w:cstheme="minorHAnsi"/>
          <w:sz w:val="24"/>
          <w:szCs w:val="24"/>
        </w:rPr>
        <w:t>”</w:t>
      </w:r>
      <w:r>
        <w:rPr>
          <w:rStyle w:val="FootnoteReference"/>
          <w:rFonts w:cstheme="minorHAnsi"/>
          <w:sz w:val="24"/>
          <w:szCs w:val="24"/>
        </w:rPr>
        <w:footnoteReference w:id="15"/>
      </w:r>
      <w:r w:rsidRPr="00BE28D4">
        <w:rPr>
          <w:rFonts w:cstheme="minorHAnsi"/>
          <w:sz w:val="24"/>
          <w:szCs w:val="24"/>
        </w:rPr>
        <w:t xml:space="preserve">  Clay sees this as a sort of devolution of power from Olympus to mankind, producing "a new era in the divine and human cosmos</w:t>
      </w:r>
      <w:r w:rsidR="006468B2">
        <w:rPr>
          <w:rFonts w:cstheme="minorHAnsi"/>
          <w:sz w:val="24"/>
          <w:szCs w:val="24"/>
        </w:rPr>
        <w:t>.</w:t>
      </w:r>
      <w:r w:rsidRPr="00BE28D4">
        <w:rPr>
          <w:rFonts w:cstheme="minorHAnsi"/>
          <w:sz w:val="24"/>
          <w:szCs w:val="24"/>
        </w:rPr>
        <w:t>”</w:t>
      </w:r>
      <w:r>
        <w:rPr>
          <w:rStyle w:val="FootnoteReference"/>
          <w:rFonts w:cstheme="minorHAnsi"/>
          <w:sz w:val="24"/>
          <w:szCs w:val="24"/>
        </w:rPr>
        <w:footnoteReference w:id="16"/>
      </w:r>
      <w:r w:rsidRPr="00BE28D4">
        <w:rPr>
          <w:rFonts w:cstheme="minorHAnsi"/>
          <w:sz w:val="24"/>
          <w:szCs w:val="24"/>
        </w:rPr>
        <w:t xml:space="preserve"> The </w:t>
      </w:r>
      <w:r w:rsidRPr="00BE28D4">
        <w:rPr>
          <w:rFonts w:cstheme="minorHAnsi"/>
          <w:i/>
          <w:sz w:val="24"/>
          <w:szCs w:val="24"/>
        </w:rPr>
        <w:t>Hymn to Demeter</w:t>
      </w:r>
      <w:r w:rsidRPr="00BE28D4">
        <w:rPr>
          <w:rFonts w:cstheme="minorHAnsi"/>
          <w:sz w:val="24"/>
          <w:szCs w:val="24"/>
        </w:rPr>
        <w:t xml:space="preserve"> is then its own metadiegesis, a </w:t>
      </w:r>
      <w:r w:rsidRPr="00BE28D4">
        <w:rPr>
          <w:rFonts w:cstheme="minorHAnsi"/>
          <w:sz w:val="24"/>
          <w:szCs w:val="24"/>
        </w:rPr>
        <w:t xml:space="preserve">story within a story. </w:t>
      </w:r>
    </w:p>
    <w:p w14:paraId="1193D1C1" w14:textId="77777777" w:rsidR="006632E2" w:rsidRDefault="006632E2" w:rsidP="00902245">
      <w:pPr>
        <w:spacing w:after="0"/>
        <w:rPr>
          <w:rFonts w:cstheme="minorHAnsi"/>
          <w:sz w:val="24"/>
          <w:szCs w:val="24"/>
        </w:rPr>
      </w:pPr>
    </w:p>
    <w:p w14:paraId="6EE2A4B7" w14:textId="77777777" w:rsidR="006632E2" w:rsidRDefault="009F1172" w:rsidP="006632E2">
      <w:pPr>
        <w:spacing w:after="0"/>
        <w:rPr>
          <w:rFonts w:cstheme="minorHAnsi"/>
          <w:sz w:val="24"/>
          <w:szCs w:val="24"/>
        </w:rPr>
      </w:pPr>
      <w:r w:rsidRPr="006632E2">
        <w:rPr>
          <w:rFonts w:cstheme="minorHAnsi"/>
          <w:sz w:val="24"/>
          <w:szCs w:val="24"/>
        </w:rPr>
        <w:t xml:space="preserve">There are also thematic parallels within this overall story pattern which serve to demonstrate the effect that contemporary literature had upon the </w:t>
      </w:r>
      <w:r w:rsidRPr="006632E2">
        <w:rPr>
          <w:rFonts w:cstheme="minorHAnsi"/>
          <w:i/>
          <w:sz w:val="24"/>
          <w:szCs w:val="24"/>
        </w:rPr>
        <w:t xml:space="preserve">Hymn. </w:t>
      </w:r>
      <w:r w:rsidRPr="006632E2">
        <w:rPr>
          <w:rFonts w:cstheme="minorHAnsi"/>
          <w:sz w:val="24"/>
          <w:szCs w:val="24"/>
        </w:rPr>
        <w:t xml:space="preserve"> According to Lord, one such theme is the employment of disguise.</w:t>
      </w:r>
      <w:r>
        <w:rPr>
          <w:rStyle w:val="FootnoteReference"/>
          <w:rFonts w:cstheme="minorHAnsi"/>
          <w:sz w:val="24"/>
          <w:szCs w:val="24"/>
        </w:rPr>
        <w:footnoteReference w:id="17"/>
      </w:r>
      <w:r w:rsidRPr="006632E2">
        <w:rPr>
          <w:rFonts w:cstheme="minorHAnsi"/>
          <w:sz w:val="24"/>
          <w:szCs w:val="24"/>
        </w:rPr>
        <w:t xml:space="preserve">  Demeter's</w:t>
      </w:r>
      <w:r w:rsidRPr="006632E2">
        <w:rPr>
          <w:rFonts w:cstheme="minorHAnsi"/>
          <w:sz w:val="24"/>
          <w:szCs w:val="24"/>
        </w:rPr>
        <w:t xml:space="preserve"> incognito sojourn in Eleusis as an old woman is seen, for example, in the </w:t>
      </w:r>
      <w:r w:rsidRPr="006632E2">
        <w:rPr>
          <w:rFonts w:cstheme="minorHAnsi"/>
          <w:i/>
          <w:sz w:val="24"/>
          <w:szCs w:val="24"/>
        </w:rPr>
        <w:t xml:space="preserve">Iliad, </w:t>
      </w:r>
      <w:r w:rsidRPr="006632E2">
        <w:rPr>
          <w:rFonts w:cstheme="minorHAnsi"/>
          <w:sz w:val="24"/>
          <w:szCs w:val="24"/>
        </w:rPr>
        <w:t>when Achilles, hearing of Patrocles' death, covers himself in soot and, like Demeter, refuses to eat or drink</w:t>
      </w:r>
      <w:r>
        <w:rPr>
          <w:rFonts w:cstheme="minorHAnsi"/>
          <w:sz w:val="24"/>
          <w:szCs w:val="24"/>
        </w:rPr>
        <w:t xml:space="preserve">. </w:t>
      </w:r>
      <w:r>
        <w:rPr>
          <w:rStyle w:val="FootnoteReference"/>
          <w:rFonts w:cstheme="minorHAnsi"/>
          <w:sz w:val="24"/>
          <w:szCs w:val="24"/>
        </w:rPr>
        <w:footnoteReference w:id="18"/>
      </w:r>
      <w:r w:rsidRPr="006632E2">
        <w:rPr>
          <w:rFonts w:cstheme="minorHAnsi"/>
          <w:sz w:val="24"/>
          <w:szCs w:val="24"/>
        </w:rPr>
        <w:t xml:space="preserve">  This is not the only example.</w:t>
      </w:r>
      <w:r>
        <w:rPr>
          <w:rFonts w:cstheme="minorHAnsi"/>
          <w:sz w:val="24"/>
          <w:szCs w:val="24"/>
        </w:rPr>
        <w:t xml:space="preserve"> </w:t>
      </w:r>
      <w:r w:rsidRPr="006632E2">
        <w:rPr>
          <w:rFonts w:cstheme="minorHAnsi"/>
          <w:sz w:val="24"/>
          <w:szCs w:val="24"/>
        </w:rPr>
        <w:t xml:space="preserve"> In the </w:t>
      </w:r>
      <w:r w:rsidRPr="006632E2">
        <w:rPr>
          <w:rFonts w:cstheme="minorHAnsi"/>
          <w:i/>
          <w:sz w:val="24"/>
          <w:szCs w:val="24"/>
        </w:rPr>
        <w:t>Odyssey,</w:t>
      </w:r>
      <w:r w:rsidRPr="006632E2">
        <w:rPr>
          <w:rFonts w:cstheme="minorHAnsi"/>
          <w:sz w:val="24"/>
          <w:szCs w:val="24"/>
        </w:rPr>
        <w:t xml:space="preserve"> Odysseus als</w:t>
      </w:r>
      <w:r w:rsidRPr="006632E2">
        <w:rPr>
          <w:rFonts w:cstheme="minorHAnsi"/>
          <w:sz w:val="24"/>
          <w:szCs w:val="24"/>
        </w:rPr>
        <w:t>o  disguises himself, only he has a much harder time of it, being “taunted by the Phaecian Euralyos at the games, kicked by the goatherd Melanthios, and hit with a footstool by Antinoos</w:t>
      </w:r>
      <w:r>
        <w:rPr>
          <w:rFonts w:cstheme="minorHAnsi"/>
          <w:sz w:val="24"/>
          <w:szCs w:val="24"/>
        </w:rPr>
        <w:t>.</w:t>
      </w:r>
      <w:r w:rsidRPr="006632E2">
        <w:rPr>
          <w:rFonts w:cstheme="minorHAnsi"/>
          <w:sz w:val="24"/>
          <w:szCs w:val="24"/>
        </w:rPr>
        <w:t>”</w:t>
      </w:r>
      <w:r>
        <w:rPr>
          <w:rStyle w:val="FootnoteReference"/>
          <w:rFonts w:cstheme="minorHAnsi"/>
          <w:sz w:val="24"/>
          <w:szCs w:val="24"/>
        </w:rPr>
        <w:footnoteReference w:id="19"/>
      </w:r>
      <w:r w:rsidRPr="006632E2">
        <w:rPr>
          <w:rFonts w:cstheme="minorHAnsi"/>
          <w:sz w:val="24"/>
          <w:szCs w:val="24"/>
        </w:rPr>
        <w:t xml:space="preserve"> There are other thematic strands that appear to be compulsory inclusions. </w:t>
      </w:r>
      <w:r>
        <w:rPr>
          <w:rFonts w:cstheme="minorHAnsi"/>
          <w:sz w:val="24"/>
          <w:szCs w:val="24"/>
        </w:rPr>
        <w:t xml:space="preserve"> </w:t>
      </w:r>
      <w:r w:rsidRPr="006632E2">
        <w:rPr>
          <w:rFonts w:cstheme="minorHAnsi"/>
          <w:sz w:val="24"/>
          <w:szCs w:val="24"/>
        </w:rPr>
        <w:t>Deceit is a negative quality found in both Odysseus and Demeter, who appear to have the same cover story declaring themselves as emanating from Crete.</w:t>
      </w:r>
      <w:r>
        <w:rPr>
          <w:rStyle w:val="FootnoteReference"/>
          <w:rFonts w:cstheme="minorHAnsi"/>
          <w:sz w:val="24"/>
          <w:szCs w:val="24"/>
        </w:rPr>
        <w:footnoteReference w:id="20"/>
      </w:r>
      <w:r w:rsidRPr="006632E2">
        <w:rPr>
          <w:rFonts w:cstheme="minorHAnsi"/>
          <w:sz w:val="24"/>
          <w:szCs w:val="24"/>
        </w:rPr>
        <w:t xml:space="preserve">  Similarly, the imposition </w:t>
      </w:r>
      <w:r w:rsidRPr="006632E2">
        <w:rPr>
          <w:rFonts w:cstheme="minorHAnsi"/>
          <w:sz w:val="24"/>
          <w:szCs w:val="24"/>
        </w:rPr>
        <w:t>of havoc, the relief of reconciliation and the abduction of brides are all recurring themes.  Indeed, according to Lord, "bride stealing in epic was mythic before it became heroic and historical</w:t>
      </w:r>
      <w:r>
        <w:rPr>
          <w:rFonts w:cstheme="minorHAnsi"/>
          <w:sz w:val="24"/>
          <w:szCs w:val="24"/>
        </w:rPr>
        <w:t>.</w:t>
      </w:r>
      <w:r w:rsidRPr="006632E2">
        <w:rPr>
          <w:rFonts w:cstheme="minorHAnsi"/>
          <w:sz w:val="24"/>
          <w:szCs w:val="24"/>
        </w:rPr>
        <w:t>”</w:t>
      </w:r>
      <w:r>
        <w:rPr>
          <w:rStyle w:val="FootnoteReference"/>
          <w:rFonts w:cstheme="minorHAnsi"/>
          <w:sz w:val="24"/>
          <w:szCs w:val="24"/>
        </w:rPr>
        <w:footnoteReference w:id="21"/>
      </w:r>
    </w:p>
    <w:p w14:paraId="07D5E4E3" w14:textId="77777777" w:rsidR="006632E2" w:rsidRPr="006632E2" w:rsidRDefault="006632E2" w:rsidP="006632E2">
      <w:pPr>
        <w:spacing w:after="0"/>
        <w:rPr>
          <w:rFonts w:cstheme="minorHAnsi"/>
          <w:sz w:val="24"/>
          <w:szCs w:val="24"/>
        </w:rPr>
      </w:pPr>
    </w:p>
    <w:p w14:paraId="33BA9B3A" w14:textId="77777777" w:rsidR="00F42863" w:rsidRDefault="009F1172" w:rsidP="006632E2">
      <w:pPr>
        <w:spacing w:after="0"/>
        <w:rPr>
          <w:rFonts w:cstheme="minorHAnsi"/>
          <w:sz w:val="24"/>
          <w:szCs w:val="24"/>
        </w:rPr>
      </w:pPr>
      <w:r w:rsidRPr="006632E2">
        <w:rPr>
          <w:rFonts w:cstheme="minorHAnsi"/>
          <w:sz w:val="24"/>
          <w:szCs w:val="24"/>
        </w:rPr>
        <w:t xml:space="preserve">The </w:t>
      </w:r>
      <w:r w:rsidRPr="00C5386B">
        <w:rPr>
          <w:rFonts w:cstheme="minorHAnsi"/>
          <w:bCs/>
          <w:i/>
          <w:iCs/>
          <w:sz w:val="24"/>
          <w:szCs w:val="24"/>
        </w:rPr>
        <w:t>Hymn to Demeter</w:t>
      </w:r>
      <w:r w:rsidRPr="006632E2">
        <w:rPr>
          <w:rFonts w:cstheme="minorHAnsi"/>
          <w:bCs/>
          <w:sz w:val="24"/>
          <w:szCs w:val="24"/>
        </w:rPr>
        <w:t>, therefore, exhibits a substantial d</w:t>
      </w:r>
      <w:r w:rsidRPr="006632E2">
        <w:rPr>
          <w:rFonts w:cstheme="minorHAnsi"/>
          <w:bCs/>
          <w:sz w:val="24"/>
          <w:szCs w:val="24"/>
        </w:rPr>
        <w:t>egree of subliminal internal complexity.</w:t>
      </w:r>
      <w:r w:rsidRPr="006632E2">
        <w:rPr>
          <w:rFonts w:cstheme="minorHAnsi"/>
          <w:sz w:val="24"/>
          <w:szCs w:val="24"/>
        </w:rPr>
        <w:t xml:space="preserve">  Superimposed upon this is the element of local influence in the form of Demeter’s time in Eleusis, which has been seen as a significant departure from the original Persephone myth.  Viewing  evidential "convergence</w:t>
      </w:r>
      <w:r w:rsidRPr="006632E2">
        <w:rPr>
          <w:rFonts w:cstheme="minorHAnsi"/>
          <w:sz w:val="24"/>
          <w:szCs w:val="24"/>
        </w:rPr>
        <w:t>s" such as the mention of the child Threptos in Eleusian sacrificial records</w:t>
      </w:r>
      <w:r>
        <w:rPr>
          <w:rFonts w:cstheme="minorHAnsi"/>
          <w:sz w:val="24"/>
          <w:szCs w:val="24"/>
        </w:rPr>
        <w:t>,</w:t>
      </w:r>
      <w:r w:rsidRPr="006632E2">
        <w:rPr>
          <w:rFonts w:cstheme="minorHAnsi"/>
          <w:sz w:val="24"/>
          <w:szCs w:val="24"/>
        </w:rPr>
        <w:t xml:space="preserve"> Parker contends, </w:t>
      </w:r>
      <w:r w:rsidRPr="006632E2">
        <w:rPr>
          <w:rFonts w:cstheme="minorHAnsi"/>
          <w:sz w:val="24"/>
          <w:szCs w:val="24"/>
        </w:rPr>
        <w:lastRenderedPageBreak/>
        <w:t>"The starting point must be that it is an Eleusian story</w:t>
      </w:r>
      <w:r>
        <w:rPr>
          <w:rFonts w:cstheme="minorHAnsi"/>
          <w:sz w:val="24"/>
          <w:szCs w:val="24"/>
        </w:rPr>
        <w:t>.</w:t>
      </w:r>
      <w:r w:rsidRPr="006632E2">
        <w:rPr>
          <w:rFonts w:cstheme="minorHAnsi"/>
          <w:sz w:val="24"/>
          <w:szCs w:val="24"/>
        </w:rPr>
        <w:t>”</w:t>
      </w:r>
      <w:r>
        <w:rPr>
          <w:rStyle w:val="FootnoteReference"/>
          <w:rFonts w:cstheme="minorHAnsi"/>
          <w:sz w:val="24"/>
          <w:szCs w:val="24"/>
        </w:rPr>
        <w:footnoteReference w:id="22"/>
      </w:r>
      <w:r w:rsidRPr="006632E2">
        <w:rPr>
          <w:rFonts w:cstheme="minorHAnsi"/>
          <w:b/>
          <w:sz w:val="24"/>
          <w:szCs w:val="24"/>
        </w:rPr>
        <w:t xml:space="preserve"> </w:t>
      </w:r>
      <w:r w:rsidRPr="006632E2">
        <w:rPr>
          <w:rFonts w:cstheme="minorHAnsi"/>
          <w:sz w:val="24"/>
          <w:szCs w:val="24"/>
        </w:rPr>
        <w:t xml:space="preserve"> Although Richardson thinks that;</w:t>
      </w:r>
      <w:r w:rsidRPr="006632E2">
        <w:rPr>
          <w:sz w:val="24"/>
          <w:szCs w:val="24"/>
        </w:rPr>
        <w:t xml:space="preserve"> ”Demeter’s wanderings on Earth and visit to Eleusis have no specia</w:t>
      </w:r>
      <w:r w:rsidRPr="006632E2">
        <w:rPr>
          <w:sz w:val="24"/>
          <w:szCs w:val="24"/>
        </w:rPr>
        <w:t>l purpose</w:t>
      </w:r>
      <w:r>
        <w:rPr>
          <w:sz w:val="24"/>
          <w:szCs w:val="24"/>
        </w:rPr>
        <w:t>,</w:t>
      </w:r>
      <w:r w:rsidRPr="006632E2">
        <w:rPr>
          <w:sz w:val="24"/>
          <w:szCs w:val="24"/>
        </w:rPr>
        <w:t>”</w:t>
      </w:r>
      <w:r>
        <w:rPr>
          <w:rStyle w:val="FootnoteReference"/>
          <w:sz w:val="24"/>
          <w:szCs w:val="24"/>
        </w:rPr>
        <w:footnoteReference w:id="23"/>
      </w:r>
      <w:r w:rsidRPr="006632E2">
        <w:rPr>
          <w:sz w:val="24"/>
          <w:szCs w:val="24"/>
        </w:rPr>
        <w:t xml:space="preserve">  Clay disagrees and regards it as an essential element which "firmly links the poem to the theogonic and cosmogonic tradition of which it forms a part</w:t>
      </w:r>
      <w:r>
        <w:rPr>
          <w:sz w:val="24"/>
          <w:szCs w:val="24"/>
        </w:rPr>
        <w:t>.”</w:t>
      </w:r>
      <w:r>
        <w:rPr>
          <w:rStyle w:val="FootnoteReference"/>
          <w:sz w:val="24"/>
          <w:szCs w:val="24"/>
        </w:rPr>
        <w:footnoteReference w:id="24"/>
      </w:r>
      <w:r w:rsidRPr="006632E2">
        <w:rPr>
          <w:sz w:val="24"/>
          <w:szCs w:val="24"/>
        </w:rPr>
        <w:t xml:space="preserve">  Indeed this is then woven into the metadiogetic model. </w:t>
      </w:r>
      <w:r>
        <w:rPr>
          <w:sz w:val="24"/>
          <w:szCs w:val="24"/>
        </w:rPr>
        <w:t xml:space="preserve"> </w:t>
      </w:r>
      <w:r w:rsidRPr="006632E2">
        <w:rPr>
          <w:rFonts w:cstheme="minorHAnsi"/>
          <w:sz w:val="24"/>
          <w:szCs w:val="24"/>
        </w:rPr>
        <w:t xml:space="preserve">Parker argues that the </w:t>
      </w:r>
      <w:r w:rsidRPr="006632E2">
        <w:rPr>
          <w:rFonts w:cstheme="minorHAnsi"/>
          <w:i/>
          <w:sz w:val="24"/>
          <w:szCs w:val="24"/>
        </w:rPr>
        <w:t>Hymn</w:t>
      </w:r>
      <w:r w:rsidRPr="006632E2">
        <w:rPr>
          <w:rFonts w:cstheme="minorHAnsi"/>
          <w:sz w:val="24"/>
          <w:szCs w:val="24"/>
        </w:rPr>
        <w:t xml:space="preserve"> is</w:t>
      </w:r>
      <w:r w:rsidRPr="006632E2">
        <w:rPr>
          <w:rFonts w:cstheme="minorHAnsi"/>
          <w:sz w:val="24"/>
          <w:szCs w:val="24"/>
        </w:rPr>
        <w:t xml:space="preserve"> divided into the spheres of two narrators. </w:t>
      </w:r>
      <w:r>
        <w:rPr>
          <w:rFonts w:cstheme="minorHAnsi"/>
          <w:sz w:val="24"/>
          <w:szCs w:val="24"/>
        </w:rPr>
        <w:t xml:space="preserve"> </w:t>
      </w:r>
      <w:r w:rsidRPr="006632E2">
        <w:rPr>
          <w:rFonts w:cstheme="minorHAnsi"/>
          <w:sz w:val="24"/>
          <w:szCs w:val="24"/>
        </w:rPr>
        <w:t xml:space="preserve">There is the </w:t>
      </w:r>
      <w:r w:rsidRPr="006632E2">
        <w:rPr>
          <w:rFonts w:cstheme="minorHAnsi"/>
          <w:i/>
          <w:sz w:val="24"/>
          <w:szCs w:val="24"/>
        </w:rPr>
        <w:t>Hymn</w:t>
      </w:r>
      <w:r w:rsidRPr="006632E2">
        <w:rPr>
          <w:rFonts w:cstheme="minorHAnsi"/>
          <w:sz w:val="24"/>
          <w:szCs w:val="24"/>
        </w:rPr>
        <w:t xml:space="preserve"> writer as the central narrator, and he is complemented by a "mouthpiece of local Eleusinian tradition", less interested in telling a good story.</w:t>
      </w:r>
      <w:r>
        <w:rPr>
          <w:rStyle w:val="FootnoteReference"/>
          <w:rFonts w:cstheme="minorHAnsi"/>
          <w:sz w:val="24"/>
          <w:szCs w:val="24"/>
        </w:rPr>
        <w:footnoteReference w:id="25"/>
      </w:r>
      <w:r w:rsidRPr="006632E2">
        <w:rPr>
          <w:rFonts w:cstheme="minorHAnsi"/>
          <w:sz w:val="24"/>
          <w:szCs w:val="24"/>
        </w:rPr>
        <w:t xml:space="preserve"> “The task of the critic is to decide which of </w:t>
      </w:r>
      <w:r w:rsidRPr="006632E2">
        <w:rPr>
          <w:rFonts w:cstheme="minorHAnsi"/>
          <w:sz w:val="24"/>
          <w:szCs w:val="24"/>
        </w:rPr>
        <w:t>these two advisers the poet of the Hymn is listening to at a given moment.”</w:t>
      </w:r>
      <w:r>
        <w:rPr>
          <w:rStyle w:val="FootnoteReference"/>
          <w:rFonts w:cstheme="minorHAnsi"/>
          <w:sz w:val="24"/>
          <w:szCs w:val="24"/>
        </w:rPr>
        <w:footnoteReference w:id="26"/>
      </w:r>
      <w:r w:rsidRPr="006632E2">
        <w:rPr>
          <w:rFonts w:cstheme="minorHAnsi"/>
          <w:sz w:val="24"/>
          <w:szCs w:val="24"/>
        </w:rPr>
        <w:t xml:space="preserve">  The </w:t>
      </w:r>
      <w:r w:rsidRPr="006632E2">
        <w:rPr>
          <w:rFonts w:cstheme="minorHAnsi"/>
          <w:i/>
          <w:sz w:val="24"/>
          <w:szCs w:val="24"/>
        </w:rPr>
        <w:t>Hymn</w:t>
      </w:r>
      <w:r w:rsidRPr="006632E2">
        <w:rPr>
          <w:rFonts w:cstheme="minorHAnsi"/>
          <w:sz w:val="24"/>
          <w:szCs w:val="24"/>
        </w:rPr>
        <w:t xml:space="preserve">, therefore, is a narrative amalgam of established themes and new literary departures that </w:t>
      </w:r>
    </w:p>
    <w:p w14:paraId="18E1D3D8" w14:textId="77777777" w:rsidR="00F42863" w:rsidRDefault="00F42863" w:rsidP="006632E2">
      <w:pPr>
        <w:spacing w:after="0"/>
        <w:rPr>
          <w:rFonts w:cstheme="minorHAnsi"/>
          <w:sz w:val="24"/>
          <w:szCs w:val="24"/>
        </w:rPr>
      </w:pPr>
    </w:p>
    <w:p w14:paraId="2A88BBCB" w14:textId="77777777" w:rsidR="006632E2" w:rsidRPr="006632E2" w:rsidRDefault="009F1172" w:rsidP="00F42863">
      <w:pPr>
        <w:spacing w:after="0"/>
        <w:ind w:left="720"/>
        <w:rPr>
          <w:rFonts w:cstheme="minorHAnsi"/>
          <w:b/>
          <w:sz w:val="24"/>
          <w:szCs w:val="24"/>
        </w:rPr>
      </w:pPr>
      <w:r w:rsidRPr="006632E2">
        <w:rPr>
          <w:sz w:val="24"/>
          <w:szCs w:val="24"/>
        </w:rPr>
        <w:t>“</w:t>
      </w:r>
      <w:r w:rsidRPr="006632E2">
        <w:rPr>
          <w:rFonts w:cstheme="minorHAnsi"/>
          <w:sz w:val="24"/>
          <w:szCs w:val="24"/>
        </w:rPr>
        <w:t xml:space="preserve">have been so heavily overlaid with additions from the </w:t>
      </w:r>
      <w:r w:rsidRPr="006632E2">
        <w:rPr>
          <w:rFonts w:cstheme="minorHAnsi"/>
          <w:i/>
          <w:sz w:val="24"/>
          <w:szCs w:val="24"/>
        </w:rPr>
        <w:t xml:space="preserve">Orphic </w:t>
      </w:r>
      <w:r w:rsidRPr="006632E2">
        <w:rPr>
          <w:rFonts w:cstheme="minorHAnsi"/>
          <w:sz w:val="24"/>
          <w:szCs w:val="24"/>
        </w:rPr>
        <w:t xml:space="preserve">and </w:t>
      </w:r>
      <w:r w:rsidRPr="006632E2">
        <w:rPr>
          <w:rFonts w:cstheme="minorHAnsi"/>
          <w:i/>
          <w:sz w:val="24"/>
          <w:szCs w:val="24"/>
        </w:rPr>
        <w:t>Dionysiac</w:t>
      </w:r>
      <w:r w:rsidRPr="006632E2">
        <w:rPr>
          <w:rFonts w:cstheme="minorHAnsi"/>
          <w:sz w:val="24"/>
          <w:szCs w:val="24"/>
        </w:rPr>
        <w:t xml:space="preserve"> cults and with syncretisms of many kinds that it is useful to examine the structure of the Homeric Hymn to Demeter in the light of the other narratives current at the time</w:t>
      </w:r>
      <w:r w:rsidR="00F42863">
        <w:rPr>
          <w:rFonts w:cstheme="minorHAnsi"/>
          <w:sz w:val="24"/>
          <w:szCs w:val="24"/>
        </w:rPr>
        <w:t>.</w:t>
      </w:r>
      <w:r w:rsidRPr="006632E2">
        <w:rPr>
          <w:rFonts w:cstheme="minorHAnsi"/>
          <w:sz w:val="24"/>
          <w:szCs w:val="24"/>
        </w:rPr>
        <w:t>”</w:t>
      </w:r>
      <w:r>
        <w:rPr>
          <w:rStyle w:val="FootnoteReference"/>
          <w:rFonts w:cstheme="minorHAnsi"/>
          <w:sz w:val="24"/>
          <w:szCs w:val="24"/>
        </w:rPr>
        <w:footnoteReference w:id="27"/>
      </w:r>
    </w:p>
    <w:p w14:paraId="5A9928AC" w14:textId="77777777" w:rsidR="006632E2" w:rsidRPr="006632E2" w:rsidRDefault="006632E2" w:rsidP="006632E2">
      <w:pPr>
        <w:spacing w:after="0"/>
        <w:rPr>
          <w:rFonts w:cstheme="minorHAnsi"/>
          <w:sz w:val="24"/>
          <w:szCs w:val="24"/>
        </w:rPr>
      </w:pPr>
    </w:p>
    <w:p w14:paraId="40BA24BA" w14:textId="77777777" w:rsidR="002810B8" w:rsidRDefault="009F1172" w:rsidP="004B62B4">
      <w:pPr>
        <w:spacing w:after="0"/>
        <w:rPr>
          <w:rFonts w:cstheme="minorHAnsi"/>
          <w:sz w:val="24"/>
          <w:szCs w:val="24"/>
        </w:rPr>
      </w:pPr>
      <w:r w:rsidRPr="004B62B4">
        <w:rPr>
          <w:rFonts w:cstheme="minorHAnsi"/>
          <w:sz w:val="24"/>
          <w:szCs w:val="24"/>
        </w:rPr>
        <w:t xml:space="preserve">Structure then has been lauded as the dominant component of narrative style and, by extension, the greatest influence on the textual content of the preeminent Greek version of the Persephone myth. </w:t>
      </w:r>
      <w:r>
        <w:rPr>
          <w:rFonts w:cstheme="minorHAnsi"/>
          <w:sz w:val="24"/>
          <w:szCs w:val="24"/>
        </w:rPr>
        <w:t xml:space="preserve"> </w:t>
      </w:r>
      <w:r w:rsidRPr="004B62B4">
        <w:rPr>
          <w:rFonts w:cstheme="minorHAnsi"/>
          <w:sz w:val="24"/>
          <w:szCs w:val="24"/>
        </w:rPr>
        <w:t xml:space="preserve">Much too, has been made of this </w:t>
      </w:r>
      <w:r w:rsidRPr="004B62B4">
        <w:rPr>
          <w:rFonts w:cstheme="minorHAnsi"/>
          <w:bCs/>
          <w:iCs/>
          <w:sz w:val="24"/>
          <w:szCs w:val="24"/>
        </w:rPr>
        <w:t>structuralist</w:t>
      </w:r>
      <w:r w:rsidRPr="004B62B4">
        <w:rPr>
          <w:rFonts w:cstheme="minorHAnsi"/>
          <w:sz w:val="24"/>
          <w:szCs w:val="24"/>
        </w:rPr>
        <w:t xml:space="preserve"> approach to </w:t>
      </w:r>
      <w:r w:rsidRPr="004B62B4">
        <w:rPr>
          <w:rFonts w:cstheme="minorHAnsi"/>
          <w:sz w:val="24"/>
          <w:szCs w:val="24"/>
        </w:rPr>
        <w:t xml:space="preserve">narrative and how it applies to the </w:t>
      </w:r>
      <w:r w:rsidRPr="004B62B4">
        <w:rPr>
          <w:rFonts w:cstheme="minorHAnsi"/>
          <w:i/>
          <w:sz w:val="24"/>
          <w:szCs w:val="24"/>
        </w:rPr>
        <w:t>Metamorphoses</w:t>
      </w:r>
      <w:r w:rsidRPr="004B62B4">
        <w:rPr>
          <w:rFonts w:cstheme="minorHAnsi"/>
          <w:sz w:val="24"/>
          <w:szCs w:val="24"/>
        </w:rPr>
        <w:t xml:space="preserve">.  The </w:t>
      </w:r>
      <w:r w:rsidRPr="004B62B4">
        <w:rPr>
          <w:rFonts w:cstheme="minorHAnsi"/>
          <w:i/>
          <w:sz w:val="24"/>
          <w:szCs w:val="24"/>
        </w:rPr>
        <w:t>Metamorphoses</w:t>
      </w:r>
      <w:r w:rsidRPr="004B62B4">
        <w:rPr>
          <w:rFonts w:cstheme="minorHAnsi"/>
          <w:sz w:val="24"/>
          <w:szCs w:val="24"/>
        </w:rPr>
        <w:t xml:space="preserve"> is to be viewed not simply as a collection of short stories that can be read in isolation but rather as a rhetorical whole.</w:t>
      </w:r>
      <w:r>
        <w:rPr>
          <w:rStyle w:val="FootnoteReference"/>
          <w:rFonts w:cstheme="minorHAnsi"/>
          <w:sz w:val="24"/>
          <w:szCs w:val="24"/>
        </w:rPr>
        <w:footnoteReference w:id="28"/>
      </w:r>
      <w:r w:rsidRPr="004B62B4">
        <w:rPr>
          <w:rFonts w:cstheme="minorHAnsi"/>
          <w:sz w:val="24"/>
          <w:szCs w:val="24"/>
        </w:rPr>
        <w:t xml:space="preserve">  The audience must keep in mind certain common themes in ord</w:t>
      </w:r>
      <w:r w:rsidRPr="004B62B4">
        <w:rPr>
          <w:rFonts w:cstheme="minorHAnsi"/>
          <w:sz w:val="24"/>
          <w:szCs w:val="24"/>
        </w:rPr>
        <w:t>er to obtain the full benefit of the work.  This places a narrative restriction on the author not only in removing the convenience of a logical, progressive chronological order with which to organise the work but also compels him to apply a series of conju</w:t>
      </w:r>
      <w:r w:rsidRPr="004B62B4">
        <w:rPr>
          <w:rFonts w:cstheme="minorHAnsi"/>
          <w:sz w:val="24"/>
          <w:szCs w:val="24"/>
        </w:rPr>
        <w:t>nctive mechanisms.</w:t>
      </w:r>
      <w:r>
        <w:rPr>
          <w:rFonts w:cstheme="minorHAnsi"/>
          <w:sz w:val="24"/>
          <w:szCs w:val="24"/>
        </w:rPr>
        <w:t xml:space="preserve"> </w:t>
      </w:r>
      <w:r w:rsidRPr="004B62B4">
        <w:rPr>
          <w:rFonts w:cstheme="minorHAnsi"/>
          <w:sz w:val="24"/>
          <w:szCs w:val="24"/>
        </w:rPr>
        <w:t xml:space="preserve"> One of Ovid's solutions to this conundrum is his metamorphic theme, where each story must have a metamorphic moment.</w:t>
      </w:r>
      <w:r>
        <w:rPr>
          <w:rFonts w:cstheme="minorHAnsi"/>
          <w:sz w:val="24"/>
          <w:szCs w:val="24"/>
        </w:rPr>
        <w:t xml:space="preserve"> </w:t>
      </w:r>
      <w:r w:rsidRPr="004B62B4">
        <w:rPr>
          <w:rFonts w:cstheme="minorHAnsi"/>
          <w:sz w:val="24"/>
          <w:szCs w:val="24"/>
        </w:rPr>
        <w:t xml:space="preserve"> This strategy is not without narrative cost and produces “a poem which follows a double structural principle, combinin</w:t>
      </w:r>
      <w:r w:rsidRPr="004B62B4">
        <w:rPr>
          <w:rFonts w:cstheme="minorHAnsi"/>
          <w:sz w:val="24"/>
          <w:szCs w:val="24"/>
        </w:rPr>
        <w:t>g chronological order</w:t>
      </w:r>
      <w:r>
        <w:rPr>
          <w:rFonts w:cstheme="minorHAnsi"/>
          <w:sz w:val="24"/>
          <w:szCs w:val="24"/>
        </w:rPr>
        <w:t xml:space="preserve"> </w:t>
      </w:r>
      <w:r w:rsidRPr="004B62B4">
        <w:rPr>
          <w:rFonts w:cstheme="minorHAnsi"/>
          <w:sz w:val="24"/>
          <w:szCs w:val="24"/>
        </w:rPr>
        <w:t>(from chaos to the present) with analogic order (stories linked by connected themes, characters or places)."</w:t>
      </w:r>
      <w:r>
        <w:rPr>
          <w:rStyle w:val="FootnoteReference"/>
          <w:rFonts w:cstheme="minorHAnsi"/>
          <w:sz w:val="24"/>
          <w:szCs w:val="24"/>
        </w:rPr>
        <w:footnoteReference w:id="29"/>
      </w:r>
      <w:r w:rsidRPr="004B62B4">
        <w:rPr>
          <w:rFonts w:cstheme="minorHAnsi"/>
          <w:sz w:val="24"/>
          <w:szCs w:val="24"/>
        </w:rPr>
        <w:t xml:space="preserve">  This, in turn, leads to a plethora of subplots, which greatly impinge upon the textual presentation Ovid is forced to adop</w:t>
      </w:r>
      <w:r w:rsidRPr="004B62B4">
        <w:rPr>
          <w:rFonts w:cstheme="minorHAnsi"/>
          <w:sz w:val="24"/>
          <w:szCs w:val="24"/>
        </w:rPr>
        <w:t>t.</w:t>
      </w:r>
      <w:r>
        <w:rPr>
          <w:rFonts w:cstheme="minorHAnsi"/>
          <w:sz w:val="24"/>
          <w:szCs w:val="24"/>
        </w:rPr>
        <w:t xml:space="preserve"> </w:t>
      </w:r>
      <w:r w:rsidRPr="004B62B4">
        <w:rPr>
          <w:rFonts w:cstheme="minorHAnsi"/>
          <w:sz w:val="24"/>
          <w:szCs w:val="24"/>
        </w:rPr>
        <w:t xml:space="preserve"> His search for genius has to some extent, hoisted him upon his own petard. </w:t>
      </w:r>
    </w:p>
    <w:p w14:paraId="401FD008" w14:textId="77777777" w:rsidR="002810B8" w:rsidRDefault="002810B8" w:rsidP="004B62B4">
      <w:pPr>
        <w:spacing w:after="0"/>
        <w:rPr>
          <w:rFonts w:cstheme="minorHAnsi"/>
          <w:sz w:val="24"/>
          <w:szCs w:val="24"/>
        </w:rPr>
      </w:pPr>
    </w:p>
    <w:p w14:paraId="1F7CA24B" w14:textId="77777777" w:rsidR="002810B8" w:rsidRDefault="009F1172" w:rsidP="002810B8">
      <w:pPr>
        <w:spacing w:after="0"/>
        <w:ind w:left="720"/>
        <w:rPr>
          <w:rFonts w:cstheme="minorHAnsi"/>
          <w:sz w:val="24"/>
          <w:szCs w:val="24"/>
        </w:rPr>
      </w:pPr>
      <w:r w:rsidRPr="004B62B4">
        <w:rPr>
          <w:rFonts w:cstheme="minorHAnsi"/>
          <w:sz w:val="24"/>
          <w:szCs w:val="24"/>
        </w:rPr>
        <w:t xml:space="preserve"> “But Ovidian narratives are frequently constructed with an uncommon complexity: the internal narrator, to whom the narrator-author (Lets call him </w:t>
      </w:r>
      <w:r>
        <w:rPr>
          <w:rFonts w:cstheme="minorHAnsi"/>
          <w:sz w:val="24"/>
          <w:szCs w:val="24"/>
        </w:rPr>
        <w:t>‘</w:t>
      </w:r>
      <w:r w:rsidRPr="004B62B4">
        <w:rPr>
          <w:rFonts w:cstheme="minorHAnsi"/>
          <w:sz w:val="24"/>
          <w:szCs w:val="24"/>
        </w:rPr>
        <w:t>Ovid</w:t>
      </w:r>
      <w:r>
        <w:rPr>
          <w:rFonts w:cstheme="minorHAnsi"/>
          <w:sz w:val="24"/>
          <w:szCs w:val="24"/>
        </w:rPr>
        <w:t>’)</w:t>
      </w:r>
      <w:r w:rsidRPr="004B62B4">
        <w:rPr>
          <w:rFonts w:cstheme="minorHAnsi"/>
          <w:sz w:val="24"/>
          <w:szCs w:val="24"/>
        </w:rPr>
        <w:t xml:space="preserve"> has yielded the floo</w:t>
      </w:r>
      <w:r w:rsidRPr="004B62B4">
        <w:rPr>
          <w:rFonts w:cstheme="minorHAnsi"/>
          <w:sz w:val="24"/>
          <w:szCs w:val="24"/>
        </w:rPr>
        <w:t>r, gives it instead to a character-narrator internal to the story who himself narrates and periodically reproduces the narrative situation (with a new narrator who speaks to his own audience) to the point of multiplying the narrative levels as in a game of</w:t>
      </w:r>
      <w:r w:rsidRPr="004B62B4">
        <w:rPr>
          <w:rFonts w:cstheme="minorHAnsi"/>
          <w:sz w:val="24"/>
          <w:szCs w:val="24"/>
        </w:rPr>
        <w:t xml:space="preserve"> Chinese boxes</w:t>
      </w:r>
      <w:r>
        <w:rPr>
          <w:rFonts w:cstheme="minorHAnsi"/>
          <w:sz w:val="24"/>
          <w:szCs w:val="24"/>
        </w:rPr>
        <w:t>.</w:t>
      </w:r>
      <w:r w:rsidRPr="004B62B4">
        <w:rPr>
          <w:rFonts w:cstheme="minorHAnsi"/>
          <w:sz w:val="24"/>
          <w:szCs w:val="24"/>
        </w:rPr>
        <w:t>”</w:t>
      </w:r>
      <w:r>
        <w:rPr>
          <w:rStyle w:val="FootnoteReference"/>
          <w:rFonts w:cstheme="minorHAnsi"/>
          <w:sz w:val="24"/>
          <w:szCs w:val="24"/>
        </w:rPr>
        <w:footnoteReference w:id="30"/>
      </w:r>
      <w:r w:rsidRPr="004B62B4">
        <w:rPr>
          <w:rFonts w:cstheme="minorHAnsi"/>
          <w:sz w:val="24"/>
          <w:szCs w:val="24"/>
        </w:rPr>
        <w:t xml:space="preserve"> </w:t>
      </w:r>
    </w:p>
    <w:p w14:paraId="0B6AD37E" w14:textId="77777777" w:rsidR="002810B8" w:rsidRDefault="002810B8" w:rsidP="004B62B4">
      <w:pPr>
        <w:spacing w:after="0"/>
        <w:rPr>
          <w:rFonts w:cstheme="minorHAnsi"/>
          <w:sz w:val="24"/>
          <w:szCs w:val="24"/>
        </w:rPr>
      </w:pPr>
    </w:p>
    <w:p w14:paraId="1C403DC0" w14:textId="77777777" w:rsidR="004B62B4" w:rsidRDefault="009F1172" w:rsidP="004B62B4">
      <w:pPr>
        <w:spacing w:after="0"/>
        <w:rPr>
          <w:rFonts w:cstheme="minorHAnsi"/>
          <w:sz w:val="24"/>
          <w:szCs w:val="24"/>
        </w:rPr>
      </w:pPr>
      <w:r w:rsidRPr="004B62B4">
        <w:rPr>
          <w:rFonts w:cstheme="minorHAnsi"/>
          <w:sz w:val="24"/>
          <w:szCs w:val="24"/>
        </w:rPr>
        <w:t xml:space="preserve"> An example of this technique can be seen in the song of Calliope, where a double internalisation is employed with the nymph Arethusa describing her own metamorphosis into a fountain.</w:t>
      </w:r>
    </w:p>
    <w:p w14:paraId="678DB255" w14:textId="77777777" w:rsidR="004B62B4" w:rsidRPr="004B62B4" w:rsidRDefault="004B62B4" w:rsidP="004B62B4">
      <w:pPr>
        <w:spacing w:after="0"/>
        <w:rPr>
          <w:rFonts w:cstheme="minorHAnsi"/>
          <w:sz w:val="24"/>
          <w:szCs w:val="24"/>
        </w:rPr>
      </w:pPr>
    </w:p>
    <w:p w14:paraId="41FF60F0" w14:textId="77777777" w:rsidR="002810B8" w:rsidRDefault="009F1172" w:rsidP="004B62B4">
      <w:pPr>
        <w:spacing w:after="0"/>
        <w:rPr>
          <w:rFonts w:cstheme="minorHAnsi"/>
          <w:sz w:val="24"/>
          <w:szCs w:val="24"/>
        </w:rPr>
      </w:pPr>
      <w:r w:rsidRPr="004B62B4">
        <w:rPr>
          <w:rFonts w:cstheme="minorHAnsi"/>
          <w:sz w:val="24"/>
          <w:szCs w:val="24"/>
        </w:rPr>
        <w:lastRenderedPageBreak/>
        <w:t xml:space="preserve">In so doing, Ovid has placed an enormous </w:t>
      </w:r>
      <w:r w:rsidRPr="004B62B4">
        <w:rPr>
          <w:rFonts w:cstheme="minorHAnsi"/>
          <w:sz w:val="24"/>
          <w:szCs w:val="24"/>
        </w:rPr>
        <w:t xml:space="preserve">burden on the intellectual capacity of his audience. </w:t>
      </w:r>
      <w:r>
        <w:rPr>
          <w:rFonts w:cstheme="minorHAnsi"/>
          <w:sz w:val="24"/>
          <w:szCs w:val="24"/>
        </w:rPr>
        <w:t xml:space="preserve"> </w:t>
      </w:r>
      <w:r w:rsidRPr="004B62B4">
        <w:rPr>
          <w:rFonts w:cstheme="minorHAnsi"/>
          <w:sz w:val="24"/>
          <w:szCs w:val="24"/>
        </w:rPr>
        <w:t xml:space="preserve">Zissos argues that the fundamental difference between the </w:t>
      </w:r>
      <w:r w:rsidRPr="004B62B4">
        <w:rPr>
          <w:rFonts w:cstheme="minorHAnsi"/>
          <w:i/>
          <w:sz w:val="24"/>
          <w:szCs w:val="24"/>
        </w:rPr>
        <w:t>Metamorphoses</w:t>
      </w:r>
      <w:r w:rsidRPr="004B62B4">
        <w:rPr>
          <w:rFonts w:cstheme="minorHAnsi"/>
          <w:sz w:val="24"/>
          <w:szCs w:val="24"/>
        </w:rPr>
        <w:t xml:space="preserve"> and the </w:t>
      </w:r>
      <w:r w:rsidRPr="004B62B4">
        <w:rPr>
          <w:rFonts w:cstheme="minorHAnsi"/>
          <w:i/>
          <w:sz w:val="24"/>
          <w:szCs w:val="24"/>
        </w:rPr>
        <w:t>Fasti</w:t>
      </w:r>
      <w:r w:rsidRPr="004B62B4">
        <w:rPr>
          <w:rFonts w:cstheme="minorHAnsi"/>
          <w:sz w:val="24"/>
          <w:szCs w:val="24"/>
        </w:rPr>
        <w:t xml:space="preserve"> is </w:t>
      </w:r>
    </w:p>
    <w:p w14:paraId="7D36ACE7" w14:textId="77777777" w:rsidR="002810B8" w:rsidRDefault="002810B8" w:rsidP="004B62B4">
      <w:pPr>
        <w:spacing w:after="0"/>
        <w:rPr>
          <w:rFonts w:cstheme="minorHAnsi"/>
          <w:sz w:val="24"/>
          <w:szCs w:val="24"/>
        </w:rPr>
      </w:pPr>
    </w:p>
    <w:p w14:paraId="35941254" w14:textId="77777777" w:rsidR="002810B8" w:rsidRDefault="009F1172" w:rsidP="002810B8">
      <w:pPr>
        <w:spacing w:after="0"/>
        <w:ind w:left="720"/>
        <w:rPr>
          <w:rFonts w:cstheme="minorHAnsi"/>
          <w:sz w:val="24"/>
          <w:szCs w:val="24"/>
        </w:rPr>
      </w:pPr>
      <w:r w:rsidRPr="004B62B4">
        <w:rPr>
          <w:rFonts w:cstheme="minorHAnsi"/>
          <w:sz w:val="24"/>
          <w:szCs w:val="24"/>
        </w:rPr>
        <w:t xml:space="preserve">“the presence of a particularly </w:t>
      </w:r>
      <w:r w:rsidRPr="004B62B4">
        <w:rPr>
          <w:rFonts w:cstheme="minorHAnsi"/>
          <w:bCs/>
          <w:sz w:val="24"/>
          <w:szCs w:val="24"/>
        </w:rPr>
        <w:t>influential internal audience</w:t>
      </w:r>
      <w:r w:rsidRPr="004B62B4">
        <w:rPr>
          <w:rFonts w:cstheme="minorHAnsi"/>
          <w:sz w:val="24"/>
          <w:szCs w:val="24"/>
        </w:rPr>
        <w:t xml:space="preserve"> in the </w:t>
      </w:r>
      <w:r w:rsidRPr="004B62B4">
        <w:rPr>
          <w:rFonts w:cstheme="minorHAnsi"/>
          <w:i/>
          <w:sz w:val="24"/>
          <w:szCs w:val="24"/>
        </w:rPr>
        <w:t>Metamor</w:t>
      </w:r>
      <w:r>
        <w:rPr>
          <w:rFonts w:cstheme="minorHAnsi"/>
          <w:i/>
          <w:sz w:val="24"/>
          <w:szCs w:val="24"/>
        </w:rPr>
        <w:t>p</w:t>
      </w:r>
      <w:r w:rsidRPr="004B62B4">
        <w:rPr>
          <w:rFonts w:cstheme="minorHAnsi"/>
          <w:i/>
          <w:sz w:val="24"/>
          <w:szCs w:val="24"/>
        </w:rPr>
        <w:t>hoses</w:t>
      </w:r>
      <w:r w:rsidRPr="004B62B4">
        <w:rPr>
          <w:rFonts w:cstheme="minorHAnsi"/>
          <w:sz w:val="24"/>
          <w:szCs w:val="24"/>
        </w:rPr>
        <w:t xml:space="preserve"> version", which "profoundly </w:t>
      </w:r>
      <w:r w:rsidRPr="004B62B4">
        <w:rPr>
          <w:rFonts w:cstheme="minorHAnsi"/>
          <w:sz w:val="24"/>
          <w:szCs w:val="24"/>
        </w:rPr>
        <w:t>affects the telling of the tale, prompting a radical departure from all other known versions of the Prosperina myth.”</w:t>
      </w:r>
      <w:r>
        <w:rPr>
          <w:rStyle w:val="FootnoteReference"/>
          <w:rFonts w:cstheme="minorHAnsi"/>
          <w:sz w:val="24"/>
          <w:szCs w:val="24"/>
        </w:rPr>
        <w:footnoteReference w:id="31"/>
      </w:r>
      <w:r w:rsidRPr="004B62B4">
        <w:rPr>
          <w:rFonts w:cstheme="minorHAnsi"/>
          <w:sz w:val="24"/>
          <w:szCs w:val="24"/>
        </w:rPr>
        <w:t xml:space="preserve"> </w:t>
      </w:r>
    </w:p>
    <w:p w14:paraId="0C8FF676" w14:textId="77777777" w:rsidR="002810B8" w:rsidRDefault="002810B8" w:rsidP="004B62B4">
      <w:pPr>
        <w:spacing w:after="0"/>
        <w:rPr>
          <w:rFonts w:cstheme="minorHAnsi"/>
          <w:sz w:val="24"/>
          <w:szCs w:val="24"/>
        </w:rPr>
      </w:pPr>
    </w:p>
    <w:p w14:paraId="09EECD76" w14:textId="77777777" w:rsidR="002810B8" w:rsidRDefault="009F1172" w:rsidP="004B62B4">
      <w:pPr>
        <w:spacing w:after="0"/>
        <w:rPr>
          <w:rFonts w:cstheme="minorHAnsi"/>
          <w:sz w:val="24"/>
          <w:szCs w:val="24"/>
        </w:rPr>
      </w:pPr>
      <w:r w:rsidRPr="004B62B4">
        <w:rPr>
          <w:rFonts w:cstheme="minorHAnsi"/>
          <w:sz w:val="24"/>
          <w:szCs w:val="24"/>
        </w:rPr>
        <w:t xml:space="preserve">The implication is that the </w:t>
      </w:r>
      <w:r w:rsidRPr="004B62B4">
        <w:rPr>
          <w:rFonts w:cstheme="minorHAnsi"/>
          <w:i/>
          <w:iCs/>
          <w:sz w:val="24"/>
          <w:szCs w:val="24"/>
        </w:rPr>
        <w:t>Metamorphoses</w:t>
      </w:r>
      <w:r w:rsidRPr="004B62B4">
        <w:rPr>
          <w:rFonts w:cstheme="minorHAnsi"/>
          <w:sz w:val="24"/>
          <w:szCs w:val="24"/>
        </w:rPr>
        <w:t xml:space="preserve"> is radically different from not only the </w:t>
      </w:r>
      <w:r w:rsidRPr="004B62B4">
        <w:rPr>
          <w:rFonts w:cstheme="minorHAnsi"/>
          <w:i/>
          <w:sz w:val="24"/>
          <w:szCs w:val="24"/>
        </w:rPr>
        <w:t>Fasti</w:t>
      </w:r>
      <w:r w:rsidRPr="004B62B4">
        <w:rPr>
          <w:rFonts w:cstheme="minorHAnsi"/>
          <w:sz w:val="24"/>
          <w:szCs w:val="24"/>
        </w:rPr>
        <w:t xml:space="preserve"> but also preceding versions such as the </w:t>
      </w:r>
      <w:r w:rsidRPr="004B62B4">
        <w:rPr>
          <w:rFonts w:cstheme="minorHAnsi"/>
          <w:i/>
          <w:sz w:val="24"/>
          <w:szCs w:val="24"/>
        </w:rPr>
        <w:t xml:space="preserve">Hymn </w:t>
      </w:r>
      <w:r w:rsidRPr="004B62B4">
        <w:rPr>
          <w:rFonts w:cstheme="minorHAnsi"/>
          <w:i/>
          <w:sz w:val="24"/>
          <w:szCs w:val="24"/>
        </w:rPr>
        <w:t>to Demeter.</w:t>
      </w:r>
      <w:r w:rsidRPr="004B62B4">
        <w:rPr>
          <w:rFonts w:cstheme="minorHAnsi"/>
          <w:sz w:val="24"/>
          <w:szCs w:val="24"/>
        </w:rPr>
        <w:t xml:space="preserve"> </w:t>
      </w:r>
      <w:r>
        <w:rPr>
          <w:rFonts w:cstheme="minorHAnsi"/>
          <w:sz w:val="24"/>
          <w:szCs w:val="24"/>
        </w:rPr>
        <w:t xml:space="preserve"> </w:t>
      </w:r>
      <w:r w:rsidRPr="004B62B4">
        <w:rPr>
          <w:rFonts w:cstheme="minorHAnsi"/>
          <w:sz w:val="24"/>
          <w:szCs w:val="24"/>
        </w:rPr>
        <w:t xml:space="preserve">Ahl suggests that metadiegesis is at work again for </w:t>
      </w:r>
    </w:p>
    <w:p w14:paraId="294CCB03" w14:textId="77777777" w:rsidR="002810B8" w:rsidRDefault="002810B8" w:rsidP="004B62B4">
      <w:pPr>
        <w:spacing w:after="0"/>
        <w:rPr>
          <w:rFonts w:cstheme="minorHAnsi"/>
          <w:sz w:val="24"/>
          <w:szCs w:val="24"/>
        </w:rPr>
      </w:pPr>
    </w:p>
    <w:p w14:paraId="0214ECD6" w14:textId="77777777" w:rsidR="002810B8" w:rsidRDefault="009F1172" w:rsidP="002810B8">
      <w:pPr>
        <w:spacing w:after="0"/>
        <w:ind w:left="720"/>
        <w:rPr>
          <w:rFonts w:cstheme="minorHAnsi"/>
          <w:sz w:val="24"/>
          <w:szCs w:val="24"/>
        </w:rPr>
      </w:pPr>
      <w:r w:rsidRPr="004B62B4">
        <w:rPr>
          <w:rFonts w:cstheme="minorHAnsi"/>
          <w:sz w:val="24"/>
          <w:szCs w:val="24"/>
        </w:rPr>
        <w:t xml:space="preserve">“in contemplating any tale told in the </w:t>
      </w:r>
      <w:r w:rsidRPr="004B62B4">
        <w:rPr>
          <w:rFonts w:cstheme="minorHAnsi"/>
          <w:i/>
          <w:sz w:val="24"/>
          <w:szCs w:val="24"/>
        </w:rPr>
        <w:t>Metamorphoses</w:t>
      </w:r>
      <w:r w:rsidRPr="004B62B4">
        <w:rPr>
          <w:rFonts w:cstheme="minorHAnsi"/>
          <w:sz w:val="24"/>
          <w:szCs w:val="24"/>
        </w:rPr>
        <w:t xml:space="preserve"> by a character within the work, we must consider not only what Ovid wishes to suggest to us but what the secondary narrator seeks to sug</w:t>
      </w:r>
      <w:r w:rsidRPr="004B62B4">
        <w:rPr>
          <w:rFonts w:cstheme="minorHAnsi"/>
          <w:sz w:val="24"/>
          <w:szCs w:val="24"/>
        </w:rPr>
        <w:t>gest to the audience</w:t>
      </w:r>
      <w:r>
        <w:rPr>
          <w:rFonts w:cstheme="minorHAnsi"/>
          <w:sz w:val="24"/>
          <w:szCs w:val="24"/>
        </w:rPr>
        <w:t>.</w:t>
      </w:r>
      <w:r w:rsidRPr="004B62B4">
        <w:rPr>
          <w:rFonts w:cstheme="minorHAnsi"/>
          <w:sz w:val="24"/>
          <w:szCs w:val="24"/>
        </w:rPr>
        <w:t>”</w:t>
      </w:r>
      <w:r>
        <w:rPr>
          <w:rStyle w:val="FootnoteReference"/>
          <w:rFonts w:cstheme="minorHAnsi"/>
          <w:sz w:val="24"/>
          <w:szCs w:val="24"/>
        </w:rPr>
        <w:footnoteReference w:id="32"/>
      </w:r>
      <w:r>
        <w:rPr>
          <w:rFonts w:cstheme="minorHAnsi"/>
          <w:sz w:val="24"/>
          <w:szCs w:val="24"/>
        </w:rPr>
        <w:t xml:space="preserve"> </w:t>
      </w:r>
    </w:p>
    <w:p w14:paraId="77CE90CD" w14:textId="77777777" w:rsidR="002810B8" w:rsidRDefault="002810B8" w:rsidP="004B62B4">
      <w:pPr>
        <w:spacing w:after="0"/>
        <w:rPr>
          <w:rFonts w:cstheme="minorHAnsi"/>
          <w:sz w:val="24"/>
          <w:szCs w:val="24"/>
        </w:rPr>
      </w:pPr>
    </w:p>
    <w:p w14:paraId="4A95F81E" w14:textId="79B20E67" w:rsidR="004B62B4" w:rsidRDefault="009F1172" w:rsidP="004B62B4">
      <w:pPr>
        <w:spacing w:after="0"/>
        <w:rPr>
          <w:rFonts w:cstheme="minorHAnsi"/>
          <w:sz w:val="24"/>
          <w:szCs w:val="24"/>
        </w:rPr>
      </w:pPr>
      <w:r w:rsidRPr="004B62B4">
        <w:rPr>
          <w:rFonts w:cstheme="minorHAnsi"/>
          <w:sz w:val="24"/>
          <w:szCs w:val="24"/>
        </w:rPr>
        <w:t xml:space="preserve"> To achieve this, Ovid changes the established narrative of the tale by introducing new characters so that "the more familiar version found in the Homeric </w:t>
      </w:r>
      <w:r w:rsidRPr="004B62B4">
        <w:rPr>
          <w:rFonts w:cstheme="minorHAnsi"/>
          <w:i/>
          <w:sz w:val="24"/>
          <w:szCs w:val="24"/>
        </w:rPr>
        <w:t>Hymn to Demeter</w:t>
      </w:r>
      <w:r w:rsidRPr="004B62B4">
        <w:rPr>
          <w:rFonts w:cstheme="minorHAnsi"/>
          <w:sz w:val="24"/>
          <w:szCs w:val="24"/>
        </w:rPr>
        <w:t xml:space="preserve"> of awesome divinities whose actions decisively transform b</w:t>
      </w:r>
      <w:r w:rsidRPr="004B62B4">
        <w:rPr>
          <w:rFonts w:cstheme="minorHAnsi"/>
          <w:sz w:val="24"/>
          <w:szCs w:val="24"/>
        </w:rPr>
        <w:t>oth divine and mortal realms is entirely recast</w:t>
      </w:r>
      <w:r w:rsidR="00080D26">
        <w:rPr>
          <w:rFonts w:cstheme="minorHAnsi"/>
          <w:sz w:val="24"/>
          <w:szCs w:val="24"/>
        </w:rPr>
        <w:t>.</w:t>
      </w:r>
      <w:r w:rsidRPr="004B62B4">
        <w:rPr>
          <w:rFonts w:cstheme="minorHAnsi"/>
          <w:sz w:val="24"/>
          <w:szCs w:val="24"/>
        </w:rPr>
        <w:t>”</w:t>
      </w:r>
      <w:r>
        <w:rPr>
          <w:rStyle w:val="FootnoteReference"/>
          <w:rFonts w:cstheme="minorHAnsi"/>
          <w:sz w:val="24"/>
          <w:szCs w:val="24"/>
        </w:rPr>
        <w:footnoteReference w:id="33"/>
      </w:r>
      <w:r w:rsidRPr="004B62B4">
        <w:rPr>
          <w:rFonts w:cstheme="minorHAnsi"/>
          <w:sz w:val="24"/>
          <w:szCs w:val="24"/>
        </w:rPr>
        <w:t xml:space="preserve">  In doing this, he is altering the overall structure of the Homeric Hymn and the devolution of power from the Gods. </w:t>
      </w:r>
      <w:r w:rsidR="00080D26">
        <w:rPr>
          <w:rFonts w:cstheme="minorHAnsi"/>
          <w:sz w:val="24"/>
          <w:szCs w:val="24"/>
        </w:rPr>
        <w:t xml:space="preserve"> </w:t>
      </w:r>
      <w:r w:rsidRPr="004B62B4">
        <w:rPr>
          <w:rFonts w:cstheme="minorHAnsi"/>
          <w:sz w:val="24"/>
          <w:szCs w:val="24"/>
        </w:rPr>
        <w:t>Zissos argues that Nymphs Cyane and Arethusa now get centre stage</w:t>
      </w:r>
      <w:r w:rsidR="00080D26">
        <w:rPr>
          <w:rFonts w:cstheme="minorHAnsi"/>
          <w:sz w:val="24"/>
          <w:szCs w:val="24"/>
        </w:rPr>
        <w:t>.</w:t>
      </w:r>
      <w:r>
        <w:rPr>
          <w:rStyle w:val="FootnoteReference"/>
          <w:rFonts w:cstheme="minorHAnsi"/>
          <w:sz w:val="24"/>
          <w:szCs w:val="24"/>
        </w:rPr>
        <w:footnoteReference w:id="34"/>
      </w:r>
      <w:r w:rsidRPr="004B62B4">
        <w:rPr>
          <w:rFonts w:cstheme="minorHAnsi"/>
          <w:sz w:val="24"/>
          <w:szCs w:val="24"/>
        </w:rPr>
        <w:t xml:space="preserve">  In fact, their po</w:t>
      </w:r>
      <w:r w:rsidRPr="004B62B4">
        <w:rPr>
          <w:rFonts w:cstheme="minorHAnsi"/>
          <w:sz w:val="24"/>
          <w:szCs w:val="24"/>
        </w:rPr>
        <w:t>rtrayal represents what might be interpreted, within the imperial executive, as a dangerous inversion of the established hierarchy.</w:t>
      </w:r>
      <w:r w:rsidR="00813AA8">
        <w:rPr>
          <w:rFonts w:cstheme="minorHAnsi"/>
          <w:sz w:val="24"/>
          <w:szCs w:val="24"/>
        </w:rPr>
        <w:t xml:space="preserve"> </w:t>
      </w:r>
      <w:r w:rsidRPr="004B62B4">
        <w:rPr>
          <w:rFonts w:cstheme="minorHAnsi"/>
          <w:sz w:val="24"/>
          <w:szCs w:val="24"/>
        </w:rPr>
        <w:t xml:space="preserve"> Zissos may well see this as Ovid making a “humorous narrative ploy”</w:t>
      </w:r>
      <w:r>
        <w:rPr>
          <w:rStyle w:val="FootnoteReference"/>
          <w:rFonts w:cstheme="minorHAnsi"/>
          <w:sz w:val="24"/>
          <w:szCs w:val="24"/>
        </w:rPr>
        <w:footnoteReference w:id="35"/>
      </w:r>
      <w:r w:rsidRPr="004B62B4">
        <w:rPr>
          <w:rFonts w:cstheme="minorHAnsi"/>
          <w:sz w:val="24"/>
          <w:szCs w:val="24"/>
        </w:rPr>
        <w:t xml:space="preserve"> but as he later points out, the opposition of Cyane to Dis, in particular, is a clear challenge to the mythological hierarchy and is "a significant distortion of the tale, granting star</w:t>
      </w:r>
      <w:r w:rsidRPr="004B62B4">
        <w:rPr>
          <w:rFonts w:cstheme="minorHAnsi"/>
          <w:sz w:val="24"/>
          <w:szCs w:val="24"/>
        </w:rPr>
        <w:t>tling narrative prominence and even moral authority to the nymph Cyane</w:t>
      </w:r>
      <w:r w:rsidR="00080D26">
        <w:rPr>
          <w:rFonts w:cstheme="minorHAnsi"/>
          <w:sz w:val="24"/>
          <w:szCs w:val="24"/>
        </w:rPr>
        <w:t>.</w:t>
      </w:r>
      <w:r w:rsidRPr="004B62B4">
        <w:rPr>
          <w:rFonts w:cstheme="minorHAnsi"/>
          <w:sz w:val="24"/>
          <w:szCs w:val="24"/>
        </w:rPr>
        <w:t>”</w:t>
      </w:r>
      <w:r>
        <w:rPr>
          <w:rStyle w:val="FootnoteReference"/>
          <w:rFonts w:cstheme="minorHAnsi"/>
          <w:sz w:val="24"/>
          <w:szCs w:val="24"/>
        </w:rPr>
        <w:footnoteReference w:id="36"/>
      </w:r>
      <w:r w:rsidRPr="004B62B4">
        <w:rPr>
          <w:rFonts w:cstheme="minorHAnsi"/>
          <w:sz w:val="24"/>
          <w:szCs w:val="24"/>
        </w:rPr>
        <w:t xml:space="preserve">  By implication, Ovid has added another rape victim to the list of Dis’s conquests, and by omitting such details concerning the fate of Prosperina, he has raised her profile above t</w:t>
      </w:r>
      <w:r w:rsidRPr="004B62B4">
        <w:rPr>
          <w:rFonts w:cstheme="minorHAnsi"/>
          <w:sz w:val="24"/>
          <w:szCs w:val="24"/>
        </w:rPr>
        <w:t xml:space="preserve">hat of a goddess. </w:t>
      </w:r>
      <w:r w:rsidR="00080D26">
        <w:rPr>
          <w:rFonts w:cstheme="minorHAnsi"/>
          <w:sz w:val="24"/>
          <w:szCs w:val="24"/>
        </w:rPr>
        <w:t xml:space="preserve"> </w:t>
      </w:r>
      <w:r w:rsidRPr="004B62B4">
        <w:rPr>
          <w:rFonts w:cstheme="minorHAnsi"/>
          <w:sz w:val="24"/>
          <w:szCs w:val="24"/>
        </w:rPr>
        <w:t>Zissos contends that the penetration of her lake by Dis conjures up a sexual image reinforced by the later appearance of Prosperina’s girdle there.</w:t>
      </w:r>
      <w:r>
        <w:rPr>
          <w:rStyle w:val="FootnoteReference"/>
          <w:rFonts w:cstheme="minorHAnsi"/>
          <w:sz w:val="24"/>
          <w:szCs w:val="24"/>
        </w:rPr>
        <w:footnoteReference w:id="37"/>
      </w:r>
      <w:r w:rsidRPr="004B62B4">
        <w:rPr>
          <w:rFonts w:cstheme="minorHAnsi"/>
          <w:sz w:val="24"/>
          <w:szCs w:val="24"/>
        </w:rPr>
        <w:t xml:space="preserve">  Nonetheless, Ovid, true to his narrative boomerang style, had chalked up another metam</w:t>
      </w:r>
      <w:r w:rsidRPr="004B62B4">
        <w:rPr>
          <w:rFonts w:cstheme="minorHAnsi"/>
          <w:sz w:val="24"/>
          <w:szCs w:val="24"/>
        </w:rPr>
        <w:t>orphosis in Cyane’s transformation from nymph to lake; "</w:t>
      </w:r>
      <w:r w:rsidRPr="004B62B4">
        <w:rPr>
          <w:rFonts w:cstheme="minorHAnsi"/>
          <w:i/>
          <w:sz w:val="24"/>
          <w:szCs w:val="24"/>
        </w:rPr>
        <w:t>Denique pro vivo vitiates sanguine venas lympha subit, restaque nihil quod prendere possis</w:t>
      </w:r>
      <w:r w:rsidR="00080D26">
        <w:rPr>
          <w:rFonts w:cstheme="minorHAnsi"/>
          <w:i/>
          <w:sz w:val="24"/>
          <w:szCs w:val="24"/>
        </w:rPr>
        <w:t>.</w:t>
      </w:r>
      <w:r w:rsidRPr="004B62B4">
        <w:rPr>
          <w:rFonts w:cstheme="minorHAnsi"/>
          <w:i/>
          <w:sz w:val="24"/>
          <w:szCs w:val="24"/>
        </w:rPr>
        <w:t>”</w:t>
      </w:r>
      <w:r>
        <w:rPr>
          <w:rStyle w:val="FootnoteReference"/>
          <w:rFonts w:cstheme="minorHAnsi"/>
          <w:i/>
          <w:sz w:val="24"/>
          <w:szCs w:val="24"/>
        </w:rPr>
        <w:footnoteReference w:id="38"/>
      </w:r>
      <w:r w:rsidRPr="004B62B4">
        <w:rPr>
          <w:rFonts w:cstheme="minorHAnsi"/>
          <w:sz w:val="24"/>
          <w:szCs w:val="24"/>
        </w:rPr>
        <w:t xml:space="preserve"> Not content with one new nymph in the narrative, Ovid introduces another, Arethusa and in doing </w:t>
      </w:r>
      <w:r w:rsidR="00813AA8">
        <w:rPr>
          <w:rFonts w:cstheme="minorHAnsi"/>
          <w:sz w:val="24"/>
          <w:szCs w:val="24"/>
        </w:rPr>
        <w:t xml:space="preserve">so, </w:t>
      </w:r>
      <w:r w:rsidRPr="004B62B4">
        <w:rPr>
          <w:rFonts w:cstheme="minorHAnsi"/>
          <w:sz w:val="24"/>
          <w:szCs w:val="24"/>
        </w:rPr>
        <w:t xml:space="preserve">a further example of </w:t>
      </w:r>
      <w:r w:rsidRPr="004B62B4">
        <w:rPr>
          <w:rFonts w:cstheme="minorHAnsi"/>
          <w:i/>
          <w:sz w:val="24"/>
          <w:szCs w:val="24"/>
        </w:rPr>
        <w:t>mise en abyme</w:t>
      </w:r>
      <w:r w:rsidRPr="004B62B4">
        <w:rPr>
          <w:rFonts w:cstheme="minorHAnsi"/>
          <w:sz w:val="24"/>
          <w:szCs w:val="24"/>
        </w:rPr>
        <w:t xml:space="preserve"> by making her “a narrator in her own right</w:t>
      </w:r>
      <w:r w:rsidR="00080D26">
        <w:rPr>
          <w:rFonts w:cstheme="minorHAnsi"/>
          <w:sz w:val="24"/>
          <w:szCs w:val="24"/>
        </w:rPr>
        <w:t>.</w:t>
      </w:r>
      <w:r w:rsidRPr="004B62B4">
        <w:rPr>
          <w:rFonts w:cstheme="minorHAnsi"/>
          <w:sz w:val="24"/>
          <w:szCs w:val="24"/>
        </w:rPr>
        <w:t>”</w:t>
      </w:r>
      <w:r>
        <w:rPr>
          <w:rStyle w:val="FootnoteReference"/>
          <w:rFonts w:cstheme="minorHAnsi"/>
          <w:sz w:val="24"/>
          <w:szCs w:val="24"/>
        </w:rPr>
        <w:footnoteReference w:id="39"/>
      </w:r>
      <w:r w:rsidRPr="004B62B4">
        <w:rPr>
          <w:rFonts w:cstheme="minorHAnsi"/>
          <w:sz w:val="24"/>
          <w:szCs w:val="24"/>
        </w:rPr>
        <w:t xml:space="preserve">  This time the social challenge is against the heroine of the tale, Ceres</w:t>
      </w:r>
      <w:r w:rsidRPr="004B62B4">
        <w:rPr>
          <w:rFonts w:cstheme="minorHAnsi"/>
          <w:sz w:val="24"/>
          <w:szCs w:val="24"/>
        </w:rPr>
        <w:t xml:space="preserve"> herself. </w:t>
      </w:r>
      <w:r w:rsidR="00080D26">
        <w:rPr>
          <w:rFonts w:cstheme="minorHAnsi"/>
          <w:sz w:val="24"/>
          <w:szCs w:val="24"/>
        </w:rPr>
        <w:t xml:space="preserve"> </w:t>
      </w:r>
      <w:r w:rsidRPr="004B62B4">
        <w:rPr>
          <w:rFonts w:cstheme="minorHAnsi"/>
          <w:sz w:val="24"/>
          <w:szCs w:val="24"/>
        </w:rPr>
        <w:t xml:space="preserve"> Unlike the </w:t>
      </w:r>
      <w:r w:rsidRPr="004B62B4">
        <w:rPr>
          <w:rFonts w:cstheme="minorHAnsi"/>
          <w:i/>
          <w:sz w:val="24"/>
          <w:szCs w:val="24"/>
        </w:rPr>
        <w:t>Hymn to Demeter</w:t>
      </w:r>
      <w:r w:rsidRPr="004B62B4">
        <w:rPr>
          <w:rFonts w:cstheme="minorHAnsi"/>
          <w:sz w:val="24"/>
          <w:szCs w:val="24"/>
        </w:rPr>
        <w:t xml:space="preserve"> and the </w:t>
      </w:r>
      <w:r w:rsidRPr="004B62B4">
        <w:rPr>
          <w:rFonts w:cstheme="minorHAnsi"/>
          <w:i/>
          <w:sz w:val="24"/>
          <w:szCs w:val="24"/>
        </w:rPr>
        <w:t>Fasti</w:t>
      </w:r>
      <w:r w:rsidRPr="004B62B4">
        <w:rPr>
          <w:rFonts w:cstheme="minorHAnsi"/>
          <w:sz w:val="24"/>
          <w:szCs w:val="24"/>
        </w:rPr>
        <w:t>, where Arethusa's role is confined to revealing  Persephone's location to Demeter, here she intervenes and saves the world from famine by telling off the goddess and showing her that her actions are unju</w:t>
      </w:r>
      <w:r w:rsidRPr="004B62B4">
        <w:rPr>
          <w:rFonts w:cstheme="minorHAnsi"/>
          <w:sz w:val="24"/>
          <w:szCs w:val="24"/>
        </w:rPr>
        <w:t>st.</w:t>
      </w:r>
      <w:r>
        <w:rPr>
          <w:rStyle w:val="FootnoteReference"/>
          <w:rFonts w:cstheme="minorHAnsi"/>
          <w:sz w:val="24"/>
          <w:szCs w:val="24"/>
        </w:rPr>
        <w:footnoteReference w:id="40"/>
      </w:r>
      <w:r w:rsidRPr="004B62B4">
        <w:rPr>
          <w:rFonts w:cstheme="minorHAnsi"/>
          <w:sz w:val="24"/>
          <w:szCs w:val="24"/>
        </w:rPr>
        <w:t xml:space="preserve">  As such, this represents a "clear act of mythological revisionism</w:t>
      </w:r>
      <w:r w:rsidR="00080D26">
        <w:rPr>
          <w:rFonts w:cstheme="minorHAnsi"/>
          <w:sz w:val="24"/>
          <w:szCs w:val="24"/>
        </w:rPr>
        <w:t>.</w:t>
      </w:r>
      <w:r w:rsidRPr="004B62B4">
        <w:rPr>
          <w:rFonts w:cstheme="minorHAnsi"/>
          <w:sz w:val="24"/>
          <w:szCs w:val="24"/>
        </w:rPr>
        <w:t>”</w:t>
      </w:r>
      <w:r>
        <w:rPr>
          <w:rStyle w:val="FootnoteReference"/>
          <w:rFonts w:cstheme="minorHAnsi"/>
          <w:sz w:val="24"/>
          <w:szCs w:val="24"/>
        </w:rPr>
        <w:footnoteReference w:id="41"/>
      </w:r>
      <w:r w:rsidRPr="004B62B4">
        <w:rPr>
          <w:rFonts w:cstheme="minorHAnsi"/>
          <w:sz w:val="24"/>
          <w:szCs w:val="24"/>
        </w:rPr>
        <w:t xml:space="preserve"> It is also a strange narrative twist, being employed purportedly to persuade the judges of Calliope's song, who can only have existed within Ovid's own imagination itself.</w:t>
      </w:r>
    </w:p>
    <w:p w14:paraId="3EDF6E9E" w14:textId="1CA37E24" w:rsidR="00953FB1" w:rsidRDefault="00953FB1" w:rsidP="004B62B4">
      <w:pPr>
        <w:spacing w:after="0"/>
        <w:rPr>
          <w:rFonts w:cstheme="minorHAnsi"/>
          <w:sz w:val="24"/>
          <w:szCs w:val="24"/>
        </w:rPr>
      </w:pPr>
    </w:p>
    <w:p w14:paraId="5277E175" w14:textId="2B4B01BE" w:rsidR="00953FB1" w:rsidRDefault="009F1172" w:rsidP="00953FB1">
      <w:pPr>
        <w:spacing w:after="0"/>
        <w:rPr>
          <w:rFonts w:cstheme="minorHAnsi"/>
          <w:sz w:val="24"/>
          <w:szCs w:val="24"/>
        </w:rPr>
      </w:pPr>
      <w:r w:rsidRPr="00953FB1">
        <w:rPr>
          <w:rFonts w:cstheme="minorHAnsi"/>
          <w:sz w:val="24"/>
          <w:szCs w:val="24"/>
        </w:rPr>
        <w:t xml:space="preserve">It is </w:t>
      </w:r>
      <w:r w:rsidRPr="00953FB1">
        <w:rPr>
          <w:rFonts w:cstheme="minorHAnsi"/>
          <w:sz w:val="24"/>
          <w:szCs w:val="24"/>
        </w:rPr>
        <w:t xml:space="preserve">axiomatic that Ovid changed and adapted his narrative style in the </w:t>
      </w:r>
      <w:r w:rsidRPr="00953FB1">
        <w:rPr>
          <w:rFonts w:cstheme="minorHAnsi"/>
          <w:i/>
          <w:sz w:val="24"/>
          <w:szCs w:val="24"/>
        </w:rPr>
        <w:t>Metamorphoses</w:t>
      </w:r>
      <w:r w:rsidRPr="00953FB1">
        <w:rPr>
          <w:rFonts w:cstheme="minorHAnsi"/>
          <w:sz w:val="24"/>
          <w:szCs w:val="24"/>
        </w:rPr>
        <w:t xml:space="preserve"> but to what extent was this really a revolutionary departure from either the </w:t>
      </w:r>
      <w:r w:rsidRPr="00953FB1">
        <w:rPr>
          <w:rFonts w:cstheme="minorHAnsi"/>
          <w:i/>
          <w:sz w:val="24"/>
          <w:szCs w:val="24"/>
        </w:rPr>
        <w:t>Hymn to Demeter</w:t>
      </w:r>
      <w:r w:rsidRPr="00953FB1">
        <w:rPr>
          <w:rFonts w:cstheme="minorHAnsi"/>
          <w:sz w:val="24"/>
          <w:szCs w:val="24"/>
        </w:rPr>
        <w:t xml:space="preserve"> or his own </w:t>
      </w:r>
      <w:r w:rsidRPr="00953FB1">
        <w:rPr>
          <w:rFonts w:cstheme="minorHAnsi"/>
          <w:i/>
          <w:sz w:val="24"/>
          <w:szCs w:val="24"/>
        </w:rPr>
        <w:t>Fasti</w:t>
      </w:r>
      <w:r>
        <w:rPr>
          <w:rFonts w:cstheme="minorHAnsi"/>
          <w:i/>
          <w:sz w:val="24"/>
          <w:szCs w:val="24"/>
        </w:rPr>
        <w:t xml:space="preserve">? </w:t>
      </w:r>
      <w:r w:rsidRPr="00953FB1">
        <w:rPr>
          <w:rFonts w:cstheme="minorHAnsi"/>
          <w:i/>
          <w:sz w:val="24"/>
          <w:szCs w:val="24"/>
        </w:rPr>
        <w:t xml:space="preserve"> </w:t>
      </w:r>
      <w:r w:rsidRPr="00953FB1">
        <w:rPr>
          <w:rFonts w:cstheme="minorHAnsi"/>
          <w:sz w:val="24"/>
          <w:szCs w:val="24"/>
        </w:rPr>
        <w:t xml:space="preserve">Indeed, the </w:t>
      </w:r>
      <w:r w:rsidRPr="00953FB1">
        <w:rPr>
          <w:rFonts w:cstheme="minorHAnsi"/>
          <w:i/>
          <w:sz w:val="24"/>
          <w:szCs w:val="24"/>
        </w:rPr>
        <w:t xml:space="preserve">Fasti </w:t>
      </w:r>
      <w:r w:rsidRPr="00953FB1">
        <w:rPr>
          <w:rFonts w:cstheme="minorHAnsi"/>
          <w:sz w:val="24"/>
          <w:szCs w:val="24"/>
        </w:rPr>
        <w:t>had a distinct chronological flavour and basi</w:t>
      </w:r>
      <w:r w:rsidRPr="00953FB1">
        <w:rPr>
          <w:rFonts w:cstheme="minorHAnsi"/>
          <w:sz w:val="24"/>
          <w:szCs w:val="24"/>
        </w:rPr>
        <w:t xml:space="preserve">s. </w:t>
      </w:r>
      <w:r w:rsidR="00573B40">
        <w:rPr>
          <w:rFonts w:cstheme="minorHAnsi"/>
          <w:sz w:val="24"/>
          <w:szCs w:val="24"/>
        </w:rPr>
        <w:t xml:space="preserve"> </w:t>
      </w:r>
      <w:r w:rsidRPr="00953FB1">
        <w:rPr>
          <w:rFonts w:cstheme="minorHAnsi"/>
          <w:sz w:val="24"/>
          <w:szCs w:val="24"/>
        </w:rPr>
        <w:t xml:space="preserve">The opening lines, </w:t>
      </w:r>
      <w:r w:rsidRPr="00953FB1">
        <w:rPr>
          <w:rFonts w:cstheme="minorHAnsi"/>
          <w:i/>
          <w:sz w:val="24"/>
          <w:szCs w:val="24"/>
        </w:rPr>
        <w:t>“</w:t>
      </w:r>
      <w:r w:rsidRPr="00767034">
        <w:rPr>
          <w:rFonts w:cstheme="minorHAnsi"/>
          <w:iCs/>
          <w:sz w:val="24"/>
          <w:szCs w:val="24"/>
        </w:rPr>
        <w:t>Tempora cum causis Latium digesta per annum lapasque sub terras ortaque signa canam</w:t>
      </w:r>
      <w:r>
        <w:rPr>
          <w:rFonts w:cstheme="minorHAnsi"/>
          <w:i/>
          <w:sz w:val="24"/>
          <w:szCs w:val="24"/>
        </w:rPr>
        <w:t>,”</w:t>
      </w:r>
      <w:r>
        <w:rPr>
          <w:rStyle w:val="FootnoteReference"/>
          <w:rFonts w:cstheme="minorHAnsi"/>
          <w:i/>
          <w:sz w:val="24"/>
          <w:szCs w:val="24"/>
        </w:rPr>
        <w:footnoteReference w:id="42"/>
      </w:r>
      <w:r w:rsidRPr="00953FB1">
        <w:rPr>
          <w:rFonts w:cstheme="minorHAnsi"/>
          <w:sz w:val="24"/>
          <w:szCs w:val="24"/>
        </w:rPr>
        <w:t xml:space="preserve"> certainly suggest a work organised in strict chronological sequence, something that was clearly lacking in the </w:t>
      </w:r>
      <w:r w:rsidRPr="00953FB1">
        <w:rPr>
          <w:rFonts w:cstheme="minorHAnsi"/>
          <w:i/>
          <w:sz w:val="24"/>
          <w:szCs w:val="24"/>
        </w:rPr>
        <w:t xml:space="preserve">Metamorphoses. </w:t>
      </w:r>
      <w:r>
        <w:rPr>
          <w:rFonts w:cstheme="minorHAnsi"/>
          <w:i/>
          <w:sz w:val="24"/>
          <w:szCs w:val="24"/>
        </w:rPr>
        <w:t xml:space="preserve"> </w:t>
      </w:r>
      <w:r w:rsidRPr="00953FB1">
        <w:rPr>
          <w:rFonts w:cstheme="minorHAnsi"/>
          <w:sz w:val="24"/>
          <w:szCs w:val="24"/>
        </w:rPr>
        <w:t>Furthermore, the</w:t>
      </w:r>
      <w:r w:rsidRPr="00953FB1">
        <w:rPr>
          <w:rFonts w:cstheme="minorHAnsi"/>
          <w:i/>
          <w:sz w:val="24"/>
          <w:szCs w:val="24"/>
        </w:rPr>
        <w:t xml:space="preserve"> Fasti </w:t>
      </w:r>
      <w:r w:rsidRPr="00953FB1">
        <w:rPr>
          <w:rFonts w:cstheme="minorHAnsi"/>
          <w:sz w:val="24"/>
          <w:szCs w:val="24"/>
        </w:rPr>
        <w:t>was, Fantham argued, determined to appeal to Augustus’ vanity</w:t>
      </w:r>
      <w:r>
        <w:rPr>
          <w:rFonts w:cstheme="minorHAnsi"/>
          <w:sz w:val="24"/>
          <w:szCs w:val="24"/>
        </w:rPr>
        <w:t>.</w:t>
      </w:r>
      <w:r>
        <w:rPr>
          <w:rStyle w:val="FootnoteReference"/>
          <w:rFonts w:cstheme="minorHAnsi"/>
          <w:sz w:val="24"/>
          <w:szCs w:val="24"/>
        </w:rPr>
        <w:footnoteReference w:id="43"/>
      </w:r>
      <w:r w:rsidRPr="00953FB1">
        <w:rPr>
          <w:rFonts w:cstheme="minorHAnsi"/>
          <w:sz w:val="24"/>
          <w:szCs w:val="24"/>
        </w:rPr>
        <w:t xml:space="preserve">  Thus; “invenies illic et festa domestic</w:t>
      </w:r>
      <w:r w:rsidRPr="00953FB1">
        <w:rPr>
          <w:rFonts w:cstheme="minorHAnsi"/>
          <w:sz w:val="24"/>
          <w:szCs w:val="24"/>
        </w:rPr>
        <w:t>a vobis: saepe tibi pater est, saepe legendus est</w:t>
      </w:r>
      <w:r>
        <w:rPr>
          <w:rStyle w:val="FootnoteReference"/>
          <w:rFonts w:cstheme="minorHAnsi"/>
          <w:sz w:val="24"/>
          <w:szCs w:val="24"/>
        </w:rPr>
        <w:footnoteReference w:id="44"/>
      </w:r>
      <w:r w:rsidRPr="00953FB1">
        <w:rPr>
          <w:rFonts w:cstheme="minorHAnsi"/>
          <w:sz w:val="24"/>
          <w:szCs w:val="24"/>
        </w:rPr>
        <w:t xml:space="preserve"> seemed to suggest a direct line of an ancestral achievement linking the Emporer to the gods of antiquity. </w:t>
      </w:r>
      <w:r>
        <w:rPr>
          <w:rFonts w:cstheme="minorHAnsi"/>
          <w:sz w:val="24"/>
          <w:szCs w:val="24"/>
        </w:rPr>
        <w:t xml:space="preserve"> </w:t>
      </w:r>
      <w:r w:rsidRPr="00953FB1">
        <w:rPr>
          <w:rFonts w:cstheme="minorHAnsi"/>
          <w:sz w:val="24"/>
          <w:szCs w:val="24"/>
        </w:rPr>
        <w:t xml:space="preserve">In the </w:t>
      </w:r>
      <w:r w:rsidRPr="00953FB1">
        <w:rPr>
          <w:rFonts w:cstheme="minorHAnsi"/>
          <w:i/>
          <w:sz w:val="24"/>
          <w:szCs w:val="24"/>
        </w:rPr>
        <w:t xml:space="preserve">Fasti, </w:t>
      </w:r>
      <w:r w:rsidRPr="00953FB1">
        <w:rPr>
          <w:rFonts w:cstheme="minorHAnsi"/>
          <w:sz w:val="24"/>
          <w:szCs w:val="24"/>
        </w:rPr>
        <w:t xml:space="preserve">the description of Demeter's quest for her daughter and her subsequent demoralised </w:t>
      </w:r>
      <w:r w:rsidRPr="00953FB1">
        <w:rPr>
          <w:rFonts w:cstheme="minorHAnsi"/>
          <w:sz w:val="24"/>
          <w:szCs w:val="24"/>
        </w:rPr>
        <w:t xml:space="preserve">and incognito arrival at Eleusis bears an uncanny resemblance to that described in the </w:t>
      </w:r>
      <w:r w:rsidRPr="00953FB1">
        <w:rPr>
          <w:rFonts w:cstheme="minorHAnsi"/>
          <w:i/>
          <w:sz w:val="24"/>
          <w:szCs w:val="24"/>
        </w:rPr>
        <w:t>Hymn to Demeter</w:t>
      </w:r>
      <w:r w:rsidRPr="00953FB1">
        <w:rPr>
          <w:rFonts w:cstheme="minorHAnsi"/>
          <w:sz w:val="24"/>
          <w:szCs w:val="24"/>
        </w:rPr>
        <w:t xml:space="preserve">. </w:t>
      </w:r>
      <w:r>
        <w:rPr>
          <w:rFonts w:cstheme="minorHAnsi"/>
          <w:sz w:val="24"/>
          <w:szCs w:val="24"/>
        </w:rPr>
        <w:t xml:space="preserve"> </w:t>
      </w:r>
      <w:r w:rsidRPr="00953FB1">
        <w:rPr>
          <w:rFonts w:cstheme="minorHAnsi"/>
          <w:sz w:val="24"/>
          <w:szCs w:val="24"/>
        </w:rPr>
        <w:t xml:space="preserve">The </w:t>
      </w:r>
      <w:r w:rsidRPr="00953FB1">
        <w:rPr>
          <w:rFonts w:cstheme="minorHAnsi"/>
          <w:i/>
          <w:sz w:val="24"/>
          <w:szCs w:val="24"/>
        </w:rPr>
        <w:t xml:space="preserve">Metamorphoses </w:t>
      </w:r>
      <w:r w:rsidRPr="00953FB1">
        <w:rPr>
          <w:rFonts w:cstheme="minorHAnsi"/>
          <w:sz w:val="24"/>
          <w:szCs w:val="24"/>
        </w:rPr>
        <w:t xml:space="preserve"> version, however, involved "a new highly artificial narrative set entirely in Sicily, replete with transformations and almost parodi</w:t>
      </w:r>
      <w:r w:rsidRPr="00953FB1">
        <w:rPr>
          <w:rFonts w:cstheme="minorHAnsi"/>
          <w:sz w:val="24"/>
          <w:szCs w:val="24"/>
        </w:rPr>
        <w:t>c in its over-use of rhapsodic devices</w:t>
      </w:r>
      <w:r>
        <w:rPr>
          <w:rFonts w:cstheme="minorHAnsi"/>
          <w:sz w:val="24"/>
          <w:szCs w:val="24"/>
        </w:rPr>
        <w:t>.</w:t>
      </w:r>
      <w:r w:rsidRPr="00953FB1">
        <w:rPr>
          <w:rFonts w:cstheme="minorHAnsi"/>
          <w:sz w:val="24"/>
          <w:szCs w:val="24"/>
        </w:rPr>
        <w:t>”</w:t>
      </w:r>
      <w:r>
        <w:rPr>
          <w:rStyle w:val="FootnoteReference"/>
          <w:rFonts w:cstheme="minorHAnsi"/>
          <w:sz w:val="24"/>
          <w:szCs w:val="24"/>
        </w:rPr>
        <w:footnoteReference w:id="45"/>
      </w:r>
      <w:r w:rsidRPr="00953FB1">
        <w:rPr>
          <w:rFonts w:cstheme="minorHAnsi"/>
          <w:sz w:val="24"/>
          <w:szCs w:val="24"/>
        </w:rPr>
        <w:t xml:space="preserve">  In fact, the whole Eleusian episode within the Hymn to Demeter was a departure from previous versions and exemplary of the very use of metadiegesis considered so novel and signatory of the </w:t>
      </w:r>
      <w:r w:rsidRPr="00953FB1">
        <w:rPr>
          <w:rFonts w:cstheme="minorHAnsi"/>
          <w:i/>
          <w:sz w:val="24"/>
          <w:szCs w:val="24"/>
        </w:rPr>
        <w:t>Metamorphoses.</w:t>
      </w:r>
      <w:r w:rsidRPr="00953FB1">
        <w:rPr>
          <w:rFonts w:cstheme="minorHAnsi"/>
          <w:sz w:val="24"/>
          <w:szCs w:val="24"/>
        </w:rPr>
        <w:t xml:space="preserve"> </w:t>
      </w:r>
    </w:p>
    <w:p w14:paraId="778EA6A5" w14:textId="369BF2DD" w:rsidR="004428B7" w:rsidRDefault="004428B7" w:rsidP="00953FB1">
      <w:pPr>
        <w:spacing w:after="0"/>
        <w:rPr>
          <w:rFonts w:cstheme="minorHAnsi"/>
          <w:sz w:val="24"/>
          <w:szCs w:val="24"/>
        </w:rPr>
      </w:pPr>
    </w:p>
    <w:p w14:paraId="5EDAA9D8" w14:textId="3AB1BCDA" w:rsidR="004428B7" w:rsidRPr="004428B7" w:rsidRDefault="009F1172" w:rsidP="004428B7">
      <w:pPr>
        <w:spacing w:after="0"/>
        <w:rPr>
          <w:rFonts w:cstheme="minorHAnsi"/>
          <w:sz w:val="24"/>
          <w:szCs w:val="24"/>
        </w:rPr>
      </w:pPr>
      <w:r w:rsidRPr="004428B7">
        <w:rPr>
          <w:rFonts w:cstheme="minorHAnsi"/>
          <w:sz w:val="24"/>
          <w:szCs w:val="24"/>
        </w:rPr>
        <w:t>Narrat</w:t>
      </w:r>
      <w:r w:rsidRPr="004428B7">
        <w:rPr>
          <w:rFonts w:cstheme="minorHAnsi"/>
          <w:sz w:val="24"/>
          <w:szCs w:val="24"/>
        </w:rPr>
        <w:t xml:space="preserve">ive factors have indeed influenced the way in which the Persephone Myth has been presented, but this presentation has evolved over time. </w:t>
      </w:r>
      <w:r>
        <w:rPr>
          <w:rFonts w:cstheme="minorHAnsi"/>
          <w:sz w:val="24"/>
          <w:szCs w:val="24"/>
        </w:rPr>
        <w:t xml:space="preserve"> </w:t>
      </w:r>
      <w:r w:rsidRPr="004428B7">
        <w:rPr>
          <w:rFonts w:cstheme="minorHAnsi"/>
          <w:sz w:val="24"/>
          <w:szCs w:val="24"/>
        </w:rPr>
        <w:t xml:space="preserve">What began in the </w:t>
      </w:r>
      <w:r w:rsidRPr="004428B7">
        <w:rPr>
          <w:rFonts w:cstheme="minorHAnsi"/>
          <w:i/>
          <w:sz w:val="24"/>
          <w:szCs w:val="24"/>
        </w:rPr>
        <w:t>Hymn to Demeter</w:t>
      </w:r>
      <w:r w:rsidRPr="004428B7">
        <w:rPr>
          <w:rFonts w:cstheme="minorHAnsi"/>
          <w:sz w:val="24"/>
          <w:szCs w:val="24"/>
        </w:rPr>
        <w:t xml:space="preserve"> as an example of an oral prologue had developed by the time of Ovid into a constitue</w:t>
      </w:r>
      <w:r w:rsidRPr="004428B7">
        <w:rPr>
          <w:rFonts w:cstheme="minorHAnsi"/>
          <w:sz w:val="24"/>
          <w:szCs w:val="24"/>
        </w:rPr>
        <w:t>nt episode in both a highly structured and possibly sycophantic elegy</w:t>
      </w:r>
      <w:r>
        <w:rPr>
          <w:rFonts w:cstheme="minorHAnsi"/>
          <w:sz w:val="24"/>
          <w:szCs w:val="24"/>
        </w:rPr>
        <w:t>,</w:t>
      </w:r>
      <w:r w:rsidRPr="004428B7">
        <w:rPr>
          <w:rFonts w:cstheme="minorHAnsi"/>
          <w:sz w:val="24"/>
          <w:szCs w:val="24"/>
        </w:rPr>
        <w:t xml:space="preserve"> as well as an over-ambitious </w:t>
      </w:r>
      <w:r w:rsidRPr="004428B7">
        <w:rPr>
          <w:rFonts w:cstheme="minorHAnsi"/>
          <w:i/>
          <w:sz w:val="24"/>
          <w:szCs w:val="24"/>
        </w:rPr>
        <w:t xml:space="preserve">epos; </w:t>
      </w:r>
      <w:r w:rsidRPr="004428B7">
        <w:rPr>
          <w:rFonts w:cstheme="minorHAnsi"/>
          <w:sz w:val="24"/>
          <w:szCs w:val="24"/>
        </w:rPr>
        <w:t xml:space="preserve">a sort of literary </w:t>
      </w:r>
      <w:r w:rsidRPr="004428B7">
        <w:rPr>
          <w:rFonts w:cstheme="minorHAnsi"/>
          <w:i/>
          <w:sz w:val="24"/>
          <w:szCs w:val="24"/>
        </w:rPr>
        <w:t>theory of everything,</w:t>
      </w:r>
      <w:r w:rsidRPr="004428B7">
        <w:rPr>
          <w:rFonts w:cstheme="minorHAnsi"/>
          <w:sz w:val="24"/>
          <w:szCs w:val="24"/>
        </w:rPr>
        <w:t xml:space="preserve"> encompassing cosmological and historical development. </w:t>
      </w:r>
      <w:r>
        <w:rPr>
          <w:rFonts w:cstheme="minorHAnsi"/>
          <w:sz w:val="24"/>
          <w:szCs w:val="24"/>
        </w:rPr>
        <w:t xml:space="preserve"> </w:t>
      </w:r>
      <w:r w:rsidRPr="004428B7">
        <w:rPr>
          <w:rFonts w:cstheme="minorHAnsi"/>
          <w:sz w:val="24"/>
          <w:szCs w:val="24"/>
        </w:rPr>
        <w:t>Consistently, the authors of these narratives have rel</w:t>
      </w:r>
      <w:r w:rsidRPr="004428B7">
        <w:rPr>
          <w:rFonts w:cstheme="minorHAnsi"/>
          <w:sz w:val="24"/>
          <w:szCs w:val="24"/>
        </w:rPr>
        <w:t xml:space="preserve">ied upon an impressive level of general knowledge within their audiences to realise the full effect of their work.  This database was constantly expanding, offering exponentially increasing scope for sub-plots and nuance. </w:t>
      </w:r>
      <w:r>
        <w:rPr>
          <w:rFonts w:cstheme="minorHAnsi"/>
          <w:sz w:val="24"/>
          <w:szCs w:val="24"/>
        </w:rPr>
        <w:t xml:space="preserve"> </w:t>
      </w:r>
      <w:r w:rsidRPr="004428B7">
        <w:rPr>
          <w:rFonts w:cstheme="minorHAnsi"/>
          <w:sz w:val="24"/>
          <w:szCs w:val="24"/>
        </w:rPr>
        <w:t xml:space="preserve">Throughout, there has been a repetition of known and expected narrative models. </w:t>
      </w:r>
      <w:r>
        <w:rPr>
          <w:rFonts w:cstheme="minorHAnsi"/>
          <w:sz w:val="24"/>
          <w:szCs w:val="24"/>
        </w:rPr>
        <w:t xml:space="preserve"> </w:t>
      </w:r>
      <w:r w:rsidRPr="004428B7">
        <w:rPr>
          <w:rFonts w:cstheme="minorHAnsi"/>
          <w:sz w:val="24"/>
          <w:szCs w:val="24"/>
        </w:rPr>
        <w:t xml:space="preserve">The tried and tested wrath-withdrawal-return story pattern is present in all three works. </w:t>
      </w:r>
      <w:r>
        <w:rPr>
          <w:rFonts w:cstheme="minorHAnsi"/>
          <w:sz w:val="24"/>
          <w:szCs w:val="24"/>
        </w:rPr>
        <w:t xml:space="preserve"> </w:t>
      </w:r>
      <w:r w:rsidRPr="004428B7">
        <w:rPr>
          <w:rFonts w:cstheme="minorHAnsi"/>
          <w:sz w:val="24"/>
          <w:szCs w:val="24"/>
        </w:rPr>
        <w:t xml:space="preserve">All three copy themes and characters from previous works.  The restructuring of the </w:t>
      </w:r>
      <w:r w:rsidRPr="004428B7">
        <w:rPr>
          <w:rFonts w:cstheme="minorHAnsi"/>
          <w:sz w:val="24"/>
          <w:szCs w:val="24"/>
        </w:rPr>
        <w:t xml:space="preserve">Olympian order involving a steady devolution of power from the gods to the mortal world in the </w:t>
      </w:r>
      <w:r w:rsidRPr="004428B7">
        <w:rPr>
          <w:rFonts w:cstheme="minorHAnsi"/>
          <w:i/>
          <w:sz w:val="24"/>
          <w:szCs w:val="24"/>
        </w:rPr>
        <w:t>Hymn</w:t>
      </w:r>
      <w:r w:rsidRPr="004428B7">
        <w:rPr>
          <w:rFonts w:cstheme="minorHAnsi"/>
          <w:sz w:val="24"/>
          <w:szCs w:val="24"/>
        </w:rPr>
        <w:t xml:space="preserve"> is extended and developed in the </w:t>
      </w:r>
      <w:r w:rsidRPr="004428B7">
        <w:rPr>
          <w:rFonts w:cstheme="minorHAnsi"/>
          <w:i/>
          <w:sz w:val="24"/>
          <w:szCs w:val="24"/>
        </w:rPr>
        <w:t xml:space="preserve">Metamorphoses </w:t>
      </w:r>
      <w:r>
        <w:rPr>
          <w:rFonts w:cstheme="minorHAnsi"/>
          <w:sz w:val="24"/>
          <w:szCs w:val="24"/>
        </w:rPr>
        <w:t>i</w:t>
      </w:r>
      <w:r w:rsidRPr="004428B7">
        <w:rPr>
          <w:rFonts w:cstheme="minorHAnsi"/>
          <w:sz w:val="24"/>
          <w:szCs w:val="24"/>
        </w:rPr>
        <w:t xml:space="preserve">n order to accommodate the new reality of imperial life. </w:t>
      </w:r>
      <w:r>
        <w:rPr>
          <w:rFonts w:cstheme="minorHAnsi"/>
          <w:sz w:val="24"/>
          <w:szCs w:val="24"/>
        </w:rPr>
        <w:t xml:space="preserve"> </w:t>
      </w:r>
      <w:r w:rsidRPr="004428B7">
        <w:rPr>
          <w:rFonts w:cstheme="minorHAnsi"/>
          <w:sz w:val="24"/>
          <w:szCs w:val="24"/>
        </w:rPr>
        <w:t>Thus</w:t>
      </w:r>
      <w:r>
        <w:rPr>
          <w:rFonts w:cstheme="minorHAnsi"/>
          <w:sz w:val="24"/>
          <w:szCs w:val="24"/>
        </w:rPr>
        <w:t>,</w:t>
      </w:r>
      <w:r w:rsidRPr="004428B7">
        <w:rPr>
          <w:rFonts w:cstheme="minorHAnsi"/>
          <w:sz w:val="24"/>
          <w:szCs w:val="24"/>
        </w:rPr>
        <w:t xml:space="preserve"> whilst in the </w:t>
      </w:r>
      <w:r w:rsidRPr="004428B7">
        <w:rPr>
          <w:rFonts w:cstheme="minorHAnsi"/>
          <w:i/>
          <w:sz w:val="24"/>
          <w:szCs w:val="24"/>
        </w:rPr>
        <w:t xml:space="preserve">Hymn, </w:t>
      </w:r>
      <w:r w:rsidRPr="004428B7">
        <w:rPr>
          <w:rFonts w:cstheme="minorHAnsi"/>
          <w:sz w:val="24"/>
          <w:szCs w:val="24"/>
        </w:rPr>
        <w:t>there is a realisation t</w:t>
      </w:r>
      <w:r w:rsidRPr="004428B7">
        <w:rPr>
          <w:rFonts w:cstheme="minorHAnsi"/>
          <w:sz w:val="24"/>
          <w:szCs w:val="24"/>
        </w:rPr>
        <w:t xml:space="preserve">hat the immortal and mortal worlds are dependent on each other, in the </w:t>
      </w:r>
      <w:r w:rsidRPr="004428B7">
        <w:rPr>
          <w:rFonts w:cstheme="minorHAnsi"/>
          <w:i/>
          <w:sz w:val="24"/>
          <w:szCs w:val="24"/>
        </w:rPr>
        <w:t xml:space="preserve">Metamorphoses </w:t>
      </w:r>
      <w:r w:rsidRPr="004428B7">
        <w:rPr>
          <w:rFonts w:cstheme="minorHAnsi"/>
          <w:sz w:val="24"/>
          <w:szCs w:val="24"/>
        </w:rPr>
        <w:t xml:space="preserve">and </w:t>
      </w:r>
      <w:r w:rsidRPr="004428B7">
        <w:rPr>
          <w:rFonts w:cstheme="minorHAnsi"/>
          <w:i/>
          <w:sz w:val="24"/>
          <w:szCs w:val="24"/>
        </w:rPr>
        <w:t>Fasti</w:t>
      </w:r>
      <w:r>
        <w:rPr>
          <w:rFonts w:cstheme="minorHAnsi"/>
          <w:i/>
          <w:sz w:val="24"/>
          <w:szCs w:val="24"/>
        </w:rPr>
        <w:t>,</w:t>
      </w:r>
      <w:r w:rsidRPr="004428B7">
        <w:rPr>
          <w:rFonts w:cstheme="minorHAnsi"/>
          <w:i/>
          <w:sz w:val="24"/>
          <w:szCs w:val="24"/>
        </w:rPr>
        <w:t xml:space="preserve"> </w:t>
      </w:r>
      <w:r w:rsidRPr="004428B7">
        <w:rPr>
          <w:rFonts w:cstheme="minorHAnsi"/>
          <w:sz w:val="24"/>
          <w:szCs w:val="24"/>
        </w:rPr>
        <w:t>power has shifted firmly in the direction of temporal authority.</w:t>
      </w:r>
      <w:r>
        <w:rPr>
          <w:rFonts w:cstheme="minorHAnsi"/>
          <w:sz w:val="24"/>
          <w:szCs w:val="24"/>
        </w:rPr>
        <w:t xml:space="preserve"> </w:t>
      </w:r>
      <w:r w:rsidRPr="004428B7">
        <w:rPr>
          <w:rFonts w:cstheme="minorHAnsi"/>
          <w:sz w:val="24"/>
          <w:szCs w:val="24"/>
        </w:rPr>
        <w:t xml:space="preserve"> The </w:t>
      </w:r>
      <w:r w:rsidRPr="004428B7">
        <w:rPr>
          <w:rFonts w:cstheme="minorHAnsi"/>
          <w:i/>
          <w:sz w:val="24"/>
          <w:szCs w:val="24"/>
        </w:rPr>
        <w:t>Metamorphoses</w:t>
      </w:r>
      <w:r w:rsidRPr="004428B7">
        <w:rPr>
          <w:rFonts w:cstheme="minorHAnsi"/>
          <w:sz w:val="24"/>
          <w:szCs w:val="24"/>
        </w:rPr>
        <w:t xml:space="preserve"> is not the literary game-changer it has been portrayed to be, and indeed thi</w:t>
      </w:r>
      <w:r w:rsidRPr="004428B7">
        <w:rPr>
          <w:rFonts w:cstheme="minorHAnsi"/>
          <w:sz w:val="24"/>
          <w:szCs w:val="24"/>
        </w:rPr>
        <w:t xml:space="preserve">s is borne out by later works such as the </w:t>
      </w:r>
      <w:r w:rsidRPr="004428B7">
        <w:rPr>
          <w:rFonts w:cstheme="minorHAnsi"/>
          <w:i/>
          <w:sz w:val="24"/>
          <w:szCs w:val="24"/>
        </w:rPr>
        <w:t>Du Raptu Prosperinae</w:t>
      </w:r>
      <w:r w:rsidRPr="004428B7">
        <w:rPr>
          <w:rFonts w:cstheme="minorHAnsi"/>
          <w:sz w:val="24"/>
          <w:szCs w:val="24"/>
        </w:rPr>
        <w:t>, which was “not comfortable” with giving characters, such as Cyane, such prominence and did not follow Ovid’s new model.</w:t>
      </w:r>
      <w:r>
        <w:rPr>
          <w:rStyle w:val="FootnoteReference"/>
          <w:rFonts w:cstheme="minorHAnsi"/>
          <w:sz w:val="24"/>
          <w:szCs w:val="24"/>
        </w:rPr>
        <w:footnoteReference w:id="46"/>
      </w:r>
      <w:r w:rsidRPr="004428B7">
        <w:rPr>
          <w:rFonts w:cstheme="minorHAnsi"/>
          <w:sz w:val="24"/>
          <w:szCs w:val="24"/>
        </w:rPr>
        <w:t xml:space="preserve">  Rather than a metamorphosis, it is more part of a sedimentary process</w:t>
      </w:r>
      <w:r w:rsidRPr="004428B7">
        <w:rPr>
          <w:rFonts w:cstheme="minorHAnsi"/>
          <w:sz w:val="24"/>
          <w:szCs w:val="24"/>
        </w:rPr>
        <w:t>, one of constant evolution.</w:t>
      </w:r>
      <w:r>
        <w:rPr>
          <w:rFonts w:cstheme="minorHAnsi"/>
          <w:sz w:val="24"/>
          <w:szCs w:val="24"/>
        </w:rPr>
        <w:t xml:space="preserve"> </w:t>
      </w:r>
      <w:r w:rsidRPr="004428B7">
        <w:rPr>
          <w:rFonts w:cstheme="minorHAnsi"/>
          <w:sz w:val="24"/>
          <w:szCs w:val="24"/>
        </w:rPr>
        <w:t xml:space="preserve"> The ultimate irony and story within a story was the fate of Ovid himself, who was banished by Augustus, suffered his very own metamorphosis</w:t>
      </w:r>
      <w:r>
        <w:rPr>
          <w:rFonts w:cstheme="minorHAnsi"/>
          <w:sz w:val="24"/>
          <w:szCs w:val="24"/>
        </w:rPr>
        <w:t>,</w:t>
      </w:r>
      <w:r w:rsidRPr="004428B7">
        <w:rPr>
          <w:rFonts w:cstheme="minorHAnsi"/>
          <w:sz w:val="24"/>
          <w:szCs w:val="24"/>
        </w:rPr>
        <w:t xml:space="preserve"> and faded away like his new character, the Nymph Cyane.</w:t>
      </w:r>
    </w:p>
    <w:p w14:paraId="765C7A2D" w14:textId="77777777" w:rsidR="004B62B4" w:rsidRPr="004B62B4" w:rsidRDefault="004B62B4" w:rsidP="004B62B4">
      <w:pPr>
        <w:rPr>
          <w:rFonts w:cstheme="minorHAnsi"/>
          <w:sz w:val="24"/>
          <w:szCs w:val="24"/>
        </w:rPr>
      </w:pPr>
    </w:p>
    <w:p w14:paraId="54C80409" w14:textId="77777777" w:rsidR="006632E2" w:rsidRPr="004B62B4" w:rsidRDefault="006632E2" w:rsidP="006632E2">
      <w:pPr>
        <w:spacing w:after="0"/>
        <w:rPr>
          <w:rFonts w:cstheme="minorHAnsi"/>
          <w:sz w:val="24"/>
          <w:szCs w:val="24"/>
        </w:rPr>
      </w:pPr>
    </w:p>
    <w:p w14:paraId="184FB87F" w14:textId="3578CAD2" w:rsidR="006468B2" w:rsidRPr="00EA1B57" w:rsidRDefault="009F1172" w:rsidP="006632E2">
      <w:pPr>
        <w:spacing w:after="0"/>
        <w:rPr>
          <w:rFonts w:cstheme="minorHAnsi"/>
          <w:bCs/>
          <w:i/>
          <w:iCs/>
          <w:sz w:val="24"/>
          <w:szCs w:val="24"/>
        </w:rPr>
      </w:pPr>
      <w:r w:rsidRPr="004B62B4">
        <w:rPr>
          <w:rFonts w:cstheme="minorHAnsi"/>
          <w:bCs/>
          <w:i/>
          <w:iCs/>
          <w:sz w:val="24"/>
          <w:szCs w:val="24"/>
        </w:rPr>
        <w:t>(</w:t>
      </w:r>
      <w:r w:rsidR="00953FB1">
        <w:rPr>
          <w:rFonts w:cstheme="minorHAnsi"/>
          <w:bCs/>
          <w:i/>
          <w:iCs/>
          <w:sz w:val="24"/>
          <w:szCs w:val="24"/>
        </w:rPr>
        <w:t>2</w:t>
      </w:r>
      <w:r w:rsidR="004428B7">
        <w:rPr>
          <w:rFonts w:cstheme="minorHAnsi"/>
          <w:bCs/>
          <w:i/>
          <w:iCs/>
          <w:sz w:val="24"/>
          <w:szCs w:val="24"/>
        </w:rPr>
        <w:t>510</w:t>
      </w:r>
      <w:r w:rsidRPr="00EA1B57">
        <w:rPr>
          <w:rFonts w:cstheme="minorHAnsi"/>
          <w:bCs/>
          <w:i/>
          <w:iCs/>
          <w:sz w:val="24"/>
          <w:szCs w:val="24"/>
        </w:rPr>
        <w:t xml:space="preserve"> word count, excluding</w:t>
      </w:r>
      <w:r w:rsidRPr="00EA1B57">
        <w:rPr>
          <w:rFonts w:cstheme="minorHAnsi"/>
          <w:bCs/>
          <w:i/>
          <w:iCs/>
          <w:sz w:val="24"/>
          <w:szCs w:val="24"/>
        </w:rPr>
        <w:t xml:space="preserve"> titles and citation footnotes)</w:t>
      </w:r>
    </w:p>
    <w:p w14:paraId="456590D7" w14:textId="77777777" w:rsidR="006468B2" w:rsidRPr="00EA1B57" w:rsidRDefault="009F1172">
      <w:pPr>
        <w:rPr>
          <w:rFonts w:cstheme="minorHAnsi"/>
          <w:bCs/>
          <w:i/>
          <w:iCs/>
          <w:sz w:val="24"/>
          <w:szCs w:val="24"/>
        </w:rPr>
      </w:pPr>
      <w:r w:rsidRPr="00EA1B57">
        <w:rPr>
          <w:rFonts w:cstheme="minorHAnsi"/>
          <w:bCs/>
          <w:i/>
          <w:iCs/>
          <w:sz w:val="24"/>
          <w:szCs w:val="24"/>
        </w:rPr>
        <w:br w:type="page"/>
      </w:r>
    </w:p>
    <w:p w14:paraId="6472647D" w14:textId="77777777" w:rsidR="006468B2" w:rsidRDefault="006468B2" w:rsidP="00FF32D3">
      <w:pPr>
        <w:rPr>
          <w:rFonts w:cstheme="minorHAnsi"/>
          <w:b/>
          <w:sz w:val="24"/>
          <w:szCs w:val="24"/>
        </w:rPr>
      </w:pPr>
    </w:p>
    <w:p w14:paraId="13860E31" w14:textId="77777777" w:rsidR="00FF32D3" w:rsidRPr="00BE28D4" w:rsidRDefault="009F1172" w:rsidP="00FF32D3">
      <w:pPr>
        <w:rPr>
          <w:rFonts w:cstheme="minorHAnsi"/>
          <w:b/>
          <w:sz w:val="24"/>
          <w:szCs w:val="24"/>
        </w:rPr>
      </w:pPr>
      <w:r>
        <w:rPr>
          <w:rFonts w:cstheme="minorHAnsi"/>
          <w:b/>
          <w:sz w:val="24"/>
          <w:szCs w:val="24"/>
          <w:u w:val="single"/>
        </w:rPr>
        <w:t>Bibliography</w:t>
      </w:r>
      <w:r w:rsidR="00813AA8" w:rsidRPr="00BE28D4">
        <w:rPr>
          <w:rFonts w:cstheme="minorHAnsi"/>
          <w:b/>
          <w:sz w:val="24"/>
          <w:szCs w:val="24"/>
        </w:rPr>
        <w:t>:</w:t>
      </w:r>
    </w:p>
    <w:p w14:paraId="18DB2E2B" w14:textId="77777777" w:rsidR="00000D44" w:rsidRDefault="009F1172" w:rsidP="00442993">
      <w:pPr>
        <w:spacing w:after="0" w:line="240" w:lineRule="auto"/>
        <w:rPr>
          <w:sz w:val="24"/>
          <w:szCs w:val="24"/>
        </w:rPr>
      </w:pPr>
      <w:r w:rsidRPr="00222C69">
        <w:rPr>
          <w:rFonts w:cstheme="minorHAnsi"/>
          <w:color w:val="000000"/>
          <w:sz w:val="24"/>
          <w:szCs w:val="24"/>
        </w:rPr>
        <w:t xml:space="preserve">Anonymous. </w:t>
      </w:r>
      <w:r w:rsidRPr="00222C69">
        <w:rPr>
          <w:rFonts w:cstheme="minorHAnsi"/>
          <w:i/>
          <w:iCs/>
          <w:color w:val="000000"/>
          <w:sz w:val="24"/>
          <w:szCs w:val="24"/>
        </w:rPr>
        <w:t xml:space="preserve"> The Homeric Hymns and Homerica.  </w:t>
      </w:r>
      <w:r w:rsidRPr="00222C69">
        <w:rPr>
          <w:rFonts w:cstheme="minorHAnsi"/>
          <w:color w:val="000000"/>
          <w:sz w:val="24"/>
          <w:szCs w:val="24"/>
        </w:rPr>
        <w:t xml:space="preserve">Translated by Hugh G. Evelyn-White. </w:t>
      </w:r>
      <w:r>
        <w:rPr>
          <w:rFonts w:cstheme="minorHAnsi"/>
          <w:color w:val="000000"/>
          <w:sz w:val="24"/>
          <w:szCs w:val="24"/>
        </w:rPr>
        <w:t xml:space="preserve">1914.  </w:t>
      </w:r>
      <w:r w:rsidRPr="00222C69">
        <w:rPr>
          <w:rFonts w:cstheme="minorHAnsi"/>
          <w:color w:val="000000"/>
          <w:sz w:val="24"/>
          <w:szCs w:val="24"/>
        </w:rPr>
        <w:t xml:space="preserve">Harvard University Press; London, William Heinemann Ltd. Available at: </w:t>
      </w:r>
      <w:hyperlink r:id="rId6" w:history="1">
        <w:r w:rsidRPr="00222C69">
          <w:rPr>
            <w:rStyle w:val="Hyperlink"/>
            <w:sz w:val="24"/>
            <w:szCs w:val="24"/>
          </w:rPr>
          <w:t>https://www.perseus.tufts.edu/hopper/text?doc=Perseus%3atext%3a1999.01.0137%3ahymn</w:t>
        </w:r>
        <w:r w:rsidRPr="00222C69">
          <w:rPr>
            <w:rStyle w:val="Hyperlink"/>
            <w:sz w:val="24"/>
            <w:szCs w:val="24"/>
          </w:rPr>
          <w:t>%3d2</w:t>
        </w:r>
      </w:hyperlink>
      <w:r w:rsidRPr="00222C69">
        <w:rPr>
          <w:sz w:val="24"/>
          <w:szCs w:val="24"/>
        </w:rPr>
        <w:t xml:space="preserve">.  (Accessed </w:t>
      </w:r>
      <w:r w:rsidR="005C4D45">
        <w:rPr>
          <w:sz w:val="24"/>
          <w:szCs w:val="24"/>
        </w:rPr>
        <w:t>5</w:t>
      </w:r>
      <w:r>
        <w:rPr>
          <w:sz w:val="24"/>
          <w:szCs w:val="24"/>
        </w:rPr>
        <w:t xml:space="preserve"> Oct.</w:t>
      </w:r>
      <w:r w:rsidRPr="00222C69">
        <w:rPr>
          <w:sz w:val="24"/>
          <w:szCs w:val="24"/>
        </w:rPr>
        <w:t xml:space="preserve"> 2022).</w:t>
      </w:r>
    </w:p>
    <w:p w14:paraId="2B86DC39" w14:textId="77777777" w:rsidR="000F5213" w:rsidRDefault="000F5213" w:rsidP="00442993">
      <w:pPr>
        <w:spacing w:after="0" w:line="240" w:lineRule="auto"/>
        <w:rPr>
          <w:sz w:val="24"/>
          <w:szCs w:val="24"/>
        </w:rPr>
      </w:pPr>
    </w:p>
    <w:p w14:paraId="6FBB3DD0" w14:textId="77777777" w:rsidR="000F5213" w:rsidRDefault="009F1172" w:rsidP="000F5213">
      <w:pPr>
        <w:spacing w:after="0" w:line="240" w:lineRule="auto"/>
        <w:rPr>
          <w:sz w:val="24"/>
          <w:szCs w:val="24"/>
        </w:rPr>
      </w:pPr>
      <w:r>
        <w:rPr>
          <w:sz w:val="24"/>
          <w:szCs w:val="24"/>
          <w:shd w:val="clear" w:color="auto" w:fill="FFFFFF"/>
        </w:rPr>
        <w:t xml:space="preserve">Anonymous.  </w:t>
      </w:r>
      <w:r w:rsidRPr="008903CD">
        <w:rPr>
          <w:i/>
          <w:iCs/>
          <w:sz w:val="24"/>
          <w:szCs w:val="24"/>
          <w:shd w:val="clear" w:color="auto" w:fill="FFFFFF"/>
        </w:rPr>
        <w:t>Homeric Hymn to Demeter</w:t>
      </w:r>
      <w:r>
        <w:rPr>
          <w:sz w:val="24"/>
          <w:szCs w:val="24"/>
          <w:shd w:val="clear" w:color="auto" w:fill="FFFFFF"/>
        </w:rPr>
        <w:t xml:space="preserve">. </w:t>
      </w:r>
      <w:r w:rsidRPr="002306C2">
        <w:rPr>
          <w:sz w:val="24"/>
          <w:szCs w:val="24"/>
          <w:shd w:val="clear" w:color="auto" w:fill="FFFFFF"/>
        </w:rPr>
        <w:t xml:space="preserve"> </w:t>
      </w:r>
      <w:r>
        <w:rPr>
          <w:sz w:val="24"/>
          <w:szCs w:val="24"/>
          <w:shd w:val="clear" w:color="auto" w:fill="FFFFFF"/>
        </w:rPr>
        <w:t>T</w:t>
      </w:r>
      <w:r w:rsidRPr="002306C2">
        <w:rPr>
          <w:sz w:val="24"/>
          <w:szCs w:val="24"/>
          <w:shd w:val="clear" w:color="auto" w:fill="FFFFFF"/>
        </w:rPr>
        <w:t>ransla</w:t>
      </w:r>
      <w:r>
        <w:rPr>
          <w:sz w:val="24"/>
          <w:szCs w:val="24"/>
          <w:shd w:val="clear" w:color="auto" w:fill="FFFFFF"/>
        </w:rPr>
        <w:t>ted by</w:t>
      </w:r>
      <w:r w:rsidRPr="002306C2">
        <w:rPr>
          <w:sz w:val="24"/>
          <w:szCs w:val="24"/>
          <w:shd w:val="clear" w:color="auto" w:fill="FFFFFF"/>
        </w:rPr>
        <w:t xml:space="preserve"> Nagy</w:t>
      </w:r>
      <w:r>
        <w:rPr>
          <w:sz w:val="24"/>
          <w:szCs w:val="24"/>
          <w:shd w:val="clear" w:color="auto" w:fill="FFFFFF"/>
        </w:rPr>
        <w:t>, G.  2018.  Available at:</w:t>
      </w:r>
      <w:r w:rsidRPr="002306C2">
        <w:rPr>
          <w:sz w:val="24"/>
          <w:szCs w:val="24"/>
        </w:rPr>
        <w:t xml:space="preserve"> </w:t>
      </w:r>
      <w:hyperlink r:id="rId7" w:history="1">
        <w:r>
          <w:rPr>
            <w:rStyle w:val="Hyperlink"/>
            <w:sz w:val="24"/>
            <w:szCs w:val="24"/>
          </w:rPr>
          <w:t>https://chs.harvard.edu/primary-source/homeric-hymn-to-demeter-sb/</w:t>
        </w:r>
      </w:hyperlink>
      <w:r>
        <w:rPr>
          <w:sz w:val="24"/>
          <w:szCs w:val="24"/>
        </w:rPr>
        <w:t xml:space="preserve">.  (Accessed </w:t>
      </w:r>
      <w:r w:rsidR="005C4D45">
        <w:rPr>
          <w:sz w:val="24"/>
          <w:szCs w:val="24"/>
        </w:rPr>
        <w:t>5</w:t>
      </w:r>
      <w:r>
        <w:rPr>
          <w:sz w:val="24"/>
          <w:szCs w:val="24"/>
        </w:rPr>
        <w:t xml:space="preserve"> Oct. 2022).</w:t>
      </w:r>
    </w:p>
    <w:p w14:paraId="7D3F3CDC" w14:textId="77777777" w:rsidR="000F5213" w:rsidRPr="00222C69" w:rsidRDefault="000F5213" w:rsidP="00442993">
      <w:pPr>
        <w:spacing w:after="0" w:line="240" w:lineRule="auto"/>
        <w:rPr>
          <w:sz w:val="24"/>
          <w:szCs w:val="24"/>
        </w:rPr>
      </w:pPr>
    </w:p>
    <w:p w14:paraId="7E0EBE20" w14:textId="77777777" w:rsidR="00FF32D3" w:rsidRPr="00ED4A0A" w:rsidRDefault="009F1172" w:rsidP="00006FE2">
      <w:pPr>
        <w:spacing w:after="0" w:line="240" w:lineRule="auto"/>
        <w:rPr>
          <w:sz w:val="24"/>
          <w:szCs w:val="24"/>
        </w:rPr>
      </w:pPr>
      <w:r w:rsidRPr="00ED4A0A">
        <w:rPr>
          <w:rFonts w:cstheme="minorHAnsi"/>
          <w:sz w:val="24"/>
          <w:szCs w:val="24"/>
        </w:rPr>
        <w:t>Ahl, F</w:t>
      </w:r>
      <w:r w:rsidR="00006FE2" w:rsidRPr="00ED4A0A">
        <w:rPr>
          <w:rFonts w:cstheme="minorHAnsi"/>
          <w:sz w:val="24"/>
          <w:szCs w:val="24"/>
        </w:rPr>
        <w:t>.</w:t>
      </w:r>
      <w:r w:rsidRPr="00ED4A0A">
        <w:rPr>
          <w:rFonts w:cstheme="minorHAnsi"/>
          <w:sz w:val="24"/>
          <w:szCs w:val="24"/>
        </w:rPr>
        <w:t xml:space="preserve"> </w:t>
      </w:r>
      <w:r w:rsidR="00006FE2" w:rsidRPr="00ED4A0A">
        <w:rPr>
          <w:rFonts w:cstheme="minorHAnsi"/>
          <w:sz w:val="24"/>
          <w:szCs w:val="24"/>
        </w:rPr>
        <w:t>(</w:t>
      </w:r>
      <w:r w:rsidRPr="00ED4A0A">
        <w:rPr>
          <w:rFonts w:cstheme="minorHAnsi"/>
          <w:sz w:val="24"/>
          <w:szCs w:val="24"/>
        </w:rPr>
        <w:t>1985</w:t>
      </w:r>
      <w:r w:rsidR="00006FE2" w:rsidRPr="00ED4A0A">
        <w:rPr>
          <w:rFonts w:cstheme="minorHAnsi"/>
          <w:sz w:val="24"/>
          <w:szCs w:val="24"/>
        </w:rPr>
        <w:t xml:space="preserve">) </w:t>
      </w:r>
      <w:r w:rsidRPr="00ED4A0A">
        <w:rPr>
          <w:rFonts w:cstheme="minorHAnsi"/>
          <w:sz w:val="24"/>
          <w:szCs w:val="24"/>
        </w:rPr>
        <w:t xml:space="preserve"> </w:t>
      </w:r>
      <w:r w:rsidRPr="00ED4A0A">
        <w:rPr>
          <w:rFonts w:cstheme="minorHAnsi"/>
          <w:i/>
          <w:iCs/>
          <w:sz w:val="24"/>
          <w:szCs w:val="24"/>
        </w:rPr>
        <w:t>Metamorphations: Soundplay and Wordplay i</w:t>
      </w:r>
      <w:r w:rsidR="00006FE2" w:rsidRPr="00ED4A0A">
        <w:rPr>
          <w:rFonts w:cstheme="minorHAnsi"/>
          <w:i/>
          <w:iCs/>
          <w:sz w:val="24"/>
          <w:szCs w:val="24"/>
        </w:rPr>
        <w:t>n</w:t>
      </w:r>
      <w:r w:rsidRPr="00ED4A0A">
        <w:rPr>
          <w:rFonts w:cstheme="minorHAnsi"/>
          <w:i/>
          <w:iCs/>
          <w:sz w:val="24"/>
          <w:szCs w:val="24"/>
        </w:rPr>
        <w:t xml:space="preserve"> Ovid and Other Classical poets</w:t>
      </w:r>
      <w:r w:rsidRPr="00ED4A0A">
        <w:rPr>
          <w:rFonts w:cstheme="minorHAnsi"/>
          <w:sz w:val="24"/>
          <w:szCs w:val="24"/>
        </w:rPr>
        <w:t xml:space="preserve">. </w:t>
      </w:r>
      <w:r w:rsidR="00006FE2" w:rsidRPr="00ED4A0A">
        <w:rPr>
          <w:rFonts w:cstheme="minorHAnsi"/>
          <w:sz w:val="24"/>
          <w:szCs w:val="24"/>
        </w:rPr>
        <w:t xml:space="preserve"> Cornell University Press, </w:t>
      </w:r>
      <w:r w:rsidRPr="00ED4A0A">
        <w:rPr>
          <w:rFonts w:cstheme="minorHAnsi"/>
          <w:sz w:val="24"/>
          <w:szCs w:val="24"/>
        </w:rPr>
        <w:t>Ithaca</w:t>
      </w:r>
      <w:r w:rsidR="00006FE2" w:rsidRPr="00ED4A0A">
        <w:rPr>
          <w:rFonts w:cstheme="minorHAnsi"/>
          <w:sz w:val="24"/>
          <w:szCs w:val="24"/>
        </w:rPr>
        <w:t xml:space="preserve"> &amp; London.</w:t>
      </w:r>
      <w:r w:rsidR="005672B6" w:rsidRPr="00ED4A0A">
        <w:t xml:space="preserve"> </w:t>
      </w:r>
      <w:r w:rsidR="005672B6" w:rsidRPr="00ED4A0A">
        <w:rPr>
          <w:sz w:val="24"/>
          <w:szCs w:val="24"/>
        </w:rPr>
        <w:t xml:space="preserve"> Available at: </w:t>
      </w:r>
      <w:hyperlink r:id="rId8" w:history="1">
        <w:r w:rsidR="005672B6" w:rsidRPr="00ED4A0A">
          <w:rPr>
            <w:rStyle w:val="Hyperlink"/>
            <w:sz w:val="24"/>
            <w:szCs w:val="24"/>
          </w:rPr>
          <w:t>https://archive.org/details/metaformationsso00ahlf</w:t>
        </w:r>
      </w:hyperlink>
      <w:r w:rsidR="005672B6" w:rsidRPr="00ED4A0A">
        <w:rPr>
          <w:sz w:val="24"/>
          <w:szCs w:val="24"/>
        </w:rPr>
        <w:t xml:space="preserve">.  (Accessed: </w:t>
      </w:r>
      <w:r w:rsidR="005C4D45">
        <w:rPr>
          <w:sz w:val="24"/>
          <w:szCs w:val="24"/>
        </w:rPr>
        <w:t>9</w:t>
      </w:r>
      <w:r w:rsidR="005672B6" w:rsidRPr="00ED4A0A">
        <w:rPr>
          <w:sz w:val="24"/>
          <w:szCs w:val="24"/>
        </w:rPr>
        <w:t xml:space="preserve"> Oct. 2022).</w:t>
      </w:r>
    </w:p>
    <w:p w14:paraId="16A0DBB8" w14:textId="77777777" w:rsidR="00006FE2" w:rsidRPr="00BE28D4" w:rsidRDefault="00006FE2" w:rsidP="00006FE2">
      <w:pPr>
        <w:spacing w:after="0" w:line="240" w:lineRule="auto"/>
        <w:rPr>
          <w:rFonts w:cstheme="minorHAnsi"/>
          <w:sz w:val="24"/>
          <w:szCs w:val="24"/>
        </w:rPr>
      </w:pPr>
    </w:p>
    <w:p w14:paraId="363F9A35" w14:textId="25F904C6" w:rsidR="00632B02" w:rsidRPr="00EF61FA" w:rsidRDefault="009F1172" w:rsidP="00632B02">
      <w:pPr>
        <w:spacing w:after="0" w:line="240" w:lineRule="auto"/>
        <w:rPr>
          <w:rFonts w:cstheme="minorHAnsi"/>
          <w:sz w:val="24"/>
          <w:szCs w:val="24"/>
        </w:rPr>
      </w:pPr>
      <w:r w:rsidRPr="00FF37AB">
        <w:rPr>
          <w:rFonts w:cstheme="minorHAnsi"/>
          <w:sz w:val="24"/>
          <w:szCs w:val="24"/>
        </w:rPr>
        <w:t xml:space="preserve">Barchiesi, A. (1999) Venus’ Masterplot: Ovid and the Homeric Hymns.  </w:t>
      </w:r>
      <w:r w:rsidRPr="00FF37AB">
        <w:rPr>
          <w:rFonts w:cstheme="minorHAnsi"/>
          <w:i/>
          <w:iCs/>
          <w:sz w:val="24"/>
          <w:szCs w:val="24"/>
        </w:rPr>
        <w:t>Ovidian Transformations: Essays on Ovid’s Metamorphoses and its Reception,</w:t>
      </w:r>
      <w:r w:rsidRPr="00FF37AB">
        <w:rPr>
          <w:rFonts w:cstheme="minorHAnsi"/>
          <w:sz w:val="24"/>
          <w:szCs w:val="24"/>
        </w:rPr>
        <w:t xml:space="preserve"> edited by Hardie, P</w:t>
      </w:r>
      <w:r>
        <w:rPr>
          <w:rFonts w:cstheme="minorHAnsi"/>
          <w:sz w:val="24"/>
          <w:szCs w:val="24"/>
        </w:rPr>
        <w:t>.</w:t>
      </w:r>
      <w:r w:rsidRPr="00FF37AB">
        <w:rPr>
          <w:rFonts w:cstheme="minorHAnsi"/>
          <w:sz w:val="24"/>
          <w:szCs w:val="24"/>
        </w:rPr>
        <w:t xml:space="preserve"> et al. Vol. </w:t>
      </w:r>
      <w:r w:rsidRPr="00FF37AB">
        <w:rPr>
          <w:rFonts w:cstheme="minorHAnsi"/>
          <w:sz w:val="24"/>
          <w:szCs w:val="24"/>
        </w:rPr>
        <w:t xml:space="preserve">23 pp. 112-26.  Cambridge Philological Society, Cambridge.  Available at: </w:t>
      </w:r>
      <w:r w:rsidRPr="00EF61FA">
        <w:rPr>
          <w:rFonts w:eastAsia="Times New Roman" w:cstheme="minorHAnsi"/>
          <w:i/>
          <w:iCs/>
          <w:sz w:val="24"/>
          <w:szCs w:val="24"/>
          <w:lang w:eastAsia="en-GB"/>
        </w:rPr>
        <w:t>JSTOR</w:t>
      </w:r>
      <w:r w:rsidRPr="00EF61FA">
        <w:rPr>
          <w:rFonts w:eastAsia="Times New Roman" w:cstheme="minorHAnsi"/>
          <w:sz w:val="24"/>
          <w:szCs w:val="24"/>
          <w:lang w:eastAsia="en-GB"/>
        </w:rPr>
        <w:t xml:space="preserve">, https://doi.org/10.2307/j.ctv27h1pnq.12.  </w:t>
      </w:r>
      <w:r w:rsidRPr="00FF37AB">
        <w:rPr>
          <w:rFonts w:eastAsia="Times New Roman" w:cstheme="minorHAnsi"/>
          <w:sz w:val="24"/>
          <w:szCs w:val="24"/>
          <w:lang w:eastAsia="en-GB"/>
        </w:rPr>
        <w:t>(</w:t>
      </w:r>
      <w:r w:rsidRPr="00EF61FA">
        <w:rPr>
          <w:rFonts w:eastAsia="Times New Roman" w:cstheme="minorHAnsi"/>
          <w:sz w:val="24"/>
          <w:szCs w:val="24"/>
          <w:lang w:eastAsia="en-GB"/>
        </w:rPr>
        <w:t xml:space="preserve">Accessed </w:t>
      </w:r>
      <w:r w:rsidRPr="00FF37AB">
        <w:rPr>
          <w:rFonts w:eastAsia="Times New Roman" w:cstheme="minorHAnsi"/>
          <w:sz w:val="24"/>
          <w:szCs w:val="24"/>
          <w:lang w:eastAsia="en-GB"/>
        </w:rPr>
        <w:t xml:space="preserve">9 </w:t>
      </w:r>
      <w:r>
        <w:rPr>
          <w:rFonts w:eastAsia="Times New Roman" w:cstheme="minorHAnsi"/>
          <w:sz w:val="24"/>
          <w:szCs w:val="24"/>
          <w:lang w:eastAsia="en-GB"/>
        </w:rPr>
        <w:t>Oc</w:t>
      </w:r>
      <w:r w:rsidRPr="00FF37AB">
        <w:rPr>
          <w:rFonts w:eastAsia="Times New Roman" w:cstheme="minorHAnsi"/>
          <w:sz w:val="24"/>
          <w:szCs w:val="24"/>
          <w:lang w:eastAsia="en-GB"/>
        </w:rPr>
        <w:t>t.</w:t>
      </w:r>
      <w:r w:rsidRPr="00EF61FA">
        <w:rPr>
          <w:rFonts w:eastAsia="Times New Roman" w:cstheme="minorHAnsi"/>
          <w:sz w:val="24"/>
          <w:szCs w:val="24"/>
          <w:lang w:eastAsia="en-GB"/>
        </w:rPr>
        <w:t xml:space="preserve"> 2022</w:t>
      </w:r>
      <w:r w:rsidRPr="00FF37AB">
        <w:rPr>
          <w:rFonts w:eastAsia="Times New Roman" w:cstheme="minorHAnsi"/>
          <w:sz w:val="24"/>
          <w:szCs w:val="24"/>
          <w:lang w:eastAsia="en-GB"/>
        </w:rPr>
        <w:t>)</w:t>
      </w:r>
      <w:r w:rsidRPr="00EF61FA">
        <w:rPr>
          <w:rFonts w:eastAsia="Times New Roman" w:cstheme="minorHAnsi"/>
          <w:sz w:val="24"/>
          <w:szCs w:val="24"/>
          <w:lang w:eastAsia="en-GB"/>
        </w:rPr>
        <w:t>.</w:t>
      </w:r>
    </w:p>
    <w:p w14:paraId="410BBDD8" w14:textId="77777777" w:rsidR="00632B02" w:rsidRPr="00E430FF" w:rsidRDefault="00632B02" w:rsidP="00632B02">
      <w:pPr>
        <w:spacing w:after="0" w:line="240" w:lineRule="auto"/>
        <w:rPr>
          <w:sz w:val="24"/>
          <w:szCs w:val="24"/>
        </w:rPr>
      </w:pPr>
    </w:p>
    <w:p w14:paraId="3419F2B1" w14:textId="6EA072DA" w:rsidR="00000D44" w:rsidRPr="00594EF3" w:rsidRDefault="009F1172" w:rsidP="00006FE2">
      <w:pPr>
        <w:spacing w:after="0" w:line="240" w:lineRule="auto"/>
        <w:rPr>
          <w:sz w:val="24"/>
          <w:szCs w:val="24"/>
        </w:rPr>
      </w:pPr>
      <w:r w:rsidRPr="00F22F32">
        <w:rPr>
          <w:sz w:val="24"/>
          <w:szCs w:val="24"/>
        </w:rPr>
        <w:t>Barchiesi, A.  (2001)   Voices and narrative ‘instances’ in the </w:t>
      </w:r>
      <w:r w:rsidRPr="00F22F32">
        <w:rPr>
          <w:i/>
          <w:iCs/>
          <w:sz w:val="24"/>
          <w:szCs w:val="24"/>
        </w:rPr>
        <w:t>Metamorphoses</w:t>
      </w:r>
      <w:r w:rsidRPr="00F22F32">
        <w:rPr>
          <w:sz w:val="24"/>
          <w:szCs w:val="24"/>
        </w:rPr>
        <w:t>’, in </w:t>
      </w:r>
      <w:r w:rsidRPr="00F22F32">
        <w:rPr>
          <w:i/>
          <w:iCs/>
          <w:sz w:val="24"/>
          <w:szCs w:val="24"/>
        </w:rPr>
        <w:t xml:space="preserve">Speaking Volumes: </w:t>
      </w:r>
      <w:r w:rsidRPr="00F22F32">
        <w:rPr>
          <w:i/>
          <w:iCs/>
          <w:sz w:val="24"/>
          <w:szCs w:val="24"/>
        </w:rPr>
        <w:t>Narrative and Intertext in Ovid and other Latin Poets</w:t>
      </w:r>
      <w:r w:rsidRPr="00F22F32">
        <w:rPr>
          <w:sz w:val="24"/>
          <w:szCs w:val="24"/>
        </w:rPr>
        <w:t>, 49-78.  Duckworth, London.</w:t>
      </w:r>
      <w:r w:rsidR="00594EF3" w:rsidRPr="00594EF3">
        <w:t xml:space="preserve">  Available at: </w:t>
      </w:r>
      <w:hyperlink r:id="rId9" w:history="1">
        <w:r w:rsidR="00594EF3" w:rsidRPr="00163B3F">
          <w:rPr>
            <w:rStyle w:val="Hyperlink"/>
          </w:rPr>
          <w:t>https://www.academia.edu/12279717/Barchiesi_Speaking_Volumes_Narrative_and_Intertext_in_Ovid_and_other_Roman_poets_2001.</w:t>
        </w:r>
        <w:r w:rsidR="00594EF3" w:rsidRPr="00594EF3">
          <w:rPr>
            <w:rStyle w:val="Hyperlink"/>
            <w:color w:val="auto"/>
            <w:u w:val="none"/>
          </w:rPr>
          <w:t xml:space="preserve">  (Accessed 10 Oct. 2022).</w:t>
        </w:r>
      </w:hyperlink>
      <w:r w:rsidR="00594EF3" w:rsidRPr="00594EF3">
        <w:rPr>
          <w:sz w:val="24"/>
          <w:szCs w:val="24"/>
        </w:rPr>
        <w:t xml:space="preserve"> </w:t>
      </w:r>
    </w:p>
    <w:p w14:paraId="628049C3" w14:textId="77777777" w:rsidR="00000D44" w:rsidRPr="00594EF3" w:rsidRDefault="00000D44" w:rsidP="00442993">
      <w:pPr>
        <w:spacing w:after="0" w:line="240" w:lineRule="auto"/>
        <w:rPr>
          <w:sz w:val="24"/>
          <w:szCs w:val="24"/>
          <w:highlight w:val="yellow"/>
        </w:rPr>
      </w:pPr>
    </w:p>
    <w:p w14:paraId="6E9AB965" w14:textId="77777777" w:rsidR="00000D44" w:rsidRDefault="009F1172" w:rsidP="00442993">
      <w:pPr>
        <w:spacing w:after="0" w:line="240" w:lineRule="auto"/>
        <w:rPr>
          <w:rFonts w:ascii="Calibri" w:hAnsi="Calibri" w:cs="Calibri"/>
          <w:sz w:val="24"/>
          <w:szCs w:val="24"/>
        </w:rPr>
      </w:pPr>
      <w:r w:rsidRPr="00565297">
        <w:rPr>
          <w:rFonts w:ascii="Calibri" w:hAnsi="Calibri" w:cs="Calibri"/>
          <w:sz w:val="24"/>
          <w:szCs w:val="24"/>
        </w:rPr>
        <w:t>Beck, D. (2001)</w:t>
      </w:r>
      <w:r>
        <w:rPr>
          <w:rFonts w:ascii="Calibri" w:hAnsi="Calibri" w:cs="Calibri"/>
          <w:sz w:val="24"/>
          <w:szCs w:val="24"/>
        </w:rPr>
        <w:t xml:space="preserve">  </w:t>
      </w:r>
      <w:r w:rsidRPr="00565297">
        <w:rPr>
          <w:rFonts w:ascii="Calibri" w:hAnsi="Calibri" w:cs="Calibri"/>
          <w:sz w:val="24"/>
          <w:szCs w:val="24"/>
        </w:rPr>
        <w:t xml:space="preserve">Direct and </w:t>
      </w:r>
      <w:r>
        <w:rPr>
          <w:rFonts w:ascii="Calibri" w:hAnsi="Calibri" w:cs="Calibri"/>
          <w:sz w:val="24"/>
          <w:szCs w:val="24"/>
        </w:rPr>
        <w:t>I</w:t>
      </w:r>
      <w:r w:rsidRPr="00565297">
        <w:rPr>
          <w:rFonts w:ascii="Calibri" w:hAnsi="Calibri" w:cs="Calibri"/>
          <w:sz w:val="24"/>
          <w:szCs w:val="24"/>
        </w:rPr>
        <w:t xml:space="preserve">ndirect </w:t>
      </w:r>
      <w:r>
        <w:rPr>
          <w:rFonts w:ascii="Calibri" w:hAnsi="Calibri" w:cs="Calibri"/>
          <w:sz w:val="24"/>
          <w:szCs w:val="24"/>
        </w:rPr>
        <w:t>S</w:t>
      </w:r>
      <w:r w:rsidRPr="00565297">
        <w:rPr>
          <w:rFonts w:ascii="Calibri" w:hAnsi="Calibri" w:cs="Calibri"/>
          <w:sz w:val="24"/>
          <w:szCs w:val="24"/>
        </w:rPr>
        <w:t xml:space="preserve">peech in the Homeric “Hymn to Demeter”’, </w:t>
      </w:r>
      <w:r w:rsidRPr="00565297">
        <w:rPr>
          <w:rFonts w:ascii="Calibri" w:hAnsi="Calibri" w:cs="Calibri"/>
          <w:i/>
          <w:iCs/>
          <w:sz w:val="24"/>
          <w:szCs w:val="24"/>
        </w:rPr>
        <w:t xml:space="preserve">Transactions </w:t>
      </w:r>
      <w:r w:rsidRPr="00565297">
        <w:rPr>
          <w:rFonts w:ascii="Calibri" w:hAnsi="Calibri" w:cs="Calibri"/>
          <w:i/>
          <w:iCs/>
          <w:sz w:val="24"/>
          <w:szCs w:val="24"/>
        </w:rPr>
        <w:t>of the American Philological Association (1974), 131(1), pp. 53–74.</w:t>
      </w:r>
      <w:r w:rsidRPr="00565297">
        <w:rPr>
          <w:rFonts w:ascii="Calibri" w:hAnsi="Calibri" w:cs="Calibri"/>
          <w:sz w:val="24"/>
          <w:szCs w:val="24"/>
        </w:rPr>
        <w:t xml:space="preserve">  Available at: </w:t>
      </w:r>
      <w:hyperlink r:id="rId10" w:history="1">
        <w:r w:rsidRPr="005D0C90">
          <w:rPr>
            <w:rStyle w:val="Hyperlink"/>
            <w:rFonts w:ascii="Calibri" w:hAnsi="Calibri" w:cs="Calibri"/>
            <w:sz w:val="24"/>
            <w:szCs w:val="24"/>
          </w:rPr>
          <w:t>https://doi.org/10.1353/apa.2001.0003</w:t>
        </w:r>
      </w:hyperlink>
      <w:r w:rsidRPr="00565297">
        <w:rPr>
          <w:rFonts w:ascii="Calibri" w:hAnsi="Calibri" w:cs="Calibri"/>
          <w:sz w:val="24"/>
          <w:szCs w:val="24"/>
        </w:rPr>
        <w:t>.</w:t>
      </w:r>
      <w:r>
        <w:rPr>
          <w:rFonts w:ascii="Calibri" w:hAnsi="Calibri" w:cs="Calibri"/>
          <w:sz w:val="24"/>
          <w:szCs w:val="24"/>
        </w:rPr>
        <w:t xml:space="preserve">  (Accessed </w:t>
      </w:r>
      <w:r w:rsidR="005C4D45">
        <w:rPr>
          <w:rFonts w:ascii="Calibri" w:hAnsi="Calibri" w:cs="Calibri"/>
          <w:sz w:val="24"/>
          <w:szCs w:val="24"/>
        </w:rPr>
        <w:t>8</w:t>
      </w:r>
      <w:r>
        <w:rPr>
          <w:rFonts w:ascii="Calibri" w:hAnsi="Calibri" w:cs="Calibri"/>
          <w:sz w:val="24"/>
          <w:szCs w:val="24"/>
        </w:rPr>
        <w:t xml:space="preserve"> Oct. 2022).</w:t>
      </w:r>
    </w:p>
    <w:p w14:paraId="40C745B0" w14:textId="77777777" w:rsidR="00000D44" w:rsidRDefault="00000D44" w:rsidP="00442993">
      <w:pPr>
        <w:spacing w:after="0" w:line="240" w:lineRule="auto"/>
        <w:rPr>
          <w:rFonts w:cstheme="minorHAnsi"/>
          <w:sz w:val="24"/>
          <w:szCs w:val="24"/>
        </w:rPr>
      </w:pPr>
    </w:p>
    <w:p w14:paraId="37C93D4A" w14:textId="77777777" w:rsidR="006468B2" w:rsidRPr="00A042A2" w:rsidRDefault="009F1172" w:rsidP="00442993">
      <w:pPr>
        <w:spacing w:after="0" w:line="240" w:lineRule="auto"/>
        <w:rPr>
          <w:sz w:val="24"/>
          <w:szCs w:val="24"/>
        </w:rPr>
      </w:pPr>
      <w:r w:rsidRPr="008A6D00">
        <w:rPr>
          <w:sz w:val="24"/>
          <w:szCs w:val="24"/>
        </w:rPr>
        <w:t>Clay, J. (1982)</w:t>
      </w:r>
      <w:r w:rsidR="005547CE" w:rsidRPr="008A6D00">
        <w:rPr>
          <w:sz w:val="24"/>
          <w:szCs w:val="24"/>
        </w:rPr>
        <w:t xml:space="preserve"> </w:t>
      </w:r>
      <w:r w:rsidRPr="008A6D00">
        <w:rPr>
          <w:sz w:val="24"/>
          <w:szCs w:val="24"/>
        </w:rPr>
        <w:t xml:space="preserve"> </w:t>
      </w:r>
      <w:r w:rsidRPr="008A6D00">
        <w:rPr>
          <w:i/>
          <w:iCs/>
          <w:sz w:val="24"/>
          <w:szCs w:val="24"/>
        </w:rPr>
        <w:t>The</w:t>
      </w:r>
      <w:r w:rsidRPr="00CF3A70">
        <w:rPr>
          <w:i/>
          <w:iCs/>
          <w:sz w:val="24"/>
          <w:szCs w:val="24"/>
        </w:rPr>
        <w:t xml:space="preserve"> Politics of Olympus.  Form and Meaning in the Major Homeric Hymns</w:t>
      </w:r>
      <w:r>
        <w:rPr>
          <w:sz w:val="24"/>
          <w:szCs w:val="24"/>
        </w:rPr>
        <w:t xml:space="preserve">.  </w:t>
      </w:r>
      <w:r w:rsidRPr="00F0505B">
        <w:rPr>
          <w:sz w:val="24"/>
          <w:szCs w:val="24"/>
        </w:rPr>
        <w:t>Princeton</w:t>
      </w:r>
      <w:r>
        <w:rPr>
          <w:sz w:val="24"/>
          <w:szCs w:val="24"/>
        </w:rPr>
        <w:t xml:space="preserve">. </w:t>
      </w:r>
    </w:p>
    <w:p w14:paraId="3E411D3E" w14:textId="77777777" w:rsidR="003F60C7" w:rsidRDefault="003F60C7" w:rsidP="00442993">
      <w:pPr>
        <w:spacing w:after="0" w:line="240" w:lineRule="auto"/>
        <w:rPr>
          <w:rStyle w:val="markedcontent"/>
          <w:rFonts w:cstheme="minorHAnsi"/>
          <w:sz w:val="24"/>
          <w:szCs w:val="24"/>
          <w:shd w:val="clear" w:color="auto" w:fill="FFFFFF"/>
        </w:rPr>
      </w:pPr>
    </w:p>
    <w:p w14:paraId="74F10AFD" w14:textId="7FB02F69" w:rsidR="00632B02" w:rsidRPr="00632B02" w:rsidRDefault="009F1172" w:rsidP="00632B02">
      <w:pPr>
        <w:spacing w:after="0"/>
        <w:rPr>
          <w:sz w:val="24"/>
          <w:szCs w:val="24"/>
        </w:rPr>
      </w:pPr>
      <w:r w:rsidRPr="00632B02">
        <w:rPr>
          <w:sz w:val="24"/>
          <w:szCs w:val="24"/>
        </w:rPr>
        <w:t xml:space="preserve">Fantham, E. </w:t>
      </w:r>
      <w:r>
        <w:rPr>
          <w:sz w:val="24"/>
          <w:szCs w:val="24"/>
        </w:rPr>
        <w:t xml:space="preserve">(1994) </w:t>
      </w:r>
      <w:r w:rsidRPr="00632B02">
        <w:rPr>
          <w:sz w:val="24"/>
          <w:szCs w:val="24"/>
        </w:rPr>
        <w:t xml:space="preserve">Rewriting and rereading the Fasti: Augustus, Ovid and recent classical scholarship.  [Text of the Todd Memorial Lecture (1994: Sydney ).] </w:t>
      </w:r>
      <w:r w:rsidRPr="00632B02">
        <w:rPr>
          <w:i/>
          <w:iCs/>
          <w:sz w:val="24"/>
          <w:szCs w:val="24"/>
        </w:rPr>
        <w:t xml:space="preserve">Antichthon, Vol. </w:t>
      </w:r>
      <w:r w:rsidRPr="00632B02">
        <w:rPr>
          <w:i/>
          <w:iCs/>
          <w:sz w:val="24"/>
          <w:szCs w:val="24"/>
        </w:rPr>
        <w:t>29,</w:t>
      </w:r>
      <w:r w:rsidRPr="00632B02">
        <w:rPr>
          <w:sz w:val="24"/>
          <w:szCs w:val="24"/>
        </w:rPr>
        <w:t xml:space="preserve"> 1995: 42-59.  Available at: </w:t>
      </w:r>
      <w:hyperlink r:id="rId11" w:history="1">
        <w:r w:rsidRPr="00632B02">
          <w:rPr>
            <w:rStyle w:val="Hyperlink"/>
            <w:sz w:val="24"/>
            <w:szCs w:val="24"/>
          </w:rPr>
          <w:t>https://www.classics.org.au/cansw/past_todd_lectures.htm</w:t>
        </w:r>
      </w:hyperlink>
      <w:r w:rsidRPr="00632B02">
        <w:rPr>
          <w:sz w:val="24"/>
          <w:szCs w:val="24"/>
        </w:rPr>
        <w:t>.  (Accessed 12 Oct. 2022).</w:t>
      </w:r>
    </w:p>
    <w:p w14:paraId="03EA15CF" w14:textId="77777777" w:rsidR="00632B02" w:rsidRPr="00632B02" w:rsidRDefault="00632B02" w:rsidP="00632B02">
      <w:pPr>
        <w:spacing w:after="0"/>
        <w:rPr>
          <w:sz w:val="24"/>
          <w:szCs w:val="24"/>
        </w:rPr>
      </w:pPr>
    </w:p>
    <w:p w14:paraId="47FB4813" w14:textId="77777777" w:rsidR="006468B2" w:rsidRDefault="009F1172" w:rsidP="00442993">
      <w:pPr>
        <w:spacing w:after="0" w:line="240" w:lineRule="auto"/>
        <w:rPr>
          <w:rFonts w:cstheme="minorHAnsi"/>
          <w:sz w:val="24"/>
          <w:szCs w:val="24"/>
        </w:rPr>
      </w:pPr>
      <w:r w:rsidRPr="00EB6B89">
        <w:rPr>
          <w:rFonts w:cstheme="minorHAnsi"/>
          <w:sz w:val="24"/>
          <w:szCs w:val="24"/>
        </w:rPr>
        <w:t xml:space="preserve">Foley, H. (1994) </w:t>
      </w:r>
      <w:r w:rsidRPr="00EB6B89">
        <w:rPr>
          <w:rFonts w:cstheme="minorHAnsi"/>
          <w:i/>
          <w:iCs/>
          <w:sz w:val="24"/>
          <w:szCs w:val="24"/>
        </w:rPr>
        <w:t>The Homeric Hymn to Demeter: translation, commen</w:t>
      </w:r>
      <w:r w:rsidRPr="00EB6B89">
        <w:rPr>
          <w:rFonts w:cstheme="minorHAnsi"/>
          <w:i/>
          <w:iCs/>
          <w:sz w:val="24"/>
          <w:szCs w:val="24"/>
        </w:rPr>
        <w:t>tary and interpretative essays.</w:t>
      </w:r>
      <w:r w:rsidRPr="00EB6B89">
        <w:rPr>
          <w:rFonts w:cstheme="minorHAnsi"/>
          <w:sz w:val="24"/>
          <w:szCs w:val="24"/>
        </w:rPr>
        <w:t xml:space="preserve">  Princeton</w:t>
      </w:r>
      <w:r>
        <w:rPr>
          <w:rFonts w:cstheme="minorHAnsi"/>
          <w:sz w:val="24"/>
          <w:szCs w:val="24"/>
        </w:rPr>
        <w:t>.</w:t>
      </w:r>
    </w:p>
    <w:p w14:paraId="0E08E9E1" w14:textId="77777777" w:rsidR="005547CE" w:rsidRDefault="005547CE" w:rsidP="00442993">
      <w:pPr>
        <w:spacing w:after="0" w:line="240" w:lineRule="auto"/>
        <w:rPr>
          <w:rFonts w:cstheme="minorHAnsi"/>
          <w:sz w:val="24"/>
          <w:szCs w:val="24"/>
        </w:rPr>
      </w:pPr>
    </w:p>
    <w:p w14:paraId="07012293" w14:textId="31A669CC" w:rsidR="006468B2" w:rsidRDefault="009F1172" w:rsidP="00442993">
      <w:pPr>
        <w:spacing w:after="0" w:line="240" w:lineRule="auto"/>
        <w:rPr>
          <w:rFonts w:cstheme="minorHAnsi"/>
          <w:sz w:val="24"/>
          <w:szCs w:val="24"/>
        </w:rPr>
      </w:pPr>
      <w:r w:rsidRPr="004D5C0A">
        <w:rPr>
          <w:rFonts w:cstheme="minorHAnsi"/>
          <w:sz w:val="24"/>
          <w:szCs w:val="24"/>
        </w:rPr>
        <w:t xml:space="preserve">Foley, J. (1991)  </w:t>
      </w:r>
      <w:r w:rsidRPr="004D5C0A">
        <w:rPr>
          <w:rFonts w:cstheme="minorHAnsi"/>
          <w:i/>
          <w:iCs/>
          <w:sz w:val="24"/>
          <w:szCs w:val="24"/>
        </w:rPr>
        <w:t>Immanent Art: From structure to meaning in Traditional Oral Epic.</w:t>
      </w:r>
      <w:r w:rsidRPr="004D5C0A">
        <w:rPr>
          <w:rFonts w:cstheme="minorHAnsi"/>
          <w:sz w:val="24"/>
          <w:szCs w:val="24"/>
        </w:rPr>
        <w:t xml:space="preserve">  Indiana University Press, Bloomington.</w:t>
      </w:r>
    </w:p>
    <w:p w14:paraId="51981FF7" w14:textId="77777777" w:rsidR="007D6674" w:rsidRDefault="007D6674" w:rsidP="007D6674">
      <w:pPr>
        <w:spacing w:after="0"/>
        <w:rPr>
          <w:rFonts w:ascii="Calibri" w:hAnsi="Calibri" w:cs="Calibri"/>
          <w:sz w:val="24"/>
          <w:szCs w:val="24"/>
        </w:rPr>
      </w:pPr>
    </w:p>
    <w:p w14:paraId="540F3A45" w14:textId="77777777" w:rsidR="007D6674" w:rsidRDefault="009F1172" w:rsidP="007D6674">
      <w:pPr>
        <w:spacing w:after="0"/>
        <w:rPr>
          <w:rFonts w:ascii="Calibri" w:hAnsi="Calibri" w:cs="Calibri"/>
          <w:sz w:val="24"/>
          <w:szCs w:val="24"/>
        </w:rPr>
      </w:pPr>
      <w:r>
        <w:rPr>
          <w:rFonts w:ascii="Calibri" w:hAnsi="Calibri" w:cs="Calibri"/>
          <w:sz w:val="24"/>
          <w:szCs w:val="24"/>
        </w:rPr>
        <w:t>Knox, P. (2009</w:t>
      </w:r>
      <w:r w:rsidRPr="008477E1">
        <w:rPr>
          <w:rFonts w:ascii="Calibri" w:hAnsi="Calibri" w:cs="Calibri"/>
          <w:i/>
          <w:iCs/>
          <w:sz w:val="24"/>
          <w:szCs w:val="24"/>
        </w:rPr>
        <w:t>)  A Companion to Ovid</w:t>
      </w:r>
      <w:r>
        <w:rPr>
          <w:rFonts w:ascii="Calibri" w:hAnsi="Calibri" w:cs="Calibri"/>
          <w:sz w:val="24"/>
          <w:szCs w:val="24"/>
        </w:rPr>
        <w:t xml:space="preserve">.  Wiley Blackwell Publishing, </w:t>
      </w:r>
      <w:r>
        <w:rPr>
          <w:rFonts w:ascii="Calibri" w:hAnsi="Calibri" w:cs="Calibri"/>
          <w:sz w:val="24"/>
          <w:szCs w:val="24"/>
        </w:rPr>
        <w:t>Chichester UK, Malden MA.</w:t>
      </w:r>
    </w:p>
    <w:p w14:paraId="673B465A" w14:textId="77777777" w:rsidR="00442993" w:rsidRDefault="00442993" w:rsidP="00442993">
      <w:pPr>
        <w:spacing w:after="0" w:line="240" w:lineRule="auto"/>
        <w:rPr>
          <w:rFonts w:cstheme="minorHAnsi"/>
          <w:sz w:val="24"/>
          <w:szCs w:val="24"/>
        </w:rPr>
      </w:pPr>
    </w:p>
    <w:p w14:paraId="6806CA01" w14:textId="77777777" w:rsidR="005547CE" w:rsidRPr="00941636" w:rsidRDefault="009F1172" w:rsidP="00442993">
      <w:pPr>
        <w:spacing w:after="0" w:line="240" w:lineRule="auto"/>
        <w:rPr>
          <w:sz w:val="24"/>
          <w:szCs w:val="24"/>
        </w:rPr>
      </w:pPr>
      <w:r w:rsidRPr="00442993">
        <w:rPr>
          <w:rFonts w:cstheme="minorHAnsi"/>
          <w:sz w:val="24"/>
          <w:szCs w:val="24"/>
        </w:rPr>
        <w:t>Lord</w:t>
      </w:r>
      <w:r w:rsidR="00442993" w:rsidRPr="00442993">
        <w:rPr>
          <w:rFonts w:cstheme="minorHAnsi"/>
          <w:sz w:val="24"/>
          <w:szCs w:val="24"/>
        </w:rPr>
        <w:t xml:space="preserve">, </w:t>
      </w:r>
      <w:r w:rsidRPr="00442993">
        <w:rPr>
          <w:rFonts w:cstheme="minorHAnsi"/>
          <w:sz w:val="24"/>
          <w:szCs w:val="24"/>
        </w:rPr>
        <w:t>A.B</w:t>
      </w:r>
      <w:r w:rsidR="00442993" w:rsidRPr="00442993">
        <w:rPr>
          <w:rFonts w:cstheme="minorHAnsi"/>
          <w:sz w:val="24"/>
          <w:szCs w:val="24"/>
        </w:rPr>
        <w:t>. (1960)</w:t>
      </w:r>
      <w:r w:rsidRPr="00442993">
        <w:rPr>
          <w:rFonts w:cstheme="minorHAnsi"/>
          <w:sz w:val="24"/>
          <w:szCs w:val="24"/>
        </w:rPr>
        <w:t xml:space="preserve">  </w:t>
      </w:r>
      <w:r w:rsidRPr="00442993">
        <w:rPr>
          <w:rFonts w:cstheme="minorHAnsi"/>
          <w:i/>
          <w:iCs/>
          <w:sz w:val="24"/>
          <w:szCs w:val="24"/>
        </w:rPr>
        <w:t>The Singer of Tales</w:t>
      </w:r>
      <w:r w:rsidR="00442993">
        <w:rPr>
          <w:rFonts w:cstheme="minorHAnsi"/>
          <w:i/>
          <w:iCs/>
          <w:sz w:val="24"/>
          <w:szCs w:val="24"/>
        </w:rPr>
        <w:t>.</w:t>
      </w:r>
      <w:r w:rsidR="00442993">
        <w:rPr>
          <w:rFonts w:cstheme="minorHAnsi"/>
          <w:sz w:val="24"/>
          <w:szCs w:val="24"/>
        </w:rPr>
        <w:t xml:space="preserve">  Harvard University Press, Cambridge.  Available at</w:t>
      </w:r>
      <w:r w:rsidR="00442993" w:rsidRPr="00941636">
        <w:rPr>
          <w:rFonts w:cstheme="minorHAnsi"/>
          <w:sz w:val="24"/>
          <w:szCs w:val="24"/>
        </w:rPr>
        <w:t xml:space="preserve">: </w:t>
      </w:r>
      <w:hyperlink r:id="rId12" w:history="1">
        <w:r w:rsidR="00442993" w:rsidRPr="00941636">
          <w:rPr>
            <w:rStyle w:val="Hyperlink"/>
            <w:sz w:val="24"/>
            <w:szCs w:val="24"/>
          </w:rPr>
          <w:t>https://archive.org/details/singeroftales00lord</w:t>
        </w:r>
      </w:hyperlink>
      <w:r w:rsidR="00442993" w:rsidRPr="00941636">
        <w:rPr>
          <w:sz w:val="24"/>
          <w:szCs w:val="24"/>
        </w:rPr>
        <w:t xml:space="preserve">.  (Accessed </w:t>
      </w:r>
      <w:r w:rsidR="005C4D45">
        <w:rPr>
          <w:sz w:val="24"/>
          <w:szCs w:val="24"/>
        </w:rPr>
        <w:t>9</w:t>
      </w:r>
      <w:r w:rsidR="00442993" w:rsidRPr="00941636">
        <w:rPr>
          <w:sz w:val="24"/>
          <w:szCs w:val="24"/>
        </w:rPr>
        <w:t xml:space="preserve"> Oct. 2022).</w:t>
      </w:r>
    </w:p>
    <w:p w14:paraId="67806400" w14:textId="77777777" w:rsidR="00442993" w:rsidRPr="00442993" w:rsidRDefault="00442993" w:rsidP="00442993">
      <w:pPr>
        <w:spacing w:after="0" w:line="240" w:lineRule="auto"/>
        <w:rPr>
          <w:rFonts w:cstheme="minorHAnsi"/>
          <w:sz w:val="24"/>
          <w:szCs w:val="24"/>
        </w:rPr>
      </w:pPr>
    </w:p>
    <w:p w14:paraId="43893375" w14:textId="77777777" w:rsidR="006468B2" w:rsidRPr="008477E1" w:rsidRDefault="009F1172" w:rsidP="00442993">
      <w:pPr>
        <w:spacing w:after="0" w:line="240" w:lineRule="auto"/>
        <w:rPr>
          <w:rFonts w:eastAsia="Times New Roman" w:cstheme="minorHAnsi"/>
          <w:sz w:val="24"/>
          <w:szCs w:val="24"/>
          <w:lang w:eastAsia="en-GB"/>
        </w:rPr>
      </w:pPr>
      <w:r w:rsidRPr="008477E1">
        <w:rPr>
          <w:rFonts w:eastAsia="Times New Roman" w:cstheme="minorHAnsi"/>
          <w:sz w:val="24"/>
          <w:szCs w:val="24"/>
          <w:lang w:eastAsia="en-GB"/>
        </w:rPr>
        <w:t xml:space="preserve">Lord, M. </w:t>
      </w:r>
      <w:r w:rsidRPr="00442993">
        <w:rPr>
          <w:rFonts w:eastAsia="Times New Roman" w:cstheme="minorHAnsi"/>
          <w:sz w:val="24"/>
          <w:szCs w:val="24"/>
          <w:lang w:eastAsia="en-GB"/>
        </w:rPr>
        <w:t>(1967</w:t>
      </w:r>
      <w:r>
        <w:rPr>
          <w:rFonts w:eastAsia="Times New Roman" w:cstheme="minorHAnsi"/>
          <w:sz w:val="24"/>
          <w:szCs w:val="24"/>
          <w:lang w:eastAsia="en-GB"/>
        </w:rPr>
        <w:t xml:space="preserve">)  </w:t>
      </w:r>
      <w:r w:rsidRPr="008477E1">
        <w:rPr>
          <w:rFonts w:eastAsia="Times New Roman" w:cstheme="minorHAnsi"/>
          <w:sz w:val="24"/>
          <w:szCs w:val="24"/>
          <w:lang w:eastAsia="en-GB"/>
        </w:rPr>
        <w:t>Withdrawal and Return: An Epic Story Pattern in the Homeric Hymn to Demeter and in the Homeric Poems.</w:t>
      </w:r>
      <w:r>
        <w:rPr>
          <w:rFonts w:eastAsia="Times New Roman" w:cstheme="minorHAnsi"/>
          <w:sz w:val="24"/>
          <w:szCs w:val="24"/>
          <w:lang w:eastAsia="en-GB"/>
        </w:rPr>
        <w:t xml:space="preserve">  In </w:t>
      </w:r>
      <w:r w:rsidRPr="00EB6B89">
        <w:rPr>
          <w:rFonts w:cstheme="minorHAnsi"/>
          <w:i/>
          <w:iCs/>
          <w:sz w:val="24"/>
          <w:szCs w:val="24"/>
        </w:rPr>
        <w:t>The Homeric Hymn to Demeter: translation, commentary and interpretative essays</w:t>
      </w:r>
      <w:r w:rsidR="005547CE">
        <w:rPr>
          <w:rFonts w:cstheme="minorHAnsi"/>
          <w:i/>
          <w:iCs/>
          <w:sz w:val="24"/>
          <w:szCs w:val="24"/>
        </w:rPr>
        <w:t xml:space="preserve">, </w:t>
      </w:r>
      <w:r w:rsidR="005547CE" w:rsidRPr="005547CE">
        <w:rPr>
          <w:rFonts w:cstheme="minorHAnsi"/>
          <w:sz w:val="24"/>
          <w:szCs w:val="24"/>
        </w:rPr>
        <w:t>pp 180-89</w:t>
      </w:r>
      <w:r w:rsidRPr="005547CE">
        <w:rPr>
          <w:rFonts w:eastAsia="Times New Roman" w:cstheme="minorHAnsi"/>
          <w:sz w:val="24"/>
          <w:szCs w:val="24"/>
          <w:lang w:eastAsia="en-GB"/>
        </w:rPr>
        <w:t>.</w:t>
      </w:r>
      <w:r w:rsidRPr="008477E1">
        <w:rPr>
          <w:rFonts w:eastAsia="Times New Roman" w:cstheme="minorHAnsi"/>
          <w:sz w:val="24"/>
          <w:szCs w:val="24"/>
          <w:lang w:eastAsia="en-GB"/>
        </w:rPr>
        <w:t xml:space="preserve"> </w:t>
      </w:r>
      <w:r>
        <w:rPr>
          <w:rFonts w:eastAsia="Times New Roman" w:cstheme="minorHAnsi"/>
          <w:sz w:val="24"/>
          <w:szCs w:val="24"/>
          <w:lang w:eastAsia="en-GB"/>
        </w:rPr>
        <w:t xml:space="preserve"> </w:t>
      </w:r>
      <w:r w:rsidR="005547CE">
        <w:rPr>
          <w:rFonts w:eastAsia="Times New Roman" w:cstheme="minorHAnsi"/>
          <w:sz w:val="24"/>
          <w:szCs w:val="24"/>
          <w:lang w:eastAsia="en-GB"/>
        </w:rPr>
        <w:t>Princeton.</w:t>
      </w:r>
    </w:p>
    <w:p w14:paraId="0187F915" w14:textId="77777777" w:rsidR="006468B2" w:rsidRPr="008477E1" w:rsidRDefault="006468B2" w:rsidP="00442993">
      <w:pPr>
        <w:spacing w:after="0" w:line="240" w:lineRule="auto"/>
        <w:rPr>
          <w:rFonts w:cstheme="minorHAnsi"/>
          <w:sz w:val="24"/>
          <w:szCs w:val="24"/>
        </w:rPr>
      </w:pPr>
    </w:p>
    <w:p w14:paraId="586B4B7B" w14:textId="77777777" w:rsidR="006468B2" w:rsidRDefault="009F1172" w:rsidP="00442993">
      <w:pPr>
        <w:spacing w:after="0" w:line="240" w:lineRule="auto"/>
        <w:rPr>
          <w:sz w:val="24"/>
          <w:szCs w:val="24"/>
        </w:rPr>
      </w:pPr>
      <w:r w:rsidRPr="00565297">
        <w:rPr>
          <w:sz w:val="24"/>
          <w:szCs w:val="24"/>
        </w:rPr>
        <w:t xml:space="preserve">Murgatroyd, P. (2005) </w:t>
      </w:r>
      <w:r w:rsidRPr="00565297">
        <w:rPr>
          <w:i/>
          <w:iCs/>
          <w:sz w:val="24"/>
          <w:szCs w:val="24"/>
        </w:rPr>
        <w:t xml:space="preserve">Mythical and </w:t>
      </w:r>
      <w:r>
        <w:rPr>
          <w:i/>
          <w:iCs/>
          <w:sz w:val="24"/>
          <w:szCs w:val="24"/>
        </w:rPr>
        <w:t>L</w:t>
      </w:r>
      <w:r w:rsidRPr="00565297">
        <w:rPr>
          <w:i/>
          <w:iCs/>
          <w:sz w:val="24"/>
          <w:szCs w:val="24"/>
        </w:rPr>
        <w:t xml:space="preserve">egendary </w:t>
      </w:r>
      <w:r>
        <w:rPr>
          <w:i/>
          <w:iCs/>
          <w:sz w:val="24"/>
          <w:szCs w:val="24"/>
        </w:rPr>
        <w:t>N</w:t>
      </w:r>
      <w:r w:rsidRPr="00565297">
        <w:rPr>
          <w:i/>
          <w:iCs/>
          <w:sz w:val="24"/>
          <w:szCs w:val="24"/>
        </w:rPr>
        <w:t>arrative in Ovid’s Fasti</w:t>
      </w:r>
      <w:r w:rsidRPr="00565297">
        <w:rPr>
          <w:sz w:val="24"/>
          <w:szCs w:val="24"/>
        </w:rPr>
        <w:t>. Brill</w:t>
      </w:r>
      <w:r>
        <w:rPr>
          <w:sz w:val="24"/>
          <w:szCs w:val="24"/>
        </w:rPr>
        <w:t>, Leiden, Boston.</w:t>
      </w:r>
    </w:p>
    <w:p w14:paraId="273B9803" w14:textId="77777777" w:rsidR="006468B2" w:rsidRDefault="006468B2" w:rsidP="00442993">
      <w:pPr>
        <w:spacing w:after="0" w:line="240" w:lineRule="auto"/>
        <w:rPr>
          <w:sz w:val="24"/>
          <w:szCs w:val="24"/>
        </w:rPr>
      </w:pPr>
    </w:p>
    <w:p w14:paraId="3443605D" w14:textId="77777777" w:rsidR="006468B2" w:rsidRPr="006468B2" w:rsidRDefault="009F1172" w:rsidP="00442993">
      <w:pPr>
        <w:spacing w:after="0" w:line="240" w:lineRule="auto"/>
        <w:rPr>
          <w:rFonts w:eastAsia="Times New Roman" w:cstheme="minorHAnsi"/>
          <w:sz w:val="24"/>
          <w:szCs w:val="24"/>
          <w:lang w:eastAsia="en-GB"/>
        </w:rPr>
      </w:pPr>
      <w:r w:rsidRPr="00E43257">
        <w:rPr>
          <w:rFonts w:eastAsia="Times New Roman" w:cstheme="minorHAnsi"/>
          <w:sz w:val="24"/>
          <w:szCs w:val="24"/>
          <w:lang w:eastAsia="en-GB"/>
        </w:rPr>
        <w:t xml:space="preserve">Nickel, R. </w:t>
      </w:r>
      <w:r>
        <w:rPr>
          <w:rFonts w:eastAsia="Times New Roman" w:cstheme="minorHAnsi"/>
          <w:sz w:val="24"/>
          <w:szCs w:val="24"/>
          <w:lang w:eastAsia="en-GB"/>
        </w:rPr>
        <w:t xml:space="preserve"> (2003) </w:t>
      </w:r>
      <w:r w:rsidRPr="00E43257">
        <w:rPr>
          <w:rFonts w:eastAsia="Times New Roman" w:cstheme="minorHAnsi"/>
          <w:sz w:val="24"/>
          <w:szCs w:val="24"/>
          <w:lang w:eastAsia="en-GB"/>
        </w:rPr>
        <w:t xml:space="preserve">The Wrath of Demeter: Story Pattern in the ‘Hymn to Demeter.’” </w:t>
      </w:r>
      <w:r w:rsidRPr="00E43257">
        <w:rPr>
          <w:rFonts w:eastAsia="Times New Roman" w:cstheme="minorHAnsi"/>
          <w:i/>
          <w:iCs/>
          <w:sz w:val="24"/>
          <w:szCs w:val="24"/>
          <w:lang w:val="it-IT" w:eastAsia="en-GB"/>
        </w:rPr>
        <w:t>Quaderni Urbinati Di Cultura Classica</w:t>
      </w:r>
      <w:r w:rsidRPr="00E43257">
        <w:rPr>
          <w:rFonts w:eastAsia="Times New Roman" w:cstheme="minorHAnsi"/>
          <w:sz w:val="24"/>
          <w:szCs w:val="24"/>
          <w:lang w:val="it-IT" w:eastAsia="en-GB"/>
        </w:rPr>
        <w:t xml:space="preserve">, vol. 73, no. 1, 2003, pp. 59–82. </w:t>
      </w:r>
      <w:r>
        <w:rPr>
          <w:rFonts w:eastAsia="Times New Roman" w:cstheme="minorHAnsi"/>
          <w:sz w:val="24"/>
          <w:szCs w:val="24"/>
          <w:lang w:val="it-IT" w:eastAsia="en-GB"/>
        </w:rPr>
        <w:t xml:space="preserve"> Available at: </w:t>
      </w:r>
      <w:r w:rsidRPr="00E43257">
        <w:rPr>
          <w:rFonts w:eastAsia="Times New Roman" w:cstheme="minorHAnsi"/>
          <w:i/>
          <w:iCs/>
          <w:sz w:val="24"/>
          <w:szCs w:val="24"/>
          <w:lang w:val="it-IT" w:eastAsia="en-GB"/>
        </w:rPr>
        <w:t>JSTOR</w:t>
      </w:r>
      <w:r w:rsidRPr="00E43257">
        <w:rPr>
          <w:rFonts w:eastAsia="Times New Roman" w:cstheme="minorHAnsi"/>
          <w:sz w:val="24"/>
          <w:szCs w:val="24"/>
          <w:lang w:val="it-IT" w:eastAsia="en-GB"/>
        </w:rPr>
        <w:t xml:space="preserve">, https://doi.org/10.2307/20546756. </w:t>
      </w:r>
      <w:r w:rsidRPr="001F35A7">
        <w:rPr>
          <w:rFonts w:eastAsia="Times New Roman" w:cstheme="minorHAnsi"/>
          <w:sz w:val="24"/>
          <w:szCs w:val="24"/>
          <w:lang w:val="it-IT" w:eastAsia="en-GB"/>
        </w:rPr>
        <w:t xml:space="preserve"> </w:t>
      </w:r>
      <w:r w:rsidRPr="006468B2">
        <w:rPr>
          <w:rFonts w:eastAsia="Times New Roman" w:cstheme="minorHAnsi"/>
          <w:sz w:val="24"/>
          <w:szCs w:val="24"/>
          <w:lang w:eastAsia="en-GB"/>
        </w:rPr>
        <w:t xml:space="preserve">(Accessed </w:t>
      </w:r>
      <w:r w:rsidR="005C4D45">
        <w:rPr>
          <w:rFonts w:eastAsia="Times New Roman" w:cstheme="minorHAnsi"/>
          <w:sz w:val="24"/>
          <w:szCs w:val="24"/>
          <w:lang w:eastAsia="en-GB"/>
        </w:rPr>
        <w:t>6 Oct</w:t>
      </w:r>
      <w:r w:rsidRPr="006468B2">
        <w:rPr>
          <w:rFonts w:eastAsia="Times New Roman" w:cstheme="minorHAnsi"/>
          <w:sz w:val="24"/>
          <w:szCs w:val="24"/>
          <w:lang w:eastAsia="en-GB"/>
        </w:rPr>
        <w:t>. 2022).</w:t>
      </w:r>
    </w:p>
    <w:p w14:paraId="17D4AF3F" w14:textId="77777777" w:rsidR="006468B2" w:rsidRDefault="006468B2" w:rsidP="00442993">
      <w:pPr>
        <w:spacing w:after="0" w:line="240" w:lineRule="auto"/>
        <w:rPr>
          <w:rFonts w:ascii="Calibri" w:hAnsi="Calibri" w:cs="Calibri"/>
          <w:sz w:val="24"/>
          <w:szCs w:val="24"/>
        </w:rPr>
      </w:pPr>
    </w:p>
    <w:p w14:paraId="5553C719" w14:textId="77777777" w:rsidR="006468B2" w:rsidRPr="003B27F7" w:rsidRDefault="009F1172" w:rsidP="00442993">
      <w:pPr>
        <w:spacing w:after="0" w:line="240" w:lineRule="auto"/>
        <w:rPr>
          <w:sz w:val="24"/>
          <w:szCs w:val="24"/>
        </w:rPr>
      </w:pPr>
      <w:r w:rsidRPr="006612E9">
        <w:rPr>
          <w:rFonts w:cstheme="minorHAnsi"/>
          <w:sz w:val="24"/>
          <w:szCs w:val="24"/>
        </w:rPr>
        <w:t xml:space="preserve">Ovid. </w:t>
      </w:r>
      <w:r w:rsidRPr="006612E9">
        <w:rPr>
          <w:rFonts w:cstheme="minorHAnsi"/>
          <w:i/>
          <w:iCs/>
          <w:sz w:val="24"/>
          <w:szCs w:val="24"/>
        </w:rPr>
        <w:t xml:space="preserve"> Ovid's Fasti</w:t>
      </w:r>
      <w:r w:rsidRPr="006612E9">
        <w:rPr>
          <w:rFonts w:cstheme="minorHAnsi"/>
          <w:sz w:val="24"/>
          <w:szCs w:val="24"/>
        </w:rPr>
        <w:t>.  Translated by Frazer, J. G. 1933.  London; Cambridge, MA.  William Heinemann Ltd.; Harvard University Press.  Availab</w:t>
      </w:r>
      <w:r w:rsidRPr="006612E9">
        <w:rPr>
          <w:rFonts w:cstheme="minorHAnsi"/>
          <w:sz w:val="24"/>
          <w:szCs w:val="24"/>
        </w:rPr>
        <w:t xml:space="preserve">le at:  </w:t>
      </w:r>
      <w:hyperlink r:id="rId13" w:history="1">
        <w:r w:rsidRPr="00EA4167">
          <w:rPr>
            <w:rStyle w:val="Hyperlink"/>
            <w:sz w:val="24"/>
            <w:szCs w:val="24"/>
          </w:rPr>
          <w:t>https://www.perseus.tufts.edu/hopper/text?doc=Perseus%3Atext%3A2008.01.0547%3Abook%3D4</w:t>
        </w:r>
      </w:hyperlink>
      <w:r w:rsidRPr="00CE206F">
        <w:rPr>
          <w:rStyle w:val="Hyperlink"/>
          <w:sz w:val="24"/>
          <w:szCs w:val="24"/>
        </w:rPr>
        <w:t xml:space="preserve">.  </w:t>
      </w:r>
      <w:r w:rsidRPr="003B27F7">
        <w:rPr>
          <w:rStyle w:val="Hyperlink"/>
          <w:color w:val="auto"/>
          <w:sz w:val="24"/>
          <w:szCs w:val="24"/>
          <w:u w:val="none"/>
        </w:rPr>
        <w:t xml:space="preserve">(Accessed </w:t>
      </w:r>
      <w:r w:rsidR="005C4D45">
        <w:rPr>
          <w:rStyle w:val="Hyperlink"/>
          <w:color w:val="auto"/>
          <w:sz w:val="24"/>
          <w:szCs w:val="24"/>
          <w:u w:val="none"/>
        </w:rPr>
        <w:t>5</w:t>
      </w:r>
      <w:r w:rsidRPr="003B27F7">
        <w:rPr>
          <w:rStyle w:val="Hyperlink"/>
          <w:color w:val="auto"/>
          <w:sz w:val="24"/>
          <w:szCs w:val="24"/>
          <w:u w:val="none"/>
        </w:rPr>
        <w:t xml:space="preserve"> Oct. 2022).</w:t>
      </w:r>
    </w:p>
    <w:p w14:paraId="0A09E14D" w14:textId="77777777" w:rsidR="005547CE" w:rsidRPr="003B27F7" w:rsidRDefault="005547CE" w:rsidP="00442993">
      <w:pPr>
        <w:spacing w:after="0" w:line="240" w:lineRule="auto"/>
        <w:rPr>
          <w:rFonts w:cstheme="minorHAnsi"/>
          <w:sz w:val="24"/>
          <w:szCs w:val="24"/>
        </w:rPr>
      </w:pPr>
    </w:p>
    <w:p w14:paraId="38150AEF" w14:textId="77777777" w:rsidR="005547CE" w:rsidRDefault="009F1172" w:rsidP="00442993">
      <w:pPr>
        <w:spacing w:after="0" w:line="240" w:lineRule="auto"/>
        <w:rPr>
          <w:sz w:val="24"/>
          <w:szCs w:val="24"/>
        </w:rPr>
      </w:pPr>
      <w:r w:rsidRPr="006612E9">
        <w:rPr>
          <w:rFonts w:cstheme="minorHAnsi"/>
          <w:color w:val="000000"/>
          <w:sz w:val="24"/>
          <w:szCs w:val="24"/>
        </w:rPr>
        <w:t xml:space="preserve">Ovid. </w:t>
      </w:r>
      <w:r w:rsidRPr="006612E9">
        <w:rPr>
          <w:rFonts w:cstheme="minorHAnsi"/>
          <w:i/>
          <w:iCs/>
          <w:color w:val="000000"/>
          <w:sz w:val="24"/>
          <w:szCs w:val="24"/>
        </w:rPr>
        <w:t xml:space="preserve"> Metamorphoses</w:t>
      </w:r>
      <w:r w:rsidRPr="006612E9">
        <w:rPr>
          <w:rFonts w:cstheme="minorHAnsi"/>
          <w:color w:val="000000"/>
          <w:sz w:val="24"/>
          <w:szCs w:val="24"/>
        </w:rPr>
        <w:t xml:space="preserve">.  Translated by More, B. 1922.  Boston.  Cornhill Publishing Co. Available at: </w:t>
      </w:r>
      <w:hyperlink r:id="rId14" w:history="1">
        <w:r w:rsidRPr="006612E9">
          <w:rPr>
            <w:rStyle w:val="Hyperlink"/>
            <w:sz w:val="24"/>
            <w:szCs w:val="24"/>
          </w:rPr>
          <w:t>https://www.perseus.tufts.edu/hopper/text?doc=</w:t>
        </w:r>
        <w:r w:rsidRPr="006612E9">
          <w:rPr>
            <w:rStyle w:val="Hyperlink"/>
            <w:sz w:val="24"/>
            <w:szCs w:val="24"/>
          </w:rPr>
          <w:t>Perseus%3Atext%3A1999.02.0028%3Abook%3D5%3Acard%3D341</w:t>
        </w:r>
      </w:hyperlink>
      <w:r w:rsidRPr="006612E9">
        <w:rPr>
          <w:sz w:val="24"/>
          <w:szCs w:val="24"/>
        </w:rPr>
        <w:t xml:space="preserve"> (Accessed</w:t>
      </w:r>
      <w:r>
        <w:rPr>
          <w:sz w:val="24"/>
          <w:szCs w:val="24"/>
        </w:rPr>
        <w:t xml:space="preserve"> </w:t>
      </w:r>
      <w:r w:rsidR="005C4D45">
        <w:rPr>
          <w:sz w:val="24"/>
          <w:szCs w:val="24"/>
        </w:rPr>
        <w:t>5</w:t>
      </w:r>
      <w:r>
        <w:rPr>
          <w:sz w:val="24"/>
          <w:szCs w:val="24"/>
        </w:rPr>
        <w:t xml:space="preserve"> Oct</w:t>
      </w:r>
      <w:r w:rsidRPr="006612E9">
        <w:rPr>
          <w:sz w:val="24"/>
          <w:szCs w:val="24"/>
        </w:rPr>
        <w:t>. 2022).</w:t>
      </w:r>
    </w:p>
    <w:p w14:paraId="1A514300" w14:textId="77777777" w:rsidR="006468B2" w:rsidRDefault="006468B2" w:rsidP="00442993">
      <w:pPr>
        <w:spacing w:after="0" w:line="240" w:lineRule="auto"/>
        <w:rPr>
          <w:rFonts w:cstheme="minorHAnsi"/>
          <w:sz w:val="24"/>
          <w:szCs w:val="24"/>
        </w:rPr>
      </w:pPr>
    </w:p>
    <w:p w14:paraId="3A84181D" w14:textId="77777777" w:rsidR="002810B8" w:rsidRPr="00E430FF" w:rsidRDefault="009F1172" w:rsidP="002810B8">
      <w:pPr>
        <w:spacing w:after="0" w:line="240" w:lineRule="auto"/>
        <w:rPr>
          <w:rFonts w:cstheme="minorHAnsi"/>
          <w:sz w:val="24"/>
          <w:szCs w:val="24"/>
        </w:rPr>
      </w:pPr>
      <w:r w:rsidRPr="00E430FF">
        <w:rPr>
          <w:sz w:val="24"/>
          <w:szCs w:val="24"/>
        </w:rPr>
        <w:t xml:space="preserve">Ovid.  </w:t>
      </w:r>
      <w:r w:rsidRPr="00E430FF">
        <w:rPr>
          <w:i/>
          <w:iCs/>
          <w:sz w:val="24"/>
          <w:szCs w:val="24"/>
        </w:rPr>
        <w:t>Metamorphoses V.</w:t>
      </w:r>
      <w:r w:rsidRPr="00E430FF">
        <w:rPr>
          <w:sz w:val="24"/>
          <w:szCs w:val="24"/>
        </w:rPr>
        <w:t xml:space="preserve">  Available at:  </w:t>
      </w:r>
      <w:hyperlink r:id="rId15" w:history="1">
        <w:r w:rsidRPr="00E430FF">
          <w:rPr>
            <w:rStyle w:val="Hyperlink"/>
            <w:sz w:val="24"/>
            <w:szCs w:val="24"/>
          </w:rPr>
          <w:t>https://www.thelatinlibrary.com/ovid/ovid.met5.shtml</w:t>
        </w:r>
      </w:hyperlink>
      <w:r w:rsidRPr="00E430FF">
        <w:rPr>
          <w:sz w:val="24"/>
          <w:szCs w:val="24"/>
        </w:rPr>
        <w:t xml:space="preserve">.  (Accessed </w:t>
      </w:r>
      <w:r>
        <w:rPr>
          <w:sz w:val="24"/>
          <w:szCs w:val="24"/>
        </w:rPr>
        <w:t xml:space="preserve">11 </w:t>
      </w:r>
      <w:r>
        <w:rPr>
          <w:sz w:val="24"/>
          <w:szCs w:val="24"/>
        </w:rPr>
        <w:t>Oct</w:t>
      </w:r>
      <w:r w:rsidRPr="00E430FF">
        <w:rPr>
          <w:sz w:val="24"/>
          <w:szCs w:val="24"/>
        </w:rPr>
        <w:t>. 2022).</w:t>
      </w:r>
    </w:p>
    <w:p w14:paraId="789DE474" w14:textId="77777777" w:rsidR="005547CE" w:rsidRPr="004F4BA2" w:rsidRDefault="005547CE" w:rsidP="002810B8">
      <w:pPr>
        <w:spacing w:after="0" w:line="240" w:lineRule="auto"/>
        <w:rPr>
          <w:rFonts w:eastAsia="Times New Roman" w:cstheme="minorHAnsi"/>
          <w:sz w:val="24"/>
          <w:szCs w:val="24"/>
          <w:lang w:eastAsia="en-GB"/>
        </w:rPr>
      </w:pPr>
    </w:p>
    <w:p w14:paraId="5C5220C3" w14:textId="77777777" w:rsidR="005547CE" w:rsidRPr="004F4BA2" w:rsidRDefault="009F1172" w:rsidP="002810B8">
      <w:pPr>
        <w:spacing w:after="0" w:line="240" w:lineRule="auto"/>
        <w:rPr>
          <w:rFonts w:eastAsia="Times New Roman" w:cstheme="minorHAnsi"/>
          <w:sz w:val="24"/>
          <w:szCs w:val="24"/>
          <w:lang w:eastAsia="en-GB"/>
        </w:rPr>
      </w:pPr>
      <w:r w:rsidRPr="004F4BA2">
        <w:rPr>
          <w:rFonts w:eastAsia="Times New Roman" w:cstheme="minorHAnsi"/>
          <w:sz w:val="24"/>
          <w:szCs w:val="24"/>
          <w:lang w:eastAsia="en-GB"/>
        </w:rPr>
        <w:t xml:space="preserve">Parker, R. </w:t>
      </w:r>
      <w:r>
        <w:rPr>
          <w:rFonts w:eastAsia="Times New Roman" w:cstheme="minorHAnsi"/>
          <w:sz w:val="24"/>
          <w:szCs w:val="24"/>
          <w:lang w:eastAsia="en-GB"/>
        </w:rPr>
        <w:t xml:space="preserve">(1991)  </w:t>
      </w:r>
      <w:r w:rsidRPr="004F4BA2">
        <w:rPr>
          <w:rFonts w:eastAsia="Times New Roman" w:cstheme="minorHAnsi"/>
          <w:sz w:val="24"/>
          <w:szCs w:val="24"/>
          <w:lang w:eastAsia="en-GB"/>
        </w:rPr>
        <w:t xml:space="preserve">The ‘Hymn to Demeter’ and the ‘Homeric Hymns. </w:t>
      </w:r>
      <w:r w:rsidRPr="004F4BA2">
        <w:rPr>
          <w:rFonts w:eastAsia="Times New Roman" w:cstheme="minorHAnsi"/>
          <w:i/>
          <w:iCs/>
          <w:sz w:val="24"/>
          <w:szCs w:val="24"/>
          <w:lang w:eastAsia="en-GB"/>
        </w:rPr>
        <w:t xml:space="preserve"> Greece &amp; Rome</w:t>
      </w:r>
      <w:r w:rsidRPr="004F4BA2">
        <w:rPr>
          <w:rFonts w:eastAsia="Times New Roman" w:cstheme="minorHAnsi"/>
          <w:sz w:val="24"/>
          <w:szCs w:val="24"/>
          <w:lang w:eastAsia="en-GB"/>
        </w:rPr>
        <w:t xml:space="preserve">, vol. 38, no. 1, pp. 1–17.  </w:t>
      </w:r>
      <w:r>
        <w:rPr>
          <w:rFonts w:eastAsia="Times New Roman" w:cstheme="minorHAnsi"/>
          <w:sz w:val="24"/>
          <w:szCs w:val="24"/>
          <w:lang w:eastAsia="en-GB"/>
        </w:rPr>
        <w:t xml:space="preserve">Available at: </w:t>
      </w:r>
      <w:r>
        <w:rPr>
          <w:rFonts w:eastAsia="Times New Roman" w:cstheme="minorHAnsi"/>
          <w:i/>
          <w:iCs/>
          <w:sz w:val="24"/>
          <w:szCs w:val="24"/>
          <w:lang w:eastAsia="en-GB"/>
        </w:rPr>
        <w:t xml:space="preserve"> </w:t>
      </w:r>
      <w:r w:rsidRPr="004F4BA2">
        <w:rPr>
          <w:rFonts w:eastAsia="Times New Roman" w:cstheme="minorHAnsi"/>
          <w:sz w:val="24"/>
          <w:szCs w:val="24"/>
          <w:lang w:eastAsia="en-GB"/>
        </w:rPr>
        <w:t xml:space="preserve">http://www.jstor.org/stable/643104. </w:t>
      </w:r>
      <w:r>
        <w:rPr>
          <w:rFonts w:eastAsia="Times New Roman" w:cstheme="minorHAnsi"/>
          <w:sz w:val="24"/>
          <w:szCs w:val="24"/>
          <w:lang w:eastAsia="en-GB"/>
        </w:rPr>
        <w:t xml:space="preserve"> (</w:t>
      </w:r>
      <w:r w:rsidRPr="004F4BA2">
        <w:rPr>
          <w:rFonts w:eastAsia="Times New Roman" w:cstheme="minorHAnsi"/>
          <w:sz w:val="24"/>
          <w:szCs w:val="24"/>
          <w:lang w:eastAsia="en-GB"/>
        </w:rPr>
        <w:t xml:space="preserve">Accessed </w:t>
      </w:r>
      <w:r>
        <w:rPr>
          <w:rFonts w:eastAsia="Times New Roman" w:cstheme="minorHAnsi"/>
          <w:sz w:val="24"/>
          <w:szCs w:val="24"/>
          <w:lang w:eastAsia="en-GB"/>
        </w:rPr>
        <w:t>9</w:t>
      </w:r>
      <w:r w:rsidRPr="004F4BA2">
        <w:rPr>
          <w:rFonts w:eastAsia="Times New Roman" w:cstheme="minorHAnsi"/>
          <w:sz w:val="24"/>
          <w:szCs w:val="24"/>
          <w:lang w:eastAsia="en-GB"/>
        </w:rPr>
        <w:t xml:space="preserve"> Oct. 2022</w:t>
      </w:r>
      <w:r>
        <w:rPr>
          <w:rFonts w:eastAsia="Times New Roman" w:cstheme="minorHAnsi"/>
          <w:sz w:val="24"/>
          <w:szCs w:val="24"/>
          <w:lang w:eastAsia="en-GB"/>
        </w:rPr>
        <w:t>)</w:t>
      </w:r>
      <w:r w:rsidRPr="004F4BA2">
        <w:rPr>
          <w:rFonts w:eastAsia="Times New Roman" w:cstheme="minorHAnsi"/>
          <w:sz w:val="24"/>
          <w:szCs w:val="24"/>
          <w:lang w:eastAsia="en-GB"/>
        </w:rPr>
        <w:t>.</w:t>
      </w:r>
    </w:p>
    <w:p w14:paraId="55BFC4F6" w14:textId="77777777" w:rsidR="005547CE" w:rsidRPr="004F4BA2" w:rsidRDefault="005547CE" w:rsidP="00442993">
      <w:pPr>
        <w:spacing w:after="0" w:line="240" w:lineRule="auto"/>
        <w:rPr>
          <w:rFonts w:cstheme="minorHAnsi"/>
          <w:sz w:val="24"/>
          <w:szCs w:val="24"/>
        </w:rPr>
      </w:pPr>
    </w:p>
    <w:p w14:paraId="38F3EF54" w14:textId="77777777" w:rsidR="005547CE" w:rsidRDefault="009F1172" w:rsidP="00442993">
      <w:pPr>
        <w:spacing w:after="0" w:line="240" w:lineRule="auto"/>
        <w:rPr>
          <w:rFonts w:cstheme="minorHAnsi"/>
          <w:sz w:val="24"/>
          <w:szCs w:val="24"/>
        </w:rPr>
      </w:pPr>
      <w:r w:rsidRPr="00EB6B89">
        <w:rPr>
          <w:rFonts w:cstheme="minorHAnsi"/>
          <w:sz w:val="24"/>
          <w:szCs w:val="24"/>
        </w:rPr>
        <w:t xml:space="preserve">Richardson, N. (1974) </w:t>
      </w:r>
      <w:r w:rsidRPr="00EB6B89">
        <w:rPr>
          <w:rFonts w:cstheme="minorHAnsi"/>
          <w:i/>
          <w:iCs/>
          <w:sz w:val="24"/>
          <w:szCs w:val="24"/>
        </w:rPr>
        <w:t>The Homeric Hymn to Demeter</w:t>
      </w:r>
      <w:r w:rsidRPr="00EB6B89">
        <w:rPr>
          <w:rFonts w:cstheme="minorHAnsi"/>
          <w:sz w:val="24"/>
          <w:szCs w:val="24"/>
        </w:rPr>
        <w:t xml:space="preserve">.  </w:t>
      </w:r>
      <w:r w:rsidRPr="00EB6B89">
        <w:rPr>
          <w:rFonts w:cstheme="minorHAnsi"/>
          <w:sz w:val="24"/>
          <w:szCs w:val="24"/>
        </w:rPr>
        <w:t>Claredon Press, Oxford.</w:t>
      </w:r>
    </w:p>
    <w:p w14:paraId="01313AD1" w14:textId="77777777" w:rsidR="005547CE" w:rsidRPr="00565297" w:rsidRDefault="005547CE" w:rsidP="00442993">
      <w:pPr>
        <w:spacing w:after="0" w:line="240" w:lineRule="auto"/>
        <w:rPr>
          <w:sz w:val="24"/>
          <w:szCs w:val="24"/>
        </w:rPr>
      </w:pPr>
    </w:p>
    <w:p w14:paraId="58AA1A79" w14:textId="77777777" w:rsidR="005547CE" w:rsidRPr="00565297" w:rsidRDefault="009F1172" w:rsidP="00442993">
      <w:pPr>
        <w:spacing w:after="0" w:line="240" w:lineRule="auto"/>
        <w:rPr>
          <w:sz w:val="24"/>
          <w:szCs w:val="24"/>
        </w:rPr>
      </w:pPr>
      <w:r w:rsidRPr="00F22F32">
        <w:rPr>
          <w:sz w:val="24"/>
          <w:szCs w:val="24"/>
        </w:rPr>
        <w:t xml:space="preserve">Rosati, G. (2002)  </w:t>
      </w:r>
      <w:r w:rsidRPr="00F22F32">
        <w:rPr>
          <w:i/>
          <w:iCs/>
          <w:sz w:val="24"/>
          <w:szCs w:val="24"/>
        </w:rPr>
        <w:t xml:space="preserve">Narrative Techniques and Structures in Metamorphoses. </w:t>
      </w:r>
      <w:r w:rsidRPr="00F22F32">
        <w:rPr>
          <w:sz w:val="24"/>
          <w:szCs w:val="24"/>
        </w:rPr>
        <w:t xml:space="preserve"> In Brill's Companion to Ovid, 271-304. Brill, Leiden, Boston.</w:t>
      </w:r>
    </w:p>
    <w:p w14:paraId="10C676CB" w14:textId="77777777" w:rsidR="005547CE" w:rsidRDefault="005547CE" w:rsidP="00442993">
      <w:pPr>
        <w:spacing w:after="0" w:line="240" w:lineRule="auto"/>
        <w:rPr>
          <w:rFonts w:cstheme="minorHAnsi"/>
          <w:sz w:val="24"/>
          <w:szCs w:val="24"/>
        </w:rPr>
      </w:pPr>
    </w:p>
    <w:p w14:paraId="28C7F8BA" w14:textId="77777777" w:rsidR="005547CE" w:rsidRDefault="009F1172" w:rsidP="00442993">
      <w:pPr>
        <w:spacing w:after="0" w:line="240" w:lineRule="auto"/>
        <w:rPr>
          <w:sz w:val="24"/>
          <w:szCs w:val="24"/>
        </w:rPr>
      </w:pPr>
      <w:r w:rsidRPr="006653AA">
        <w:rPr>
          <w:sz w:val="24"/>
          <w:szCs w:val="24"/>
        </w:rPr>
        <w:t xml:space="preserve">Solodow, J. (2014) </w:t>
      </w:r>
      <w:r w:rsidRPr="006653AA">
        <w:rPr>
          <w:i/>
          <w:iCs/>
          <w:sz w:val="24"/>
          <w:szCs w:val="24"/>
        </w:rPr>
        <w:t>The World of Ovid’s Metamorphoses</w:t>
      </w:r>
      <w:r w:rsidRPr="006653AA">
        <w:rPr>
          <w:sz w:val="24"/>
          <w:szCs w:val="24"/>
        </w:rPr>
        <w:t xml:space="preserve">.  The University of North Carolina Press.  Available at: </w:t>
      </w:r>
      <w:hyperlink r:id="rId16" w:history="1">
        <w:r w:rsidRPr="00082C56">
          <w:rPr>
            <w:rStyle w:val="Hyperlink"/>
            <w:sz w:val="24"/>
            <w:szCs w:val="24"/>
          </w:rPr>
          <w:t>https://www.perlego.com/book/538199/the-world-of-ovids-metamorphoses-pdf</w:t>
        </w:r>
      </w:hyperlink>
      <w:r>
        <w:rPr>
          <w:sz w:val="24"/>
          <w:szCs w:val="24"/>
        </w:rPr>
        <w:t xml:space="preserve">. </w:t>
      </w:r>
      <w:r w:rsidRPr="006653AA">
        <w:rPr>
          <w:sz w:val="24"/>
          <w:szCs w:val="24"/>
        </w:rPr>
        <w:t xml:space="preserve"> (Accessed: 1</w:t>
      </w:r>
      <w:r>
        <w:rPr>
          <w:sz w:val="24"/>
          <w:szCs w:val="24"/>
        </w:rPr>
        <w:t>0</w:t>
      </w:r>
      <w:r w:rsidRPr="006653AA">
        <w:rPr>
          <w:sz w:val="24"/>
          <w:szCs w:val="24"/>
        </w:rPr>
        <w:t xml:space="preserve"> Oct</w:t>
      </w:r>
      <w:r w:rsidR="005C4D45">
        <w:rPr>
          <w:sz w:val="24"/>
          <w:szCs w:val="24"/>
        </w:rPr>
        <w:t>.</w:t>
      </w:r>
      <w:r w:rsidRPr="006653AA">
        <w:rPr>
          <w:sz w:val="24"/>
          <w:szCs w:val="24"/>
        </w:rPr>
        <w:t xml:space="preserve"> 2022).</w:t>
      </w:r>
    </w:p>
    <w:p w14:paraId="1A9DCD24" w14:textId="77777777" w:rsidR="005547CE" w:rsidRPr="00565297" w:rsidRDefault="005547CE" w:rsidP="00442993">
      <w:pPr>
        <w:spacing w:after="0" w:line="240" w:lineRule="auto"/>
        <w:rPr>
          <w:sz w:val="24"/>
          <w:szCs w:val="24"/>
        </w:rPr>
      </w:pPr>
    </w:p>
    <w:p w14:paraId="32D3A230" w14:textId="77777777" w:rsidR="005547CE" w:rsidRPr="00D57143" w:rsidRDefault="009F1172" w:rsidP="00442993">
      <w:pPr>
        <w:spacing w:after="0" w:line="240" w:lineRule="auto"/>
        <w:rPr>
          <w:rFonts w:eastAsia="Times New Roman" w:cstheme="minorHAnsi"/>
          <w:sz w:val="24"/>
          <w:szCs w:val="24"/>
          <w:lang w:eastAsia="en-GB"/>
        </w:rPr>
      </w:pPr>
      <w:r w:rsidRPr="00D57143">
        <w:rPr>
          <w:rFonts w:eastAsia="Times New Roman" w:cstheme="minorHAnsi"/>
          <w:sz w:val="24"/>
          <w:szCs w:val="24"/>
          <w:lang w:eastAsia="en-GB"/>
        </w:rPr>
        <w:t>Tissol,</w:t>
      </w:r>
      <w:r w:rsidRPr="00D57143">
        <w:rPr>
          <w:rFonts w:eastAsia="Times New Roman" w:cstheme="minorHAnsi"/>
          <w:sz w:val="24"/>
          <w:szCs w:val="24"/>
          <w:lang w:eastAsia="en-GB"/>
        </w:rPr>
        <w:t xml:space="preserve"> G. </w:t>
      </w:r>
      <w:r>
        <w:rPr>
          <w:rFonts w:eastAsia="Times New Roman" w:cstheme="minorHAnsi"/>
          <w:sz w:val="24"/>
          <w:szCs w:val="24"/>
          <w:lang w:eastAsia="en-GB"/>
        </w:rPr>
        <w:t xml:space="preserve">(1997) </w:t>
      </w:r>
      <w:r w:rsidRPr="00D57143">
        <w:rPr>
          <w:rFonts w:eastAsia="Times New Roman" w:cstheme="minorHAnsi"/>
          <w:i/>
          <w:iCs/>
          <w:sz w:val="24"/>
          <w:szCs w:val="24"/>
          <w:lang w:eastAsia="en-GB"/>
        </w:rPr>
        <w:t>The Face of Nature: Wit, Narrative, and Cosmic Origins in Ovid’s “Metamorphoses.”</w:t>
      </w:r>
      <w:r w:rsidRPr="00D57143">
        <w:rPr>
          <w:rFonts w:eastAsia="Times New Roman" w:cstheme="minorHAnsi"/>
          <w:sz w:val="24"/>
          <w:szCs w:val="24"/>
          <w:lang w:eastAsia="en-GB"/>
        </w:rPr>
        <w:t xml:space="preserve"> Princeton University Press. </w:t>
      </w:r>
      <w:r>
        <w:rPr>
          <w:rFonts w:eastAsia="Times New Roman" w:cstheme="minorHAnsi"/>
          <w:sz w:val="24"/>
          <w:szCs w:val="24"/>
          <w:lang w:eastAsia="en-GB"/>
        </w:rPr>
        <w:t xml:space="preserve"> Available at: </w:t>
      </w:r>
      <w:hyperlink r:id="rId17" w:history="1">
        <w:r w:rsidRPr="005D0C90">
          <w:rPr>
            <w:rStyle w:val="Hyperlink"/>
            <w:rFonts w:eastAsia="Times New Roman" w:cstheme="minorHAnsi"/>
            <w:sz w:val="24"/>
            <w:szCs w:val="24"/>
            <w:lang w:eastAsia="en-GB"/>
          </w:rPr>
          <w:t>http://www.jstor.org/stable/j.ctt7ztjgt</w:t>
        </w:r>
      </w:hyperlink>
      <w:r w:rsidRPr="00D57143">
        <w:rPr>
          <w:rFonts w:eastAsia="Times New Roman" w:cstheme="minorHAnsi"/>
          <w:sz w:val="24"/>
          <w:szCs w:val="24"/>
          <w:lang w:eastAsia="en-GB"/>
        </w:rPr>
        <w:t>.</w:t>
      </w:r>
      <w:r>
        <w:rPr>
          <w:rFonts w:eastAsia="Times New Roman" w:cstheme="minorHAnsi"/>
          <w:sz w:val="24"/>
          <w:szCs w:val="24"/>
          <w:lang w:eastAsia="en-GB"/>
        </w:rPr>
        <w:t xml:space="preserve"> </w:t>
      </w:r>
      <w:r w:rsidRPr="00D57143">
        <w:rPr>
          <w:rFonts w:eastAsia="Times New Roman" w:cstheme="minorHAnsi"/>
          <w:sz w:val="24"/>
          <w:szCs w:val="24"/>
          <w:lang w:eastAsia="en-GB"/>
        </w:rPr>
        <w:t xml:space="preserve"> </w:t>
      </w:r>
      <w:r>
        <w:rPr>
          <w:rFonts w:eastAsia="Times New Roman" w:cstheme="minorHAnsi"/>
          <w:sz w:val="24"/>
          <w:szCs w:val="24"/>
          <w:lang w:eastAsia="en-GB"/>
        </w:rPr>
        <w:t>(</w:t>
      </w:r>
      <w:r w:rsidRPr="00D57143">
        <w:rPr>
          <w:rFonts w:eastAsia="Times New Roman" w:cstheme="minorHAnsi"/>
          <w:sz w:val="24"/>
          <w:szCs w:val="24"/>
          <w:lang w:eastAsia="en-GB"/>
        </w:rPr>
        <w:t>Accessed 9 Oct. 2022</w:t>
      </w:r>
      <w:r>
        <w:rPr>
          <w:rFonts w:eastAsia="Times New Roman" w:cstheme="minorHAnsi"/>
          <w:sz w:val="24"/>
          <w:szCs w:val="24"/>
          <w:lang w:eastAsia="en-GB"/>
        </w:rPr>
        <w:t>)</w:t>
      </w:r>
      <w:r w:rsidRPr="00D57143">
        <w:rPr>
          <w:rFonts w:eastAsia="Times New Roman" w:cstheme="minorHAnsi"/>
          <w:sz w:val="24"/>
          <w:szCs w:val="24"/>
          <w:lang w:eastAsia="en-GB"/>
        </w:rPr>
        <w:t>.</w:t>
      </w:r>
    </w:p>
    <w:p w14:paraId="7C01E98B" w14:textId="77777777" w:rsidR="005547CE" w:rsidRPr="00D57143" w:rsidRDefault="005547CE" w:rsidP="00442993">
      <w:pPr>
        <w:spacing w:after="0" w:line="240" w:lineRule="auto"/>
        <w:rPr>
          <w:rFonts w:cstheme="minorHAnsi"/>
          <w:sz w:val="24"/>
          <w:szCs w:val="24"/>
        </w:rPr>
      </w:pPr>
    </w:p>
    <w:p w14:paraId="70697F17" w14:textId="77777777" w:rsidR="005547CE" w:rsidRPr="00226440" w:rsidRDefault="009F1172" w:rsidP="00442993">
      <w:pPr>
        <w:spacing w:after="0" w:line="240" w:lineRule="auto"/>
        <w:rPr>
          <w:rFonts w:eastAsia="Times New Roman" w:cstheme="minorHAnsi"/>
          <w:sz w:val="24"/>
          <w:szCs w:val="24"/>
          <w:lang w:eastAsia="en-GB"/>
        </w:rPr>
      </w:pPr>
      <w:r w:rsidRPr="00226440">
        <w:rPr>
          <w:rFonts w:eastAsia="Times New Roman" w:cstheme="minorHAnsi"/>
          <w:sz w:val="24"/>
          <w:szCs w:val="24"/>
          <w:lang w:eastAsia="en-GB"/>
        </w:rPr>
        <w:t xml:space="preserve">Wheeler, S. </w:t>
      </w:r>
      <w:r w:rsidRPr="008477E1">
        <w:rPr>
          <w:rFonts w:eastAsia="Times New Roman" w:cstheme="minorHAnsi"/>
          <w:sz w:val="24"/>
          <w:szCs w:val="24"/>
          <w:lang w:eastAsia="en-GB"/>
        </w:rPr>
        <w:t xml:space="preserve"> (2009)  </w:t>
      </w:r>
      <w:r w:rsidRPr="00226440">
        <w:rPr>
          <w:rFonts w:eastAsia="Times New Roman" w:cstheme="minorHAnsi"/>
          <w:sz w:val="24"/>
          <w:szCs w:val="24"/>
          <w:lang w:eastAsia="en-GB"/>
        </w:rPr>
        <w:t>Into New Bodies: The Incipit of Ovid’s Metamorphoses as Intertext in Imperial Latin Literature.</w:t>
      </w:r>
      <w:r>
        <w:rPr>
          <w:rFonts w:eastAsia="Times New Roman" w:cstheme="minorHAnsi"/>
          <w:sz w:val="24"/>
          <w:szCs w:val="24"/>
          <w:lang w:eastAsia="en-GB"/>
        </w:rPr>
        <w:t xml:space="preserve"> </w:t>
      </w:r>
      <w:r w:rsidRPr="00226440">
        <w:rPr>
          <w:rFonts w:eastAsia="Times New Roman" w:cstheme="minorHAnsi"/>
          <w:sz w:val="24"/>
          <w:szCs w:val="24"/>
          <w:lang w:eastAsia="en-GB"/>
        </w:rPr>
        <w:t xml:space="preserve"> </w:t>
      </w:r>
      <w:r w:rsidRPr="00226440">
        <w:rPr>
          <w:rFonts w:eastAsia="Times New Roman" w:cstheme="minorHAnsi"/>
          <w:i/>
          <w:iCs/>
          <w:sz w:val="24"/>
          <w:szCs w:val="24"/>
          <w:lang w:val="it-IT" w:eastAsia="en-GB"/>
        </w:rPr>
        <w:t>Materiali e Discussioni per l’analisi Dei Testi Classici</w:t>
      </w:r>
      <w:r w:rsidRPr="00226440">
        <w:rPr>
          <w:rFonts w:eastAsia="Times New Roman" w:cstheme="minorHAnsi"/>
          <w:sz w:val="24"/>
          <w:szCs w:val="24"/>
          <w:lang w:val="it-IT" w:eastAsia="en-GB"/>
        </w:rPr>
        <w:t xml:space="preserve">, no. 61, 2009, pp. 147–60. </w:t>
      </w:r>
      <w:r>
        <w:rPr>
          <w:rFonts w:eastAsia="Times New Roman" w:cstheme="minorHAnsi"/>
          <w:sz w:val="24"/>
          <w:szCs w:val="24"/>
          <w:lang w:val="it-IT" w:eastAsia="en-GB"/>
        </w:rPr>
        <w:t xml:space="preserve"> </w:t>
      </w:r>
      <w:r w:rsidRPr="00F87863">
        <w:rPr>
          <w:rFonts w:eastAsia="Times New Roman" w:cstheme="minorHAnsi"/>
          <w:sz w:val="24"/>
          <w:szCs w:val="24"/>
          <w:lang w:eastAsia="en-GB"/>
        </w:rPr>
        <w:t xml:space="preserve">Available at: </w:t>
      </w:r>
      <w:r w:rsidRPr="00226440">
        <w:rPr>
          <w:rFonts w:eastAsia="Times New Roman" w:cstheme="minorHAnsi"/>
          <w:sz w:val="24"/>
          <w:szCs w:val="24"/>
          <w:lang w:eastAsia="en-GB"/>
        </w:rPr>
        <w:t xml:space="preserve">http://www.jstor.org/stable/40236466. </w:t>
      </w:r>
      <w:r w:rsidRPr="00F87863">
        <w:rPr>
          <w:rFonts w:eastAsia="Times New Roman" w:cstheme="minorHAnsi"/>
          <w:sz w:val="24"/>
          <w:szCs w:val="24"/>
          <w:lang w:eastAsia="en-GB"/>
        </w:rPr>
        <w:t>(</w:t>
      </w:r>
      <w:r w:rsidRPr="00226440">
        <w:rPr>
          <w:rFonts w:eastAsia="Times New Roman" w:cstheme="minorHAnsi"/>
          <w:sz w:val="24"/>
          <w:szCs w:val="24"/>
          <w:lang w:eastAsia="en-GB"/>
        </w:rPr>
        <w:t>Accessed 12 Oct. 2022</w:t>
      </w:r>
      <w:r w:rsidRPr="00F87863">
        <w:rPr>
          <w:rFonts w:eastAsia="Times New Roman" w:cstheme="minorHAnsi"/>
          <w:sz w:val="24"/>
          <w:szCs w:val="24"/>
          <w:lang w:eastAsia="en-GB"/>
        </w:rPr>
        <w:t>)</w:t>
      </w:r>
      <w:r w:rsidRPr="00226440">
        <w:rPr>
          <w:rFonts w:eastAsia="Times New Roman" w:cstheme="minorHAnsi"/>
          <w:sz w:val="24"/>
          <w:szCs w:val="24"/>
          <w:lang w:eastAsia="en-GB"/>
        </w:rPr>
        <w:t>.</w:t>
      </w:r>
    </w:p>
    <w:p w14:paraId="1A3D9077" w14:textId="77777777" w:rsidR="005547CE" w:rsidRPr="00F87863" w:rsidRDefault="005547CE" w:rsidP="00442993">
      <w:pPr>
        <w:spacing w:after="0" w:line="240" w:lineRule="auto"/>
        <w:rPr>
          <w:rFonts w:ascii="Calibri" w:hAnsi="Calibri" w:cs="Calibri"/>
          <w:sz w:val="24"/>
          <w:szCs w:val="24"/>
        </w:rPr>
      </w:pPr>
    </w:p>
    <w:p w14:paraId="46DBE97D" w14:textId="77777777" w:rsidR="005547CE" w:rsidRDefault="009F1172" w:rsidP="00442993">
      <w:pPr>
        <w:spacing w:after="0" w:line="240" w:lineRule="auto"/>
        <w:rPr>
          <w:rFonts w:ascii="Calibri" w:hAnsi="Calibri" w:cs="Calibri"/>
          <w:sz w:val="24"/>
          <w:szCs w:val="24"/>
        </w:rPr>
      </w:pPr>
      <w:r w:rsidRPr="00565297">
        <w:rPr>
          <w:rFonts w:ascii="Calibri" w:hAnsi="Calibri" w:cs="Calibri"/>
          <w:sz w:val="24"/>
          <w:szCs w:val="24"/>
        </w:rPr>
        <w:t xml:space="preserve">Zissos, A. (1999)  The </w:t>
      </w:r>
      <w:r>
        <w:rPr>
          <w:rFonts w:ascii="Calibri" w:hAnsi="Calibri" w:cs="Calibri"/>
          <w:sz w:val="24"/>
          <w:szCs w:val="24"/>
        </w:rPr>
        <w:t>R</w:t>
      </w:r>
      <w:r w:rsidRPr="00565297">
        <w:rPr>
          <w:rFonts w:ascii="Calibri" w:hAnsi="Calibri" w:cs="Calibri"/>
          <w:sz w:val="24"/>
          <w:szCs w:val="24"/>
        </w:rPr>
        <w:t xml:space="preserve">ape of Proserpina in Ovid ‘Met.’ 5.341-661: Internal </w:t>
      </w:r>
      <w:r>
        <w:rPr>
          <w:rFonts w:ascii="Calibri" w:hAnsi="Calibri" w:cs="Calibri"/>
          <w:sz w:val="24"/>
          <w:szCs w:val="24"/>
        </w:rPr>
        <w:t>A</w:t>
      </w:r>
      <w:r w:rsidRPr="00565297">
        <w:rPr>
          <w:rFonts w:ascii="Calibri" w:hAnsi="Calibri" w:cs="Calibri"/>
          <w:sz w:val="24"/>
          <w:szCs w:val="24"/>
        </w:rPr>
        <w:t xml:space="preserve">udience and </w:t>
      </w:r>
      <w:r>
        <w:rPr>
          <w:rFonts w:ascii="Calibri" w:hAnsi="Calibri" w:cs="Calibri"/>
          <w:sz w:val="24"/>
          <w:szCs w:val="24"/>
        </w:rPr>
        <w:t>N</w:t>
      </w:r>
      <w:r w:rsidRPr="00565297">
        <w:rPr>
          <w:rFonts w:ascii="Calibri" w:hAnsi="Calibri" w:cs="Calibri"/>
          <w:sz w:val="24"/>
          <w:szCs w:val="24"/>
        </w:rPr>
        <w:t xml:space="preserve">arrative </w:t>
      </w:r>
      <w:r>
        <w:rPr>
          <w:rFonts w:ascii="Calibri" w:hAnsi="Calibri" w:cs="Calibri"/>
          <w:sz w:val="24"/>
          <w:szCs w:val="24"/>
        </w:rPr>
        <w:t>D</w:t>
      </w:r>
      <w:r w:rsidRPr="00565297">
        <w:rPr>
          <w:rFonts w:ascii="Calibri" w:hAnsi="Calibri" w:cs="Calibri"/>
          <w:sz w:val="24"/>
          <w:szCs w:val="24"/>
        </w:rPr>
        <w:t xml:space="preserve">istortion. </w:t>
      </w:r>
      <w:r w:rsidRPr="00565297">
        <w:rPr>
          <w:rFonts w:ascii="Calibri" w:hAnsi="Calibri" w:cs="Calibri"/>
          <w:i/>
          <w:iCs/>
          <w:sz w:val="24"/>
          <w:szCs w:val="24"/>
        </w:rPr>
        <w:t xml:space="preserve"> Phoenix</w:t>
      </w:r>
      <w:r w:rsidRPr="00565297">
        <w:rPr>
          <w:rFonts w:ascii="Calibri" w:hAnsi="Calibri" w:cs="Calibri"/>
          <w:sz w:val="24"/>
          <w:szCs w:val="24"/>
        </w:rPr>
        <w:t xml:space="preserve">, </w:t>
      </w:r>
      <w:r w:rsidRPr="00565297">
        <w:rPr>
          <w:rFonts w:ascii="Calibri" w:hAnsi="Calibri" w:cs="Calibri"/>
          <w:i/>
          <w:iCs/>
          <w:sz w:val="24"/>
          <w:szCs w:val="24"/>
        </w:rPr>
        <w:t>vol. 53, no. 1/2, 1999, pp. 97–113</w:t>
      </w:r>
      <w:r w:rsidRPr="00565297">
        <w:rPr>
          <w:rFonts w:ascii="Calibri" w:hAnsi="Calibri" w:cs="Calibri"/>
          <w:sz w:val="24"/>
          <w:szCs w:val="24"/>
        </w:rPr>
        <w:t xml:space="preserve">.  Available at: </w:t>
      </w:r>
      <w:r w:rsidRPr="00565297">
        <w:rPr>
          <w:rFonts w:ascii="Calibri" w:hAnsi="Calibri" w:cs="Calibri"/>
          <w:i/>
          <w:iCs/>
          <w:sz w:val="24"/>
          <w:szCs w:val="24"/>
        </w:rPr>
        <w:t>JSTOR</w:t>
      </w:r>
      <w:r w:rsidRPr="00565297">
        <w:rPr>
          <w:rFonts w:ascii="Calibri" w:hAnsi="Calibri" w:cs="Calibri"/>
          <w:sz w:val="24"/>
          <w:szCs w:val="24"/>
        </w:rPr>
        <w:t xml:space="preserve">, </w:t>
      </w:r>
      <w:hyperlink r:id="rId18" w:history="1">
        <w:r w:rsidRPr="00082C56">
          <w:rPr>
            <w:rStyle w:val="Hyperlink"/>
            <w:rFonts w:ascii="Calibri" w:hAnsi="Calibri" w:cs="Calibri"/>
            <w:sz w:val="24"/>
            <w:szCs w:val="24"/>
          </w:rPr>
          <w:t>https://doi.org/10.2307/1088125</w:t>
        </w:r>
      </w:hyperlink>
      <w:r>
        <w:rPr>
          <w:rFonts w:ascii="Calibri" w:hAnsi="Calibri" w:cs="Calibri"/>
          <w:sz w:val="24"/>
          <w:szCs w:val="24"/>
        </w:rPr>
        <w:t xml:space="preserve"> (Accessed 9 Oct. 2022).</w:t>
      </w:r>
    </w:p>
    <w:p w14:paraId="7D994C74" w14:textId="77777777" w:rsidR="005547CE" w:rsidRDefault="005547CE" w:rsidP="00442993">
      <w:pPr>
        <w:spacing w:after="0" w:line="240" w:lineRule="auto"/>
        <w:rPr>
          <w:rFonts w:ascii="Calibri" w:hAnsi="Calibri" w:cs="Calibri"/>
          <w:sz w:val="24"/>
          <w:szCs w:val="24"/>
        </w:rPr>
      </w:pPr>
    </w:p>
    <w:p w14:paraId="7D16FB7E" w14:textId="77777777" w:rsidR="00920D1D" w:rsidRPr="00BE28D4" w:rsidRDefault="00920D1D" w:rsidP="00442993">
      <w:pPr>
        <w:spacing w:line="240" w:lineRule="auto"/>
        <w:rPr>
          <w:rFonts w:cstheme="minorHAnsi"/>
          <w:sz w:val="24"/>
          <w:szCs w:val="24"/>
        </w:rPr>
      </w:pPr>
    </w:p>
    <w:sectPr w:rsidR="00920D1D" w:rsidRPr="00BE28D4" w:rsidSect="00FF32D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0DB1E" w14:textId="77777777" w:rsidR="00000000" w:rsidRDefault="009F1172">
      <w:pPr>
        <w:spacing w:after="0" w:line="240" w:lineRule="auto"/>
      </w:pPr>
      <w:r>
        <w:separator/>
      </w:r>
    </w:p>
  </w:endnote>
  <w:endnote w:type="continuationSeparator" w:id="0">
    <w:p w14:paraId="5DBDFB8B" w14:textId="77777777" w:rsidR="00000000" w:rsidRDefault="009F1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B0CA1" w14:textId="77777777" w:rsidR="00BE28D4" w:rsidRDefault="009F1172" w:rsidP="00BE28D4">
      <w:pPr>
        <w:spacing w:after="0" w:line="240" w:lineRule="auto"/>
      </w:pPr>
      <w:r>
        <w:separator/>
      </w:r>
    </w:p>
  </w:footnote>
  <w:footnote w:type="continuationSeparator" w:id="0">
    <w:p w14:paraId="71D25573" w14:textId="77777777" w:rsidR="00BE28D4" w:rsidRDefault="009F1172" w:rsidP="00BE28D4">
      <w:pPr>
        <w:spacing w:after="0" w:line="240" w:lineRule="auto"/>
      </w:pPr>
      <w:r>
        <w:continuationSeparator/>
      </w:r>
    </w:p>
  </w:footnote>
  <w:footnote w:id="1">
    <w:p w14:paraId="2700EE4D" w14:textId="77777777" w:rsidR="00BE28D4" w:rsidRPr="001F35A7" w:rsidRDefault="009F1172">
      <w:pPr>
        <w:pStyle w:val="FootnoteText"/>
        <w:rPr>
          <w:lang w:val="da-DK"/>
        </w:rPr>
      </w:pPr>
      <w:r w:rsidRPr="005547CE">
        <w:rPr>
          <w:rStyle w:val="FootnoteReference"/>
        </w:rPr>
        <w:footnoteRef/>
      </w:r>
      <w:r w:rsidRPr="001F35A7">
        <w:rPr>
          <w:lang w:val="da-DK"/>
        </w:rPr>
        <w:t xml:space="preserve"> </w:t>
      </w:r>
      <w:r w:rsidR="005547CE" w:rsidRPr="001F35A7">
        <w:rPr>
          <w:lang w:val="da-DK"/>
        </w:rPr>
        <w:t>Ov.  Met.  1.1</w:t>
      </w:r>
    </w:p>
  </w:footnote>
  <w:footnote w:id="2">
    <w:p w14:paraId="69C2C607" w14:textId="77777777" w:rsidR="00BE28D4" w:rsidRPr="001F35A7" w:rsidRDefault="009F1172">
      <w:pPr>
        <w:pStyle w:val="FootnoteText"/>
        <w:rPr>
          <w:lang w:val="da-DK"/>
        </w:rPr>
      </w:pPr>
      <w:r>
        <w:rPr>
          <w:rStyle w:val="FootnoteReference"/>
        </w:rPr>
        <w:footnoteRef/>
      </w:r>
      <w:r w:rsidRPr="001F35A7">
        <w:rPr>
          <w:lang w:val="da-DK"/>
        </w:rPr>
        <w:t xml:space="preserve"> Foley, 199</w:t>
      </w:r>
      <w:r w:rsidR="00000D44" w:rsidRPr="001F35A7">
        <w:rPr>
          <w:lang w:val="da-DK"/>
        </w:rPr>
        <w:t>4</w:t>
      </w:r>
      <w:r w:rsidRPr="001F35A7">
        <w:rPr>
          <w:lang w:val="da-DK"/>
        </w:rPr>
        <w:t>, p. 28.</w:t>
      </w:r>
    </w:p>
  </w:footnote>
  <w:footnote w:id="3">
    <w:p w14:paraId="7033F460" w14:textId="77777777" w:rsidR="00BE28D4" w:rsidRPr="001F35A7" w:rsidRDefault="009F1172">
      <w:pPr>
        <w:pStyle w:val="FootnoteText"/>
        <w:rPr>
          <w:lang w:val="da-DK"/>
        </w:rPr>
      </w:pPr>
      <w:r>
        <w:rPr>
          <w:rStyle w:val="FootnoteReference"/>
        </w:rPr>
        <w:footnoteRef/>
      </w:r>
      <w:r w:rsidRPr="001F35A7">
        <w:rPr>
          <w:lang w:val="da-DK"/>
        </w:rPr>
        <w:t xml:space="preserve"> Ibid, p. 28.</w:t>
      </w:r>
    </w:p>
  </w:footnote>
  <w:footnote w:id="4">
    <w:p w14:paraId="1432EE0E" w14:textId="77777777" w:rsidR="00BE28D4" w:rsidRDefault="009F1172">
      <w:pPr>
        <w:pStyle w:val="FootnoteText"/>
      </w:pPr>
      <w:r>
        <w:rPr>
          <w:rStyle w:val="FootnoteReference"/>
        </w:rPr>
        <w:footnoteRef/>
      </w:r>
      <w:r>
        <w:t xml:space="preserve"> Ibid, p. 29.</w:t>
      </w:r>
    </w:p>
  </w:footnote>
  <w:footnote w:id="5">
    <w:p w14:paraId="00E34736" w14:textId="77777777" w:rsidR="00BE28D4" w:rsidRDefault="009F1172">
      <w:pPr>
        <w:pStyle w:val="FootnoteText"/>
      </w:pPr>
      <w:r>
        <w:rPr>
          <w:rStyle w:val="FootnoteReference"/>
        </w:rPr>
        <w:footnoteRef/>
      </w:r>
      <w:r>
        <w:t xml:space="preserve"> Richardson, </w:t>
      </w:r>
      <w:r w:rsidR="00941636">
        <w:t xml:space="preserve">1974, </w:t>
      </w:r>
      <w:r>
        <w:t>p. 60.</w:t>
      </w:r>
    </w:p>
  </w:footnote>
  <w:footnote w:id="6">
    <w:p w14:paraId="2A2F97F8" w14:textId="77777777" w:rsidR="00902245" w:rsidRDefault="009F1172">
      <w:pPr>
        <w:pStyle w:val="FootnoteText"/>
      </w:pPr>
      <w:r>
        <w:rPr>
          <w:rStyle w:val="FootnoteReference"/>
        </w:rPr>
        <w:footnoteRef/>
      </w:r>
      <w:r>
        <w:t xml:space="preserve"> Ibid, p. 61.</w:t>
      </w:r>
    </w:p>
  </w:footnote>
  <w:footnote w:id="7">
    <w:p w14:paraId="7EE5C528" w14:textId="77777777" w:rsidR="007D6674" w:rsidRDefault="009F1172">
      <w:pPr>
        <w:pStyle w:val="FootnoteText"/>
      </w:pPr>
      <w:r>
        <w:rPr>
          <w:rStyle w:val="FootnoteReference"/>
        </w:rPr>
        <w:footnoteRef/>
      </w:r>
      <w:r>
        <w:t xml:space="preserve"> Evelyn-White, n, 9.</w:t>
      </w:r>
    </w:p>
  </w:footnote>
  <w:footnote w:id="8">
    <w:p w14:paraId="4FC9807C" w14:textId="77777777" w:rsidR="00902245" w:rsidRPr="007D6674" w:rsidRDefault="009F1172">
      <w:pPr>
        <w:pStyle w:val="FootnoteText"/>
      </w:pPr>
      <w:r>
        <w:rPr>
          <w:rStyle w:val="FootnoteReference"/>
        </w:rPr>
        <w:footnoteRef/>
      </w:r>
      <w:r w:rsidRPr="007D6674">
        <w:t xml:space="preserve"> Ibid, p. 61.</w:t>
      </w:r>
    </w:p>
  </w:footnote>
  <w:footnote w:id="9">
    <w:p w14:paraId="0052FB54" w14:textId="77777777" w:rsidR="009D652A" w:rsidRPr="001F35A7" w:rsidRDefault="009F1172">
      <w:pPr>
        <w:pStyle w:val="FootnoteText"/>
        <w:rPr>
          <w:lang w:val="de-DE"/>
        </w:rPr>
      </w:pPr>
      <w:r>
        <w:rPr>
          <w:rStyle w:val="FootnoteReference"/>
        </w:rPr>
        <w:footnoteRef/>
      </w:r>
      <w:r w:rsidRPr="001F35A7">
        <w:rPr>
          <w:lang w:val="de-DE"/>
        </w:rPr>
        <w:t xml:space="preserve"> Lord, 1960, p. 186</w:t>
      </w:r>
    </w:p>
  </w:footnote>
  <w:footnote w:id="10">
    <w:p w14:paraId="0A8076AC" w14:textId="77777777" w:rsidR="009D652A" w:rsidRPr="001F35A7" w:rsidRDefault="009F1172">
      <w:pPr>
        <w:pStyle w:val="FootnoteText"/>
        <w:rPr>
          <w:lang w:val="de-DE"/>
        </w:rPr>
      </w:pPr>
      <w:r>
        <w:rPr>
          <w:rStyle w:val="FootnoteReference"/>
        </w:rPr>
        <w:footnoteRef/>
      </w:r>
      <w:r w:rsidRPr="001F35A7">
        <w:rPr>
          <w:lang w:val="de-DE"/>
        </w:rPr>
        <w:t xml:space="preserve"> Nickel, 2003, p. 59.</w:t>
      </w:r>
    </w:p>
  </w:footnote>
  <w:footnote w:id="11">
    <w:p w14:paraId="7D555DF4" w14:textId="77777777" w:rsidR="009D652A" w:rsidRPr="001F35A7" w:rsidRDefault="009F1172">
      <w:pPr>
        <w:pStyle w:val="FootnoteText"/>
        <w:rPr>
          <w:lang w:val="de-DE"/>
        </w:rPr>
      </w:pPr>
      <w:r>
        <w:rPr>
          <w:rStyle w:val="FootnoteReference"/>
        </w:rPr>
        <w:footnoteRef/>
      </w:r>
      <w:r w:rsidRPr="001F35A7">
        <w:rPr>
          <w:lang w:val="de-DE"/>
        </w:rPr>
        <w:t xml:space="preserve"> Nickel, 2003, p. 60.</w:t>
      </w:r>
    </w:p>
  </w:footnote>
  <w:footnote w:id="12">
    <w:p w14:paraId="4F024E12" w14:textId="77777777" w:rsidR="00F603AA" w:rsidRPr="00632B02" w:rsidRDefault="009F1172">
      <w:pPr>
        <w:pStyle w:val="FootnoteText"/>
      </w:pPr>
      <w:r w:rsidRPr="00000D44">
        <w:rPr>
          <w:rStyle w:val="FootnoteReference"/>
        </w:rPr>
        <w:footnoteRef/>
      </w:r>
      <w:r w:rsidRPr="00632B02">
        <w:t xml:space="preserve"> Foley</w:t>
      </w:r>
      <w:r w:rsidR="00000D44" w:rsidRPr="00632B02">
        <w:t>,</w:t>
      </w:r>
      <w:r w:rsidRPr="00632B02">
        <w:t xml:space="preserve"> 1991, p. 46.</w:t>
      </w:r>
    </w:p>
  </w:footnote>
  <w:footnote w:id="13">
    <w:p w14:paraId="2679DD96" w14:textId="77777777" w:rsidR="00F603AA" w:rsidRPr="00632B02" w:rsidRDefault="009F1172">
      <w:pPr>
        <w:pStyle w:val="FootnoteText"/>
      </w:pPr>
      <w:r>
        <w:rPr>
          <w:rStyle w:val="FootnoteReference"/>
        </w:rPr>
        <w:footnoteRef/>
      </w:r>
      <w:r w:rsidRPr="00632B02">
        <w:t xml:space="preserve"> Nickel, 2003, p. 62.</w:t>
      </w:r>
    </w:p>
  </w:footnote>
  <w:footnote w:id="14">
    <w:p w14:paraId="2C367D30" w14:textId="77777777" w:rsidR="00F603AA" w:rsidRDefault="009F1172">
      <w:pPr>
        <w:pStyle w:val="FootnoteText"/>
      </w:pPr>
      <w:r>
        <w:rPr>
          <w:rStyle w:val="FootnoteReference"/>
        </w:rPr>
        <w:footnoteRef/>
      </w:r>
      <w:r>
        <w:t xml:space="preserve"> </w:t>
      </w:r>
      <w:r w:rsidRPr="008A6D00">
        <w:t xml:space="preserve">Clay, </w:t>
      </w:r>
      <w:r w:rsidR="00000D44" w:rsidRPr="008A6D00">
        <w:t xml:space="preserve">1982, </w:t>
      </w:r>
      <w:r w:rsidRPr="008A6D00">
        <w:t>p. 15.</w:t>
      </w:r>
    </w:p>
  </w:footnote>
  <w:footnote w:id="15">
    <w:p w14:paraId="416D6F08" w14:textId="77777777" w:rsidR="006468B2" w:rsidRDefault="009F1172">
      <w:pPr>
        <w:pStyle w:val="FootnoteText"/>
      </w:pPr>
      <w:r>
        <w:rPr>
          <w:rStyle w:val="FootnoteReference"/>
        </w:rPr>
        <w:footnoteRef/>
      </w:r>
      <w:r>
        <w:t xml:space="preserve"> Ibid, p. 15.</w:t>
      </w:r>
    </w:p>
  </w:footnote>
  <w:footnote w:id="16">
    <w:p w14:paraId="1E496285" w14:textId="77777777" w:rsidR="006468B2" w:rsidRDefault="009F1172">
      <w:pPr>
        <w:pStyle w:val="FootnoteText"/>
      </w:pPr>
      <w:r>
        <w:rPr>
          <w:rStyle w:val="FootnoteReference"/>
        </w:rPr>
        <w:footnoteRef/>
      </w:r>
      <w:r>
        <w:t xml:space="preserve"> Ibid, p. 15.</w:t>
      </w:r>
    </w:p>
  </w:footnote>
  <w:footnote w:id="17">
    <w:p w14:paraId="00554F47" w14:textId="77777777" w:rsidR="006632E2" w:rsidRDefault="009F1172">
      <w:pPr>
        <w:pStyle w:val="FootnoteText"/>
      </w:pPr>
      <w:r>
        <w:rPr>
          <w:rStyle w:val="FootnoteReference"/>
        </w:rPr>
        <w:footnoteRef/>
      </w:r>
      <w:r>
        <w:t xml:space="preserve"> Lord, 1967, p. 185.</w:t>
      </w:r>
    </w:p>
  </w:footnote>
  <w:footnote w:id="18">
    <w:p w14:paraId="63CF0ACB" w14:textId="77777777" w:rsidR="006632E2" w:rsidRDefault="009F1172">
      <w:pPr>
        <w:pStyle w:val="FootnoteText"/>
      </w:pPr>
      <w:r>
        <w:rPr>
          <w:rStyle w:val="FootnoteReference"/>
        </w:rPr>
        <w:footnoteRef/>
      </w:r>
      <w:r>
        <w:t xml:space="preserve"> Ibid, p. 185.</w:t>
      </w:r>
    </w:p>
  </w:footnote>
  <w:footnote w:id="19">
    <w:p w14:paraId="18DDE9D6" w14:textId="77777777" w:rsidR="006632E2" w:rsidRDefault="009F1172">
      <w:pPr>
        <w:pStyle w:val="FootnoteText"/>
      </w:pPr>
      <w:r>
        <w:rPr>
          <w:rStyle w:val="FootnoteReference"/>
        </w:rPr>
        <w:footnoteRef/>
      </w:r>
      <w:r>
        <w:t xml:space="preserve"> Ibid, p. 186.</w:t>
      </w:r>
    </w:p>
  </w:footnote>
  <w:footnote w:id="20">
    <w:p w14:paraId="146081AC" w14:textId="77777777" w:rsidR="006632E2" w:rsidRDefault="009F1172">
      <w:pPr>
        <w:pStyle w:val="FootnoteText"/>
      </w:pPr>
      <w:r>
        <w:rPr>
          <w:rStyle w:val="FootnoteReference"/>
        </w:rPr>
        <w:footnoteRef/>
      </w:r>
      <w:r>
        <w:t xml:space="preserve"> Ibid, p. 185.</w:t>
      </w:r>
    </w:p>
  </w:footnote>
  <w:footnote w:id="21">
    <w:p w14:paraId="555B6F89" w14:textId="77777777" w:rsidR="006632E2" w:rsidRDefault="009F1172">
      <w:pPr>
        <w:pStyle w:val="FootnoteText"/>
      </w:pPr>
      <w:r>
        <w:rPr>
          <w:rStyle w:val="FootnoteReference"/>
        </w:rPr>
        <w:footnoteRef/>
      </w:r>
      <w:r>
        <w:t xml:space="preserve"> Lord, 1960, p. 186.</w:t>
      </w:r>
    </w:p>
  </w:footnote>
  <w:footnote w:id="22">
    <w:p w14:paraId="2FD2C29F" w14:textId="77777777" w:rsidR="006632E2" w:rsidRDefault="009F1172">
      <w:pPr>
        <w:pStyle w:val="FootnoteText"/>
      </w:pPr>
      <w:r>
        <w:rPr>
          <w:rStyle w:val="FootnoteReference"/>
        </w:rPr>
        <w:footnoteRef/>
      </w:r>
      <w:r>
        <w:t xml:space="preserve"> Parker, </w:t>
      </w:r>
      <w:r w:rsidR="00F42863">
        <w:t xml:space="preserve">1991, </w:t>
      </w:r>
      <w:r>
        <w:t>p. 9.</w:t>
      </w:r>
    </w:p>
  </w:footnote>
  <w:footnote w:id="23">
    <w:p w14:paraId="43811E29" w14:textId="77777777" w:rsidR="006632E2" w:rsidRDefault="009F1172">
      <w:pPr>
        <w:pStyle w:val="FootnoteText"/>
      </w:pPr>
      <w:r>
        <w:rPr>
          <w:rStyle w:val="FootnoteReference"/>
        </w:rPr>
        <w:footnoteRef/>
      </w:r>
      <w:r>
        <w:t xml:space="preserve"> Richardson, 1974, p. 81.</w:t>
      </w:r>
    </w:p>
  </w:footnote>
  <w:footnote w:id="24">
    <w:p w14:paraId="4B6EE0E9" w14:textId="77777777" w:rsidR="006632E2" w:rsidRDefault="009F1172">
      <w:pPr>
        <w:pStyle w:val="FootnoteText"/>
      </w:pPr>
      <w:r w:rsidRPr="008A6D00">
        <w:rPr>
          <w:rStyle w:val="FootnoteReference"/>
        </w:rPr>
        <w:footnoteRef/>
      </w:r>
      <w:r w:rsidRPr="008A6D00">
        <w:t xml:space="preserve"> Clay, </w:t>
      </w:r>
      <w:r w:rsidR="00941636" w:rsidRPr="008A6D00">
        <w:t xml:space="preserve">1982, </w:t>
      </w:r>
      <w:r w:rsidRPr="008A6D00">
        <w:t>p. 226.</w:t>
      </w:r>
    </w:p>
  </w:footnote>
  <w:footnote w:id="25">
    <w:p w14:paraId="77B73890" w14:textId="77777777" w:rsidR="00F42863" w:rsidRDefault="009F1172">
      <w:pPr>
        <w:pStyle w:val="FootnoteText"/>
      </w:pPr>
      <w:r>
        <w:rPr>
          <w:rStyle w:val="FootnoteReference"/>
        </w:rPr>
        <w:footnoteRef/>
      </w:r>
      <w:r>
        <w:t xml:space="preserve"> Parker, 1991, p. 5.</w:t>
      </w:r>
    </w:p>
  </w:footnote>
  <w:footnote w:id="26">
    <w:p w14:paraId="4B01D80F" w14:textId="77777777" w:rsidR="00F42863" w:rsidRDefault="009F1172">
      <w:pPr>
        <w:pStyle w:val="FootnoteText"/>
      </w:pPr>
      <w:r>
        <w:rPr>
          <w:rStyle w:val="FootnoteReference"/>
        </w:rPr>
        <w:footnoteRef/>
      </w:r>
      <w:r>
        <w:t xml:space="preserve"> Ibid, p. 5.</w:t>
      </w:r>
    </w:p>
  </w:footnote>
  <w:footnote w:id="27">
    <w:p w14:paraId="20CA9915" w14:textId="77777777" w:rsidR="00F42863" w:rsidRPr="00632B02" w:rsidRDefault="009F1172">
      <w:pPr>
        <w:pStyle w:val="FootnoteText"/>
        <w:rPr>
          <w:lang w:val="it-IT"/>
        </w:rPr>
      </w:pPr>
      <w:r>
        <w:rPr>
          <w:rStyle w:val="FootnoteReference"/>
        </w:rPr>
        <w:footnoteRef/>
      </w:r>
      <w:r w:rsidRPr="00632B02">
        <w:rPr>
          <w:lang w:val="it-IT"/>
        </w:rPr>
        <w:t xml:space="preserve"> Lord, 1967, p. 189.</w:t>
      </w:r>
    </w:p>
  </w:footnote>
  <w:footnote w:id="28">
    <w:p w14:paraId="175F881C" w14:textId="77777777" w:rsidR="004B62B4" w:rsidRPr="00632B02" w:rsidRDefault="009F1172">
      <w:pPr>
        <w:pStyle w:val="FootnoteText"/>
        <w:rPr>
          <w:lang w:val="it-IT"/>
        </w:rPr>
      </w:pPr>
      <w:r>
        <w:rPr>
          <w:rStyle w:val="FootnoteReference"/>
        </w:rPr>
        <w:footnoteRef/>
      </w:r>
      <w:r w:rsidRPr="00632B02">
        <w:rPr>
          <w:lang w:val="it-IT"/>
        </w:rPr>
        <w:t xml:space="preserve"> Rosati, </w:t>
      </w:r>
      <w:r w:rsidR="002810B8" w:rsidRPr="00632B02">
        <w:rPr>
          <w:lang w:val="it-IT"/>
        </w:rPr>
        <w:t xml:space="preserve">2002, </w:t>
      </w:r>
      <w:r w:rsidRPr="00632B02">
        <w:rPr>
          <w:lang w:val="it-IT"/>
        </w:rPr>
        <w:t>p. 272.</w:t>
      </w:r>
    </w:p>
  </w:footnote>
  <w:footnote w:id="29">
    <w:p w14:paraId="46F5469B" w14:textId="51D8F183" w:rsidR="004B62B4" w:rsidRPr="00632B02" w:rsidRDefault="009F1172">
      <w:pPr>
        <w:pStyle w:val="FootnoteText"/>
        <w:rPr>
          <w:lang w:val="it-IT"/>
        </w:rPr>
      </w:pPr>
      <w:r>
        <w:rPr>
          <w:rStyle w:val="FootnoteReference"/>
        </w:rPr>
        <w:footnoteRef/>
      </w:r>
      <w:r w:rsidRPr="00632B02">
        <w:rPr>
          <w:lang w:val="it-IT"/>
        </w:rPr>
        <w:t xml:space="preserve"> Ibid, p. 277</w:t>
      </w:r>
      <w:r>
        <w:rPr>
          <w:lang w:val="it-IT"/>
        </w:rPr>
        <w:t>.</w:t>
      </w:r>
    </w:p>
  </w:footnote>
  <w:footnote w:id="30">
    <w:p w14:paraId="4AA27722" w14:textId="77777777" w:rsidR="004B62B4" w:rsidRPr="00632B02" w:rsidRDefault="009F1172">
      <w:pPr>
        <w:pStyle w:val="FootnoteText"/>
        <w:rPr>
          <w:lang w:val="pt-PT"/>
        </w:rPr>
      </w:pPr>
      <w:r>
        <w:rPr>
          <w:rStyle w:val="FootnoteReference"/>
        </w:rPr>
        <w:footnoteRef/>
      </w:r>
      <w:r w:rsidRPr="00632B02">
        <w:rPr>
          <w:lang w:val="pt-PT"/>
        </w:rPr>
        <w:t xml:space="preserve"> Ibid, p. 272.</w:t>
      </w:r>
    </w:p>
  </w:footnote>
  <w:footnote w:id="31">
    <w:p w14:paraId="55C1307D" w14:textId="77777777" w:rsidR="004B62B4" w:rsidRPr="00632B02" w:rsidRDefault="009F1172">
      <w:pPr>
        <w:pStyle w:val="FootnoteText"/>
        <w:rPr>
          <w:lang w:val="pt-PT"/>
        </w:rPr>
      </w:pPr>
      <w:r>
        <w:rPr>
          <w:rStyle w:val="FootnoteReference"/>
        </w:rPr>
        <w:footnoteRef/>
      </w:r>
      <w:r w:rsidRPr="00632B02">
        <w:rPr>
          <w:lang w:val="pt-PT"/>
        </w:rPr>
        <w:t xml:space="preserve"> Zissos, </w:t>
      </w:r>
      <w:r w:rsidR="002810B8" w:rsidRPr="00632B02">
        <w:rPr>
          <w:lang w:val="pt-PT"/>
        </w:rPr>
        <w:t xml:space="preserve">1999, </w:t>
      </w:r>
      <w:r w:rsidRPr="00632B02">
        <w:rPr>
          <w:lang w:val="pt-PT"/>
        </w:rPr>
        <w:t>p. 97.</w:t>
      </w:r>
    </w:p>
  </w:footnote>
  <w:footnote w:id="32">
    <w:p w14:paraId="6F6DFCC8" w14:textId="77777777" w:rsidR="004B62B4" w:rsidRPr="00632B02" w:rsidRDefault="009F1172">
      <w:pPr>
        <w:pStyle w:val="FootnoteText"/>
        <w:rPr>
          <w:lang w:val="pt-PT"/>
        </w:rPr>
      </w:pPr>
      <w:r>
        <w:rPr>
          <w:rStyle w:val="FootnoteReference"/>
        </w:rPr>
        <w:footnoteRef/>
      </w:r>
      <w:r w:rsidRPr="00632B02">
        <w:rPr>
          <w:lang w:val="pt-PT"/>
        </w:rPr>
        <w:t xml:space="preserve"> Ahl, </w:t>
      </w:r>
      <w:r w:rsidR="00080D26" w:rsidRPr="00632B02">
        <w:rPr>
          <w:lang w:val="pt-PT"/>
        </w:rPr>
        <w:t>1985, p. 202-3.</w:t>
      </w:r>
    </w:p>
  </w:footnote>
  <w:footnote w:id="33">
    <w:p w14:paraId="69876889" w14:textId="77777777" w:rsidR="00080D26" w:rsidRPr="00080D26" w:rsidRDefault="009F1172">
      <w:pPr>
        <w:pStyle w:val="FootnoteText"/>
        <w:rPr>
          <w:lang w:val="pt-PT"/>
        </w:rPr>
      </w:pPr>
      <w:r>
        <w:rPr>
          <w:rStyle w:val="FootnoteReference"/>
        </w:rPr>
        <w:footnoteRef/>
      </w:r>
      <w:r w:rsidRPr="00080D26">
        <w:rPr>
          <w:lang w:val="pt-PT"/>
        </w:rPr>
        <w:t xml:space="preserve"> Zissos, </w:t>
      </w:r>
      <w:r w:rsidR="002810B8">
        <w:rPr>
          <w:lang w:val="pt-PT"/>
        </w:rPr>
        <w:t xml:space="preserve">1999, </w:t>
      </w:r>
      <w:r w:rsidRPr="00080D26">
        <w:rPr>
          <w:lang w:val="pt-PT"/>
        </w:rPr>
        <w:t>p. 98.</w:t>
      </w:r>
    </w:p>
  </w:footnote>
  <w:footnote w:id="34">
    <w:p w14:paraId="0AC22E8F" w14:textId="77777777" w:rsidR="00080D26" w:rsidRPr="00080D26" w:rsidRDefault="009F1172">
      <w:pPr>
        <w:pStyle w:val="FootnoteText"/>
        <w:rPr>
          <w:lang w:val="pt-PT"/>
        </w:rPr>
      </w:pPr>
      <w:r>
        <w:rPr>
          <w:rStyle w:val="FootnoteReference"/>
        </w:rPr>
        <w:footnoteRef/>
      </w:r>
      <w:r w:rsidRPr="00080D26">
        <w:rPr>
          <w:lang w:val="pt-PT"/>
        </w:rPr>
        <w:t xml:space="preserve"> Ibid, p. 98.</w:t>
      </w:r>
    </w:p>
  </w:footnote>
  <w:footnote w:id="35">
    <w:p w14:paraId="5680CECF" w14:textId="77777777" w:rsidR="00080D26" w:rsidRPr="00080D26" w:rsidRDefault="009F1172">
      <w:pPr>
        <w:pStyle w:val="FootnoteText"/>
        <w:rPr>
          <w:lang w:val="pt-PT"/>
        </w:rPr>
      </w:pPr>
      <w:r>
        <w:rPr>
          <w:rStyle w:val="FootnoteReference"/>
        </w:rPr>
        <w:footnoteRef/>
      </w:r>
      <w:r w:rsidRPr="00080D26">
        <w:rPr>
          <w:lang w:val="pt-PT"/>
        </w:rPr>
        <w:t xml:space="preserve"> Ibid, p. 98.</w:t>
      </w:r>
    </w:p>
  </w:footnote>
  <w:footnote w:id="36">
    <w:p w14:paraId="268AB125" w14:textId="77777777" w:rsidR="00080D26" w:rsidRDefault="009F1172">
      <w:pPr>
        <w:pStyle w:val="FootnoteText"/>
      </w:pPr>
      <w:r>
        <w:rPr>
          <w:rStyle w:val="FootnoteReference"/>
        </w:rPr>
        <w:footnoteRef/>
      </w:r>
      <w:r>
        <w:t xml:space="preserve"> Ibid, p. 99.</w:t>
      </w:r>
    </w:p>
  </w:footnote>
  <w:footnote w:id="37">
    <w:p w14:paraId="31BA9908" w14:textId="77777777" w:rsidR="00080D26" w:rsidRDefault="009F1172">
      <w:pPr>
        <w:pStyle w:val="FootnoteText"/>
      </w:pPr>
      <w:r>
        <w:rPr>
          <w:rStyle w:val="FootnoteReference"/>
        </w:rPr>
        <w:footnoteRef/>
      </w:r>
      <w:r>
        <w:t xml:space="preserve"> Ibid, p. 100.</w:t>
      </w:r>
    </w:p>
  </w:footnote>
  <w:footnote w:id="38">
    <w:p w14:paraId="5E8D9169" w14:textId="77777777" w:rsidR="00080D26" w:rsidRPr="009F1172" w:rsidRDefault="009F1172">
      <w:pPr>
        <w:pStyle w:val="FootnoteText"/>
      </w:pPr>
      <w:r>
        <w:rPr>
          <w:rStyle w:val="FootnoteReference"/>
        </w:rPr>
        <w:footnoteRef/>
      </w:r>
      <w:r w:rsidR="002810B8" w:rsidRPr="00632B02">
        <w:t xml:space="preserve"> Ov.  </w:t>
      </w:r>
      <w:r w:rsidR="002810B8" w:rsidRPr="009F1172">
        <w:t>Met.  5.436-7.</w:t>
      </w:r>
    </w:p>
  </w:footnote>
  <w:footnote w:id="39">
    <w:p w14:paraId="78104A40" w14:textId="77777777" w:rsidR="00080D26" w:rsidRPr="009F1172" w:rsidRDefault="009F1172">
      <w:pPr>
        <w:pStyle w:val="FootnoteText"/>
      </w:pPr>
      <w:r>
        <w:rPr>
          <w:rStyle w:val="FootnoteReference"/>
        </w:rPr>
        <w:footnoteRef/>
      </w:r>
      <w:r w:rsidRPr="009F1172">
        <w:t xml:space="preserve"> Zissos, </w:t>
      </w:r>
      <w:r w:rsidR="002810B8" w:rsidRPr="009F1172">
        <w:t xml:space="preserve">1999, </w:t>
      </w:r>
      <w:r w:rsidRPr="009F1172">
        <w:t>p. 102.</w:t>
      </w:r>
    </w:p>
  </w:footnote>
  <w:footnote w:id="40">
    <w:p w14:paraId="23FD62AD" w14:textId="77777777" w:rsidR="00080D26" w:rsidRPr="009F1172" w:rsidRDefault="009F1172">
      <w:pPr>
        <w:pStyle w:val="FootnoteText"/>
      </w:pPr>
      <w:r>
        <w:rPr>
          <w:rStyle w:val="FootnoteReference"/>
        </w:rPr>
        <w:footnoteRef/>
      </w:r>
      <w:r w:rsidRPr="009F1172">
        <w:t xml:space="preserve"> Ibid, p. 102.</w:t>
      </w:r>
    </w:p>
  </w:footnote>
  <w:footnote w:id="41">
    <w:p w14:paraId="4ABF5034" w14:textId="77777777" w:rsidR="00080D26" w:rsidRPr="009F1172" w:rsidRDefault="009F1172">
      <w:pPr>
        <w:pStyle w:val="FootnoteText"/>
      </w:pPr>
      <w:r>
        <w:rPr>
          <w:rStyle w:val="FootnoteReference"/>
        </w:rPr>
        <w:footnoteRef/>
      </w:r>
      <w:r w:rsidRPr="009F1172">
        <w:t xml:space="preserve"> Ibid, p. 103.</w:t>
      </w:r>
    </w:p>
  </w:footnote>
  <w:footnote w:id="42">
    <w:p w14:paraId="2634FF89" w14:textId="0AB603B6" w:rsidR="00953FB1" w:rsidRDefault="009F1172">
      <w:pPr>
        <w:pStyle w:val="FootnoteText"/>
      </w:pPr>
      <w:r>
        <w:rPr>
          <w:rStyle w:val="FootnoteReference"/>
        </w:rPr>
        <w:footnoteRef/>
      </w:r>
      <w:r>
        <w:t xml:space="preserve"> Ov. Fast. </w:t>
      </w:r>
      <w:r w:rsidR="00B40855">
        <w:t xml:space="preserve"> 1</w:t>
      </w:r>
      <w:r>
        <w:t>.1-2</w:t>
      </w:r>
      <w:r w:rsidR="008A6D00">
        <w:t>.</w:t>
      </w:r>
    </w:p>
  </w:footnote>
  <w:footnote w:id="43">
    <w:p w14:paraId="41703956" w14:textId="655664D5" w:rsidR="00953FB1" w:rsidRDefault="009F1172">
      <w:pPr>
        <w:pStyle w:val="FootnoteText"/>
      </w:pPr>
      <w:r>
        <w:rPr>
          <w:rStyle w:val="FootnoteReference"/>
        </w:rPr>
        <w:footnoteRef/>
      </w:r>
      <w:r>
        <w:t xml:space="preserve"> Fantham, 1994, p. 60-1.</w:t>
      </w:r>
    </w:p>
  </w:footnote>
  <w:footnote w:id="44">
    <w:p w14:paraId="273528CE" w14:textId="545881DA" w:rsidR="00953FB1" w:rsidRDefault="009F1172">
      <w:pPr>
        <w:pStyle w:val="FootnoteText"/>
      </w:pPr>
      <w:r>
        <w:rPr>
          <w:rStyle w:val="FootnoteReference"/>
        </w:rPr>
        <w:footnoteRef/>
      </w:r>
      <w:r>
        <w:t xml:space="preserve"> Ov</w:t>
      </w:r>
      <w:r>
        <w:t xml:space="preserve">. Fast. </w:t>
      </w:r>
      <w:r w:rsidR="00B40855">
        <w:t xml:space="preserve"> 1</w:t>
      </w:r>
      <w:r>
        <w:t>.9-10.</w:t>
      </w:r>
    </w:p>
  </w:footnote>
  <w:footnote w:id="45">
    <w:p w14:paraId="06B15920" w14:textId="34C2EFA6" w:rsidR="00953FB1" w:rsidRDefault="009F1172">
      <w:pPr>
        <w:pStyle w:val="FootnoteText"/>
      </w:pPr>
      <w:r>
        <w:rPr>
          <w:rStyle w:val="FootnoteReference"/>
        </w:rPr>
        <w:footnoteRef/>
      </w:r>
      <w:r>
        <w:t xml:space="preserve"> Fantham, 1994, p. 70.</w:t>
      </w:r>
    </w:p>
  </w:footnote>
  <w:footnote w:id="46">
    <w:p w14:paraId="06F58637" w14:textId="2A33447C" w:rsidR="004428B7" w:rsidRDefault="009F1172">
      <w:pPr>
        <w:pStyle w:val="FootnoteText"/>
      </w:pPr>
      <w:r>
        <w:rPr>
          <w:rStyle w:val="FootnoteReference"/>
        </w:rPr>
        <w:footnoteRef/>
      </w:r>
      <w:r>
        <w:t xml:space="preserve"> Zissos, 1999, p. 101.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removePersonalInformation/>
  <w:removeDateAndTime/>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2D3"/>
    <w:rsid w:val="00000D44"/>
    <w:rsid w:val="00006FE2"/>
    <w:rsid w:val="00080D26"/>
    <w:rsid w:val="00082C56"/>
    <w:rsid w:val="000F5213"/>
    <w:rsid w:val="00163B3F"/>
    <w:rsid w:val="001A219E"/>
    <w:rsid w:val="001F35A7"/>
    <w:rsid w:val="00222C69"/>
    <w:rsid w:val="00226440"/>
    <w:rsid w:val="002306C2"/>
    <w:rsid w:val="002810B8"/>
    <w:rsid w:val="003B27F7"/>
    <w:rsid w:val="003F60C7"/>
    <w:rsid w:val="00406B82"/>
    <w:rsid w:val="004428B7"/>
    <w:rsid w:val="00442993"/>
    <w:rsid w:val="004B62B4"/>
    <w:rsid w:val="004D5C0A"/>
    <w:rsid w:val="004F4BA2"/>
    <w:rsid w:val="005547CE"/>
    <w:rsid w:val="00565297"/>
    <w:rsid w:val="005672B6"/>
    <w:rsid w:val="00573B40"/>
    <w:rsid w:val="00594EF3"/>
    <w:rsid w:val="005C4D45"/>
    <w:rsid w:val="005D0C90"/>
    <w:rsid w:val="00632B02"/>
    <w:rsid w:val="006468B2"/>
    <w:rsid w:val="006612E9"/>
    <w:rsid w:val="006632E2"/>
    <w:rsid w:val="006653AA"/>
    <w:rsid w:val="00694C07"/>
    <w:rsid w:val="00767034"/>
    <w:rsid w:val="007D6674"/>
    <w:rsid w:val="00813AA8"/>
    <w:rsid w:val="008477E1"/>
    <w:rsid w:val="008903CD"/>
    <w:rsid w:val="008A6D00"/>
    <w:rsid w:val="008F40FD"/>
    <w:rsid w:val="00902245"/>
    <w:rsid w:val="00920D1D"/>
    <w:rsid w:val="00941636"/>
    <w:rsid w:val="00953FB1"/>
    <w:rsid w:val="009D652A"/>
    <w:rsid w:val="009F1172"/>
    <w:rsid w:val="00A042A2"/>
    <w:rsid w:val="00A330B3"/>
    <w:rsid w:val="00B14BDE"/>
    <w:rsid w:val="00B40855"/>
    <w:rsid w:val="00BE28D4"/>
    <w:rsid w:val="00C5386B"/>
    <w:rsid w:val="00CE206F"/>
    <w:rsid w:val="00CF3A70"/>
    <w:rsid w:val="00D41E5D"/>
    <w:rsid w:val="00D57143"/>
    <w:rsid w:val="00E35378"/>
    <w:rsid w:val="00E430FF"/>
    <w:rsid w:val="00E43257"/>
    <w:rsid w:val="00EA1B57"/>
    <w:rsid w:val="00EA4167"/>
    <w:rsid w:val="00EB6B89"/>
    <w:rsid w:val="00ED4A0A"/>
    <w:rsid w:val="00EF61FA"/>
    <w:rsid w:val="00F0505B"/>
    <w:rsid w:val="00F22F32"/>
    <w:rsid w:val="00F42863"/>
    <w:rsid w:val="00F603AA"/>
    <w:rsid w:val="00F87863"/>
    <w:rsid w:val="00FF32D3"/>
    <w:rsid w:val="00FF37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EEB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32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E28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28D4"/>
    <w:rPr>
      <w:sz w:val="20"/>
      <w:szCs w:val="20"/>
    </w:rPr>
  </w:style>
  <w:style w:type="character" w:styleId="FootnoteReference">
    <w:name w:val="footnote reference"/>
    <w:basedOn w:val="DefaultParagraphFont"/>
    <w:uiPriority w:val="99"/>
    <w:semiHidden/>
    <w:unhideWhenUsed/>
    <w:rsid w:val="00BE28D4"/>
    <w:rPr>
      <w:vertAlign w:val="superscript"/>
    </w:rPr>
  </w:style>
  <w:style w:type="character" w:styleId="Hyperlink">
    <w:name w:val="Hyperlink"/>
    <w:basedOn w:val="DefaultParagraphFont"/>
    <w:uiPriority w:val="99"/>
    <w:unhideWhenUsed/>
    <w:rsid w:val="006468B2"/>
    <w:rPr>
      <w:color w:val="0000FF"/>
      <w:u w:val="single"/>
    </w:rPr>
  </w:style>
  <w:style w:type="character" w:styleId="FollowedHyperlink">
    <w:name w:val="FollowedHyperlink"/>
    <w:basedOn w:val="DefaultParagraphFont"/>
    <w:uiPriority w:val="99"/>
    <w:semiHidden/>
    <w:unhideWhenUsed/>
    <w:rsid w:val="005547CE"/>
    <w:rPr>
      <w:color w:val="800080" w:themeColor="followedHyperlink"/>
      <w:u w:val="single"/>
    </w:rPr>
  </w:style>
  <w:style w:type="paragraph" w:styleId="Header">
    <w:name w:val="header"/>
    <w:basedOn w:val="Normal"/>
    <w:link w:val="HeaderChar"/>
    <w:uiPriority w:val="99"/>
    <w:unhideWhenUsed/>
    <w:rsid w:val="00B14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BDE"/>
  </w:style>
  <w:style w:type="paragraph" w:styleId="Footer">
    <w:name w:val="footer"/>
    <w:basedOn w:val="Normal"/>
    <w:link w:val="FooterChar"/>
    <w:uiPriority w:val="99"/>
    <w:unhideWhenUsed/>
    <w:rsid w:val="00B14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BDE"/>
  </w:style>
  <w:style w:type="character" w:customStyle="1" w:styleId="markedcontent">
    <w:name w:val="markedcontent"/>
    <w:basedOn w:val="DefaultParagraphFont"/>
    <w:rsid w:val="003F60C7"/>
  </w:style>
  <w:style w:type="character" w:styleId="CommentReference">
    <w:name w:val="annotation reference"/>
    <w:basedOn w:val="DefaultParagraphFont"/>
    <w:uiPriority w:val="99"/>
    <w:semiHidden/>
    <w:unhideWhenUsed/>
    <w:rsid w:val="00941636"/>
    <w:rPr>
      <w:sz w:val="16"/>
      <w:szCs w:val="16"/>
    </w:rPr>
  </w:style>
  <w:style w:type="paragraph" w:styleId="CommentText">
    <w:name w:val="annotation text"/>
    <w:basedOn w:val="Normal"/>
    <w:link w:val="CommentTextChar"/>
    <w:uiPriority w:val="99"/>
    <w:semiHidden/>
    <w:unhideWhenUsed/>
    <w:rsid w:val="00941636"/>
    <w:pPr>
      <w:spacing w:line="240" w:lineRule="auto"/>
    </w:pPr>
    <w:rPr>
      <w:sz w:val="20"/>
      <w:szCs w:val="20"/>
    </w:rPr>
  </w:style>
  <w:style w:type="character" w:customStyle="1" w:styleId="CommentTextChar">
    <w:name w:val="Comment Text Char"/>
    <w:basedOn w:val="DefaultParagraphFont"/>
    <w:link w:val="CommentText"/>
    <w:uiPriority w:val="99"/>
    <w:semiHidden/>
    <w:rsid w:val="00941636"/>
    <w:rPr>
      <w:sz w:val="20"/>
      <w:szCs w:val="20"/>
    </w:rPr>
  </w:style>
  <w:style w:type="paragraph" w:styleId="CommentSubject">
    <w:name w:val="annotation subject"/>
    <w:basedOn w:val="CommentText"/>
    <w:next w:val="CommentText"/>
    <w:link w:val="CommentSubjectChar"/>
    <w:uiPriority w:val="99"/>
    <w:semiHidden/>
    <w:unhideWhenUsed/>
    <w:rsid w:val="00941636"/>
    <w:rPr>
      <w:b/>
      <w:bCs/>
    </w:rPr>
  </w:style>
  <w:style w:type="character" w:customStyle="1" w:styleId="CommentSubjectChar">
    <w:name w:val="Comment Subject Char"/>
    <w:basedOn w:val="CommentTextChar"/>
    <w:link w:val="CommentSubject"/>
    <w:uiPriority w:val="99"/>
    <w:semiHidden/>
    <w:rsid w:val="00941636"/>
    <w:rPr>
      <w:b/>
      <w:bCs/>
      <w:sz w:val="20"/>
      <w:szCs w:val="20"/>
    </w:rPr>
  </w:style>
  <w:style w:type="character" w:customStyle="1" w:styleId="UnresolvedMention1">
    <w:name w:val="Unresolved Mention1"/>
    <w:basedOn w:val="DefaultParagraphFont"/>
    <w:uiPriority w:val="99"/>
    <w:rsid w:val="00EA1B57"/>
    <w:rPr>
      <w:color w:val="605E5C"/>
      <w:shd w:val="clear" w:color="auto" w:fill="E1DFDD"/>
    </w:rPr>
  </w:style>
  <w:style w:type="paragraph" w:styleId="NormalWeb">
    <w:name w:val="Normal (Web)"/>
    <w:basedOn w:val="Normal"/>
    <w:uiPriority w:val="99"/>
    <w:semiHidden/>
    <w:unhideWhenUsed/>
    <w:rsid w:val="00632B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rsid w:val="00594E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metaformationsso00ahlf" TargetMode="External"/><Relationship Id="rId13" Type="http://schemas.openxmlformats.org/officeDocument/2006/relationships/hyperlink" Target="https://www.perseus.tufts.edu/hopper/text?doc=Perseus%3Atext%3A2008.01.0547%3Abook%3D4" TargetMode="External"/><Relationship Id="rId18" Type="http://schemas.openxmlformats.org/officeDocument/2006/relationships/hyperlink" Target="https://doi.org/10.2307/1088125" TargetMode="External"/><Relationship Id="rId3" Type="http://schemas.openxmlformats.org/officeDocument/2006/relationships/webSettings" Target="webSettings.xml"/><Relationship Id="rId7" Type="http://schemas.openxmlformats.org/officeDocument/2006/relationships/hyperlink" Target="https://chs.harvard.edu/primary-source/homeric-hymn-to-demeter-sb/" TargetMode="External"/><Relationship Id="rId12" Type="http://schemas.openxmlformats.org/officeDocument/2006/relationships/hyperlink" Target="https://archive.org/details/singeroftales00lord" TargetMode="External"/><Relationship Id="rId17" Type="http://schemas.openxmlformats.org/officeDocument/2006/relationships/hyperlink" Target="http://www.jstor.org/stable/j.ctt7ztjgt" TargetMode="External"/><Relationship Id="rId2" Type="http://schemas.openxmlformats.org/officeDocument/2006/relationships/settings" Target="settings.xml"/><Relationship Id="rId16" Type="http://schemas.openxmlformats.org/officeDocument/2006/relationships/hyperlink" Target="https://www.perlego.com/book/538199/the-world-of-ovids-metamorphoses-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erseus.tufts.edu/hopper/text?doc=Perseus%3atext%3a1999.01.0137%3ahymn%3d2" TargetMode="External"/><Relationship Id="rId11" Type="http://schemas.openxmlformats.org/officeDocument/2006/relationships/hyperlink" Target="https://www.classics.org.au/cansw/past_todd_lectures.html" TargetMode="External"/><Relationship Id="rId5" Type="http://schemas.openxmlformats.org/officeDocument/2006/relationships/endnotes" Target="endnotes.xml"/><Relationship Id="rId15" Type="http://schemas.openxmlformats.org/officeDocument/2006/relationships/hyperlink" Target="https://www.thelatinlibrary.com/ovid/ovid.met5.shtml" TargetMode="External"/><Relationship Id="rId10" Type="http://schemas.openxmlformats.org/officeDocument/2006/relationships/hyperlink" Target="https://doi.org/10.1353/apa.2001.0003"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academia.edu/12279717/Barchiesi_Speaking_Volumes_Narrative_and_Intertext_in_Ovid_and_other_Roman_poets_2001.%20%20(Accessed%2010%20Oct.%202022)._" TargetMode="External"/><Relationship Id="rId14" Type="http://schemas.openxmlformats.org/officeDocument/2006/relationships/hyperlink" Target="https://www.perseus.tufts.edu/hopper/text?doc=Perseus%3Atext%3A1999.02.0028%3Abook%3D5%3Acard%3D3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3128</Words>
  <Characters>18902</Characters>
  <Application>Microsoft Office Word</Application>
  <DocSecurity>0</DocSecurity>
  <Lines>157</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2022-10-14T18:38:00Z</dcterms:created>
  <dcterms:modified xsi:type="dcterms:W3CDTF">2022-10-14T18:38:00Z</dcterms:modified>
</cp:coreProperties>
</file>