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62DE" w:rsidRPr="007519BB" w:rsidRDefault="00E162DE" w:rsidP="00E162DE">
      <w:pPr>
        <w:spacing w:line="257" w:lineRule="auto"/>
        <w:rPr>
          <w:rFonts w:ascii="Calibri" w:hAnsi="Calibri" w:cs="Calibri"/>
          <w:b/>
          <w:sz w:val="28"/>
          <w:szCs w:val="28"/>
          <w:u w:val="single"/>
        </w:rPr>
      </w:pPr>
      <w:r w:rsidRPr="007519BB">
        <w:rPr>
          <w:rFonts w:ascii="Calibri" w:eastAsia="Calibri" w:hAnsi="Calibri" w:cs="Calibri"/>
          <w:b/>
          <w:bCs/>
          <w:sz w:val="28"/>
          <w:szCs w:val="28"/>
          <w:u w:val="single"/>
        </w:rPr>
        <w:t>1000 words - Understanding the role of Constable/Maintaining Professional Standards</w:t>
      </w:r>
    </w:p>
    <w:p w:rsidR="00E162DE" w:rsidRPr="007519BB" w:rsidRDefault="00E162DE" w:rsidP="00E162DE">
      <w:pPr>
        <w:spacing w:line="257" w:lineRule="auto"/>
        <w:rPr>
          <w:rFonts w:ascii="Calibri" w:hAnsi="Calibri" w:cs="Calibri"/>
          <w:b/>
          <w:sz w:val="28"/>
          <w:szCs w:val="28"/>
          <w:u w:val="single"/>
        </w:rPr>
      </w:pPr>
      <w:r w:rsidRPr="007519BB">
        <w:rPr>
          <w:rFonts w:ascii="Calibri" w:eastAsia="Calibri" w:hAnsi="Calibri" w:cs="Calibri"/>
          <w:b/>
          <w:sz w:val="28"/>
          <w:szCs w:val="28"/>
          <w:u w:val="single"/>
        </w:rPr>
        <w:t xml:space="preserve">Critically evaluate the concept of ‘the </w:t>
      </w:r>
      <w:proofErr w:type="spellStart"/>
      <w:r w:rsidRPr="007519BB">
        <w:rPr>
          <w:rFonts w:ascii="Calibri" w:eastAsia="Calibri" w:hAnsi="Calibri" w:cs="Calibri"/>
          <w:b/>
          <w:sz w:val="28"/>
          <w:szCs w:val="28"/>
          <w:u w:val="single"/>
        </w:rPr>
        <w:t>professionalisation</w:t>
      </w:r>
      <w:proofErr w:type="spellEnd"/>
      <w:r w:rsidRPr="007519BB">
        <w:rPr>
          <w:rFonts w:ascii="Calibri" w:eastAsia="Calibri" w:hAnsi="Calibri" w:cs="Calibri"/>
          <w:b/>
          <w:sz w:val="28"/>
          <w:szCs w:val="28"/>
          <w:u w:val="single"/>
        </w:rPr>
        <w:t xml:space="preserve"> of the police service’ considering how ‘Maintaining Professional Standards’ ‘ethical and inclusive’ and ‘</w:t>
      </w:r>
      <w:proofErr w:type="gramStart"/>
      <w:r w:rsidRPr="007519BB">
        <w:rPr>
          <w:rFonts w:ascii="Calibri" w:eastAsia="Calibri" w:hAnsi="Calibri" w:cs="Calibri"/>
          <w:b/>
          <w:sz w:val="28"/>
          <w:szCs w:val="28"/>
          <w:u w:val="single"/>
        </w:rPr>
        <w:t>Coaching</w:t>
      </w:r>
      <w:proofErr w:type="gramEnd"/>
      <w:r w:rsidRPr="007519BB">
        <w:rPr>
          <w:rFonts w:ascii="Calibri" w:eastAsia="Calibri" w:hAnsi="Calibri" w:cs="Calibri"/>
          <w:b/>
          <w:sz w:val="28"/>
          <w:szCs w:val="28"/>
          <w:u w:val="single"/>
        </w:rPr>
        <w:t xml:space="preserve"> and Mentoring’ approaches contribute to this. </w:t>
      </w:r>
    </w:p>
    <w:p w:rsidR="00B926F3" w:rsidRPr="004403BC" w:rsidRDefault="00B926F3">
      <w:pPr>
        <w:rPr>
          <w:color w:val="FF0000"/>
        </w:rPr>
      </w:pPr>
    </w:p>
    <w:p w:rsidR="00791056" w:rsidRDefault="00791056">
      <w:pPr>
        <w:rPr>
          <w:rFonts w:asciiTheme="minorHAnsi" w:hAnsiTheme="minorHAnsi" w:cstheme="minorHAnsi"/>
          <w:sz w:val="24"/>
        </w:rPr>
      </w:pPr>
      <w:r>
        <w:rPr>
          <w:rFonts w:asciiTheme="minorHAnsi" w:hAnsiTheme="minorHAnsi" w:cstheme="minorHAnsi"/>
          <w:sz w:val="24"/>
        </w:rPr>
        <w:t>Sir Robert Peel’s principles have served the framework for policing since 1829. Considered as relevant today as then, Peel’s principles stipulate the basic requirement for police is to prevent crime and disorder (Workman-Stark, 2017)</w:t>
      </w:r>
    </w:p>
    <w:p w:rsidR="00791056" w:rsidRDefault="00791056">
      <w:pPr>
        <w:rPr>
          <w:rFonts w:asciiTheme="minorHAnsi" w:hAnsiTheme="minorHAnsi" w:cstheme="minorHAnsi"/>
          <w:sz w:val="24"/>
        </w:rPr>
      </w:pPr>
    </w:p>
    <w:p w:rsidR="00791056" w:rsidRDefault="00B02B39">
      <w:pPr>
        <w:rPr>
          <w:rFonts w:asciiTheme="minorHAnsi" w:hAnsiTheme="minorHAnsi" w:cstheme="minorHAnsi"/>
          <w:sz w:val="24"/>
        </w:rPr>
      </w:pPr>
      <w:r>
        <w:rPr>
          <w:rFonts w:asciiTheme="minorHAnsi" w:hAnsiTheme="minorHAnsi" w:cstheme="minorHAnsi"/>
          <w:sz w:val="24"/>
        </w:rPr>
        <w:t>Professionaliz</w:t>
      </w:r>
      <w:r w:rsidRPr="00BB1B6E">
        <w:rPr>
          <w:rFonts w:asciiTheme="minorHAnsi" w:hAnsiTheme="minorHAnsi" w:cstheme="minorHAnsi"/>
          <w:sz w:val="24"/>
        </w:rPr>
        <w:t>ation</w:t>
      </w:r>
      <w:r w:rsidR="00E162DE" w:rsidRPr="00BB1B6E">
        <w:rPr>
          <w:rFonts w:asciiTheme="minorHAnsi" w:hAnsiTheme="minorHAnsi" w:cstheme="minorHAnsi"/>
          <w:sz w:val="24"/>
        </w:rPr>
        <w:t xml:space="preserve"> of the police service is an ever expanding discourse within England and Wales’ police forces. </w:t>
      </w:r>
      <w:r w:rsidR="004403BC" w:rsidRPr="00BB1B6E">
        <w:rPr>
          <w:rFonts w:asciiTheme="minorHAnsi" w:hAnsiTheme="minorHAnsi" w:cstheme="minorHAnsi"/>
          <w:sz w:val="24"/>
        </w:rPr>
        <w:t xml:space="preserve">Professionalising the police service is considered to be an important direction for police services to take </w:t>
      </w:r>
      <w:r w:rsidR="005E0BA1" w:rsidRPr="00BB1B6E">
        <w:rPr>
          <w:rFonts w:asciiTheme="minorHAnsi" w:hAnsiTheme="minorHAnsi" w:cstheme="minorHAnsi"/>
          <w:sz w:val="24"/>
        </w:rPr>
        <w:t xml:space="preserve">in order to achieve high standards of professional practice. </w:t>
      </w:r>
      <w:r w:rsidR="00631556">
        <w:rPr>
          <w:rFonts w:asciiTheme="minorHAnsi" w:hAnsiTheme="minorHAnsi" w:cstheme="minorHAnsi"/>
          <w:sz w:val="24"/>
        </w:rPr>
        <w:t xml:space="preserve">There has been a constant debate around the term ‘professional’ and its application in the world of policing. Policing has always been understood to be a craftsman role; ‘police is an art, not a science’. It is understood the craft of a police officer is disengaged from a body of authoritative knowledge which are usually associated with traditional professions such as medicine or law. </w:t>
      </w:r>
      <w:r w:rsidR="0015032A" w:rsidRPr="00BB1B6E">
        <w:rPr>
          <w:rFonts w:asciiTheme="minorHAnsi" w:hAnsiTheme="minorHAnsi" w:cstheme="minorHAnsi"/>
          <w:sz w:val="24"/>
        </w:rPr>
        <w:t>(</w:t>
      </w:r>
      <w:proofErr w:type="spellStart"/>
      <w:r w:rsidR="0015032A" w:rsidRPr="00BB1B6E">
        <w:rPr>
          <w:rFonts w:asciiTheme="minorHAnsi" w:hAnsiTheme="minorHAnsi" w:cstheme="minorHAnsi"/>
          <w:sz w:val="24"/>
        </w:rPr>
        <w:t>Neyroud</w:t>
      </w:r>
      <w:proofErr w:type="spellEnd"/>
      <w:r w:rsidR="0015032A" w:rsidRPr="00BB1B6E">
        <w:rPr>
          <w:rFonts w:asciiTheme="minorHAnsi" w:hAnsiTheme="minorHAnsi" w:cstheme="minorHAnsi"/>
          <w:sz w:val="24"/>
        </w:rPr>
        <w:t>, P. 2011).</w:t>
      </w:r>
    </w:p>
    <w:p w:rsidR="00791056" w:rsidRDefault="00791056">
      <w:pPr>
        <w:rPr>
          <w:rFonts w:asciiTheme="minorHAnsi" w:hAnsiTheme="minorHAnsi" w:cstheme="minorHAnsi"/>
          <w:sz w:val="24"/>
        </w:rPr>
      </w:pPr>
    </w:p>
    <w:p w:rsidR="00E162DE" w:rsidRDefault="00631556">
      <w:pPr>
        <w:rPr>
          <w:rFonts w:asciiTheme="minorHAnsi" w:hAnsiTheme="minorHAnsi" w:cstheme="minorHAnsi"/>
          <w:sz w:val="24"/>
        </w:rPr>
      </w:pPr>
      <w:r>
        <w:rPr>
          <w:rFonts w:asciiTheme="minorHAnsi" w:hAnsiTheme="minorHAnsi" w:cstheme="minorHAnsi"/>
          <w:sz w:val="24"/>
        </w:rPr>
        <w:t xml:space="preserve">In recent years, the police service has been more clear about their nature of professionalism, their public ethos and transparency; understanding the separation between professional standards, qualification frameworks and delivery of training. Throughout the process, it has become clear that the police are beginning to reach a new position where the developing nature of skills and knowledge requirements within the occupation, mean formal professionalization has significant benefits for the public they serve. </w:t>
      </w:r>
      <w:r w:rsidR="00475779">
        <w:rPr>
          <w:rFonts w:asciiTheme="minorHAnsi" w:hAnsiTheme="minorHAnsi" w:cstheme="minorHAnsi"/>
          <w:sz w:val="24"/>
        </w:rPr>
        <w:t>A professional body provides the opportunity for clearer standards, service owned qualification framework and a greater focus on professional development (</w:t>
      </w:r>
      <w:proofErr w:type="spellStart"/>
      <w:r w:rsidR="00475779">
        <w:rPr>
          <w:rFonts w:asciiTheme="minorHAnsi" w:hAnsiTheme="minorHAnsi" w:cstheme="minorHAnsi"/>
          <w:sz w:val="24"/>
        </w:rPr>
        <w:t>Neyroud</w:t>
      </w:r>
      <w:proofErr w:type="spellEnd"/>
      <w:r w:rsidR="00475779">
        <w:rPr>
          <w:rFonts w:asciiTheme="minorHAnsi" w:hAnsiTheme="minorHAnsi" w:cstheme="minorHAnsi"/>
          <w:sz w:val="24"/>
        </w:rPr>
        <w:t xml:space="preserve">, 2011). </w:t>
      </w:r>
    </w:p>
    <w:p w:rsidR="00ED540E" w:rsidRDefault="00ED540E">
      <w:pPr>
        <w:rPr>
          <w:rFonts w:asciiTheme="minorHAnsi" w:hAnsiTheme="minorHAnsi" w:cstheme="minorHAnsi"/>
          <w:sz w:val="24"/>
        </w:rPr>
      </w:pPr>
    </w:p>
    <w:p w:rsidR="00ED540E" w:rsidRDefault="00ED540E">
      <w:pPr>
        <w:rPr>
          <w:rFonts w:asciiTheme="minorHAnsi" w:hAnsiTheme="minorHAnsi" w:cstheme="minorHAnsi"/>
          <w:sz w:val="24"/>
        </w:rPr>
      </w:pPr>
      <w:r>
        <w:rPr>
          <w:rFonts w:asciiTheme="minorHAnsi" w:hAnsiTheme="minorHAnsi" w:cstheme="minorHAnsi"/>
          <w:sz w:val="24"/>
        </w:rPr>
        <w:t>For a number of years, issues of fairness, probity, trust and legitimacy has been a heated debate in relation to police forces in the United Kingdom (UK). The importance of public trust is constantly restated and its decline, constantly bemoaned. The relationship between the police and the public is a central concern to all communities. The implications of loss of public trust and the de-legitimation of the police are huge, as police rely on the consent, assistance and cooperation of the public (Jackson et al, 2013)</w:t>
      </w:r>
      <w:r w:rsidR="00772697">
        <w:rPr>
          <w:rFonts w:asciiTheme="minorHAnsi" w:hAnsiTheme="minorHAnsi" w:cstheme="minorHAnsi"/>
          <w:sz w:val="24"/>
        </w:rPr>
        <w:t>. Consent is integral to service deliver by the police and is linked to maintaining professional standards.</w:t>
      </w:r>
    </w:p>
    <w:p w:rsidR="00772697" w:rsidRDefault="00772697">
      <w:pPr>
        <w:rPr>
          <w:rFonts w:asciiTheme="minorHAnsi" w:hAnsiTheme="minorHAnsi" w:cstheme="minorHAnsi"/>
          <w:sz w:val="24"/>
        </w:rPr>
      </w:pPr>
    </w:p>
    <w:p w:rsidR="00772697" w:rsidRDefault="00772697">
      <w:pPr>
        <w:rPr>
          <w:rFonts w:asciiTheme="minorHAnsi" w:hAnsiTheme="minorHAnsi" w:cstheme="minorHAnsi"/>
          <w:sz w:val="24"/>
        </w:rPr>
      </w:pPr>
      <w:r>
        <w:rPr>
          <w:rFonts w:asciiTheme="minorHAnsi" w:hAnsiTheme="minorHAnsi" w:cstheme="minorHAnsi"/>
          <w:sz w:val="24"/>
        </w:rPr>
        <w:t xml:space="preserve">Maintenance of professional standards is vital in ensuring public confidence and trust, as well as ensuring police legitimacy. Trust and confidence can be undermined by the failure to manage misconduct. It was identified that there must be overriding bodies to ensure legitimacy; this is currently managed by the Independent Office for Police Conduct (IOPC) and local forces Professional Standards Departments (PSD). Internal investigations are conducted by PSD. This department receives, records, investigates and resolves public complaints and misconduct allegations. All issues dealt with by PSD are done so openly in accordance with the code of ethics (BOB, 2021). </w:t>
      </w:r>
    </w:p>
    <w:p w:rsidR="00703AA0" w:rsidRDefault="00703AA0">
      <w:pPr>
        <w:rPr>
          <w:rFonts w:asciiTheme="minorHAnsi" w:hAnsiTheme="minorHAnsi" w:cstheme="minorHAnsi"/>
          <w:sz w:val="24"/>
        </w:rPr>
      </w:pPr>
    </w:p>
    <w:p w:rsidR="00703AA0" w:rsidRDefault="00703AA0">
      <w:pPr>
        <w:rPr>
          <w:rFonts w:asciiTheme="minorHAnsi" w:hAnsiTheme="minorHAnsi" w:cstheme="minorHAnsi"/>
          <w:sz w:val="24"/>
        </w:rPr>
      </w:pPr>
      <w:r>
        <w:rPr>
          <w:rFonts w:asciiTheme="minorHAnsi" w:hAnsiTheme="minorHAnsi" w:cstheme="minorHAnsi"/>
          <w:sz w:val="24"/>
        </w:rPr>
        <w:lastRenderedPageBreak/>
        <w:t xml:space="preserve">The IOPC are independent of the police, the government and any interest groups. They investigate the most serious incidents and allegations involving police in both England and Wales. Although though most complaints are dealt with by PSDs, by law forces must report certain incidents to the IOPC which include, allegations of serious corruption or serious assault, indications police officers have committed misconduct, if an officer has direct or indirect contact with an individual prior to them being seriously injured or if they have died (IOPC, 2021). The IOPC is also able to consider incidents which have not been referred to them if they deem necessary and investigate them. </w:t>
      </w:r>
    </w:p>
    <w:p w:rsidR="00703AA0" w:rsidRDefault="00703AA0">
      <w:pPr>
        <w:rPr>
          <w:rFonts w:asciiTheme="minorHAnsi" w:hAnsiTheme="minorHAnsi" w:cstheme="minorHAnsi"/>
          <w:sz w:val="24"/>
        </w:rPr>
      </w:pPr>
    </w:p>
    <w:p w:rsidR="00774993" w:rsidRDefault="00774993">
      <w:pPr>
        <w:rPr>
          <w:rFonts w:asciiTheme="minorHAnsi" w:hAnsiTheme="minorHAnsi" w:cstheme="minorHAnsi"/>
          <w:sz w:val="24"/>
        </w:rPr>
      </w:pPr>
      <w:r>
        <w:rPr>
          <w:rFonts w:asciiTheme="minorHAnsi" w:hAnsiTheme="minorHAnsi" w:cstheme="minorHAnsi"/>
          <w:sz w:val="24"/>
        </w:rPr>
        <w:t>Pollock (1998) argues that ethical policing is particular important as the police are empowered with significant discretion which allow them to make decisions that affect the life, liberty and property of individuals, they are able to use force in certain situations, they have a duty to withheld the law, they are authorised to use deceptive methods to investigate crime and have a duty to protect the most vulnerable groups. The day to day decisions made by the police when undertaking their duties can make a differenc</w:t>
      </w:r>
      <w:r w:rsidR="008856B9">
        <w:rPr>
          <w:rFonts w:asciiTheme="minorHAnsi" w:hAnsiTheme="minorHAnsi" w:cstheme="minorHAnsi"/>
          <w:sz w:val="24"/>
        </w:rPr>
        <w:t xml:space="preserve">e to the outcome of situations, being ethical ensures decisions are made without biased and are based on the incident in front of them. </w:t>
      </w:r>
    </w:p>
    <w:p w:rsidR="00791056" w:rsidRDefault="00791056">
      <w:pPr>
        <w:rPr>
          <w:rFonts w:asciiTheme="minorHAnsi" w:hAnsiTheme="minorHAnsi" w:cstheme="minorHAnsi"/>
          <w:sz w:val="24"/>
        </w:rPr>
      </w:pPr>
    </w:p>
    <w:p w:rsidR="00791056" w:rsidRDefault="00791056">
      <w:pPr>
        <w:rPr>
          <w:rFonts w:asciiTheme="minorHAnsi" w:hAnsiTheme="minorHAnsi" w:cstheme="minorHAnsi"/>
          <w:sz w:val="24"/>
        </w:rPr>
      </w:pPr>
      <w:r>
        <w:rPr>
          <w:rFonts w:asciiTheme="minorHAnsi" w:hAnsiTheme="minorHAnsi" w:cstheme="minorHAnsi"/>
          <w:sz w:val="24"/>
        </w:rPr>
        <w:t xml:space="preserve">Part of ethical policing is inclusivity. </w:t>
      </w:r>
      <w:proofErr w:type="spellStart"/>
      <w:r>
        <w:rPr>
          <w:rFonts w:asciiTheme="minorHAnsi" w:hAnsiTheme="minorHAnsi" w:cstheme="minorHAnsi"/>
          <w:sz w:val="24"/>
        </w:rPr>
        <w:t>Peelian</w:t>
      </w:r>
      <w:proofErr w:type="spellEnd"/>
      <w:r>
        <w:rPr>
          <w:rFonts w:asciiTheme="minorHAnsi" w:hAnsiTheme="minorHAnsi" w:cstheme="minorHAnsi"/>
          <w:sz w:val="24"/>
        </w:rPr>
        <w:t xml:space="preserve"> principles ensure police serve members of the public without regard to race or social standing however, attempts to modernise policing and reform it into a more professional stance with more rigid performance management regimes, has inadvertently caused the police to have an ‘us against the world’ mentality (Workman-Stark, 2017).</w:t>
      </w:r>
      <w:r w:rsidR="008C13B9">
        <w:rPr>
          <w:rFonts w:asciiTheme="minorHAnsi" w:hAnsiTheme="minorHAnsi" w:cstheme="minorHAnsi"/>
          <w:sz w:val="24"/>
        </w:rPr>
        <w:t xml:space="preserve"> Another part to inclusive policing is the requirement for forces to be more diverse, ensuring communities of certain races and social standings have the belief that the police is inclusive however, some studies show regardless of race or social standing of the officer, bias still exists. </w:t>
      </w:r>
    </w:p>
    <w:p w:rsidR="00703AA0" w:rsidRDefault="00703AA0">
      <w:pPr>
        <w:rPr>
          <w:rFonts w:asciiTheme="minorHAnsi" w:hAnsiTheme="minorHAnsi" w:cstheme="minorHAnsi"/>
          <w:sz w:val="24"/>
        </w:rPr>
      </w:pPr>
    </w:p>
    <w:p w:rsidR="00ED540E" w:rsidRDefault="008C13B9">
      <w:pPr>
        <w:rPr>
          <w:rFonts w:asciiTheme="minorHAnsi" w:hAnsiTheme="minorHAnsi" w:cstheme="minorHAnsi"/>
          <w:sz w:val="24"/>
        </w:rPr>
      </w:pPr>
      <w:r>
        <w:rPr>
          <w:rFonts w:asciiTheme="minorHAnsi" w:hAnsiTheme="minorHAnsi" w:cstheme="minorHAnsi"/>
          <w:sz w:val="24"/>
        </w:rPr>
        <w:t>The new professional model of policing concentrates on neighbourhood policing, reinventing the role of a response officer as an expert and leader who is culturally aware, knowledgeable and highly skilled (Savage, 2007). The professional model is driven on the basis of current ‘harms’ such as crimes, events, social stresses, where strategies are continuously being formulated to tackle those issues. However, these ‘harms’ are very rarely concentrated which means effective policing is diffi</w:t>
      </w:r>
      <w:r w:rsidR="0089766D">
        <w:rPr>
          <w:rFonts w:asciiTheme="minorHAnsi" w:hAnsiTheme="minorHAnsi" w:cstheme="minorHAnsi"/>
          <w:sz w:val="24"/>
        </w:rPr>
        <w:t>cult. The professional model must</w:t>
      </w:r>
      <w:r>
        <w:rPr>
          <w:rFonts w:asciiTheme="minorHAnsi" w:hAnsiTheme="minorHAnsi" w:cstheme="minorHAnsi"/>
          <w:sz w:val="24"/>
        </w:rPr>
        <w:t xml:space="preserve"> make greater use of science and evidence to detect and understand current issues</w:t>
      </w:r>
      <w:r w:rsidR="0089766D">
        <w:rPr>
          <w:rFonts w:asciiTheme="minorHAnsi" w:hAnsiTheme="minorHAnsi" w:cstheme="minorHAnsi"/>
          <w:sz w:val="24"/>
        </w:rPr>
        <w:t xml:space="preserve"> though, this is not seen as a priority to many officers within the police. </w:t>
      </w:r>
    </w:p>
    <w:p w:rsidR="00ED540E" w:rsidRDefault="00ED540E">
      <w:pPr>
        <w:rPr>
          <w:rFonts w:asciiTheme="minorHAnsi" w:hAnsiTheme="minorHAnsi" w:cstheme="minorHAnsi"/>
          <w:sz w:val="24"/>
        </w:rPr>
      </w:pPr>
    </w:p>
    <w:p w:rsidR="00ED540E" w:rsidRDefault="00B02B39">
      <w:pPr>
        <w:rPr>
          <w:rFonts w:asciiTheme="minorHAnsi" w:hAnsiTheme="minorHAnsi" w:cstheme="minorHAnsi"/>
          <w:sz w:val="24"/>
        </w:rPr>
      </w:pPr>
      <w:r>
        <w:rPr>
          <w:rFonts w:asciiTheme="minorHAnsi" w:hAnsiTheme="minorHAnsi" w:cstheme="minorHAnsi"/>
          <w:sz w:val="24"/>
        </w:rPr>
        <w:t>In order for these professional standards to be understood and upheld, it is vital the police utilise coaching and mentoring. Positive behaviours used by coaches and mentors contribute to a more positive workforce and allow for a collaborative style of working (Gonzalez, 2004). Coaching allows for formal rules to be set which often involve a dual focus on the individual and the needs of the organisation. Following this, mentoring allows a more informal relationship and typically focusses on the individual (Hawkins &amp; Smith, 2006)</w:t>
      </w:r>
    </w:p>
    <w:p w:rsidR="00631556" w:rsidRDefault="00631556">
      <w:pPr>
        <w:rPr>
          <w:rFonts w:asciiTheme="minorHAnsi" w:hAnsiTheme="minorHAnsi" w:cstheme="minorHAnsi"/>
          <w:sz w:val="24"/>
        </w:rPr>
      </w:pPr>
    </w:p>
    <w:p w:rsidR="00631556" w:rsidRDefault="00631556"/>
    <w:p w:rsidR="00E162DE" w:rsidRDefault="00E162DE"/>
    <w:p w:rsidR="00E162DE" w:rsidRDefault="00E162DE"/>
    <w:p w:rsidR="00E65182" w:rsidRDefault="00E65182"/>
    <w:p w:rsidR="00E65182" w:rsidRDefault="00E65182"/>
    <w:p w:rsidR="00E65182" w:rsidRDefault="00E65182">
      <w:pPr>
        <w:spacing w:after="160" w:line="259" w:lineRule="auto"/>
      </w:pPr>
    </w:p>
    <w:p w:rsidR="0015032A" w:rsidRDefault="0015032A">
      <w:pPr>
        <w:rPr>
          <w:rFonts w:ascii="Segoe UI" w:hAnsi="Segoe UI" w:cs="Segoe UI"/>
          <w:color w:val="000000"/>
          <w:shd w:val="clear" w:color="auto" w:fill="F6F7F8"/>
        </w:rPr>
      </w:pPr>
    </w:p>
    <w:p w:rsidR="0015032A" w:rsidRDefault="0015032A">
      <w:pPr>
        <w:rPr>
          <w:rFonts w:ascii="Segoe UI" w:hAnsi="Segoe UI" w:cs="Segoe UI"/>
          <w:color w:val="000000"/>
          <w:shd w:val="clear" w:color="auto" w:fill="F6F7F8"/>
        </w:rPr>
      </w:pPr>
    </w:p>
    <w:p w:rsidR="0015032A" w:rsidRDefault="0015032A">
      <w:pPr>
        <w:rPr>
          <w:rFonts w:ascii="Segoe UI" w:hAnsi="Segoe UI" w:cs="Segoe UI"/>
          <w:color w:val="000000"/>
          <w:shd w:val="clear" w:color="auto" w:fill="F6F7F8"/>
        </w:rPr>
      </w:pPr>
    </w:p>
    <w:p w:rsidR="0015032A" w:rsidRDefault="0015032A">
      <w:pPr>
        <w:rPr>
          <w:rFonts w:ascii="Segoe UI" w:hAnsi="Segoe UI" w:cs="Segoe UI"/>
          <w:color w:val="000000"/>
          <w:shd w:val="clear" w:color="auto" w:fill="F6F7F8"/>
        </w:rPr>
      </w:pPr>
    </w:p>
    <w:p w:rsidR="0015032A" w:rsidRDefault="0015032A">
      <w:pPr>
        <w:rPr>
          <w:rFonts w:ascii="Segoe UI" w:hAnsi="Segoe UI" w:cs="Segoe UI"/>
          <w:color w:val="000000"/>
          <w:shd w:val="clear" w:color="auto" w:fill="F6F7F8"/>
        </w:rPr>
      </w:pPr>
    </w:p>
    <w:p w:rsidR="0015032A" w:rsidRDefault="0015032A">
      <w:pPr>
        <w:rPr>
          <w:rFonts w:ascii="Segoe UI" w:hAnsi="Segoe UI" w:cs="Segoe UI"/>
          <w:color w:val="000000"/>
          <w:shd w:val="clear" w:color="auto" w:fill="F6F7F8"/>
        </w:rPr>
      </w:pPr>
    </w:p>
    <w:p w:rsidR="0015032A" w:rsidRPr="006239EB" w:rsidRDefault="0015032A">
      <w:pPr>
        <w:rPr>
          <w:rFonts w:asciiTheme="minorHAnsi" w:hAnsiTheme="minorHAnsi" w:cstheme="minorHAnsi"/>
          <w:b/>
          <w:sz w:val="24"/>
          <w:szCs w:val="24"/>
          <w:u w:val="single"/>
        </w:rPr>
      </w:pPr>
      <w:r w:rsidRPr="006239EB">
        <w:rPr>
          <w:rFonts w:asciiTheme="minorHAnsi" w:hAnsiTheme="minorHAnsi" w:cstheme="minorHAnsi"/>
          <w:b/>
          <w:sz w:val="24"/>
          <w:szCs w:val="24"/>
          <w:u w:val="single"/>
        </w:rPr>
        <w:t>References</w:t>
      </w:r>
    </w:p>
    <w:p w:rsidR="00ED540E" w:rsidRPr="006239EB" w:rsidRDefault="00ED540E">
      <w:pPr>
        <w:rPr>
          <w:rFonts w:asciiTheme="minorHAnsi" w:hAnsiTheme="minorHAnsi" w:cstheme="minorHAnsi"/>
          <w:color w:val="000000"/>
          <w:sz w:val="24"/>
          <w:szCs w:val="24"/>
          <w:shd w:val="clear" w:color="auto" w:fill="FFFFFF"/>
        </w:rPr>
      </w:pPr>
    </w:p>
    <w:p w:rsidR="00772697" w:rsidRPr="006239EB" w:rsidRDefault="00772697">
      <w:pPr>
        <w:rPr>
          <w:rFonts w:asciiTheme="minorHAnsi" w:hAnsiTheme="minorHAnsi" w:cstheme="minorHAnsi"/>
          <w:color w:val="000000"/>
          <w:sz w:val="24"/>
          <w:szCs w:val="24"/>
          <w:shd w:val="clear" w:color="auto" w:fill="FFFFFF"/>
        </w:rPr>
      </w:pPr>
    </w:p>
    <w:p w:rsidR="00772697" w:rsidRPr="006239EB" w:rsidRDefault="00772697">
      <w:pPr>
        <w:rPr>
          <w:rFonts w:asciiTheme="minorHAnsi" w:hAnsiTheme="minorHAnsi" w:cstheme="minorHAnsi"/>
          <w:color w:val="000000"/>
          <w:sz w:val="24"/>
          <w:szCs w:val="24"/>
          <w:shd w:val="clear" w:color="auto" w:fill="FFFFFF"/>
        </w:rPr>
      </w:pPr>
      <w:r w:rsidRPr="006239EB">
        <w:rPr>
          <w:rFonts w:asciiTheme="minorHAnsi" w:hAnsiTheme="minorHAnsi" w:cstheme="minorHAnsi"/>
          <w:color w:val="000000"/>
          <w:sz w:val="24"/>
          <w:szCs w:val="24"/>
          <w:shd w:val="clear" w:color="auto" w:fill="FFFFFF"/>
        </w:rPr>
        <w:t>BOB. 2021. </w:t>
      </w:r>
      <w:r w:rsidRPr="006239EB">
        <w:rPr>
          <w:rFonts w:asciiTheme="minorHAnsi" w:hAnsiTheme="minorHAnsi" w:cstheme="minorHAnsi"/>
          <w:i/>
          <w:iCs/>
          <w:color w:val="000000"/>
          <w:sz w:val="24"/>
          <w:szCs w:val="24"/>
          <w:shd w:val="clear" w:color="auto" w:fill="FFFFFF"/>
        </w:rPr>
        <w:t>Professional Standards Department</w:t>
      </w:r>
      <w:r w:rsidRPr="006239EB">
        <w:rPr>
          <w:rFonts w:asciiTheme="minorHAnsi" w:hAnsiTheme="minorHAnsi" w:cstheme="minorHAnsi"/>
          <w:color w:val="000000"/>
          <w:sz w:val="24"/>
          <w:szCs w:val="24"/>
          <w:shd w:val="clear" w:color="auto" w:fill="FFFFFF"/>
        </w:rPr>
        <w:t>. [</w:t>
      </w:r>
      <w:proofErr w:type="gramStart"/>
      <w:r w:rsidRPr="006239EB">
        <w:rPr>
          <w:rFonts w:asciiTheme="minorHAnsi" w:hAnsiTheme="minorHAnsi" w:cstheme="minorHAnsi"/>
          <w:color w:val="000000"/>
          <w:sz w:val="24"/>
          <w:szCs w:val="24"/>
          <w:shd w:val="clear" w:color="auto" w:fill="FFFFFF"/>
        </w:rPr>
        <w:t>online</w:t>
      </w:r>
      <w:proofErr w:type="gramEnd"/>
      <w:r w:rsidRPr="006239EB">
        <w:rPr>
          <w:rFonts w:asciiTheme="minorHAnsi" w:hAnsiTheme="minorHAnsi" w:cstheme="minorHAnsi"/>
          <w:color w:val="000000"/>
          <w:sz w:val="24"/>
          <w:szCs w:val="24"/>
          <w:shd w:val="clear" w:color="auto" w:fill="FFFFFF"/>
        </w:rPr>
        <w:t>] Available at: &lt;https://bob.swp-rest.police.int/sorce/beacon/default.aspx?pageid=ProfessionalStandardsDepartment&gt; [Accessed 1 July 2021].</w:t>
      </w:r>
    </w:p>
    <w:p w:rsidR="008856B9" w:rsidRDefault="008856B9">
      <w:pPr>
        <w:rPr>
          <w:rFonts w:asciiTheme="minorHAnsi" w:hAnsiTheme="minorHAnsi" w:cstheme="minorHAnsi"/>
          <w:color w:val="000000"/>
          <w:sz w:val="24"/>
          <w:szCs w:val="24"/>
          <w:shd w:val="clear" w:color="auto" w:fill="FFFFFF"/>
        </w:rPr>
      </w:pPr>
    </w:p>
    <w:p w:rsidR="006239EB" w:rsidRDefault="006239EB" w:rsidP="006239EB">
      <w:pPr>
        <w:rPr>
          <w:rFonts w:asciiTheme="minorHAnsi" w:hAnsiTheme="minorHAnsi" w:cstheme="minorHAnsi"/>
          <w:sz w:val="24"/>
          <w:szCs w:val="24"/>
        </w:rPr>
      </w:pPr>
      <w:r w:rsidRPr="006239EB">
        <w:rPr>
          <w:rFonts w:asciiTheme="minorHAnsi" w:hAnsiTheme="minorHAnsi" w:cstheme="minorHAnsi"/>
          <w:sz w:val="24"/>
          <w:szCs w:val="24"/>
        </w:rPr>
        <w:t xml:space="preserve">Gonzalez, A. L. (2004). Transforming conversations: Executive coaches and business leaders in dialogical collaboration for growth. Dissertation Abstract International Section A: Humanities and Social Science, Vol. 65 (3-A) 1023. Ann </w:t>
      </w:r>
      <w:proofErr w:type="spellStart"/>
      <w:r w:rsidRPr="006239EB">
        <w:rPr>
          <w:rFonts w:asciiTheme="minorHAnsi" w:hAnsiTheme="minorHAnsi" w:cstheme="minorHAnsi"/>
          <w:sz w:val="24"/>
          <w:szCs w:val="24"/>
        </w:rPr>
        <w:t>Arbor</w:t>
      </w:r>
      <w:proofErr w:type="spellEnd"/>
      <w:r w:rsidRPr="006239EB">
        <w:rPr>
          <w:rFonts w:asciiTheme="minorHAnsi" w:hAnsiTheme="minorHAnsi" w:cstheme="minorHAnsi"/>
          <w:sz w:val="24"/>
          <w:szCs w:val="24"/>
        </w:rPr>
        <w:t xml:space="preserve">, MI: </w:t>
      </w:r>
      <w:proofErr w:type="spellStart"/>
      <w:r w:rsidRPr="006239EB">
        <w:rPr>
          <w:rFonts w:asciiTheme="minorHAnsi" w:hAnsiTheme="minorHAnsi" w:cstheme="minorHAnsi"/>
          <w:sz w:val="24"/>
          <w:szCs w:val="24"/>
        </w:rPr>
        <w:t>Proquest</w:t>
      </w:r>
      <w:proofErr w:type="spellEnd"/>
      <w:r w:rsidRPr="006239EB">
        <w:rPr>
          <w:rFonts w:asciiTheme="minorHAnsi" w:hAnsiTheme="minorHAnsi" w:cstheme="minorHAnsi"/>
          <w:sz w:val="24"/>
          <w:szCs w:val="24"/>
        </w:rPr>
        <w:t>, International Microfilms International.</w:t>
      </w:r>
    </w:p>
    <w:p w:rsidR="006239EB" w:rsidRDefault="006239EB" w:rsidP="006239EB">
      <w:pPr>
        <w:rPr>
          <w:rFonts w:asciiTheme="minorHAnsi" w:hAnsiTheme="minorHAnsi" w:cstheme="minorHAnsi"/>
          <w:sz w:val="24"/>
          <w:szCs w:val="24"/>
        </w:rPr>
      </w:pPr>
    </w:p>
    <w:p w:rsidR="006239EB" w:rsidRPr="006239EB" w:rsidRDefault="006239EB" w:rsidP="006239EB">
      <w:pPr>
        <w:rPr>
          <w:rFonts w:asciiTheme="minorHAnsi" w:hAnsiTheme="minorHAnsi" w:cstheme="minorHAnsi"/>
          <w:sz w:val="24"/>
          <w:szCs w:val="24"/>
        </w:rPr>
      </w:pPr>
      <w:r w:rsidRPr="006239EB">
        <w:rPr>
          <w:rFonts w:asciiTheme="minorHAnsi" w:hAnsiTheme="minorHAnsi" w:cstheme="minorHAnsi"/>
          <w:sz w:val="24"/>
          <w:szCs w:val="24"/>
        </w:rPr>
        <w:t>Hawkins, P. &amp; Smith, N. (2006) Coaching, mentoring &amp; organisational consulting. Open University: Buckingham.</w:t>
      </w:r>
    </w:p>
    <w:p w:rsidR="006239EB" w:rsidRPr="006239EB" w:rsidRDefault="006239EB" w:rsidP="006239EB">
      <w:pPr>
        <w:rPr>
          <w:rFonts w:asciiTheme="minorHAnsi" w:hAnsiTheme="minorHAnsi" w:cstheme="minorHAnsi"/>
          <w:sz w:val="24"/>
          <w:szCs w:val="24"/>
        </w:rPr>
      </w:pPr>
    </w:p>
    <w:p w:rsidR="006239EB" w:rsidRPr="006239EB" w:rsidRDefault="006239EB" w:rsidP="006239EB">
      <w:pPr>
        <w:rPr>
          <w:rFonts w:asciiTheme="minorHAnsi" w:hAnsiTheme="minorHAnsi" w:cstheme="minorHAnsi"/>
          <w:color w:val="000000"/>
          <w:sz w:val="24"/>
          <w:szCs w:val="24"/>
          <w:shd w:val="clear" w:color="auto" w:fill="FFFFFF"/>
        </w:rPr>
      </w:pPr>
      <w:r w:rsidRPr="006239EB">
        <w:rPr>
          <w:rFonts w:asciiTheme="minorHAnsi" w:hAnsiTheme="minorHAnsi" w:cstheme="minorHAnsi"/>
          <w:color w:val="000000"/>
          <w:sz w:val="24"/>
          <w:szCs w:val="24"/>
          <w:shd w:val="clear" w:color="auto" w:fill="FFFFFF"/>
        </w:rPr>
        <w:t xml:space="preserve">Jackson, J., Bradford, B., </w:t>
      </w:r>
      <w:proofErr w:type="spellStart"/>
      <w:r w:rsidRPr="006239EB">
        <w:rPr>
          <w:rFonts w:asciiTheme="minorHAnsi" w:hAnsiTheme="minorHAnsi" w:cstheme="minorHAnsi"/>
          <w:color w:val="000000"/>
          <w:sz w:val="24"/>
          <w:szCs w:val="24"/>
          <w:shd w:val="clear" w:color="auto" w:fill="FFFFFF"/>
        </w:rPr>
        <w:t>Stanko</w:t>
      </w:r>
      <w:proofErr w:type="spellEnd"/>
      <w:r w:rsidRPr="006239EB">
        <w:rPr>
          <w:rFonts w:asciiTheme="minorHAnsi" w:hAnsiTheme="minorHAnsi" w:cstheme="minorHAnsi"/>
          <w:color w:val="000000"/>
          <w:sz w:val="24"/>
          <w:szCs w:val="24"/>
          <w:shd w:val="clear" w:color="auto" w:fill="FFFFFF"/>
        </w:rPr>
        <w:t xml:space="preserve">, B. and </w:t>
      </w:r>
      <w:proofErr w:type="spellStart"/>
      <w:r w:rsidRPr="006239EB">
        <w:rPr>
          <w:rFonts w:asciiTheme="minorHAnsi" w:hAnsiTheme="minorHAnsi" w:cstheme="minorHAnsi"/>
          <w:color w:val="000000"/>
          <w:sz w:val="24"/>
          <w:szCs w:val="24"/>
          <w:shd w:val="clear" w:color="auto" w:fill="FFFFFF"/>
        </w:rPr>
        <w:t>Hohl</w:t>
      </w:r>
      <w:proofErr w:type="spellEnd"/>
      <w:r w:rsidRPr="006239EB">
        <w:rPr>
          <w:rFonts w:asciiTheme="minorHAnsi" w:hAnsiTheme="minorHAnsi" w:cstheme="minorHAnsi"/>
          <w:color w:val="000000"/>
          <w:sz w:val="24"/>
          <w:szCs w:val="24"/>
          <w:shd w:val="clear" w:color="auto" w:fill="FFFFFF"/>
        </w:rPr>
        <w:t>, K., 2013. </w:t>
      </w:r>
      <w:r w:rsidRPr="006239EB">
        <w:rPr>
          <w:rFonts w:asciiTheme="minorHAnsi" w:hAnsiTheme="minorHAnsi" w:cstheme="minorHAnsi"/>
          <w:i/>
          <w:iCs/>
          <w:color w:val="000000"/>
          <w:sz w:val="24"/>
          <w:szCs w:val="24"/>
          <w:shd w:val="clear" w:color="auto" w:fill="FFFFFF"/>
        </w:rPr>
        <w:t>Just Authority? Trust in the police in England and Wales</w:t>
      </w:r>
      <w:r w:rsidRPr="006239EB">
        <w:rPr>
          <w:rFonts w:asciiTheme="minorHAnsi" w:hAnsiTheme="minorHAnsi" w:cstheme="minorHAnsi"/>
          <w:color w:val="000000"/>
          <w:sz w:val="24"/>
          <w:szCs w:val="24"/>
          <w:shd w:val="clear" w:color="auto" w:fill="FFFFFF"/>
        </w:rPr>
        <w:t>. Oxon: Routledge.</w:t>
      </w:r>
    </w:p>
    <w:p w:rsidR="006239EB" w:rsidRDefault="006239EB">
      <w:pPr>
        <w:rPr>
          <w:rFonts w:asciiTheme="minorHAnsi" w:hAnsiTheme="minorHAnsi" w:cstheme="minorHAnsi"/>
          <w:color w:val="000000"/>
          <w:sz w:val="24"/>
          <w:szCs w:val="24"/>
          <w:shd w:val="clear" w:color="auto" w:fill="FFFFFF"/>
        </w:rPr>
      </w:pPr>
    </w:p>
    <w:p w:rsidR="006239EB" w:rsidRPr="006239EB" w:rsidRDefault="006239EB" w:rsidP="006239EB">
      <w:pPr>
        <w:rPr>
          <w:rFonts w:asciiTheme="minorHAnsi" w:hAnsiTheme="minorHAnsi" w:cstheme="minorHAnsi"/>
          <w:color w:val="000000"/>
          <w:sz w:val="24"/>
          <w:szCs w:val="24"/>
          <w:shd w:val="clear" w:color="auto" w:fill="FFFFFF"/>
        </w:rPr>
      </w:pPr>
      <w:proofErr w:type="spellStart"/>
      <w:r w:rsidRPr="006239EB">
        <w:rPr>
          <w:rFonts w:asciiTheme="minorHAnsi" w:hAnsiTheme="minorHAnsi" w:cstheme="minorHAnsi"/>
          <w:color w:val="000000"/>
          <w:sz w:val="24"/>
          <w:szCs w:val="24"/>
          <w:shd w:val="clear" w:color="auto" w:fill="FFFFFF"/>
        </w:rPr>
        <w:t>Neyroud</w:t>
      </w:r>
      <w:proofErr w:type="spellEnd"/>
      <w:r w:rsidRPr="006239EB">
        <w:rPr>
          <w:rFonts w:asciiTheme="minorHAnsi" w:hAnsiTheme="minorHAnsi" w:cstheme="minorHAnsi"/>
          <w:color w:val="000000"/>
          <w:sz w:val="24"/>
          <w:szCs w:val="24"/>
          <w:shd w:val="clear" w:color="auto" w:fill="FFFFFF"/>
        </w:rPr>
        <w:t>, P., 2011. </w:t>
      </w:r>
      <w:r w:rsidRPr="006239EB">
        <w:rPr>
          <w:rFonts w:asciiTheme="minorHAnsi" w:hAnsiTheme="minorHAnsi" w:cstheme="minorHAnsi"/>
          <w:i/>
          <w:iCs/>
          <w:color w:val="000000"/>
          <w:sz w:val="24"/>
          <w:szCs w:val="24"/>
          <w:shd w:val="clear" w:color="auto" w:fill="FFFFFF"/>
        </w:rPr>
        <w:t>Review of Police Training and Leadership</w:t>
      </w:r>
      <w:r w:rsidRPr="006239EB">
        <w:rPr>
          <w:rFonts w:asciiTheme="minorHAnsi" w:hAnsiTheme="minorHAnsi" w:cstheme="minorHAnsi"/>
          <w:color w:val="000000"/>
          <w:sz w:val="24"/>
          <w:szCs w:val="24"/>
          <w:shd w:val="clear" w:color="auto" w:fill="FFFFFF"/>
        </w:rPr>
        <w:t>. 1st ed. [</w:t>
      </w:r>
      <w:proofErr w:type="spellStart"/>
      <w:r w:rsidRPr="006239EB">
        <w:rPr>
          <w:rFonts w:asciiTheme="minorHAnsi" w:hAnsiTheme="minorHAnsi" w:cstheme="minorHAnsi"/>
          <w:color w:val="000000"/>
          <w:sz w:val="24"/>
          <w:szCs w:val="24"/>
          <w:shd w:val="clear" w:color="auto" w:fill="FFFFFF"/>
        </w:rPr>
        <w:t>ebook</w:t>
      </w:r>
      <w:proofErr w:type="spellEnd"/>
      <w:r w:rsidRPr="006239EB">
        <w:rPr>
          <w:rFonts w:asciiTheme="minorHAnsi" w:hAnsiTheme="minorHAnsi" w:cstheme="minorHAnsi"/>
          <w:color w:val="000000"/>
          <w:sz w:val="24"/>
          <w:szCs w:val="24"/>
          <w:shd w:val="clear" w:color="auto" w:fill="FFFFFF"/>
        </w:rPr>
        <w:t>] Available at: &lt;https://assets.publishing.service.gov.uk/government/uploads/system/uploads/attachment_data/file/118222/report.pdf&gt; [Accessed 19 June 2021].</w:t>
      </w:r>
    </w:p>
    <w:p w:rsidR="006239EB" w:rsidRPr="006239EB" w:rsidRDefault="006239EB">
      <w:pPr>
        <w:rPr>
          <w:rFonts w:asciiTheme="minorHAnsi" w:hAnsiTheme="minorHAnsi" w:cstheme="minorHAnsi"/>
          <w:color w:val="000000"/>
          <w:sz w:val="24"/>
          <w:szCs w:val="24"/>
          <w:shd w:val="clear" w:color="auto" w:fill="FFFFFF"/>
        </w:rPr>
      </w:pPr>
    </w:p>
    <w:p w:rsidR="008856B9" w:rsidRPr="006239EB" w:rsidRDefault="008856B9">
      <w:pPr>
        <w:rPr>
          <w:rFonts w:asciiTheme="minorHAnsi" w:hAnsiTheme="minorHAnsi" w:cstheme="minorHAnsi"/>
          <w:color w:val="000000"/>
          <w:sz w:val="24"/>
          <w:szCs w:val="24"/>
          <w:shd w:val="clear" w:color="auto" w:fill="FFFFFF"/>
        </w:rPr>
      </w:pPr>
      <w:r w:rsidRPr="006239EB">
        <w:rPr>
          <w:rFonts w:asciiTheme="minorHAnsi" w:hAnsiTheme="minorHAnsi" w:cstheme="minorHAnsi"/>
          <w:color w:val="000000"/>
          <w:sz w:val="24"/>
          <w:szCs w:val="24"/>
          <w:shd w:val="clear" w:color="auto" w:fill="FFFFFF"/>
        </w:rPr>
        <w:t>Pollock, J</w:t>
      </w:r>
      <w:proofErr w:type="gramStart"/>
      <w:r w:rsidRPr="006239EB">
        <w:rPr>
          <w:rFonts w:asciiTheme="minorHAnsi" w:hAnsiTheme="minorHAnsi" w:cstheme="minorHAnsi"/>
          <w:color w:val="000000"/>
          <w:sz w:val="24"/>
          <w:szCs w:val="24"/>
          <w:shd w:val="clear" w:color="auto" w:fill="FFFFFF"/>
        </w:rPr>
        <w:t>,.</w:t>
      </w:r>
      <w:proofErr w:type="gramEnd"/>
      <w:r w:rsidRPr="006239EB">
        <w:rPr>
          <w:rFonts w:asciiTheme="minorHAnsi" w:hAnsiTheme="minorHAnsi" w:cstheme="minorHAnsi"/>
          <w:color w:val="000000"/>
          <w:sz w:val="24"/>
          <w:szCs w:val="24"/>
          <w:shd w:val="clear" w:color="auto" w:fill="FFFFFF"/>
        </w:rPr>
        <w:t xml:space="preserve"> 1998. Ethics in Crime and Justice. Belmont, CA: Wadsworth</w:t>
      </w:r>
    </w:p>
    <w:p w:rsidR="00791056" w:rsidRPr="006239EB" w:rsidRDefault="00791056">
      <w:pPr>
        <w:rPr>
          <w:rFonts w:asciiTheme="minorHAnsi" w:hAnsiTheme="minorHAnsi" w:cstheme="minorHAnsi"/>
          <w:color w:val="000000"/>
          <w:sz w:val="24"/>
          <w:szCs w:val="24"/>
          <w:shd w:val="clear" w:color="auto" w:fill="FFFFFF"/>
        </w:rPr>
      </w:pPr>
    </w:p>
    <w:p w:rsidR="00791056" w:rsidRPr="006239EB" w:rsidRDefault="00791056">
      <w:pPr>
        <w:rPr>
          <w:rFonts w:asciiTheme="minorHAnsi" w:hAnsiTheme="minorHAnsi" w:cstheme="minorHAnsi"/>
          <w:color w:val="000000"/>
          <w:sz w:val="24"/>
          <w:szCs w:val="24"/>
          <w:shd w:val="clear" w:color="auto" w:fill="FFFFFF"/>
        </w:rPr>
      </w:pPr>
      <w:r w:rsidRPr="006239EB">
        <w:rPr>
          <w:rFonts w:asciiTheme="minorHAnsi" w:hAnsiTheme="minorHAnsi" w:cstheme="minorHAnsi"/>
          <w:color w:val="000000"/>
          <w:sz w:val="24"/>
          <w:szCs w:val="24"/>
          <w:shd w:val="clear" w:color="auto" w:fill="FFFFFF"/>
        </w:rPr>
        <w:t>Workman-Stark, A., 2017. </w:t>
      </w:r>
      <w:r w:rsidRPr="006239EB">
        <w:rPr>
          <w:rFonts w:asciiTheme="minorHAnsi" w:hAnsiTheme="minorHAnsi" w:cstheme="minorHAnsi"/>
          <w:i/>
          <w:iCs/>
          <w:color w:val="000000"/>
          <w:sz w:val="24"/>
          <w:szCs w:val="24"/>
          <w:shd w:val="clear" w:color="auto" w:fill="FFFFFF"/>
        </w:rPr>
        <w:t>Inclusive Policing from the Inside Out</w:t>
      </w:r>
      <w:r w:rsidRPr="006239EB">
        <w:rPr>
          <w:rFonts w:asciiTheme="minorHAnsi" w:hAnsiTheme="minorHAnsi" w:cstheme="minorHAnsi"/>
          <w:color w:val="000000"/>
          <w:sz w:val="24"/>
          <w:szCs w:val="24"/>
          <w:shd w:val="clear" w:color="auto" w:fill="FFFFFF"/>
        </w:rPr>
        <w:t xml:space="preserve">. </w:t>
      </w:r>
      <w:proofErr w:type="spellStart"/>
      <w:r w:rsidRPr="006239EB">
        <w:rPr>
          <w:rFonts w:asciiTheme="minorHAnsi" w:hAnsiTheme="minorHAnsi" w:cstheme="minorHAnsi"/>
          <w:color w:val="000000"/>
          <w:sz w:val="24"/>
          <w:szCs w:val="24"/>
          <w:shd w:val="clear" w:color="auto" w:fill="FFFFFF"/>
        </w:rPr>
        <w:t>Otowa</w:t>
      </w:r>
      <w:proofErr w:type="spellEnd"/>
      <w:r w:rsidRPr="006239EB">
        <w:rPr>
          <w:rFonts w:asciiTheme="minorHAnsi" w:hAnsiTheme="minorHAnsi" w:cstheme="minorHAnsi"/>
          <w:color w:val="000000"/>
          <w:sz w:val="24"/>
          <w:szCs w:val="24"/>
          <w:shd w:val="clear" w:color="auto" w:fill="FFFFFF"/>
        </w:rPr>
        <w:t>: Springer.</w:t>
      </w:r>
    </w:p>
    <w:p w:rsidR="00B02B39" w:rsidRPr="006239EB" w:rsidRDefault="00B02B39">
      <w:pPr>
        <w:rPr>
          <w:rFonts w:asciiTheme="minorHAnsi" w:hAnsiTheme="minorHAnsi" w:cstheme="minorHAnsi"/>
          <w:color w:val="000000"/>
          <w:sz w:val="24"/>
          <w:szCs w:val="24"/>
          <w:shd w:val="clear" w:color="auto" w:fill="FFFFFF"/>
        </w:rPr>
      </w:pPr>
    </w:p>
    <w:p w:rsidR="00B02B39" w:rsidRPr="006239EB" w:rsidRDefault="00B02B39">
      <w:pPr>
        <w:rPr>
          <w:rFonts w:asciiTheme="minorHAnsi" w:hAnsiTheme="minorHAnsi" w:cstheme="minorHAnsi"/>
          <w:sz w:val="24"/>
          <w:szCs w:val="24"/>
        </w:rPr>
      </w:pPr>
    </w:p>
    <w:p w:rsidR="0004048D" w:rsidRDefault="0004048D"/>
    <w:p w:rsidR="0004048D" w:rsidRDefault="0004048D"/>
    <w:p w:rsidR="0004048D" w:rsidRDefault="0004048D"/>
    <w:p w:rsidR="0004048D" w:rsidRDefault="0004048D"/>
    <w:p w:rsidR="0004048D" w:rsidRDefault="0004048D"/>
    <w:p w:rsidR="0004048D" w:rsidRDefault="0004048D"/>
    <w:p w:rsidR="0004048D" w:rsidRDefault="0004048D"/>
    <w:p w:rsidR="0004048D" w:rsidRDefault="0004048D"/>
    <w:p w:rsidR="0004048D" w:rsidRDefault="0004048D"/>
    <w:p w:rsidR="0004048D" w:rsidRDefault="0004048D"/>
    <w:p w:rsidR="0004048D" w:rsidRDefault="0004048D"/>
    <w:p w:rsidR="0004048D" w:rsidRDefault="0004048D"/>
    <w:p w:rsidR="0004048D" w:rsidRDefault="0004048D"/>
    <w:p w:rsidR="0004048D" w:rsidRDefault="0004048D"/>
    <w:p w:rsidR="0004048D" w:rsidRDefault="0004048D"/>
    <w:p w:rsidR="0004048D" w:rsidRDefault="0004048D"/>
    <w:p w:rsidR="006239EB" w:rsidRDefault="006239EB"/>
    <w:p w:rsidR="0004048D" w:rsidRPr="007519BB" w:rsidRDefault="0004048D" w:rsidP="0004048D">
      <w:pPr>
        <w:spacing w:line="257" w:lineRule="auto"/>
        <w:rPr>
          <w:rFonts w:ascii="Calibri" w:hAnsi="Calibri" w:cs="Calibri"/>
          <w:b/>
          <w:sz w:val="28"/>
          <w:szCs w:val="28"/>
          <w:u w:val="single"/>
        </w:rPr>
      </w:pPr>
      <w:r w:rsidRPr="007519BB">
        <w:rPr>
          <w:rFonts w:ascii="Calibri" w:eastAsia="Calibri" w:hAnsi="Calibri" w:cs="Calibri"/>
          <w:b/>
          <w:bCs/>
          <w:sz w:val="28"/>
          <w:szCs w:val="28"/>
          <w:u w:val="single"/>
        </w:rPr>
        <w:lastRenderedPageBreak/>
        <w:t>1000 words - Public Protection</w:t>
      </w:r>
    </w:p>
    <w:p w:rsidR="0004048D" w:rsidRPr="007519BB" w:rsidRDefault="0004048D" w:rsidP="0004048D">
      <w:pPr>
        <w:spacing w:line="257" w:lineRule="auto"/>
        <w:rPr>
          <w:rFonts w:ascii="Calibri" w:eastAsia="Calibri" w:hAnsi="Calibri" w:cs="Calibri"/>
          <w:b/>
          <w:sz w:val="28"/>
          <w:szCs w:val="28"/>
          <w:u w:val="single"/>
        </w:rPr>
      </w:pPr>
      <w:r w:rsidRPr="007519BB">
        <w:rPr>
          <w:rFonts w:ascii="Calibri" w:eastAsia="Calibri" w:hAnsi="Calibri" w:cs="Calibri"/>
          <w:b/>
          <w:sz w:val="28"/>
          <w:szCs w:val="28"/>
          <w:u w:val="single"/>
        </w:rPr>
        <w:t xml:space="preserve">Critically evaluate police strategies for dealing with public protection incidents considering the impact of abuse on victims, the impact personal attitudes and values on the investigative process and the association between Serious and Organised Crime groups and public protection issues. </w:t>
      </w:r>
    </w:p>
    <w:p w:rsidR="0004048D" w:rsidRDefault="0004048D" w:rsidP="0004048D">
      <w:pPr>
        <w:spacing w:line="257" w:lineRule="auto"/>
        <w:rPr>
          <w:rFonts w:ascii="Calibri" w:eastAsia="Calibri" w:hAnsi="Calibri" w:cs="Calibri"/>
          <w:color w:val="FF0000"/>
          <w:sz w:val="28"/>
          <w:szCs w:val="28"/>
        </w:rPr>
      </w:pPr>
    </w:p>
    <w:p w:rsidR="0004048D" w:rsidRDefault="0004048D" w:rsidP="0004048D">
      <w:pPr>
        <w:spacing w:line="257" w:lineRule="auto"/>
        <w:rPr>
          <w:rFonts w:ascii="Calibri" w:eastAsia="Calibri" w:hAnsi="Calibri" w:cs="Calibri"/>
          <w:sz w:val="24"/>
          <w:szCs w:val="28"/>
        </w:rPr>
      </w:pPr>
      <w:r>
        <w:rPr>
          <w:rFonts w:ascii="Calibri" w:eastAsia="Calibri" w:hAnsi="Calibri" w:cs="Calibri"/>
          <w:sz w:val="24"/>
          <w:szCs w:val="28"/>
        </w:rPr>
        <w:t xml:space="preserve">Crime rates in the United Kingdom (UK) have declined since the 1990’s (Van </w:t>
      </w:r>
      <w:proofErr w:type="spellStart"/>
      <w:r>
        <w:rPr>
          <w:rFonts w:ascii="Calibri" w:eastAsia="Calibri" w:hAnsi="Calibri" w:cs="Calibri"/>
          <w:sz w:val="24"/>
          <w:szCs w:val="28"/>
        </w:rPr>
        <w:t>Dijk</w:t>
      </w:r>
      <w:proofErr w:type="spellEnd"/>
      <w:r>
        <w:rPr>
          <w:rFonts w:ascii="Calibri" w:eastAsia="Calibri" w:hAnsi="Calibri" w:cs="Calibri"/>
          <w:sz w:val="24"/>
          <w:szCs w:val="28"/>
        </w:rPr>
        <w:t xml:space="preserve">, 2006) however, the amount of incidents police attend have increased. Non-crime incidents, including vulnerability, public protection and safeguarding account for over 80% of calls to the police (College of policing, 2015) which has changed the focus policing towards a community focussed approach, in particular a focus on vulnerability. Vulnerability being intrinsic to all police encounters, it is believed vulnerable individuals are in particular need of protection and support from the police and partnership agencies. Given the demand placed on resources by vulnerability issues, it is essential police response is sufficient and that a multi-agency response is utilised to not only provide essential support but to also understand the impact of abuse on the victims including, the impact of the investigative process. </w:t>
      </w:r>
    </w:p>
    <w:p w:rsidR="0004048D" w:rsidRDefault="0004048D" w:rsidP="0004048D">
      <w:pPr>
        <w:spacing w:line="257" w:lineRule="auto"/>
        <w:rPr>
          <w:rFonts w:ascii="Calibri" w:eastAsia="Calibri" w:hAnsi="Calibri" w:cs="Calibri"/>
          <w:sz w:val="24"/>
          <w:szCs w:val="28"/>
        </w:rPr>
      </w:pPr>
    </w:p>
    <w:p w:rsidR="0004048D" w:rsidRDefault="0004048D" w:rsidP="0004048D">
      <w:pPr>
        <w:spacing w:line="257" w:lineRule="auto"/>
        <w:rPr>
          <w:rFonts w:ascii="Calibri" w:eastAsia="Calibri" w:hAnsi="Calibri" w:cs="Calibri"/>
          <w:sz w:val="24"/>
          <w:szCs w:val="28"/>
        </w:rPr>
      </w:pPr>
      <w:r>
        <w:rPr>
          <w:rFonts w:ascii="Calibri" w:eastAsia="Calibri" w:hAnsi="Calibri" w:cs="Calibri"/>
          <w:sz w:val="24"/>
          <w:szCs w:val="28"/>
        </w:rPr>
        <w:t xml:space="preserve">The police have a responsibility to protect all individuals in need, those at risk of abuse and those who have been abused, by making appropriate safeguarding referrals. Police are vital in identifying incidents which fall under public protection and their decisions inform later stages of intervention. Public protection incidents fall under a wide variety of categories, the most concerning being; adults at risk, domestic violence and abuse, stalking and harassment and child concern/child sexual exploitation. South Wales Police (2021) have considered these to be the incidents which pertain the highest risk to the victim.  </w:t>
      </w:r>
    </w:p>
    <w:p w:rsidR="0004048D" w:rsidRDefault="0004048D" w:rsidP="0004048D">
      <w:pPr>
        <w:spacing w:line="257" w:lineRule="auto"/>
        <w:rPr>
          <w:rFonts w:ascii="Calibri" w:eastAsia="Calibri" w:hAnsi="Calibri" w:cs="Calibri"/>
          <w:sz w:val="24"/>
          <w:szCs w:val="28"/>
        </w:rPr>
      </w:pPr>
    </w:p>
    <w:p w:rsidR="0004048D" w:rsidRDefault="0004048D" w:rsidP="0004048D">
      <w:pPr>
        <w:spacing w:line="257" w:lineRule="auto"/>
        <w:rPr>
          <w:rFonts w:ascii="Calibri" w:eastAsia="Calibri" w:hAnsi="Calibri" w:cs="Calibri"/>
          <w:sz w:val="24"/>
          <w:szCs w:val="28"/>
        </w:rPr>
      </w:pPr>
      <w:r>
        <w:rPr>
          <w:rFonts w:ascii="Calibri" w:eastAsia="Calibri" w:hAnsi="Calibri" w:cs="Calibri"/>
          <w:sz w:val="24"/>
          <w:szCs w:val="28"/>
        </w:rPr>
        <w:t>In the UK, police manage high risk incidents through public protection units (PPUs) which are specialist departments that review specific safeguarding notifications submitted by officers. Where required, PPUs refer any safeguarding concerns to partner agencies which include child and adult social services (Association of Chief Police Officers, 2012). A trauma informed approach allows officers to understand the demands of more complex welfare cases, enabling them to work in a more supportive manner. Research has determined individuals that have been exposed to childhood traumas are less likely to want support and as adults feel police aren’t supportive (Hughes et al, 2018) which highlights the difficulties in how police engage and support vulnerable victims. By working alongside partner agencies such as social services, it is believed they can assist in supporting where individuals have more trust and are willing to open up (</w:t>
      </w:r>
      <w:proofErr w:type="spellStart"/>
      <w:r>
        <w:rPr>
          <w:rFonts w:ascii="Calibri" w:eastAsia="Calibri" w:hAnsi="Calibri" w:cs="Calibri"/>
          <w:sz w:val="24"/>
          <w:szCs w:val="28"/>
        </w:rPr>
        <w:t>Ungar</w:t>
      </w:r>
      <w:proofErr w:type="spellEnd"/>
      <w:r>
        <w:rPr>
          <w:rFonts w:ascii="Calibri" w:eastAsia="Calibri" w:hAnsi="Calibri" w:cs="Calibri"/>
          <w:sz w:val="24"/>
          <w:szCs w:val="28"/>
        </w:rPr>
        <w:t>, 2013).</w:t>
      </w:r>
    </w:p>
    <w:p w:rsidR="0004048D" w:rsidRDefault="0004048D" w:rsidP="0004048D">
      <w:pPr>
        <w:spacing w:line="257" w:lineRule="auto"/>
        <w:rPr>
          <w:rFonts w:ascii="Calibri" w:eastAsia="Calibri" w:hAnsi="Calibri" w:cs="Calibri"/>
          <w:sz w:val="24"/>
          <w:szCs w:val="28"/>
        </w:rPr>
      </w:pPr>
    </w:p>
    <w:p w:rsidR="0004048D" w:rsidRDefault="0004048D" w:rsidP="0004048D">
      <w:pPr>
        <w:spacing w:line="257" w:lineRule="auto"/>
        <w:rPr>
          <w:rFonts w:ascii="Calibri" w:eastAsia="Calibri" w:hAnsi="Calibri" w:cs="Calibri"/>
          <w:sz w:val="24"/>
          <w:szCs w:val="28"/>
        </w:rPr>
      </w:pPr>
      <w:r>
        <w:rPr>
          <w:rFonts w:ascii="Calibri" w:eastAsia="Calibri" w:hAnsi="Calibri" w:cs="Calibri"/>
          <w:sz w:val="24"/>
          <w:szCs w:val="28"/>
        </w:rPr>
        <w:t xml:space="preserve">The impact of abuse can be seen as a product of the perceived seriousness of effects from a victims own standpoint. This includes the meaning or significance of the abuse for the victim, whether or not the abuse has resulted in a change of self-perception. The effects of crime can last for varying periods of time, and the time they last does not depend on the seriousness of the crime (Victim Support, 2021). Victims can feel that suddenly their lives </w:t>
      </w:r>
      <w:r>
        <w:rPr>
          <w:rFonts w:ascii="Calibri" w:eastAsia="Calibri" w:hAnsi="Calibri" w:cs="Calibri"/>
          <w:sz w:val="24"/>
          <w:szCs w:val="28"/>
        </w:rPr>
        <w:lastRenderedPageBreak/>
        <w:t xml:space="preserve">have fallen apart and can begin to blame themselves for what has happened. Long term impacts can include; flashbacks, panic attacks, depression and suicide. </w:t>
      </w:r>
      <w:proofErr w:type="spellStart"/>
      <w:r>
        <w:rPr>
          <w:rFonts w:ascii="Calibri" w:eastAsia="Calibri" w:hAnsi="Calibri" w:cs="Calibri"/>
          <w:sz w:val="24"/>
          <w:szCs w:val="28"/>
        </w:rPr>
        <w:t>Lurigio</w:t>
      </w:r>
      <w:proofErr w:type="spellEnd"/>
      <w:r>
        <w:rPr>
          <w:rFonts w:ascii="Calibri" w:eastAsia="Calibri" w:hAnsi="Calibri" w:cs="Calibri"/>
          <w:sz w:val="24"/>
          <w:szCs w:val="28"/>
        </w:rPr>
        <w:t xml:space="preserve"> (1987) states victims are more likely to report experience high levels of vulnerability, fear and lower levels of self-efficacy. Also, victims are more likely to engage in protective behaviours. </w:t>
      </w:r>
      <w:proofErr w:type="spellStart"/>
      <w:r>
        <w:rPr>
          <w:rFonts w:ascii="Calibri" w:eastAsia="Calibri" w:hAnsi="Calibri" w:cs="Calibri"/>
          <w:sz w:val="24"/>
          <w:szCs w:val="28"/>
        </w:rPr>
        <w:t>Lurigio</w:t>
      </w:r>
      <w:proofErr w:type="spellEnd"/>
      <w:r>
        <w:rPr>
          <w:rFonts w:ascii="Calibri" w:eastAsia="Calibri" w:hAnsi="Calibri" w:cs="Calibri"/>
          <w:sz w:val="24"/>
          <w:szCs w:val="28"/>
        </w:rPr>
        <w:t xml:space="preserve"> states however, effects can determine on type of crime experienced, burglary victims report to feel vulnerable and fearful whilst victim of assaults are more likely to express anger and negative feelings towards police. </w:t>
      </w:r>
    </w:p>
    <w:p w:rsidR="0004048D" w:rsidRDefault="0004048D" w:rsidP="0004048D">
      <w:pPr>
        <w:spacing w:line="257" w:lineRule="auto"/>
        <w:rPr>
          <w:rFonts w:ascii="Calibri" w:eastAsia="Calibri" w:hAnsi="Calibri" w:cs="Calibri"/>
          <w:sz w:val="24"/>
          <w:szCs w:val="28"/>
        </w:rPr>
      </w:pPr>
    </w:p>
    <w:p w:rsidR="0004048D" w:rsidRDefault="0004048D" w:rsidP="0004048D">
      <w:pPr>
        <w:rPr>
          <w:rFonts w:ascii="Calibri" w:eastAsia="Calibri" w:hAnsi="Calibri" w:cs="Calibri"/>
          <w:sz w:val="24"/>
          <w:szCs w:val="28"/>
        </w:rPr>
      </w:pPr>
      <w:r>
        <w:rPr>
          <w:rFonts w:ascii="Calibri" w:eastAsia="Calibri" w:hAnsi="Calibri" w:cs="Calibri"/>
          <w:sz w:val="24"/>
          <w:szCs w:val="28"/>
        </w:rPr>
        <w:t xml:space="preserve">The police are often perceived to have negative attitudes to public protection incidents, especially those involving rape or sexual assault victims. A review by </w:t>
      </w:r>
      <w:proofErr w:type="spellStart"/>
      <w:r>
        <w:rPr>
          <w:rFonts w:ascii="Calibri" w:eastAsia="Calibri" w:hAnsi="Calibri" w:cs="Calibri"/>
          <w:sz w:val="24"/>
          <w:szCs w:val="28"/>
        </w:rPr>
        <w:t>Sleath</w:t>
      </w:r>
      <w:proofErr w:type="spellEnd"/>
      <w:r>
        <w:rPr>
          <w:rFonts w:ascii="Calibri" w:eastAsia="Calibri" w:hAnsi="Calibri" w:cs="Calibri"/>
          <w:sz w:val="24"/>
          <w:szCs w:val="28"/>
        </w:rPr>
        <w:t xml:space="preserve"> (2017) found officers hold a problematic view and often blame the victim to be at fault. Furthermore, characteristics of the victim such as, alcohol intoxication or emotional expression can affect credibility in the view of an officer.</w:t>
      </w:r>
    </w:p>
    <w:p w:rsidR="0004048D" w:rsidRDefault="0004048D" w:rsidP="0004048D">
      <w:pPr>
        <w:rPr>
          <w:rFonts w:ascii="Calibri" w:eastAsia="Calibri" w:hAnsi="Calibri" w:cs="Calibri"/>
          <w:sz w:val="24"/>
          <w:szCs w:val="28"/>
        </w:rPr>
      </w:pPr>
    </w:p>
    <w:p w:rsidR="0004048D" w:rsidRDefault="0004048D" w:rsidP="0004048D">
      <w:pPr>
        <w:rPr>
          <w:rFonts w:ascii="Calibri" w:eastAsia="Calibri" w:hAnsi="Calibri" w:cs="Calibri"/>
          <w:sz w:val="24"/>
          <w:szCs w:val="28"/>
        </w:rPr>
      </w:pPr>
      <w:r>
        <w:rPr>
          <w:rFonts w:ascii="Calibri" w:eastAsia="Calibri" w:hAnsi="Calibri" w:cs="Calibri"/>
          <w:sz w:val="24"/>
          <w:szCs w:val="28"/>
        </w:rPr>
        <w:t>Organised crime groups exploit communities that are vulnerable or have poor relations with the police. Criminals create an atmosphere of fear and intimidation which over a period of time becomes a sense of norm for those living within the communities (HM Government, 2018). Whilst community policing as an extensive history, building the resilience of communities in relation to organised crime is ever developing. A number of forces across the UK have successful partnerships with local authorities to help communities develop their resistant. Forces are also trying to link local policing with local intelligence with serious organised crime to ensure policing efforts are directed at those areas of concern. In 2018 SOC Crime Strategy was introduced, focussing their work around local police officers engaging communities. The strategic framework has four strands attached to it; Prevent people from being involved in organised crime; Pursue and disrupt serious and organised criminals; Protect individuals and communities against serious organised criminality; and Prepare for serious organised crime and mitigate its impact (HM Government 2018).</w:t>
      </w:r>
    </w:p>
    <w:p w:rsidR="0004048D" w:rsidRDefault="0004048D" w:rsidP="0004048D">
      <w:pPr>
        <w:rPr>
          <w:rFonts w:ascii="Calibri" w:eastAsia="Calibri" w:hAnsi="Calibri" w:cs="Calibri"/>
          <w:sz w:val="24"/>
          <w:szCs w:val="28"/>
        </w:rPr>
      </w:pPr>
    </w:p>
    <w:p w:rsidR="0004048D" w:rsidRDefault="0004048D" w:rsidP="0004048D">
      <w:r>
        <w:rPr>
          <w:rFonts w:ascii="Calibri" w:eastAsia="Calibri" w:hAnsi="Calibri" w:cs="Calibri"/>
          <w:sz w:val="24"/>
          <w:szCs w:val="28"/>
        </w:rPr>
        <w:t xml:space="preserve">Section 325 to 327B of the Criminal Justice Act 2003, set out a multi-agency public protection arrangements (MAPPA) which was designed to protect the public from serious harm, by sexual or violent and other dangerous offenders. It requires agencies, such as police, probation and prison services, to work together to assess and manage dangerous offenders. MAPPA is a system of sharing information and combining resources to maximise risk management for each offender. However, a review of MAPPA conducted in 2015, saw the process failing. The failings included the use of </w:t>
      </w:r>
      <w:proofErr w:type="spellStart"/>
      <w:r>
        <w:rPr>
          <w:rFonts w:ascii="Calibri" w:eastAsia="Calibri" w:hAnsi="Calibri" w:cs="Calibri"/>
          <w:sz w:val="24"/>
          <w:szCs w:val="28"/>
        </w:rPr>
        <w:t>ViSOR</w:t>
      </w:r>
      <w:proofErr w:type="spellEnd"/>
      <w:r>
        <w:rPr>
          <w:rFonts w:ascii="Calibri" w:eastAsia="Calibri" w:hAnsi="Calibri" w:cs="Calibri"/>
          <w:sz w:val="24"/>
          <w:szCs w:val="28"/>
        </w:rPr>
        <w:t xml:space="preserve"> (dangerous person’s database) and local neighbourhood policing teams unaware of their dangerous offenders in their community (Joyce, 2013). </w:t>
      </w:r>
    </w:p>
    <w:p w:rsidR="0004048D" w:rsidRDefault="0004048D" w:rsidP="0004048D"/>
    <w:p w:rsidR="006239EB" w:rsidRDefault="006239EB" w:rsidP="0004048D">
      <w:pPr>
        <w:rPr>
          <w:rFonts w:asciiTheme="minorHAnsi" w:hAnsiTheme="minorHAnsi" w:cstheme="minorHAnsi"/>
          <w:b/>
          <w:sz w:val="24"/>
          <w:u w:val="single"/>
        </w:rPr>
      </w:pPr>
    </w:p>
    <w:p w:rsidR="006239EB" w:rsidRDefault="006239EB" w:rsidP="0004048D">
      <w:pPr>
        <w:rPr>
          <w:rFonts w:asciiTheme="minorHAnsi" w:hAnsiTheme="minorHAnsi" w:cstheme="minorHAnsi"/>
          <w:b/>
          <w:sz w:val="24"/>
          <w:u w:val="single"/>
        </w:rPr>
      </w:pPr>
    </w:p>
    <w:p w:rsidR="006239EB" w:rsidRDefault="006239EB" w:rsidP="0004048D">
      <w:pPr>
        <w:rPr>
          <w:rFonts w:asciiTheme="minorHAnsi" w:hAnsiTheme="minorHAnsi" w:cstheme="minorHAnsi"/>
          <w:b/>
          <w:sz w:val="24"/>
          <w:u w:val="single"/>
        </w:rPr>
      </w:pPr>
    </w:p>
    <w:p w:rsidR="006239EB" w:rsidRDefault="006239EB" w:rsidP="0004048D">
      <w:pPr>
        <w:rPr>
          <w:rFonts w:asciiTheme="minorHAnsi" w:hAnsiTheme="minorHAnsi" w:cstheme="minorHAnsi"/>
          <w:b/>
          <w:sz w:val="24"/>
          <w:u w:val="single"/>
        </w:rPr>
      </w:pPr>
    </w:p>
    <w:p w:rsidR="006239EB" w:rsidRDefault="006239EB" w:rsidP="0004048D">
      <w:pPr>
        <w:rPr>
          <w:rFonts w:asciiTheme="minorHAnsi" w:hAnsiTheme="minorHAnsi" w:cstheme="minorHAnsi"/>
          <w:b/>
          <w:sz w:val="24"/>
          <w:u w:val="single"/>
        </w:rPr>
      </w:pPr>
    </w:p>
    <w:p w:rsidR="006239EB" w:rsidRDefault="006239EB" w:rsidP="0004048D">
      <w:pPr>
        <w:rPr>
          <w:rFonts w:asciiTheme="minorHAnsi" w:hAnsiTheme="minorHAnsi" w:cstheme="minorHAnsi"/>
          <w:b/>
          <w:sz w:val="24"/>
          <w:u w:val="single"/>
        </w:rPr>
      </w:pPr>
    </w:p>
    <w:p w:rsidR="006239EB" w:rsidRDefault="006239EB" w:rsidP="0004048D">
      <w:pPr>
        <w:rPr>
          <w:rFonts w:asciiTheme="minorHAnsi" w:hAnsiTheme="minorHAnsi" w:cstheme="minorHAnsi"/>
          <w:b/>
          <w:sz w:val="24"/>
          <w:u w:val="single"/>
        </w:rPr>
      </w:pPr>
    </w:p>
    <w:p w:rsidR="006239EB" w:rsidRDefault="006239EB" w:rsidP="0004048D">
      <w:pPr>
        <w:rPr>
          <w:rFonts w:asciiTheme="minorHAnsi" w:hAnsiTheme="minorHAnsi" w:cstheme="minorHAnsi"/>
          <w:b/>
          <w:sz w:val="24"/>
          <w:u w:val="single"/>
        </w:rPr>
      </w:pPr>
    </w:p>
    <w:p w:rsidR="006239EB" w:rsidRDefault="006239EB" w:rsidP="0004048D">
      <w:pPr>
        <w:rPr>
          <w:rFonts w:asciiTheme="minorHAnsi" w:hAnsiTheme="minorHAnsi" w:cstheme="minorHAnsi"/>
          <w:b/>
          <w:sz w:val="24"/>
          <w:u w:val="single"/>
        </w:rPr>
      </w:pPr>
    </w:p>
    <w:p w:rsidR="0004048D" w:rsidRPr="006239EB" w:rsidRDefault="0004048D" w:rsidP="0004048D">
      <w:pPr>
        <w:rPr>
          <w:rFonts w:asciiTheme="minorHAnsi" w:hAnsiTheme="minorHAnsi" w:cstheme="minorHAnsi"/>
          <w:b/>
          <w:sz w:val="24"/>
          <w:u w:val="single"/>
        </w:rPr>
      </w:pPr>
      <w:r w:rsidRPr="006239EB">
        <w:rPr>
          <w:rFonts w:asciiTheme="minorHAnsi" w:hAnsiTheme="minorHAnsi" w:cstheme="minorHAnsi"/>
          <w:b/>
          <w:sz w:val="24"/>
          <w:u w:val="single"/>
        </w:rPr>
        <w:lastRenderedPageBreak/>
        <w:t xml:space="preserve">References </w:t>
      </w:r>
    </w:p>
    <w:p w:rsidR="0004048D" w:rsidRDefault="0004048D" w:rsidP="0004048D"/>
    <w:p w:rsidR="0004048D" w:rsidRPr="006239EB" w:rsidRDefault="0004048D" w:rsidP="0004048D">
      <w:pPr>
        <w:rPr>
          <w:rFonts w:asciiTheme="minorHAnsi" w:hAnsiTheme="minorHAnsi" w:cstheme="minorHAnsi"/>
          <w:color w:val="333333"/>
          <w:sz w:val="24"/>
          <w:szCs w:val="24"/>
          <w:shd w:val="clear" w:color="auto" w:fill="FFFFFF"/>
        </w:rPr>
      </w:pPr>
    </w:p>
    <w:p w:rsidR="006239EB" w:rsidRPr="006239EB" w:rsidRDefault="006239EB" w:rsidP="006239EB">
      <w:pPr>
        <w:rPr>
          <w:rFonts w:asciiTheme="minorHAnsi" w:hAnsiTheme="minorHAnsi" w:cstheme="minorHAnsi"/>
          <w:color w:val="333333"/>
          <w:sz w:val="24"/>
          <w:szCs w:val="24"/>
          <w:shd w:val="clear" w:color="auto" w:fill="FFFFFF"/>
        </w:rPr>
      </w:pPr>
      <w:r w:rsidRPr="006239EB">
        <w:rPr>
          <w:rFonts w:asciiTheme="minorHAnsi" w:hAnsiTheme="minorHAnsi" w:cstheme="minorHAnsi"/>
          <w:color w:val="333333"/>
          <w:sz w:val="24"/>
          <w:szCs w:val="24"/>
          <w:shd w:val="clear" w:color="auto" w:fill="FFFFFF"/>
        </w:rPr>
        <w:t>Association of Chief Police Officers (</w:t>
      </w:r>
      <w:r w:rsidRPr="006239EB">
        <w:rPr>
          <w:rStyle w:val="nlmyear"/>
          <w:rFonts w:asciiTheme="minorHAnsi" w:hAnsiTheme="minorHAnsi" w:cstheme="minorHAnsi"/>
          <w:color w:val="333333"/>
          <w:sz w:val="24"/>
          <w:szCs w:val="24"/>
          <w:shd w:val="clear" w:color="auto" w:fill="FFFFFF"/>
        </w:rPr>
        <w:t>2012</w:t>
      </w:r>
      <w:r w:rsidRPr="006239EB">
        <w:rPr>
          <w:rFonts w:asciiTheme="minorHAnsi" w:hAnsiTheme="minorHAnsi" w:cstheme="minorHAnsi"/>
          <w:color w:val="333333"/>
          <w:sz w:val="24"/>
          <w:szCs w:val="24"/>
          <w:shd w:val="clear" w:color="auto" w:fill="FFFFFF"/>
        </w:rPr>
        <w:t>) Guidance on Safeguarding and Investigating the Abuse of Vulnerable Adults. </w:t>
      </w:r>
      <w:r w:rsidRPr="006239EB">
        <w:rPr>
          <w:rStyle w:val="nlmpublisher-loc"/>
          <w:rFonts w:asciiTheme="minorHAnsi" w:hAnsiTheme="minorHAnsi" w:cstheme="minorHAnsi"/>
          <w:color w:val="333333"/>
          <w:sz w:val="24"/>
          <w:szCs w:val="24"/>
          <w:shd w:val="clear" w:color="auto" w:fill="FFFFFF"/>
        </w:rPr>
        <w:t>London</w:t>
      </w:r>
      <w:r w:rsidRPr="006239EB">
        <w:rPr>
          <w:rFonts w:asciiTheme="minorHAnsi" w:hAnsiTheme="minorHAnsi" w:cstheme="minorHAnsi"/>
          <w:color w:val="333333"/>
          <w:sz w:val="24"/>
          <w:szCs w:val="24"/>
          <w:shd w:val="clear" w:color="auto" w:fill="FFFFFF"/>
        </w:rPr>
        <w:t>: </w:t>
      </w:r>
      <w:r w:rsidRPr="006239EB">
        <w:rPr>
          <w:rStyle w:val="nlmpublisher-name"/>
          <w:rFonts w:asciiTheme="minorHAnsi" w:hAnsiTheme="minorHAnsi" w:cstheme="minorHAnsi"/>
          <w:color w:val="333333"/>
          <w:sz w:val="24"/>
          <w:szCs w:val="24"/>
          <w:shd w:val="clear" w:color="auto" w:fill="FFFFFF"/>
        </w:rPr>
        <w:t>NPIA</w:t>
      </w:r>
      <w:r w:rsidRPr="006239EB">
        <w:rPr>
          <w:rFonts w:asciiTheme="minorHAnsi" w:hAnsiTheme="minorHAnsi" w:cstheme="minorHAnsi"/>
          <w:color w:val="333333"/>
          <w:sz w:val="24"/>
          <w:szCs w:val="24"/>
          <w:shd w:val="clear" w:color="auto" w:fill="FFFFFF"/>
        </w:rPr>
        <w:t>.</w:t>
      </w:r>
    </w:p>
    <w:p w:rsidR="006239EB" w:rsidRDefault="006239EB" w:rsidP="0004048D">
      <w:pPr>
        <w:rPr>
          <w:rFonts w:asciiTheme="minorHAnsi" w:hAnsiTheme="minorHAnsi" w:cstheme="minorHAnsi"/>
          <w:color w:val="333333"/>
          <w:sz w:val="24"/>
          <w:szCs w:val="24"/>
          <w:shd w:val="clear" w:color="auto" w:fill="FFFFFF"/>
        </w:rPr>
      </w:pPr>
    </w:p>
    <w:p w:rsidR="0004048D" w:rsidRPr="006239EB" w:rsidRDefault="0004048D" w:rsidP="0004048D">
      <w:pPr>
        <w:rPr>
          <w:rFonts w:asciiTheme="minorHAnsi" w:hAnsiTheme="minorHAnsi" w:cstheme="minorHAnsi"/>
          <w:color w:val="333333"/>
          <w:sz w:val="24"/>
          <w:szCs w:val="24"/>
          <w:shd w:val="clear" w:color="auto" w:fill="FFFFFF"/>
        </w:rPr>
      </w:pPr>
      <w:r w:rsidRPr="006239EB">
        <w:rPr>
          <w:rFonts w:asciiTheme="minorHAnsi" w:hAnsiTheme="minorHAnsi" w:cstheme="minorHAnsi"/>
          <w:color w:val="333333"/>
          <w:sz w:val="24"/>
          <w:szCs w:val="24"/>
          <w:shd w:val="clear" w:color="auto" w:fill="FFFFFF"/>
        </w:rPr>
        <w:t>College of Policing, 2015. College of Policing Analysis: Estimating Demand on the Police Service. Available at: </w:t>
      </w:r>
      <w:hyperlink r:id="rId5" w:tgtFrame="_blank" w:history="1">
        <w:r w:rsidRPr="006239EB">
          <w:rPr>
            <w:rStyle w:val="Hyperlink"/>
            <w:rFonts w:asciiTheme="minorHAnsi" w:hAnsiTheme="minorHAnsi" w:cstheme="minorHAnsi"/>
            <w:color w:val="006ACC"/>
            <w:sz w:val="24"/>
            <w:szCs w:val="24"/>
            <w:shd w:val="clear" w:color="auto" w:fill="FFFFFF"/>
          </w:rPr>
          <w:t>www.college.police.uk/News/College-news/Documents/Demand%20Report%2023_1_15_noBleed.pdf</w:t>
        </w:r>
      </w:hyperlink>
      <w:r w:rsidRPr="006239EB">
        <w:rPr>
          <w:rFonts w:asciiTheme="minorHAnsi" w:hAnsiTheme="minorHAnsi" w:cstheme="minorHAnsi"/>
          <w:color w:val="333333"/>
          <w:sz w:val="24"/>
          <w:szCs w:val="24"/>
          <w:shd w:val="clear" w:color="auto" w:fill="FFFFFF"/>
        </w:rPr>
        <w:t> [Accessed 23/06/2021)</w:t>
      </w:r>
    </w:p>
    <w:p w:rsidR="0004048D" w:rsidRPr="006239EB" w:rsidRDefault="0004048D" w:rsidP="0004048D">
      <w:pPr>
        <w:rPr>
          <w:rFonts w:asciiTheme="minorHAnsi" w:hAnsiTheme="minorHAnsi" w:cstheme="minorHAnsi"/>
          <w:color w:val="333333"/>
          <w:sz w:val="24"/>
          <w:szCs w:val="24"/>
          <w:shd w:val="clear" w:color="auto" w:fill="FFFFFF"/>
        </w:rPr>
      </w:pPr>
    </w:p>
    <w:p w:rsidR="0004048D" w:rsidRPr="006239EB" w:rsidRDefault="0004048D" w:rsidP="0004048D">
      <w:pPr>
        <w:rPr>
          <w:rFonts w:asciiTheme="minorHAnsi" w:hAnsiTheme="minorHAnsi" w:cstheme="minorHAnsi"/>
          <w:color w:val="333333"/>
          <w:sz w:val="24"/>
          <w:szCs w:val="24"/>
          <w:shd w:val="clear" w:color="auto" w:fill="FFFFFF"/>
        </w:rPr>
      </w:pPr>
    </w:p>
    <w:p w:rsidR="0004048D" w:rsidRPr="006239EB" w:rsidRDefault="0004048D" w:rsidP="0004048D">
      <w:pPr>
        <w:rPr>
          <w:rFonts w:asciiTheme="minorHAnsi" w:hAnsiTheme="minorHAnsi" w:cstheme="minorHAnsi"/>
          <w:color w:val="333333"/>
          <w:sz w:val="24"/>
          <w:szCs w:val="24"/>
          <w:shd w:val="clear" w:color="auto" w:fill="FFFFFF"/>
        </w:rPr>
      </w:pPr>
    </w:p>
    <w:p w:rsidR="0004048D" w:rsidRDefault="0004048D" w:rsidP="0004048D">
      <w:pPr>
        <w:rPr>
          <w:rFonts w:asciiTheme="minorHAnsi" w:hAnsiTheme="minorHAnsi" w:cstheme="minorHAnsi"/>
          <w:color w:val="000000"/>
          <w:sz w:val="24"/>
          <w:szCs w:val="24"/>
          <w:shd w:val="clear" w:color="auto" w:fill="FFFFFF"/>
        </w:rPr>
      </w:pPr>
      <w:r w:rsidRPr="006239EB">
        <w:rPr>
          <w:rFonts w:asciiTheme="minorHAnsi" w:hAnsiTheme="minorHAnsi" w:cstheme="minorHAnsi"/>
          <w:color w:val="000000"/>
          <w:sz w:val="24"/>
          <w:szCs w:val="24"/>
          <w:shd w:val="clear" w:color="auto" w:fill="FFFFFF"/>
        </w:rPr>
        <w:t>HM Government, 2018. </w:t>
      </w:r>
      <w:r w:rsidRPr="006239EB">
        <w:rPr>
          <w:rFonts w:asciiTheme="minorHAnsi" w:hAnsiTheme="minorHAnsi" w:cstheme="minorHAnsi"/>
          <w:i/>
          <w:iCs/>
          <w:color w:val="000000"/>
          <w:sz w:val="24"/>
          <w:szCs w:val="24"/>
          <w:shd w:val="clear" w:color="auto" w:fill="FFFFFF"/>
        </w:rPr>
        <w:t>Serious and Organised Crime Strategy</w:t>
      </w:r>
      <w:r w:rsidRPr="006239EB">
        <w:rPr>
          <w:rFonts w:asciiTheme="minorHAnsi" w:hAnsiTheme="minorHAnsi" w:cstheme="minorHAnsi"/>
          <w:color w:val="000000"/>
          <w:sz w:val="24"/>
          <w:szCs w:val="24"/>
          <w:shd w:val="clear" w:color="auto" w:fill="FFFFFF"/>
        </w:rPr>
        <w:t>. [</w:t>
      </w:r>
      <w:proofErr w:type="spellStart"/>
      <w:proofErr w:type="gramStart"/>
      <w:r w:rsidRPr="006239EB">
        <w:rPr>
          <w:rFonts w:asciiTheme="minorHAnsi" w:hAnsiTheme="minorHAnsi" w:cstheme="minorHAnsi"/>
          <w:color w:val="000000"/>
          <w:sz w:val="24"/>
          <w:szCs w:val="24"/>
          <w:shd w:val="clear" w:color="auto" w:fill="FFFFFF"/>
        </w:rPr>
        <w:t>ebook</w:t>
      </w:r>
      <w:proofErr w:type="spellEnd"/>
      <w:proofErr w:type="gramEnd"/>
      <w:r w:rsidRPr="006239EB">
        <w:rPr>
          <w:rFonts w:asciiTheme="minorHAnsi" w:hAnsiTheme="minorHAnsi" w:cstheme="minorHAnsi"/>
          <w:color w:val="000000"/>
          <w:sz w:val="24"/>
          <w:szCs w:val="24"/>
          <w:shd w:val="clear" w:color="auto" w:fill="FFFFFF"/>
        </w:rPr>
        <w:t>] London: APS Group. Available at: &lt;https://moodle.uwtsd.ac.uk/pluginfile.php/390755/mod_resource/content/1/SOC-2018-web.pdf&gt; [Accessed 2 July 2021].</w:t>
      </w:r>
    </w:p>
    <w:p w:rsidR="006239EB" w:rsidRDefault="006239EB" w:rsidP="0004048D">
      <w:pPr>
        <w:rPr>
          <w:rFonts w:asciiTheme="minorHAnsi" w:hAnsiTheme="minorHAnsi" w:cstheme="minorHAnsi"/>
          <w:color w:val="000000"/>
          <w:sz w:val="24"/>
          <w:szCs w:val="24"/>
          <w:shd w:val="clear" w:color="auto" w:fill="FFFFFF"/>
        </w:rPr>
      </w:pPr>
    </w:p>
    <w:p w:rsidR="006239EB" w:rsidRPr="006239EB" w:rsidRDefault="006239EB" w:rsidP="006239EB">
      <w:pPr>
        <w:rPr>
          <w:rFonts w:asciiTheme="minorHAnsi" w:hAnsiTheme="minorHAnsi" w:cstheme="minorHAnsi"/>
          <w:color w:val="333333"/>
          <w:sz w:val="24"/>
          <w:szCs w:val="24"/>
          <w:shd w:val="clear" w:color="auto" w:fill="FFFFFF"/>
        </w:rPr>
      </w:pPr>
      <w:r w:rsidRPr="006239EB">
        <w:rPr>
          <w:rFonts w:asciiTheme="minorHAnsi" w:hAnsiTheme="minorHAnsi" w:cstheme="minorHAnsi"/>
          <w:color w:val="333333"/>
          <w:sz w:val="24"/>
          <w:szCs w:val="24"/>
          <w:shd w:val="clear" w:color="auto" w:fill="FFFFFF"/>
        </w:rPr>
        <w:t>Hughes, K, Ford, K, Davies, AR, </w:t>
      </w:r>
      <w:r w:rsidRPr="006239EB">
        <w:rPr>
          <w:rStyle w:val="nlmetal"/>
          <w:rFonts w:asciiTheme="minorHAnsi" w:hAnsiTheme="minorHAnsi" w:cstheme="minorHAnsi"/>
          <w:color w:val="333333"/>
          <w:sz w:val="24"/>
          <w:szCs w:val="24"/>
          <w:shd w:val="clear" w:color="auto" w:fill="FFFFFF"/>
        </w:rPr>
        <w:t>et al.</w:t>
      </w:r>
      <w:r w:rsidRPr="006239EB">
        <w:rPr>
          <w:rFonts w:asciiTheme="minorHAnsi" w:hAnsiTheme="minorHAnsi" w:cstheme="minorHAnsi"/>
          <w:color w:val="333333"/>
          <w:sz w:val="24"/>
          <w:szCs w:val="24"/>
          <w:shd w:val="clear" w:color="auto" w:fill="FFFFFF"/>
        </w:rPr>
        <w:t> </w:t>
      </w:r>
      <w:r w:rsidRPr="006239EB">
        <w:rPr>
          <w:rStyle w:val="nlmyear"/>
          <w:rFonts w:asciiTheme="minorHAnsi" w:hAnsiTheme="minorHAnsi" w:cstheme="minorHAnsi"/>
          <w:color w:val="333333"/>
          <w:sz w:val="24"/>
          <w:szCs w:val="24"/>
          <w:shd w:val="clear" w:color="auto" w:fill="FFFFFF"/>
        </w:rPr>
        <w:t>2018</w:t>
      </w:r>
      <w:r w:rsidRPr="006239EB">
        <w:rPr>
          <w:rFonts w:asciiTheme="minorHAnsi" w:hAnsiTheme="minorHAnsi" w:cstheme="minorHAnsi"/>
          <w:color w:val="333333"/>
          <w:sz w:val="24"/>
          <w:szCs w:val="24"/>
          <w:shd w:val="clear" w:color="auto" w:fill="FFFFFF"/>
        </w:rPr>
        <w:t xml:space="preserve"> Sources of resilience and their moderating relationships with harms from adverse childhood experiences. Report 1: Mental illness. </w:t>
      </w:r>
      <w:r w:rsidRPr="006239EB">
        <w:rPr>
          <w:rStyle w:val="nlmpublisher-loc"/>
          <w:rFonts w:asciiTheme="minorHAnsi" w:hAnsiTheme="minorHAnsi" w:cstheme="minorHAnsi"/>
          <w:color w:val="333333"/>
          <w:sz w:val="24"/>
          <w:szCs w:val="24"/>
          <w:shd w:val="clear" w:color="auto" w:fill="FFFFFF"/>
        </w:rPr>
        <w:t>Cardiff</w:t>
      </w:r>
      <w:r w:rsidRPr="006239EB">
        <w:rPr>
          <w:rFonts w:asciiTheme="minorHAnsi" w:hAnsiTheme="minorHAnsi" w:cstheme="minorHAnsi"/>
          <w:color w:val="333333"/>
          <w:sz w:val="24"/>
          <w:szCs w:val="24"/>
          <w:shd w:val="clear" w:color="auto" w:fill="FFFFFF"/>
        </w:rPr>
        <w:t>: </w:t>
      </w:r>
      <w:r w:rsidRPr="006239EB">
        <w:rPr>
          <w:rStyle w:val="nlmpublisher-name"/>
          <w:rFonts w:asciiTheme="minorHAnsi" w:hAnsiTheme="minorHAnsi" w:cstheme="minorHAnsi"/>
          <w:color w:val="333333"/>
          <w:sz w:val="24"/>
          <w:szCs w:val="24"/>
          <w:shd w:val="clear" w:color="auto" w:fill="FFFFFF"/>
        </w:rPr>
        <w:t>Public Health Wales NHS Trust</w:t>
      </w:r>
      <w:r w:rsidRPr="006239EB">
        <w:rPr>
          <w:rFonts w:asciiTheme="minorHAnsi" w:hAnsiTheme="minorHAnsi" w:cstheme="minorHAnsi"/>
          <w:color w:val="333333"/>
          <w:sz w:val="24"/>
          <w:szCs w:val="24"/>
          <w:shd w:val="clear" w:color="auto" w:fill="FFFFFF"/>
        </w:rPr>
        <w:t>.</w:t>
      </w:r>
    </w:p>
    <w:p w:rsidR="006239EB" w:rsidRDefault="006239EB" w:rsidP="0004048D">
      <w:pPr>
        <w:rPr>
          <w:rFonts w:asciiTheme="minorHAnsi" w:hAnsiTheme="minorHAnsi" w:cstheme="minorHAnsi"/>
          <w:color w:val="000000"/>
          <w:sz w:val="24"/>
          <w:szCs w:val="24"/>
          <w:shd w:val="clear" w:color="auto" w:fill="FFFFFF"/>
        </w:rPr>
      </w:pPr>
    </w:p>
    <w:p w:rsidR="006239EB" w:rsidRDefault="006239EB" w:rsidP="0004048D">
      <w:pPr>
        <w:rPr>
          <w:rFonts w:asciiTheme="minorHAnsi" w:hAnsiTheme="minorHAnsi" w:cstheme="minorHAnsi"/>
          <w:color w:val="000000"/>
          <w:sz w:val="24"/>
          <w:szCs w:val="24"/>
          <w:shd w:val="clear" w:color="auto" w:fill="FFFFFF"/>
        </w:rPr>
      </w:pPr>
    </w:p>
    <w:p w:rsidR="006239EB" w:rsidRPr="006239EB" w:rsidRDefault="006239EB" w:rsidP="006239EB">
      <w:pPr>
        <w:rPr>
          <w:rFonts w:asciiTheme="minorHAnsi" w:hAnsiTheme="minorHAnsi" w:cstheme="minorHAnsi"/>
          <w:sz w:val="24"/>
          <w:szCs w:val="24"/>
        </w:rPr>
      </w:pPr>
      <w:r w:rsidRPr="006239EB">
        <w:rPr>
          <w:rFonts w:asciiTheme="minorHAnsi" w:hAnsiTheme="minorHAnsi" w:cstheme="minorHAnsi"/>
          <w:sz w:val="24"/>
          <w:szCs w:val="24"/>
        </w:rPr>
        <w:t xml:space="preserve">Joyce P. (2013) Policing Development and Contemporary Practice. Sage Publishing. London. </w:t>
      </w:r>
    </w:p>
    <w:p w:rsidR="006239EB" w:rsidRPr="006239EB" w:rsidRDefault="006239EB" w:rsidP="006239EB">
      <w:pPr>
        <w:rPr>
          <w:rFonts w:asciiTheme="minorHAnsi" w:hAnsiTheme="minorHAnsi" w:cstheme="minorHAnsi"/>
          <w:sz w:val="24"/>
          <w:szCs w:val="24"/>
        </w:rPr>
      </w:pPr>
      <w:r w:rsidRPr="006239EB">
        <w:rPr>
          <w:rFonts w:asciiTheme="minorHAnsi" w:hAnsiTheme="minorHAnsi" w:cstheme="minorHAnsi"/>
          <w:sz w:val="24"/>
          <w:szCs w:val="24"/>
        </w:rPr>
        <w:t xml:space="preserve">Ministry of Justice (2012) MAPPA Guidance Available at: </w:t>
      </w:r>
      <w:hyperlink r:id="rId6" w:history="1">
        <w:r w:rsidRPr="006239EB">
          <w:rPr>
            <w:rStyle w:val="Hyperlink"/>
            <w:rFonts w:asciiTheme="minorHAnsi" w:hAnsiTheme="minorHAnsi" w:cstheme="minorHAnsi"/>
            <w:sz w:val="24"/>
            <w:szCs w:val="24"/>
          </w:rPr>
          <w:t>http://www.justice.gov.uk/downloads/offenders/mappa/mappa-guidance-2012</w:t>
        </w:r>
      </w:hyperlink>
    </w:p>
    <w:p w:rsidR="006239EB" w:rsidRPr="006239EB" w:rsidRDefault="006239EB" w:rsidP="006239EB">
      <w:pPr>
        <w:rPr>
          <w:rFonts w:asciiTheme="minorHAnsi" w:hAnsiTheme="minorHAnsi" w:cstheme="minorHAnsi"/>
          <w:sz w:val="24"/>
          <w:szCs w:val="24"/>
        </w:rPr>
      </w:pPr>
      <w:hyperlink r:id="rId7" w:history="1">
        <w:r w:rsidRPr="006239EB">
          <w:rPr>
            <w:rStyle w:val="Hyperlink"/>
            <w:rFonts w:asciiTheme="minorHAnsi" w:hAnsiTheme="minorHAnsi" w:cstheme="minorHAnsi"/>
            <w:sz w:val="24"/>
            <w:szCs w:val="24"/>
          </w:rPr>
          <w:t>-part1.pdf#page=11</w:t>
        </w:r>
      </w:hyperlink>
      <w:r w:rsidRPr="006239EB">
        <w:rPr>
          <w:rFonts w:asciiTheme="minorHAnsi" w:hAnsiTheme="minorHAnsi" w:cstheme="minorHAnsi"/>
          <w:sz w:val="24"/>
          <w:szCs w:val="24"/>
        </w:rPr>
        <w:t xml:space="preserve"> Accessed on 1</w:t>
      </w:r>
      <w:r w:rsidRPr="006239EB">
        <w:rPr>
          <w:rFonts w:asciiTheme="minorHAnsi" w:hAnsiTheme="minorHAnsi" w:cstheme="minorHAnsi"/>
          <w:sz w:val="24"/>
          <w:szCs w:val="24"/>
          <w:vertAlign w:val="superscript"/>
        </w:rPr>
        <w:t>st</w:t>
      </w:r>
      <w:r w:rsidRPr="006239EB">
        <w:rPr>
          <w:rFonts w:asciiTheme="minorHAnsi" w:hAnsiTheme="minorHAnsi" w:cstheme="minorHAnsi"/>
          <w:sz w:val="24"/>
          <w:szCs w:val="24"/>
        </w:rPr>
        <w:t xml:space="preserve"> July 2021. </w:t>
      </w:r>
    </w:p>
    <w:p w:rsidR="006239EB" w:rsidRPr="006239EB" w:rsidRDefault="006239EB" w:rsidP="0004048D">
      <w:pPr>
        <w:rPr>
          <w:rFonts w:asciiTheme="minorHAnsi" w:hAnsiTheme="minorHAnsi" w:cstheme="minorHAnsi"/>
          <w:color w:val="000000"/>
          <w:sz w:val="24"/>
          <w:szCs w:val="24"/>
          <w:shd w:val="clear" w:color="auto" w:fill="FFFFFF"/>
        </w:rPr>
      </w:pPr>
    </w:p>
    <w:p w:rsidR="0004048D" w:rsidRPr="006239EB" w:rsidRDefault="0004048D" w:rsidP="0004048D">
      <w:pPr>
        <w:rPr>
          <w:rFonts w:asciiTheme="minorHAnsi" w:hAnsiTheme="minorHAnsi" w:cstheme="minorHAnsi"/>
          <w:color w:val="000000"/>
          <w:sz w:val="24"/>
          <w:szCs w:val="24"/>
          <w:shd w:val="clear" w:color="auto" w:fill="FFFFFF"/>
        </w:rPr>
      </w:pPr>
    </w:p>
    <w:p w:rsidR="0004048D" w:rsidRPr="006239EB" w:rsidRDefault="0004048D" w:rsidP="0004048D">
      <w:pPr>
        <w:rPr>
          <w:rFonts w:asciiTheme="minorHAnsi" w:hAnsiTheme="minorHAnsi" w:cstheme="minorHAnsi"/>
          <w:color w:val="000000"/>
          <w:sz w:val="24"/>
          <w:szCs w:val="24"/>
          <w:shd w:val="clear" w:color="auto" w:fill="FFFFFF"/>
        </w:rPr>
      </w:pPr>
      <w:proofErr w:type="spellStart"/>
      <w:r w:rsidRPr="006239EB">
        <w:rPr>
          <w:rFonts w:asciiTheme="minorHAnsi" w:hAnsiTheme="minorHAnsi" w:cstheme="minorHAnsi"/>
          <w:color w:val="000000"/>
          <w:sz w:val="24"/>
          <w:szCs w:val="24"/>
          <w:shd w:val="clear" w:color="auto" w:fill="FFFFFF"/>
        </w:rPr>
        <w:t>Lurigio</w:t>
      </w:r>
      <w:proofErr w:type="spellEnd"/>
      <w:r w:rsidRPr="006239EB">
        <w:rPr>
          <w:rFonts w:asciiTheme="minorHAnsi" w:hAnsiTheme="minorHAnsi" w:cstheme="minorHAnsi"/>
          <w:color w:val="000000"/>
          <w:sz w:val="24"/>
          <w:szCs w:val="24"/>
          <w:shd w:val="clear" w:color="auto" w:fill="FFFFFF"/>
        </w:rPr>
        <w:t>, A., 1987. </w:t>
      </w:r>
      <w:r w:rsidRPr="006239EB">
        <w:rPr>
          <w:rFonts w:asciiTheme="minorHAnsi" w:hAnsiTheme="minorHAnsi" w:cstheme="minorHAnsi"/>
          <w:i/>
          <w:iCs/>
          <w:color w:val="000000"/>
          <w:sz w:val="24"/>
          <w:szCs w:val="24"/>
          <w:shd w:val="clear" w:color="auto" w:fill="FFFFFF"/>
        </w:rPr>
        <w:t>Article Menu Access Options Article Metrics Cite Share Request Permissions Related Articles Are all Victims Alike? The Adverse, Generalized, and Differential Impact of Crime</w:t>
      </w:r>
      <w:r w:rsidRPr="006239EB">
        <w:rPr>
          <w:rFonts w:asciiTheme="minorHAnsi" w:hAnsiTheme="minorHAnsi" w:cstheme="minorHAnsi"/>
          <w:color w:val="000000"/>
          <w:sz w:val="24"/>
          <w:szCs w:val="24"/>
          <w:shd w:val="clear" w:color="auto" w:fill="FFFFFF"/>
        </w:rPr>
        <w:t>. [</w:t>
      </w:r>
      <w:proofErr w:type="spellStart"/>
      <w:proofErr w:type="gramStart"/>
      <w:r w:rsidRPr="006239EB">
        <w:rPr>
          <w:rFonts w:asciiTheme="minorHAnsi" w:hAnsiTheme="minorHAnsi" w:cstheme="minorHAnsi"/>
          <w:color w:val="000000"/>
          <w:sz w:val="24"/>
          <w:szCs w:val="24"/>
          <w:shd w:val="clear" w:color="auto" w:fill="FFFFFF"/>
        </w:rPr>
        <w:t>ebook</w:t>
      </w:r>
      <w:proofErr w:type="spellEnd"/>
      <w:proofErr w:type="gramEnd"/>
      <w:r w:rsidRPr="006239EB">
        <w:rPr>
          <w:rFonts w:asciiTheme="minorHAnsi" w:hAnsiTheme="minorHAnsi" w:cstheme="minorHAnsi"/>
          <w:color w:val="000000"/>
          <w:sz w:val="24"/>
          <w:szCs w:val="24"/>
          <w:shd w:val="clear" w:color="auto" w:fill="FFFFFF"/>
        </w:rPr>
        <w:t>] Sage Journals. Available at: &lt;https://journals.sagepub.com/doi/pdf/10.1177/0011128787033004003&gt; [Accessed 1 July 2021].</w:t>
      </w:r>
    </w:p>
    <w:p w:rsidR="0004048D" w:rsidRPr="006239EB" w:rsidRDefault="0004048D" w:rsidP="0004048D">
      <w:pPr>
        <w:rPr>
          <w:rFonts w:asciiTheme="minorHAnsi" w:hAnsiTheme="minorHAnsi" w:cstheme="minorHAnsi"/>
          <w:color w:val="000000"/>
          <w:sz w:val="24"/>
          <w:szCs w:val="24"/>
          <w:shd w:val="clear" w:color="auto" w:fill="FFFFFF"/>
        </w:rPr>
      </w:pPr>
    </w:p>
    <w:p w:rsidR="0004048D" w:rsidRPr="006239EB" w:rsidRDefault="0004048D" w:rsidP="0004048D">
      <w:pPr>
        <w:rPr>
          <w:rFonts w:asciiTheme="minorHAnsi" w:hAnsiTheme="minorHAnsi" w:cstheme="minorHAnsi"/>
          <w:sz w:val="24"/>
          <w:szCs w:val="24"/>
        </w:rPr>
      </w:pPr>
    </w:p>
    <w:p w:rsidR="0004048D" w:rsidRDefault="0004048D" w:rsidP="0004048D">
      <w:pPr>
        <w:rPr>
          <w:rFonts w:asciiTheme="minorHAnsi" w:hAnsiTheme="minorHAnsi" w:cstheme="minorHAnsi"/>
          <w:color w:val="000000"/>
          <w:sz w:val="24"/>
          <w:szCs w:val="24"/>
          <w:shd w:val="clear" w:color="auto" w:fill="FFFFFF"/>
        </w:rPr>
      </w:pPr>
      <w:proofErr w:type="spellStart"/>
      <w:r w:rsidRPr="006239EB">
        <w:rPr>
          <w:rFonts w:asciiTheme="minorHAnsi" w:hAnsiTheme="minorHAnsi" w:cstheme="minorHAnsi"/>
          <w:color w:val="000000"/>
          <w:sz w:val="24"/>
          <w:szCs w:val="24"/>
          <w:shd w:val="clear" w:color="auto" w:fill="FFFFFF"/>
        </w:rPr>
        <w:t>Sleath</w:t>
      </w:r>
      <w:proofErr w:type="spellEnd"/>
      <w:r w:rsidRPr="006239EB">
        <w:rPr>
          <w:rFonts w:asciiTheme="minorHAnsi" w:hAnsiTheme="minorHAnsi" w:cstheme="minorHAnsi"/>
          <w:color w:val="000000"/>
          <w:sz w:val="24"/>
          <w:szCs w:val="24"/>
          <w:shd w:val="clear" w:color="auto" w:fill="FFFFFF"/>
        </w:rPr>
        <w:t>, E., 2017. </w:t>
      </w:r>
      <w:r w:rsidRPr="006239EB">
        <w:rPr>
          <w:rFonts w:asciiTheme="minorHAnsi" w:hAnsiTheme="minorHAnsi" w:cstheme="minorHAnsi"/>
          <w:i/>
          <w:iCs/>
          <w:color w:val="000000"/>
          <w:sz w:val="24"/>
          <w:szCs w:val="24"/>
          <w:shd w:val="clear" w:color="auto" w:fill="FFFFFF"/>
        </w:rPr>
        <w:t>Aggression and Violent Behaviour</w:t>
      </w:r>
      <w:r w:rsidRPr="006239EB">
        <w:rPr>
          <w:rFonts w:asciiTheme="minorHAnsi" w:hAnsiTheme="minorHAnsi" w:cstheme="minorHAnsi"/>
          <w:color w:val="000000"/>
          <w:sz w:val="24"/>
          <w:szCs w:val="24"/>
          <w:shd w:val="clear" w:color="auto" w:fill="FFFFFF"/>
        </w:rPr>
        <w:t>. [</w:t>
      </w:r>
      <w:proofErr w:type="spellStart"/>
      <w:proofErr w:type="gramStart"/>
      <w:r w:rsidRPr="006239EB">
        <w:rPr>
          <w:rFonts w:asciiTheme="minorHAnsi" w:hAnsiTheme="minorHAnsi" w:cstheme="minorHAnsi"/>
          <w:color w:val="000000"/>
          <w:sz w:val="24"/>
          <w:szCs w:val="24"/>
          <w:shd w:val="clear" w:color="auto" w:fill="FFFFFF"/>
        </w:rPr>
        <w:t>ebook</w:t>
      </w:r>
      <w:proofErr w:type="spellEnd"/>
      <w:proofErr w:type="gramEnd"/>
      <w:r w:rsidRPr="006239EB">
        <w:rPr>
          <w:rFonts w:asciiTheme="minorHAnsi" w:hAnsiTheme="minorHAnsi" w:cstheme="minorHAnsi"/>
          <w:color w:val="000000"/>
          <w:sz w:val="24"/>
          <w:szCs w:val="24"/>
          <w:shd w:val="clear" w:color="auto" w:fill="FFFFFF"/>
        </w:rPr>
        <w:t>] Coventry. Available at: &lt;https://www.sciencedirect.com/science/article/abs/pii/S135917891730071X&gt; [Accessed 2 July 2021].</w:t>
      </w:r>
    </w:p>
    <w:p w:rsidR="006239EB" w:rsidRDefault="006239EB" w:rsidP="0004048D">
      <w:pPr>
        <w:rPr>
          <w:rFonts w:asciiTheme="minorHAnsi" w:hAnsiTheme="minorHAnsi" w:cstheme="minorHAnsi"/>
          <w:color w:val="000000"/>
          <w:sz w:val="24"/>
          <w:szCs w:val="24"/>
          <w:shd w:val="clear" w:color="auto" w:fill="FFFFFF"/>
        </w:rPr>
      </w:pPr>
    </w:p>
    <w:p w:rsidR="006239EB" w:rsidRPr="006239EB" w:rsidRDefault="006239EB" w:rsidP="006239EB">
      <w:pPr>
        <w:rPr>
          <w:rFonts w:asciiTheme="minorHAnsi" w:hAnsiTheme="minorHAnsi" w:cstheme="minorHAnsi"/>
          <w:color w:val="000000"/>
          <w:sz w:val="24"/>
          <w:szCs w:val="24"/>
          <w:shd w:val="clear" w:color="auto" w:fill="FFFFFF"/>
        </w:rPr>
      </w:pPr>
      <w:r w:rsidRPr="006239EB">
        <w:rPr>
          <w:rFonts w:asciiTheme="minorHAnsi" w:hAnsiTheme="minorHAnsi" w:cstheme="minorHAnsi"/>
          <w:color w:val="000000"/>
          <w:sz w:val="24"/>
          <w:szCs w:val="24"/>
          <w:shd w:val="clear" w:color="auto" w:fill="FFFFFF"/>
        </w:rPr>
        <w:t>South Wales Police. 2021. </w:t>
      </w:r>
      <w:r w:rsidRPr="006239EB">
        <w:rPr>
          <w:rFonts w:asciiTheme="minorHAnsi" w:hAnsiTheme="minorHAnsi" w:cstheme="minorHAnsi"/>
          <w:i/>
          <w:iCs/>
          <w:color w:val="000000"/>
          <w:sz w:val="24"/>
          <w:szCs w:val="24"/>
          <w:shd w:val="clear" w:color="auto" w:fill="FFFFFF"/>
        </w:rPr>
        <w:t>PPU</w:t>
      </w:r>
      <w:r w:rsidRPr="006239EB">
        <w:rPr>
          <w:rFonts w:asciiTheme="minorHAnsi" w:hAnsiTheme="minorHAnsi" w:cstheme="minorHAnsi"/>
          <w:color w:val="000000"/>
          <w:sz w:val="24"/>
          <w:szCs w:val="24"/>
          <w:shd w:val="clear" w:color="auto" w:fill="FFFFFF"/>
        </w:rPr>
        <w:t>. [</w:t>
      </w:r>
      <w:proofErr w:type="gramStart"/>
      <w:r w:rsidRPr="006239EB">
        <w:rPr>
          <w:rFonts w:asciiTheme="minorHAnsi" w:hAnsiTheme="minorHAnsi" w:cstheme="minorHAnsi"/>
          <w:color w:val="000000"/>
          <w:sz w:val="24"/>
          <w:szCs w:val="24"/>
          <w:shd w:val="clear" w:color="auto" w:fill="FFFFFF"/>
        </w:rPr>
        <w:t>online</w:t>
      </w:r>
      <w:proofErr w:type="gramEnd"/>
      <w:r w:rsidRPr="006239EB">
        <w:rPr>
          <w:rFonts w:asciiTheme="minorHAnsi" w:hAnsiTheme="minorHAnsi" w:cstheme="minorHAnsi"/>
          <w:color w:val="000000"/>
          <w:sz w:val="24"/>
          <w:szCs w:val="24"/>
          <w:shd w:val="clear" w:color="auto" w:fill="FFFFFF"/>
        </w:rPr>
        <w:t>] Available at: &lt;https://bob.swp-rest.police.int/sorce/beacon/?pageid=PublicProtection&gt; [Accessed 20 June 2021].</w:t>
      </w:r>
    </w:p>
    <w:p w:rsidR="006239EB" w:rsidRDefault="006239EB" w:rsidP="0004048D">
      <w:pPr>
        <w:rPr>
          <w:rFonts w:asciiTheme="minorHAnsi" w:hAnsiTheme="minorHAnsi" w:cstheme="minorHAnsi"/>
          <w:color w:val="000000"/>
          <w:sz w:val="24"/>
          <w:szCs w:val="24"/>
          <w:shd w:val="clear" w:color="auto" w:fill="FFFFFF"/>
        </w:rPr>
      </w:pPr>
    </w:p>
    <w:p w:rsidR="006239EB" w:rsidRDefault="006239EB" w:rsidP="0004048D">
      <w:pPr>
        <w:rPr>
          <w:rFonts w:asciiTheme="minorHAnsi" w:hAnsiTheme="minorHAnsi" w:cstheme="minorHAnsi"/>
          <w:color w:val="000000"/>
          <w:sz w:val="24"/>
          <w:szCs w:val="24"/>
          <w:shd w:val="clear" w:color="auto" w:fill="FFFFFF"/>
        </w:rPr>
      </w:pPr>
    </w:p>
    <w:p w:rsidR="006239EB" w:rsidRPr="006239EB" w:rsidRDefault="006239EB" w:rsidP="006239EB">
      <w:pPr>
        <w:rPr>
          <w:rFonts w:asciiTheme="minorHAnsi" w:hAnsiTheme="minorHAnsi" w:cstheme="minorHAnsi"/>
          <w:color w:val="333333"/>
          <w:sz w:val="24"/>
          <w:szCs w:val="24"/>
          <w:shd w:val="clear" w:color="auto" w:fill="FFFFFF"/>
        </w:rPr>
      </w:pPr>
      <w:proofErr w:type="spellStart"/>
      <w:r w:rsidRPr="006239EB">
        <w:rPr>
          <w:rFonts w:asciiTheme="minorHAnsi" w:hAnsiTheme="minorHAnsi" w:cstheme="minorHAnsi"/>
          <w:color w:val="333333"/>
          <w:sz w:val="24"/>
          <w:szCs w:val="24"/>
          <w:shd w:val="clear" w:color="auto" w:fill="FFFFFF"/>
        </w:rPr>
        <w:t>Ungar</w:t>
      </w:r>
      <w:proofErr w:type="spellEnd"/>
      <w:r w:rsidRPr="006239EB">
        <w:rPr>
          <w:rFonts w:asciiTheme="minorHAnsi" w:hAnsiTheme="minorHAnsi" w:cstheme="minorHAnsi"/>
          <w:color w:val="333333"/>
          <w:sz w:val="24"/>
          <w:szCs w:val="24"/>
          <w:shd w:val="clear" w:color="auto" w:fill="FFFFFF"/>
        </w:rPr>
        <w:t>, M</w:t>
      </w:r>
      <w:proofErr w:type="gramStart"/>
      <w:r w:rsidRPr="006239EB">
        <w:rPr>
          <w:rFonts w:asciiTheme="minorHAnsi" w:hAnsiTheme="minorHAnsi" w:cstheme="minorHAnsi"/>
          <w:color w:val="333333"/>
          <w:sz w:val="24"/>
          <w:szCs w:val="24"/>
          <w:shd w:val="clear" w:color="auto" w:fill="FFFFFF"/>
        </w:rPr>
        <w:t>,.</w:t>
      </w:r>
      <w:proofErr w:type="gramEnd"/>
      <w:r w:rsidRPr="006239EB">
        <w:rPr>
          <w:rFonts w:asciiTheme="minorHAnsi" w:hAnsiTheme="minorHAnsi" w:cstheme="minorHAnsi"/>
          <w:color w:val="333333"/>
          <w:sz w:val="24"/>
          <w:szCs w:val="24"/>
          <w:shd w:val="clear" w:color="auto" w:fill="FFFFFF"/>
        </w:rPr>
        <w:t xml:space="preserve"> </w:t>
      </w:r>
      <w:r w:rsidRPr="006239EB">
        <w:rPr>
          <w:rStyle w:val="nlmyear"/>
          <w:rFonts w:asciiTheme="minorHAnsi" w:hAnsiTheme="minorHAnsi" w:cstheme="minorHAnsi"/>
          <w:color w:val="333333"/>
          <w:sz w:val="24"/>
          <w:szCs w:val="24"/>
          <w:shd w:val="clear" w:color="auto" w:fill="FFFFFF"/>
        </w:rPr>
        <w:t>2013</w:t>
      </w:r>
      <w:r w:rsidRPr="006239EB">
        <w:rPr>
          <w:rFonts w:asciiTheme="minorHAnsi" w:hAnsiTheme="minorHAnsi" w:cstheme="minorHAnsi"/>
          <w:color w:val="333333"/>
          <w:sz w:val="24"/>
          <w:szCs w:val="24"/>
          <w:shd w:val="clear" w:color="auto" w:fill="FFFFFF"/>
        </w:rPr>
        <w:t> </w:t>
      </w:r>
      <w:r w:rsidRPr="006239EB">
        <w:rPr>
          <w:rStyle w:val="nlmarticle-title"/>
          <w:rFonts w:asciiTheme="minorHAnsi" w:hAnsiTheme="minorHAnsi" w:cstheme="minorHAnsi"/>
          <w:color w:val="333333"/>
          <w:sz w:val="24"/>
          <w:szCs w:val="24"/>
          <w:shd w:val="clear" w:color="auto" w:fill="FFFFFF"/>
        </w:rPr>
        <w:t>Resilience after maltreatment: The importance of social services as facilitators of positive adaptation</w:t>
      </w:r>
      <w:r w:rsidRPr="006239EB">
        <w:rPr>
          <w:rFonts w:asciiTheme="minorHAnsi" w:hAnsiTheme="minorHAnsi" w:cstheme="minorHAnsi"/>
          <w:color w:val="333333"/>
          <w:sz w:val="24"/>
          <w:szCs w:val="24"/>
          <w:shd w:val="clear" w:color="auto" w:fill="FFFFFF"/>
        </w:rPr>
        <w:t>. Child Abuse and Neglect </w:t>
      </w:r>
    </w:p>
    <w:p w:rsidR="006239EB" w:rsidRPr="006239EB" w:rsidRDefault="006239EB" w:rsidP="0004048D">
      <w:pPr>
        <w:rPr>
          <w:rFonts w:asciiTheme="minorHAnsi" w:hAnsiTheme="minorHAnsi" w:cstheme="minorHAnsi"/>
          <w:sz w:val="24"/>
          <w:szCs w:val="24"/>
        </w:rPr>
      </w:pPr>
    </w:p>
    <w:p w:rsidR="0004048D" w:rsidRDefault="0004048D">
      <w:pPr>
        <w:rPr>
          <w:rFonts w:asciiTheme="minorHAnsi" w:hAnsiTheme="minorHAnsi" w:cstheme="minorHAnsi"/>
          <w:sz w:val="24"/>
        </w:rPr>
      </w:pPr>
    </w:p>
    <w:p w:rsidR="006239EB" w:rsidRPr="006239EB" w:rsidRDefault="006239EB" w:rsidP="006239EB">
      <w:pPr>
        <w:rPr>
          <w:rFonts w:asciiTheme="minorHAnsi" w:hAnsiTheme="minorHAnsi" w:cstheme="minorHAnsi"/>
          <w:color w:val="333333"/>
          <w:sz w:val="24"/>
          <w:szCs w:val="24"/>
          <w:shd w:val="clear" w:color="auto" w:fill="FFFFFF"/>
        </w:rPr>
      </w:pPr>
      <w:r w:rsidRPr="006239EB">
        <w:rPr>
          <w:rFonts w:asciiTheme="minorHAnsi" w:hAnsiTheme="minorHAnsi" w:cstheme="minorHAnsi"/>
          <w:color w:val="333333"/>
          <w:sz w:val="24"/>
          <w:szCs w:val="24"/>
          <w:shd w:val="clear" w:color="auto" w:fill="FFFFFF"/>
        </w:rPr>
        <w:lastRenderedPageBreak/>
        <w:t xml:space="preserve">Van </w:t>
      </w:r>
      <w:proofErr w:type="spellStart"/>
      <w:r w:rsidRPr="006239EB">
        <w:rPr>
          <w:rFonts w:asciiTheme="minorHAnsi" w:hAnsiTheme="minorHAnsi" w:cstheme="minorHAnsi"/>
          <w:color w:val="333333"/>
          <w:sz w:val="24"/>
          <w:szCs w:val="24"/>
          <w:shd w:val="clear" w:color="auto" w:fill="FFFFFF"/>
        </w:rPr>
        <w:t>Dijk</w:t>
      </w:r>
      <w:proofErr w:type="spellEnd"/>
      <w:r w:rsidRPr="006239EB">
        <w:rPr>
          <w:rFonts w:asciiTheme="minorHAnsi" w:hAnsiTheme="minorHAnsi" w:cstheme="minorHAnsi"/>
          <w:color w:val="333333"/>
          <w:sz w:val="24"/>
          <w:szCs w:val="24"/>
          <w:shd w:val="clear" w:color="auto" w:fill="FFFFFF"/>
        </w:rPr>
        <w:t xml:space="preserve">, J., </w:t>
      </w:r>
      <w:r w:rsidRPr="006239EB">
        <w:rPr>
          <w:rStyle w:val="nlmyear"/>
          <w:rFonts w:asciiTheme="minorHAnsi" w:hAnsiTheme="minorHAnsi" w:cstheme="minorHAnsi"/>
          <w:color w:val="333333"/>
          <w:sz w:val="24"/>
          <w:szCs w:val="24"/>
          <w:shd w:val="clear" w:color="auto" w:fill="FFFFFF"/>
        </w:rPr>
        <w:t>2006</w:t>
      </w:r>
      <w:r w:rsidRPr="006239EB">
        <w:rPr>
          <w:rFonts w:asciiTheme="minorHAnsi" w:hAnsiTheme="minorHAnsi" w:cstheme="minorHAnsi"/>
          <w:color w:val="333333"/>
          <w:sz w:val="24"/>
          <w:szCs w:val="24"/>
          <w:shd w:val="clear" w:color="auto" w:fill="FFFFFF"/>
        </w:rPr>
        <w:t>. </w:t>
      </w:r>
      <w:r w:rsidRPr="006239EB">
        <w:rPr>
          <w:rStyle w:val="nlmarticle-title"/>
          <w:rFonts w:asciiTheme="minorHAnsi" w:hAnsiTheme="minorHAnsi" w:cstheme="minorHAnsi"/>
          <w:color w:val="333333"/>
          <w:sz w:val="24"/>
          <w:szCs w:val="24"/>
          <w:shd w:val="clear" w:color="auto" w:fill="FFFFFF"/>
        </w:rPr>
        <w:t>What goes up, comes down: Explaining the falling crime rates</w:t>
      </w:r>
      <w:r w:rsidRPr="006239EB">
        <w:rPr>
          <w:rFonts w:asciiTheme="minorHAnsi" w:hAnsiTheme="minorHAnsi" w:cstheme="minorHAnsi"/>
          <w:color w:val="333333"/>
          <w:sz w:val="24"/>
          <w:szCs w:val="24"/>
          <w:shd w:val="clear" w:color="auto" w:fill="FFFFFF"/>
        </w:rPr>
        <w:t>. Criminology in Europe, Newsletter of the European Society of Criminology </w:t>
      </w:r>
    </w:p>
    <w:p w:rsidR="006239EB" w:rsidRDefault="006239EB">
      <w:pPr>
        <w:rPr>
          <w:rFonts w:asciiTheme="minorHAnsi" w:hAnsiTheme="minorHAnsi" w:cstheme="minorHAnsi"/>
          <w:sz w:val="24"/>
        </w:rPr>
      </w:pPr>
    </w:p>
    <w:p w:rsidR="0004048D" w:rsidRDefault="0004048D">
      <w:pPr>
        <w:rPr>
          <w:rFonts w:asciiTheme="minorHAnsi" w:hAnsiTheme="minorHAnsi" w:cstheme="minorHAnsi"/>
          <w:sz w:val="24"/>
        </w:rPr>
      </w:pPr>
    </w:p>
    <w:p w:rsidR="006239EB" w:rsidRDefault="006239EB" w:rsidP="0004048D">
      <w:pPr>
        <w:spacing w:line="257" w:lineRule="auto"/>
        <w:rPr>
          <w:rFonts w:ascii="Calibri" w:eastAsia="Calibri" w:hAnsi="Calibri" w:cs="Calibri"/>
          <w:b/>
          <w:bCs/>
          <w:sz w:val="28"/>
          <w:szCs w:val="28"/>
          <w:u w:val="single"/>
        </w:rPr>
      </w:pPr>
    </w:p>
    <w:p w:rsidR="006239EB" w:rsidRDefault="006239EB" w:rsidP="0004048D">
      <w:pPr>
        <w:spacing w:line="257" w:lineRule="auto"/>
        <w:rPr>
          <w:rFonts w:ascii="Calibri" w:eastAsia="Calibri" w:hAnsi="Calibri" w:cs="Calibri"/>
          <w:b/>
          <w:bCs/>
          <w:sz w:val="28"/>
          <w:szCs w:val="28"/>
          <w:u w:val="single"/>
        </w:rPr>
      </w:pPr>
    </w:p>
    <w:p w:rsidR="006239EB" w:rsidRDefault="006239EB" w:rsidP="0004048D">
      <w:pPr>
        <w:spacing w:line="257" w:lineRule="auto"/>
        <w:rPr>
          <w:rFonts w:ascii="Calibri" w:eastAsia="Calibri" w:hAnsi="Calibri" w:cs="Calibri"/>
          <w:b/>
          <w:bCs/>
          <w:sz w:val="28"/>
          <w:szCs w:val="28"/>
          <w:u w:val="single"/>
        </w:rPr>
      </w:pPr>
    </w:p>
    <w:p w:rsidR="006239EB" w:rsidRDefault="006239EB" w:rsidP="0004048D">
      <w:pPr>
        <w:spacing w:line="257" w:lineRule="auto"/>
        <w:rPr>
          <w:rFonts w:ascii="Calibri" w:eastAsia="Calibri" w:hAnsi="Calibri" w:cs="Calibri"/>
          <w:b/>
          <w:bCs/>
          <w:sz w:val="28"/>
          <w:szCs w:val="28"/>
          <w:u w:val="single"/>
        </w:rPr>
      </w:pPr>
    </w:p>
    <w:p w:rsidR="006239EB" w:rsidRDefault="006239EB" w:rsidP="0004048D">
      <w:pPr>
        <w:spacing w:line="257" w:lineRule="auto"/>
        <w:rPr>
          <w:rFonts w:ascii="Calibri" w:eastAsia="Calibri" w:hAnsi="Calibri" w:cs="Calibri"/>
          <w:b/>
          <w:bCs/>
          <w:sz w:val="28"/>
          <w:szCs w:val="28"/>
          <w:u w:val="single"/>
        </w:rPr>
      </w:pPr>
    </w:p>
    <w:p w:rsidR="006239EB" w:rsidRDefault="006239EB" w:rsidP="0004048D">
      <w:pPr>
        <w:spacing w:line="257" w:lineRule="auto"/>
        <w:rPr>
          <w:rFonts w:ascii="Calibri" w:eastAsia="Calibri" w:hAnsi="Calibri" w:cs="Calibri"/>
          <w:b/>
          <w:bCs/>
          <w:sz w:val="28"/>
          <w:szCs w:val="28"/>
          <w:u w:val="single"/>
        </w:rPr>
      </w:pPr>
    </w:p>
    <w:p w:rsidR="006239EB" w:rsidRDefault="006239EB" w:rsidP="0004048D">
      <w:pPr>
        <w:spacing w:line="257" w:lineRule="auto"/>
        <w:rPr>
          <w:rFonts w:ascii="Calibri" w:eastAsia="Calibri" w:hAnsi="Calibri" w:cs="Calibri"/>
          <w:b/>
          <w:bCs/>
          <w:sz w:val="28"/>
          <w:szCs w:val="28"/>
          <w:u w:val="single"/>
        </w:rPr>
      </w:pPr>
    </w:p>
    <w:p w:rsidR="006239EB" w:rsidRDefault="006239EB" w:rsidP="0004048D">
      <w:pPr>
        <w:spacing w:line="257" w:lineRule="auto"/>
        <w:rPr>
          <w:rFonts w:ascii="Calibri" w:eastAsia="Calibri" w:hAnsi="Calibri" w:cs="Calibri"/>
          <w:b/>
          <w:bCs/>
          <w:sz w:val="28"/>
          <w:szCs w:val="28"/>
          <w:u w:val="single"/>
        </w:rPr>
      </w:pPr>
    </w:p>
    <w:p w:rsidR="006239EB" w:rsidRDefault="006239EB" w:rsidP="0004048D">
      <w:pPr>
        <w:spacing w:line="257" w:lineRule="auto"/>
        <w:rPr>
          <w:rFonts w:ascii="Calibri" w:eastAsia="Calibri" w:hAnsi="Calibri" w:cs="Calibri"/>
          <w:b/>
          <w:bCs/>
          <w:sz w:val="28"/>
          <w:szCs w:val="28"/>
          <w:u w:val="single"/>
        </w:rPr>
      </w:pPr>
    </w:p>
    <w:p w:rsidR="006239EB" w:rsidRDefault="006239EB" w:rsidP="0004048D">
      <w:pPr>
        <w:spacing w:line="257" w:lineRule="auto"/>
        <w:rPr>
          <w:rFonts w:ascii="Calibri" w:eastAsia="Calibri" w:hAnsi="Calibri" w:cs="Calibri"/>
          <w:b/>
          <w:bCs/>
          <w:sz w:val="28"/>
          <w:szCs w:val="28"/>
          <w:u w:val="single"/>
        </w:rPr>
      </w:pPr>
    </w:p>
    <w:p w:rsidR="006239EB" w:rsidRDefault="006239EB" w:rsidP="0004048D">
      <w:pPr>
        <w:spacing w:line="257" w:lineRule="auto"/>
        <w:rPr>
          <w:rFonts w:ascii="Calibri" w:eastAsia="Calibri" w:hAnsi="Calibri" w:cs="Calibri"/>
          <w:b/>
          <w:bCs/>
          <w:sz w:val="28"/>
          <w:szCs w:val="28"/>
          <w:u w:val="single"/>
        </w:rPr>
      </w:pPr>
    </w:p>
    <w:p w:rsidR="006239EB" w:rsidRDefault="006239EB" w:rsidP="0004048D">
      <w:pPr>
        <w:spacing w:line="257" w:lineRule="auto"/>
        <w:rPr>
          <w:rFonts w:ascii="Calibri" w:eastAsia="Calibri" w:hAnsi="Calibri" w:cs="Calibri"/>
          <w:b/>
          <w:bCs/>
          <w:sz w:val="28"/>
          <w:szCs w:val="28"/>
          <w:u w:val="single"/>
        </w:rPr>
      </w:pPr>
    </w:p>
    <w:p w:rsidR="006239EB" w:rsidRDefault="006239EB" w:rsidP="0004048D">
      <w:pPr>
        <w:spacing w:line="257" w:lineRule="auto"/>
        <w:rPr>
          <w:rFonts w:ascii="Calibri" w:eastAsia="Calibri" w:hAnsi="Calibri" w:cs="Calibri"/>
          <w:b/>
          <w:bCs/>
          <w:sz w:val="28"/>
          <w:szCs w:val="28"/>
          <w:u w:val="single"/>
        </w:rPr>
      </w:pPr>
    </w:p>
    <w:p w:rsidR="006239EB" w:rsidRDefault="006239EB" w:rsidP="0004048D">
      <w:pPr>
        <w:spacing w:line="257" w:lineRule="auto"/>
        <w:rPr>
          <w:rFonts w:ascii="Calibri" w:eastAsia="Calibri" w:hAnsi="Calibri" w:cs="Calibri"/>
          <w:b/>
          <w:bCs/>
          <w:sz w:val="28"/>
          <w:szCs w:val="28"/>
          <w:u w:val="single"/>
        </w:rPr>
      </w:pPr>
    </w:p>
    <w:p w:rsidR="006239EB" w:rsidRDefault="006239EB" w:rsidP="0004048D">
      <w:pPr>
        <w:spacing w:line="257" w:lineRule="auto"/>
        <w:rPr>
          <w:rFonts w:ascii="Calibri" w:eastAsia="Calibri" w:hAnsi="Calibri" w:cs="Calibri"/>
          <w:b/>
          <w:bCs/>
          <w:sz w:val="28"/>
          <w:szCs w:val="28"/>
          <w:u w:val="single"/>
        </w:rPr>
      </w:pPr>
    </w:p>
    <w:p w:rsidR="006239EB" w:rsidRDefault="006239EB" w:rsidP="0004048D">
      <w:pPr>
        <w:spacing w:line="257" w:lineRule="auto"/>
        <w:rPr>
          <w:rFonts w:ascii="Calibri" w:eastAsia="Calibri" w:hAnsi="Calibri" w:cs="Calibri"/>
          <w:b/>
          <w:bCs/>
          <w:sz w:val="28"/>
          <w:szCs w:val="28"/>
          <w:u w:val="single"/>
        </w:rPr>
      </w:pPr>
    </w:p>
    <w:p w:rsidR="006239EB" w:rsidRDefault="006239EB" w:rsidP="0004048D">
      <w:pPr>
        <w:spacing w:line="257" w:lineRule="auto"/>
        <w:rPr>
          <w:rFonts w:ascii="Calibri" w:eastAsia="Calibri" w:hAnsi="Calibri" w:cs="Calibri"/>
          <w:b/>
          <w:bCs/>
          <w:sz w:val="28"/>
          <w:szCs w:val="28"/>
          <w:u w:val="single"/>
        </w:rPr>
      </w:pPr>
    </w:p>
    <w:p w:rsidR="006239EB" w:rsidRDefault="006239EB" w:rsidP="0004048D">
      <w:pPr>
        <w:spacing w:line="257" w:lineRule="auto"/>
        <w:rPr>
          <w:rFonts w:ascii="Calibri" w:eastAsia="Calibri" w:hAnsi="Calibri" w:cs="Calibri"/>
          <w:b/>
          <w:bCs/>
          <w:sz w:val="28"/>
          <w:szCs w:val="28"/>
          <w:u w:val="single"/>
        </w:rPr>
      </w:pPr>
    </w:p>
    <w:p w:rsidR="006239EB" w:rsidRDefault="006239EB" w:rsidP="0004048D">
      <w:pPr>
        <w:spacing w:line="257" w:lineRule="auto"/>
        <w:rPr>
          <w:rFonts w:ascii="Calibri" w:eastAsia="Calibri" w:hAnsi="Calibri" w:cs="Calibri"/>
          <w:b/>
          <w:bCs/>
          <w:sz w:val="28"/>
          <w:szCs w:val="28"/>
          <w:u w:val="single"/>
        </w:rPr>
      </w:pPr>
    </w:p>
    <w:p w:rsidR="006239EB" w:rsidRDefault="006239EB" w:rsidP="0004048D">
      <w:pPr>
        <w:spacing w:line="257" w:lineRule="auto"/>
        <w:rPr>
          <w:rFonts w:ascii="Calibri" w:eastAsia="Calibri" w:hAnsi="Calibri" w:cs="Calibri"/>
          <w:b/>
          <w:bCs/>
          <w:sz w:val="28"/>
          <w:szCs w:val="28"/>
          <w:u w:val="single"/>
        </w:rPr>
      </w:pPr>
    </w:p>
    <w:p w:rsidR="006239EB" w:rsidRDefault="006239EB" w:rsidP="0004048D">
      <w:pPr>
        <w:spacing w:line="257" w:lineRule="auto"/>
        <w:rPr>
          <w:rFonts w:ascii="Calibri" w:eastAsia="Calibri" w:hAnsi="Calibri" w:cs="Calibri"/>
          <w:b/>
          <w:bCs/>
          <w:sz w:val="28"/>
          <w:szCs w:val="28"/>
          <w:u w:val="single"/>
        </w:rPr>
      </w:pPr>
    </w:p>
    <w:p w:rsidR="006239EB" w:rsidRDefault="006239EB" w:rsidP="0004048D">
      <w:pPr>
        <w:spacing w:line="257" w:lineRule="auto"/>
        <w:rPr>
          <w:rFonts w:ascii="Calibri" w:eastAsia="Calibri" w:hAnsi="Calibri" w:cs="Calibri"/>
          <w:b/>
          <w:bCs/>
          <w:sz w:val="28"/>
          <w:szCs w:val="28"/>
          <w:u w:val="single"/>
        </w:rPr>
      </w:pPr>
    </w:p>
    <w:p w:rsidR="006239EB" w:rsidRDefault="006239EB" w:rsidP="0004048D">
      <w:pPr>
        <w:spacing w:line="257" w:lineRule="auto"/>
        <w:rPr>
          <w:rFonts w:ascii="Calibri" w:eastAsia="Calibri" w:hAnsi="Calibri" w:cs="Calibri"/>
          <w:b/>
          <w:bCs/>
          <w:sz w:val="28"/>
          <w:szCs w:val="28"/>
          <w:u w:val="single"/>
        </w:rPr>
      </w:pPr>
    </w:p>
    <w:p w:rsidR="006239EB" w:rsidRDefault="006239EB" w:rsidP="0004048D">
      <w:pPr>
        <w:spacing w:line="257" w:lineRule="auto"/>
        <w:rPr>
          <w:rFonts w:ascii="Calibri" w:eastAsia="Calibri" w:hAnsi="Calibri" w:cs="Calibri"/>
          <w:b/>
          <w:bCs/>
          <w:sz w:val="28"/>
          <w:szCs w:val="28"/>
          <w:u w:val="single"/>
        </w:rPr>
      </w:pPr>
    </w:p>
    <w:p w:rsidR="006239EB" w:rsidRDefault="006239EB" w:rsidP="0004048D">
      <w:pPr>
        <w:spacing w:line="257" w:lineRule="auto"/>
        <w:rPr>
          <w:rFonts w:ascii="Calibri" w:eastAsia="Calibri" w:hAnsi="Calibri" w:cs="Calibri"/>
          <w:b/>
          <w:bCs/>
          <w:sz w:val="28"/>
          <w:szCs w:val="28"/>
          <w:u w:val="single"/>
        </w:rPr>
      </w:pPr>
    </w:p>
    <w:p w:rsidR="006239EB" w:rsidRDefault="006239EB" w:rsidP="0004048D">
      <w:pPr>
        <w:spacing w:line="257" w:lineRule="auto"/>
        <w:rPr>
          <w:rFonts w:ascii="Calibri" w:eastAsia="Calibri" w:hAnsi="Calibri" w:cs="Calibri"/>
          <w:b/>
          <w:bCs/>
          <w:sz w:val="28"/>
          <w:szCs w:val="28"/>
          <w:u w:val="single"/>
        </w:rPr>
      </w:pPr>
    </w:p>
    <w:p w:rsidR="006239EB" w:rsidRDefault="006239EB" w:rsidP="0004048D">
      <w:pPr>
        <w:spacing w:line="257" w:lineRule="auto"/>
        <w:rPr>
          <w:rFonts w:ascii="Calibri" w:eastAsia="Calibri" w:hAnsi="Calibri" w:cs="Calibri"/>
          <w:b/>
          <w:bCs/>
          <w:sz w:val="28"/>
          <w:szCs w:val="28"/>
          <w:u w:val="single"/>
        </w:rPr>
      </w:pPr>
    </w:p>
    <w:p w:rsidR="006239EB" w:rsidRDefault="006239EB" w:rsidP="0004048D">
      <w:pPr>
        <w:spacing w:line="257" w:lineRule="auto"/>
        <w:rPr>
          <w:rFonts w:ascii="Calibri" w:eastAsia="Calibri" w:hAnsi="Calibri" w:cs="Calibri"/>
          <w:b/>
          <w:bCs/>
          <w:sz w:val="28"/>
          <w:szCs w:val="28"/>
          <w:u w:val="single"/>
        </w:rPr>
      </w:pPr>
    </w:p>
    <w:p w:rsidR="006239EB" w:rsidRDefault="006239EB" w:rsidP="0004048D">
      <w:pPr>
        <w:spacing w:line="257" w:lineRule="auto"/>
        <w:rPr>
          <w:rFonts w:ascii="Calibri" w:eastAsia="Calibri" w:hAnsi="Calibri" w:cs="Calibri"/>
          <w:b/>
          <w:bCs/>
          <w:sz w:val="28"/>
          <w:szCs w:val="28"/>
          <w:u w:val="single"/>
        </w:rPr>
      </w:pPr>
    </w:p>
    <w:p w:rsidR="006239EB" w:rsidRDefault="006239EB" w:rsidP="0004048D">
      <w:pPr>
        <w:spacing w:line="257" w:lineRule="auto"/>
        <w:rPr>
          <w:rFonts w:ascii="Calibri" w:eastAsia="Calibri" w:hAnsi="Calibri" w:cs="Calibri"/>
          <w:b/>
          <w:bCs/>
          <w:sz w:val="28"/>
          <w:szCs w:val="28"/>
          <w:u w:val="single"/>
        </w:rPr>
      </w:pPr>
    </w:p>
    <w:p w:rsidR="006239EB" w:rsidRDefault="006239EB" w:rsidP="0004048D">
      <w:pPr>
        <w:spacing w:line="257" w:lineRule="auto"/>
        <w:rPr>
          <w:rFonts w:ascii="Calibri" w:eastAsia="Calibri" w:hAnsi="Calibri" w:cs="Calibri"/>
          <w:b/>
          <w:bCs/>
          <w:sz w:val="28"/>
          <w:szCs w:val="28"/>
          <w:u w:val="single"/>
        </w:rPr>
      </w:pPr>
    </w:p>
    <w:p w:rsidR="006239EB" w:rsidRDefault="006239EB" w:rsidP="0004048D">
      <w:pPr>
        <w:spacing w:line="257" w:lineRule="auto"/>
        <w:rPr>
          <w:rFonts w:ascii="Calibri" w:eastAsia="Calibri" w:hAnsi="Calibri" w:cs="Calibri"/>
          <w:b/>
          <w:bCs/>
          <w:sz w:val="28"/>
          <w:szCs w:val="28"/>
          <w:u w:val="single"/>
        </w:rPr>
      </w:pPr>
    </w:p>
    <w:p w:rsidR="006239EB" w:rsidRDefault="006239EB" w:rsidP="0004048D">
      <w:pPr>
        <w:spacing w:line="257" w:lineRule="auto"/>
        <w:rPr>
          <w:rFonts w:ascii="Calibri" w:eastAsia="Calibri" w:hAnsi="Calibri" w:cs="Calibri"/>
          <w:b/>
          <w:bCs/>
          <w:sz w:val="28"/>
          <w:szCs w:val="28"/>
          <w:u w:val="single"/>
        </w:rPr>
      </w:pPr>
    </w:p>
    <w:p w:rsidR="006239EB" w:rsidRDefault="006239EB" w:rsidP="0004048D">
      <w:pPr>
        <w:spacing w:line="257" w:lineRule="auto"/>
        <w:rPr>
          <w:rFonts w:ascii="Calibri" w:eastAsia="Calibri" w:hAnsi="Calibri" w:cs="Calibri"/>
          <w:b/>
          <w:bCs/>
          <w:sz w:val="28"/>
          <w:szCs w:val="28"/>
          <w:u w:val="single"/>
        </w:rPr>
      </w:pPr>
    </w:p>
    <w:p w:rsidR="0004048D" w:rsidRPr="007519BB" w:rsidRDefault="0004048D" w:rsidP="0004048D">
      <w:pPr>
        <w:spacing w:line="257" w:lineRule="auto"/>
        <w:rPr>
          <w:rFonts w:ascii="Calibri" w:hAnsi="Calibri" w:cs="Calibri"/>
          <w:b/>
          <w:sz w:val="28"/>
          <w:szCs w:val="28"/>
          <w:u w:val="single"/>
        </w:rPr>
      </w:pPr>
      <w:r w:rsidRPr="007519BB">
        <w:rPr>
          <w:rFonts w:ascii="Calibri" w:eastAsia="Calibri" w:hAnsi="Calibri" w:cs="Calibri"/>
          <w:b/>
          <w:bCs/>
          <w:sz w:val="28"/>
          <w:szCs w:val="28"/>
          <w:u w:val="single"/>
        </w:rPr>
        <w:lastRenderedPageBreak/>
        <w:t>1000 words - Community/Response Policing/Policing roads/Conducting Investigations /Digital Policing</w:t>
      </w:r>
    </w:p>
    <w:p w:rsidR="0004048D" w:rsidRPr="007519BB" w:rsidRDefault="0004048D" w:rsidP="0004048D">
      <w:pPr>
        <w:spacing w:line="257" w:lineRule="auto"/>
        <w:rPr>
          <w:rFonts w:ascii="Calibri" w:hAnsi="Calibri" w:cs="Calibri"/>
          <w:b/>
          <w:sz w:val="28"/>
          <w:szCs w:val="28"/>
          <w:u w:val="single"/>
        </w:rPr>
      </w:pPr>
      <w:r w:rsidRPr="007519BB">
        <w:rPr>
          <w:rFonts w:ascii="Calibri" w:eastAsia="Calibri" w:hAnsi="Calibri" w:cs="Calibri"/>
          <w:b/>
          <w:sz w:val="28"/>
          <w:szCs w:val="28"/>
          <w:u w:val="single"/>
        </w:rPr>
        <w:t xml:space="preserve">Critically evaluate the role of the police in </w:t>
      </w:r>
      <w:r w:rsidRPr="007519BB">
        <w:rPr>
          <w:rFonts w:ascii="Calibri" w:eastAsia="Calibri" w:hAnsi="Calibri" w:cs="Calibri"/>
          <w:b/>
          <w:bCs/>
          <w:sz w:val="28"/>
          <w:szCs w:val="28"/>
          <w:u w:val="single"/>
        </w:rPr>
        <w:t>one</w:t>
      </w:r>
      <w:r w:rsidRPr="007519BB">
        <w:rPr>
          <w:rFonts w:ascii="Calibri" w:eastAsia="Calibri" w:hAnsi="Calibri" w:cs="Calibri"/>
          <w:b/>
          <w:sz w:val="28"/>
          <w:szCs w:val="28"/>
          <w:u w:val="single"/>
        </w:rPr>
        <w:t xml:space="preserve"> of the following areas:</w:t>
      </w:r>
    </w:p>
    <w:p w:rsidR="0004048D" w:rsidRPr="007519BB" w:rsidRDefault="0004048D" w:rsidP="0004048D">
      <w:pPr>
        <w:numPr>
          <w:ilvl w:val="0"/>
          <w:numId w:val="3"/>
        </w:numPr>
        <w:spacing w:line="257" w:lineRule="auto"/>
        <w:contextualSpacing/>
        <w:rPr>
          <w:rFonts w:ascii="Calibri" w:hAnsi="Calibri" w:cs="Calibri"/>
          <w:b/>
          <w:sz w:val="28"/>
          <w:szCs w:val="28"/>
          <w:u w:val="single"/>
        </w:rPr>
      </w:pPr>
      <w:r w:rsidRPr="007519BB">
        <w:rPr>
          <w:rFonts w:ascii="Calibri" w:eastAsia="Arial" w:hAnsi="Calibri" w:cs="Calibri"/>
          <w:b/>
          <w:sz w:val="28"/>
          <w:szCs w:val="28"/>
          <w:u w:val="single"/>
        </w:rPr>
        <w:t>Community policing (strategies and incentives)</w:t>
      </w:r>
    </w:p>
    <w:p w:rsidR="0004048D" w:rsidRPr="007519BB" w:rsidRDefault="0004048D" w:rsidP="0004048D">
      <w:pPr>
        <w:numPr>
          <w:ilvl w:val="0"/>
          <w:numId w:val="3"/>
        </w:numPr>
        <w:spacing w:line="257" w:lineRule="auto"/>
        <w:contextualSpacing/>
        <w:rPr>
          <w:rFonts w:ascii="Calibri" w:hAnsi="Calibri" w:cs="Calibri"/>
          <w:b/>
          <w:sz w:val="28"/>
          <w:szCs w:val="28"/>
          <w:u w:val="single"/>
        </w:rPr>
      </w:pPr>
      <w:r w:rsidRPr="007519BB">
        <w:rPr>
          <w:rFonts w:ascii="Calibri" w:eastAsia="Arial" w:hAnsi="Calibri" w:cs="Calibri"/>
          <w:b/>
          <w:sz w:val="28"/>
          <w:szCs w:val="28"/>
          <w:u w:val="single"/>
        </w:rPr>
        <w:t>Response policing (public perception and critical/major incidents)</w:t>
      </w:r>
    </w:p>
    <w:p w:rsidR="0004048D" w:rsidRPr="007519BB" w:rsidRDefault="0004048D" w:rsidP="0004048D">
      <w:pPr>
        <w:numPr>
          <w:ilvl w:val="0"/>
          <w:numId w:val="3"/>
        </w:numPr>
        <w:spacing w:line="257" w:lineRule="auto"/>
        <w:contextualSpacing/>
        <w:rPr>
          <w:rFonts w:ascii="Calibri" w:hAnsi="Calibri" w:cs="Calibri"/>
          <w:b/>
          <w:sz w:val="28"/>
          <w:szCs w:val="28"/>
          <w:u w:val="single"/>
        </w:rPr>
      </w:pPr>
      <w:r w:rsidRPr="007519BB">
        <w:rPr>
          <w:rFonts w:ascii="Calibri" w:eastAsia="Arial" w:hAnsi="Calibri" w:cs="Calibri"/>
          <w:b/>
          <w:sz w:val="28"/>
          <w:szCs w:val="28"/>
          <w:u w:val="single"/>
        </w:rPr>
        <w:t xml:space="preserve">Policing the roads (application of regulations) </w:t>
      </w:r>
    </w:p>
    <w:p w:rsidR="0004048D" w:rsidRPr="007519BB" w:rsidRDefault="0004048D" w:rsidP="0004048D">
      <w:pPr>
        <w:numPr>
          <w:ilvl w:val="0"/>
          <w:numId w:val="3"/>
        </w:numPr>
        <w:spacing w:line="257" w:lineRule="auto"/>
        <w:contextualSpacing/>
        <w:rPr>
          <w:rFonts w:ascii="Calibri" w:hAnsi="Calibri" w:cs="Calibri"/>
          <w:b/>
          <w:sz w:val="28"/>
          <w:szCs w:val="28"/>
          <w:u w:val="single"/>
        </w:rPr>
      </w:pPr>
      <w:r w:rsidRPr="007519BB">
        <w:rPr>
          <w:rFonts w:ascii="Calibri" w:eastAsia="Arial" w:hAnsi="Calibri" w:cs="Calibri"/>
          <w:b/>
          <w:sz w:val="28"/>
          <w:szCs w:val="28"/>
          <w:u w:val="single"/>
        </w:rPr>
        <w:t xml:space="preserve">Counter Terrorism Policing (Structure/ Risks/Insider threat).  </w:t>
      </w:r>
    </w:p>
    <w:p w:rsidR="0004048D" w:rsidRPr="007519BB" w:rsidRDefault="0004048D" w:rsidP="0004048D">
      <w:pPr>
        <w:numPr>
          <w:ilvl w:val="0"/>
          <w:numId w:val="3"/>
        </w:numPr>
        <w:contextualSpacing/>
        <w:rPr>
          <w:rFonts w:ascii="Calibri" w:hAnsi="Calibri" w:cs="Calibri"/>
          <w:b/>
          <w:sz w:val="28"/>
          <w:szCs w:val="28"/>
          <w:highlight w:val="yellow"/>
          <w:u w:val="single"/>
        </w:rPr>
      </w:pPr>
      <w:r w:rsidRPr="007519BB">
        <w:rPr>
          <w:rFonts w:ascii="Calibri" w:eastAsia="Calibri" w:hAnsi="Calibri" w:cs="Calibri"/>
          <w:b/>
          <w:sz w:val="28"/>
          <w:szCs w:val="28"/>
          <w:highlight w:val="yellow"/>
          <w:u w:val="single"/>
        </w:rPr>
        <w:t xml:space="preserve">Digital Policing (Internet related crime / Digital evidence retrieval). </w:t>
      </w:r>
    </w:p>
    <w:p w:rsidR="0004048D" w:rsidRDefault="0004048D" w:rsidP="0004048D">
      <w:pPr>
        <w:contextualSpacing/>
        <w:rPr>
          <w:rFonts w:ascii="Calibri" w:eastAsia="Calibri" w:hAnsi="Calibri" w:cs="Calibri"/>
          <w:sz w:val="28"/>
          <w:szCs w:val="28"/>
          <w:highlight w:val="yellow"/>
        </w:rPr>
      </w:pPr>
    </w:p>
    <w:p w:rsidR="0004048D" w:rsidRDefault="0004048D" w:rsidP="0004048D">
      <w:pPr>
        <w:contextualSpacing/>
        <w:rPr>
          <w:rFonts w:ascii="Calibri" w:eastAsia="Calibri" w:hAnsi="Calibri" w:cs="Calibri"/>
          <w:sz w:val="24"/>
          <w:szCs w:val="28"/>
        </w:rPr>
      </w:pPr>
      <w:r w:rsidRPr="00536A27">
        <w:rPr>
          <w:rFonts w:ascii="Calibri" w:eastAsia="Calibri" w:hAnsi="Calibri" w:cs="Calibri"/>
          <w:sz w:val="24"/>
          <w:szCs w:val="28"/>
        </w:rPr>
        <w:t>The number of people who use the internet has grown at a vast rate since its introduction, with 91% of the UK population using the internet on a daily basis (Offi</w:t>
      </w:r>
      <w:r>
        <w:rPr>
          <w:rFonts w:ascii="Calibri" w:eastAsia="Calibri" w:hAnsi="Calibri" w:cs="Calibri"/>
          <w:sz w:val="24"/>
          <w:szCs w:val="28"/>
        </w:rPr>
        <w:t>ce for National Statistics, 2019</w:t>
      </w:r>
      <w:r w:rsidRPr="00536A27">
        <w:rPr>
          <w:rFonts w:ascii="Calibri" w:eastAsia="Calibri" w:hAnsi="Calibri" w:cs="Calibri"/>
          <w:sz w:val="24"/>
          <w:szCs w:val="28"/>
        </w:rPr>
        <w:t xml:space="preserve">). As people continue to understand internet usage in more in-depth and complex ways and continue to venture into cyberspace, it has allowed for greater opportunities for </w:t>
      </w:r>
      <w:r>
        <w:rPr>
          <w:rFonts w:ascii="Calibri" w:eastAsia="Calibri" w:hAnsi="Calibri" w:cs="Calibri"/>
          <w:sz w:val="24"/>
          <w:szCs w:val="28"/>
        </w:rPr>
        <w:t xml:space="preserve">internet related crime and cybercrime which has led to increased difficulty in apprehending those who commit such crimes. </w:t>
      </w:r>
      <w:r w:rsidRPr="00536A27">
        <w:rPr>
          <w:rFonts w:ascii="Calibri" w:eastAsia="Calibri" w:hAnsi="Calibri" w:cs="Calibri"/>
          <w:sz w:val="24"/>
          <w:szCs w:val="28"/>
        </w:rPr>
        <w:t>Cybercrime is part of the UK’s national security strategy and is seen to be a Tier One Threat above organised crime and general fraud and has a larger impact on the population than traditional acquisitive crimes such as car thefts and burglaries (Anderson et al, 2012)</w:t>
      </w:r>
      <w:r>
        <w:rPr>
          <w:rFonts w:ascii="Calibri" w:eastAsia="Calibri" w:hAnsi="Calibri" w:cs="Calibri"/>
          <w:sz w:val="24"/>
          <w:szCs w:val="28"/>
        </w:rPr>
        <w:t>.</w:t>
      </w:r>
    </w:p>
    <w:p w:rsidR="0004048D" w:rsidRDefault="0004048D" w:rsidP="0004048D">
      <w:pPr>
        <w:contextualSpacing/>
        <w:rPr>
          <w:rFonts w:ascii="Calibri" w:eastAsia="Calibri" w:hAnsi="Calibri" w:cs="Calibri"/>
          <w:sz w:val="24"/>
          <w:szCs w:val="28"/>
        </w:rPr>
      </w:pPr>
    </w:p>
    <w:p w:rsidR="0004048D" w:rsidRDefault="0004048D" w:rsidP="0004048D">
      <w:pPr>
        <w:contextualSpacing/>
        <w:rPr>
          <w:rFonts w:ascii="Calibri" w:eastAsia="Calibri" w:hAnsi="Calibri" w:cs="Calibri"/>
          <w:sz w:val="24"/>
          <w:szCs w:val="28"/>
        </w:rPr>
      </w:pPr>
      <w:r>
        <w:rPr>
          <w:rFonts w:ascii="Calibri" w:eastAsia="Calibri" w:hAnsi="Calibri" w:cs="Calibri"/>
          <w:sz w:val="24"/>
          <w:szCs w:val="28"/>
        </w:rPr>
        <w:t>The term ‘internet related crime’ and cybercrime’ refer to criminal acts which comprise of three categories; traditional forms of crime committed over electronic communication networks, publication of illegal content through electronic sources and any crime which is unique to electronic networks (Commission of the European Communities, 2007). Internet usage for communication and distributing information amongst criminals is an important hallmark for cybercrime, which includes copyright infringement, piracy and more high risks activities such as the distribution of content including child pornography (Anderson et al, 2012). Criminal conspiracies, especially those linked to terrorism, increasingly use the internet to facilitate their criminal activities to raise money and recruit members (</w:t>
      </w:r>
      <w:proofErr w:type="spellStart"/>
      <w:r>
        <w:rPr>
          <w:rFonts w:ascii="Calibri" w:eastAsia="Calibri" w:hAnsi="Calibri" w:cs="Calibri"/>
          <w:sz w:val="24"/>
          <w:szCs w:val="28"/>
        </w:rPr>
        <w:t>Hinnen</w:t>
      </w:r>
      <w:proofErr w:type="spellEnd"/>
      <w:r>
        <w:rPr>
          <w:rFonts w:ascii="Calibri" w:eastAsia="Calibri" w:hAnsi="Calibri" w:cs="Calibri"/>
          <w:sz w:val="24"/>
          <w:szCs w:val="28"/>
        </w:rPr>
        <w:t>, 2004).</w:t>
      </w:r>
    </w:p>
    <w:p w:rsidR="0004048D" w:rsidRDefault="0004048D" w:rsidP="0004048D">
      <w:pPr>
        <w:contextualSpacing/>
        <w:rPr>
          <w:rFonts w:ascii="Calibri" w:eastAsia="Calibri" w:hAnsi="Calibri" w:cs="Calibri"/>
          <w:sz w:val="24"/>
          <w:szCs w:val="28"/>
        </w:rPr>
      </w:pPr>
    </w:p>
    <w:p w:rsidR="0004048D" w:rsidRDefault="0004048D" w:rsidP="0004048D">
      <w:pPr>
        <w:contextualSpacing/>
        <w:rPr>
          <w:rFonts w:ascii="Calibri" w:eastAsia="Calibri" w:hAnsi="Calibri" w:cs="Calibri"/>
          <w:sz w:val="24"/>
          <w:szCs w:val="28"/>
        </w:rPr>
      </w:pPr>
      <w:r>
        <w:rPr>
          <w:rFonts w:ascii="Calibri" w:eastAsia="Calibri" w:hAnsi="Calibri" w:cs="Calibri"/>
          <w:sz w:val="24"/>
          <w:szCs w:val="28"/>
        </w:rPr>
        <w:t xml:space="preserve">Cybercrime presents numerous challenges for the police and historically getting a prosecution for such criminal activities has been a problem. </w:t>
      </w:r>
      <w:proofErr w:type="spellStart"/>
      <w:r>
        <w:rPr>
          <w:rFonts w:ascii="Calibri" w:eastAsia="Calibri" w:hAnsi="Calibri" w:cs="Calibri"/>
          <w:sz w:val="24"/>
          <w:szCs w:val="28"/>
        </w:rPr>
        <w:t>Kshetri</w:t>
      </w:r>
      <w:proofErr w:type="spellEnd"/>
      <w:r>
        <w:rPr>
          <w:rFonts w:ascii="Calibri" w:eastAsia="Calibri" w:hAnsi="Calibri" w:cs="Calibri"/>
          <w:sz w:val="24"/>
          <w:szCs w:val="28"/>
        </w:rPr>
        <w:t xml:space="preserve"> (2009) states that the majority of cyber criminals are not caught and suggests that as little as 5% of offenders are prosecuted. One advantage of cybercrime is the internet provides the criminals with a wider and more distant access to victims. This in itself poses challenges; with criminals crossing international borders during the commissions of one criminal act, incongruences between jurisdictions apply, again making prosecution difficult. </w:t>
      </w:r>
    </w:p>
    <w:p w:rsidR="0004048D" w:rsidRDefault="0004048D" w:rsidP="0004048D">
      <w:pPr>
        <w:contextualSpacing/>
        <w:rPr>
          <w:rFonts w:ascii="Calibri" w:eastAsia="Calibri" w:hAnsi="Calibri" w:cs="Calibri"/>
          <w:sz w:val="24"/>
          <w:szCs w:val="28"/>
        </w:rPr>
      </w:pPr>
    </w:p>
    <w:p w:rsidR="0004048D" w:rsidRDefault="0004048D" w:rsidP="0004048D">
      <w:pPr>
        <w:contextualSpacing/>
        <w:rPr>
          <w:rFonts w:ascii="Calibri" w:eastAsia="Calibri" w:hAnsi="Calibri" w:cs="Calibri"/>
          <w:sz w:val="24"/>
          <w:szCs w:val="28"/>
        </w:rPr>
      </w:pPr>
      <w:r>
        <w:rPr>
          <w:rFonts w:ascii="Calibri" w:eastAsia="Calibri" w:hAnsi="Calibri" w:cs="Calibri"/>
          <w:sz w:val="24"/>
          <w:szCs w:val="28"/>
        </w:rPr>
        <w:t>Furthermore, criminals have developed and employed tools designed to protect from tracking and eavesdropping and the Government has found it difficult to keep pace with the ever evolving criminal techniques (Congressional Research Service, 2012). Such software makes the content and origins of their communication sometimes impossible to interpret (</w:t>
      </w:r>
      <w:proofErr w:type="spellStart"/>
      <w:r>
        <w:rPr>
          <w:rFonts w:ascii="Calibri" w:eastAsia="Calibri" w:hAnsi="Calibri" w:cs="Calibri"/>
          <w:sz w:val="24"/>
          <w:szCs w:val="28"/>
        </w:rPr>
        <w:t>Hinnen</w:t>
      </w:r>
      <w:proofErr w:type="spellEnd"/>
      <w:r>
        <w:rPr>
          <w:rFonts w:ascii="Calibri" w:eastAsia="Calibri" w:hAnsi="Calibri" w:cs="Calibri"/>
          <w:sz w:val="24"/>
          <w:szCs w:val="28"/>
        </w:rPr>
        <w:t>, 2004).</w:t>
      </w:r>
    </w:p>
    <w:p w:rsidR="0004048D" w:rsidRDefault="0004048D" w:rsidP="0004048D">
      <w:pPr>
        <w:contextualSpacing/>
        <w:rPr>
          <w:rFonts w:ascii="Calibri" w:eastAsia="Calibri" w:hAnsi="Calibri" w:cs="Calibri"/>
          <w:sz w:val="24"/>
          <w:szCs w:val="28"/>
        </w:rPr>
      </w:pPr>
    </w:p>
    <w:p w:rsidR="0004048D" w:rsidRPr="002B30B0" w:rsidRDefault="0004048D" w:rsidP="0004048D">
      <w:pPr>
        <w:pStyle w:val="NormalWeb"/>
        <w:shd w:val="clear" w:color="auto" w:fill="FFFFFF"/>
        <w:spacing w:before="75" w:beforeAutospacing="0" w:after="240" w:afterAutospacing="0" w:line="360" w:lineRule="atLeast"/>
        <w:rPr>
          <w:rFonts w:asciiTheme="minorHAnsi" w:eastAsia="Calibri" w:hAnsiTheme="minorHAnsi" w:cstheme="minorHAnsi"/>
          <w:szCs w:val="28"/>
        </w:rPr>
      </w:pPr>
      <w:r w:rsidRPr="002B30B0">
        <w:rPr>
          <w:rFonts w:asciiTheme="minorHAnsi" w:hAnsiTheme="minorHAnsi" w:cstheme="minorHAnsi"/>
        </w:rPr>
        <w:lastRenderedPageBreak/>
        <w:t xml:space="preserve">Not only has the internet changed the way in which crimes can be committed, it has also changed how investigators can fight crime and gather evidence. Digital evidence can now be retrieved through mobile phones, laptops/computers, cameras/CCTV and GPS devices. The advances in these types of technical evidence, has allowed for more successful criminal prosecutions whereby evidence has been found which may not have if these technological advances weren’t present. </w:t>
      </w:r>
      <w:r>
        <w:rPr>
          <w:rFonts w:asciiTheme="minorHAnsi" w:hAnsiTheme="minorHAnsi" w:cstheme="minorHAnsi"/>
        </w:rPr>
        <w:t xml:space="preserve">Digital records can provide information on when events occurred, where victims and suspects were at certain times and with whom they communicated and can also show a suspect’s intent to commit crimes. On occasions, information stored within a digital advice may be the only clue in an investigation as more likely than not, someone involved in a crime has used digital data at some point either prior to, during or following a criminal act (Casey, 2011). </w:t>
      </w:r>
    </w:p>
    <w:p w:rsidR="0004048D" w:rsidRDefault="0004048D" w:rsidP="0004048D">
      <w:pPr>
        <w:contextualSpacing/>
        <w:rPr>
          <w:rFonts w:ascii="Calibri" w:eastAsia="Calibri" w:hAnsi="Calibri" w:cs="Calibri"/>
          <w:sz w:val="24"/>
          <w:szCs w:val="28"/>
        </w:rPr>
      </w:pPr>
      <w:proofErr w:type="spellStart"/>
      <w:r>
        <w:rPr>
          <w:rFonts w:ascii="Calibri" w:eastAsia="Calibri" w:hAnsi="Calibri" w:cs="Calibri"/>
          <w:sz w:val="24"/>
          <w:szCs w:val="28"/>
        </w:rPr>
        <w:t>Locards</w:t>
      </w:r>
      <w:proofErr w:type="spellEnd"/>
      <w:r>
        <w:rPr>
          <w:rFonts w:ascii="Calibri" w:eastAsia="Calibri" w:hAnsi="Calibri" w:cs="Calibri"/>
          <w:sz w:val="24"/>
          <w:szCs w:val="28"/>
        </w:rPr>
        <w:t xml:space="preserve"> Theory suggests contact between two items results in an exchange and this can be said in relation to digital evidence. In cases such as internet related harassment where the offender is unknown, CHARTER applications can be considered. The application is used to identify Web server access logs and IP addresses and gives investigators leads as to where the crimes are being committed however, does not provide details of the individual committing the crime (Casey, 2011). CHARTER applications are extremely intrusive and therefore when applying for such information, the use of the application must be justified as being necessary and proportionate for the circumstances of the offence which is covered by the Regulation of Investigatory Powers Act, 2000 (Bradshaw, 2017).</w:t>
      </w:r>
    </w:p>
    <w:p w:rsidR="0004048D" w:rsidRDefault="0004048D" w:rsidP="0004048D">
      <w:pPr>
        <w:contextualSpacing/>
        <w:rPr>
          <w:rFonts w:ascii="Calibri" w:eastAsia="Calibri" w:hAnsi="Calibri" w:cs="Calibri"/>
          <w:sz w:val="24"/>
          <w:szCs w:val="28"/>
        </w:rPr>
      </w:pPr>
    </w:p>
    <w:p w:rsidR="0004048D" w:rsidRDefault="0004048D" w:rsidP="0004048D">
      <w:pPr>
        <w:contextualSpacing/>
        <w:rPr>
          <w:rFonts w:ascii="Calibri" w:eastAsia="Calibri" w:hAnsi="Calibri" w:cs="Calibri"/>
          <w:sz w:val="24"/>
          <w:szCs w:val="28"/>
        </w:rPr>
      </w:pPr>
      <w:r>
        <w:rPr>
          <w:rFonts w:ascii="Calibri" w:eastAsia="Calibri" w:hAnsi="Calibri" w:cs="Calibri"/>
          <w:sz w:val="24"/>
          <w:szCs w:val="28"/>
        </w:rPr>
        <w:t>Another issue which may be found when retrieving data evidence is pieces of information mixed and layered on top of each other over a period of time which makes it difficult to extract the appropriate evidence in order to translate and interpret it. When requesting a computer to do a task, such as retrieve data, the remnants only give a partial view of what has occurred (</w:t>
      </w:r>
      <w:proofErr w:type="spellStart"/>
      <w:r>
        <w:rPr>
          <w:rFonts w:ascii="Calibri" w:eastAsia="Calibri" w:hAnsi="Calibri" w:cs="Calibri"/>
          <w:sz w:val="24"/>
          <w:szCs w:val="28"/>
        </w:rPr>
        <w:t>Venema</w:t>
      </w:r>
      <w:proofErr w:type="spellEnd"/>
      <w:r>
        <w:rPr>
          <w:rFonts w:ascii="Calibri" w:eastAsia="Calibri" w:hAnsi="Calibri" w:cs="Calibri"/>
          <w:sz w:val="24"/>
          <w:szCs w:val="28"/>
        </w:rPr>
        <w:t xml:space="preserve"> &amp; Farmer, 2000). Using the forensic tool to recover deleted files may only represent numbers and letters and each layer of abstraction can introduce errors (Carrier, 2003).</w:t>
      </w:r>
    </w:p>
    <w:p w:rsidR="0004048D" w:rsidRDefault="0004048D" w:rsidP="0004048D">
      <w:pPr>
        <w:contextualSpacing/>
        <w:rPr>
          <w:rFonts w:ascii="Calibri" w:eastAsia="Calibri" w:hAnsi="Calibri" w:cs="Calibri"/>
          <w:sz w:val="24"/>
          <w:szCs w:val="28"/>
        </w:rPr>
      </w:pPr>
    </w:p>
    <w:p w:rsidR="0004048D" w:rsidRDefault="0004048D" w:rsidP="0004048D">
      <w:pPr>
        <w:contextualSpacing/>
        <w:rPr>
          <w:rFonts w:ascii="Calibri" w:eastAsia="Calibri" w:hAnsi="Calibri" w:cs="Calibri"/>
          <w:sz w:val="28"/>
          <w:szCs w:val="28"/>
          <w:highlight w:val="yellow"/>
        </w:rPr>
      </w:pPr>
      <w:r>
        <w:rPr>
          <w:rFonts w:ascii="Calibri" w:eastAsia="Calibri" w:hAnsi="Calibri" w:cs="Calibri"/>
          <w:sz w:val="24"/>
          <w:szCs w:val="28"/>
        </w:rPr>
        <w:t xml:space="preserve">Although forces across the UK are continuing to develop ways in which they combat internet related crimes and use digital evidence, at an even faster rate, criminals are finding new ways to overcome these. It is vital the police have the resources and facilities to enable them to keep up the changing ways crimes are being committed and use their advances to stay a step ahead. </w:t>
      </w:r>
    </w:p>
    <w:p w:rsidR="0004048D" w:rsidRDefault="0004048D" w:rsidP="0004048D">
      <w:pPr>
        <w:contextualSpacing/>
        <w:rPr>
          <w:rFonts w:ascii="Calibri" w:eastAsia="Calibri" w:hAnsi="Calibri" w:cs="Calibri"/>
          <w:sz w:val="28"/>
          <w:szCs w:val="28"/>
          <w:highlight w:val="yellow"/>
        </w:rPr>
      </w:pPr>
    </w:p>
    <w:p w:rsidR="0004048D" w:rsidRDefault="0004048D" w:rsidP="0004048D">
      <w:pPr>
        <w:contextualSpacing/>
        <w:rPr>
          <w:rFonts w:ascii="Calibri" w:eastAsia="Calibri" w:hAnsi="Calibri" w:cs="Calibri"/>
          <w:sz w:val="28"/>
          <w:szCs w:val="28"/>
          <w:highlight w:val="yellow"/>
        </w:rPr>
      </w:pPr>
    </w:p>
    <w:p w:rsidR="0004048D" w:rsidRDefault="0004048D" w:rsidP="0004048D">
      <w:pPr>
        <w:contextualSpacing/>
        <w:rPr>
          <w:rFonts w:ascii="Calibri" w:eastAsia="Calibri" w:hAnsi="Calibri" w:cs="Calibri"/>
          <w:sz w:val="28"/>
          <w:szCs w:val="28"/>
          <w:highlight w:val="yellow"/>
        </w:rPr>
      </w:pPr>
    </w:p>
    <w:p w:rsidR="006239EB" w:rsidRDefault="006239EB" w:rsidP="0004048D">
      <w:pPr>
        <w:contextualSpacing/>
        <w:rPr>
          <w:rFonts w:ascii="Calibri" w:eastAsia="Calibri" w:hAnsi="Calibri" w:cs="Calibri"/>
          <w:sz w:val="28"/>
          <w:szCs w:val="28"/>
          <w:highlight w:val="yellow"/>
        </w:rPr>
      </w:pPr>
    </w:p>
    <w:p w:rsidR="006239EB" w:rsidRDefault="006239EB" w:rsidP="0004048D">
      <w:pPr>
        <w:contextualSpacing/>
        <w:rPr>
          <w:rFonts w:ascii="Calibri" w:eastAsia="Calibri" w:hAnsi="Calibri" w:cs="Calibri"/>
          <w:sz w:val="28"/>
          <w:szCs w:val="28"/>
          <w:highlight w:val="yellow"/>
        </w:rPr>
      </w:pPr>
    </w:p>
    <w:p w:rsidR="006239EB" w:rsidRDefault="006239EB" w:rsidP="0004048D">
      <w:pPr>
        <w:contextualSpacing/>
        <w:rPr>
          <w:rFonts w:ascii="Calibri" w:eastAsia="Calibri" w:hAnsi="Calibri" w:cs="Calibri"/>
          <w:sz w:val="28"/>
          <w:szCs w:val="28"/>
          <w:highlight w:val="yellow"/>
        </w:rPr>
      </w:pPr>
    </w:p>
    <w:p w:rsidR="006239EB" w:rsidRDefault="006239EB" w:rsidP="0004048D">
      <w:pPr>
        <w:contextualSpacing/>
        <w:rPr>
          <w:rFonts w:ascii="Calibri" w:eastAsia="Calibri" w:hAnsi="Calibri" w:cs="Calibri"/>
          <w:sz w:val="28"/>
          <w:szCs w:val="28"/>
          <w:highlight w:val="yellow"/>
        </w:rPr>
      </w:pPr>
    </w:p>
    <w:p w:rsidR="0004048D" w:rsidRDefault="0004048D" w:rsidP="0004048D">
      <w:pPr>
        <w:contextualSpacing/>
        <w:rPr>
          <w:rFonts w:ascii="Calibri" w:eastAsia="Calibri" w:hAnsi="Calibri" w:cs="Calibri"/>
          <w:sz w:val="28"/>
          <w:szCs w:val="28"/>
          <w:highlight w:val="yellow"/>
        </w:rPr>
      </w:pPr>
    </w:p>
    <w:p w:rsidR="0004048D" w:rsidRPr="006239EB" w:rsidRDefault="0004048D" w:rsidP="0004048D">
      <w:pPr>
        <w:contextualSpacing/>
        <w:rPr>
          <w:rFonts w:asciiTheme="minorHAnsi" w:eastAsia="Calibri" w:hAnsiTheme="minorHAnsi" w:cstheme="minorHAnsi"/>
          <w:b/>
          <w:sz w:val="24"/>
          <w:szCs w:val="24"/>
          <w:u w:val="single"/>
        </w:rPr>
      </w:pPr>
      <w:r w:rsidRPr="006239EB">
        <w:rPr>
          <w:rFonts w:asciiTheme="minorHAnsi" w:eastAsia="Calibri" w:hAnsiTheme="minorHAnsi" w:cstheme="minorHAnsi"/>
          <w:b/>
          <w:sz w:val="24"/>
          <w:szCs w:val="24"/>
          <w:u w:val="single"/>
        </w:rPr>
        <w:lastRenderedPageBreak/>
        <w:t>References</w:t>
      </w:r>
    </w:p>
    <w:p w:rsidR="0004048D" w:rsidRPr="006239EB" w:rsidRDefault="0004048D" w:rsidP="0004048D">
      <w:pPr>
        <w:contextualSpacing/>
        <w:rPr>
          <w:rFonts w:asciiTheme="minorHAnsi" w:eastAsia="Calibri" w:hAnsiTheme="minorHAnsi" w:cstheme="minorHAnsi"/>
          <w:sz w:val="24"/>
          <w:szCs w:val="24"/>
          <w:highlight w:val="yellow"/>
        </w:rPr>
      </w:pPr>
    </w:p>
    <w:p w:rsidR="0004048D" w:rsidRPr="006239EB" w:rsidRDefault="0004048D" w:rsidP="0004048D">
      <w:pPr>
        <w:contextualSpacing/>
        <w:rPr>
          <w:rFonts w:asciiTheme="minorHAnsi" w:hAnsiTheme="minorHAnsi" w:cstheme="minorHAnsi"/>
          <w:color w:val="1C1D1E"/>
          <w:sz w:val="24"/>
          <w:szCs w:val="24"/>
          <w:shd w:val="clear" w:color="auto" w:fill="FFFFFF"/>
        </w:rPr>
      </w:pPr>
      <w:r w:rsidRPr="006239EB">
        <w:rPr>
          <w:rStyle w:val="author"/>
          <w:rFonts w:asciiTheme="minorHAnsi" w:hAnsiTheme="minorHAnsi" w:cstheme="minorHAnsi"/>
          <w:color w:val="1C1D1E"/>
          <w:sz w:val="24"/>
          <w:szCs w:val="24"/>
          <w:shd w:val="clear" w:color="auto" w:fill="FFFFFF"/>
        </w:rPr>
        <w:t>Anderson, R.</w:t>
      </w:r>
      <w:r w:rsidRPr="006239EB">
        <w:rPr>
          <w:rFonts w:asciiTheme="minorHAnsi" w:hAnsiTheme="minorHAnsi" w:cstheme="minorHAnsi"/>
          <w:color w:val="1C1D1E"/>
          <w:sz w:val="24"/>
          <w:szCs w:val="24"/>
          <w:shd w:val="clear" w:color="auto" w:fill="FFFFFF"/>
        </w:rPr>
        <w:t>, </w:t>
      </w:r>
      <w:r w:rsidRPr="006239EB">
        <w:rPr>
          <w:rStyle w:val="author"/>
          <w:rFonts w:asciiTheme="minorHAnsi" w:hAnsiTheme="minorHAnsi" w:cstheme="minorHAnsi"/>
          <w:color w:val="1C1D1E"/>
          <w:sz w:val="24"/>
          <w:szCs w:val="24"/>
          <w:shd w:val="clear" w:color="auto" w:fill="FFFFFF"/>
        </w:rPr>
        <w:t>Barton, C.</w:t>
      </w:r>
      <w:r w:rsidRPr="006239EB">
        <w:rPr>
          <w:rFonts w:asciiTheme="minorHAnsi" w:hAnsiTheme="minorHAnsi" w:cstheme="minorHAnsi"/>
          <w:color w:val="1C1D1E"/>
          <w:sz w:val="24"/>
          <w:szCs w:val="24"/>
          <w:shd w:val="clear" w:color="auto" w:fill="FFFFFF"/>
        </w:rPr>
        <w:t>, </w:t>
      </w:r>
      <w:proofErr w:type="spellStart"/>
      <w:r w:rsidRPr="006239EB">
        <w:rPr>
          <w:rStyle w:val="author"/>
          <w:rFonts w:asciiTheme="minorHAnsi" w:hAnsiTheme="minorHAnsi" w:cstheme="minorHAnsi"/>
          <w:color w:val="1C1D1E"/>
          <w:sz w:val="24"/>
          <w:szCs w:val="24"/>
          <w:shd w:val="clear" w:color="auto" w:fill="FFFFFF"/>
        </w:rPr>
        <w:t>Böhme</w:t>
      </w:r>
      <w:proofErr w:type="spellEnd"/>
      <w:r w:rsidRPr="006239EB">
        <w:rPr>
          <w:rStyle w:val="author"/>
          <w:rFonts w:asciiTheme="minorHAnsi" w:hAnsiTheme="minorHAnsi" w:cstheme="minorHAnsi"/>
          <w:color w:val="1C1D1E"/>
          <w:sz w:val="24"/>
          <w:szCs w:val="24"/>
          <w:shd w:val="clear" w:color="auto" w:fill="FFFFFF"/>
        </w:rPr>
        <w:t>, R.</w:t>
      </w:r>
      <w:r w:rsidRPr="006239EB">
        <w:rPr>
          <w:rFonts w:asciiTheme="minorHAnsi" w:hAnsiTheme="minorHAnsi" w:cstheme="minorHAnsi"/>
          <w:color w:val="1C1D1E"/>
          <w:sz w:val="24"/>
          <w:szCs w:val="24"/>
          <w:shd w:val="clear" w:color="auto" w:fill="FFFFFF"/>
        </w:rPr>
        <w:t>, </w:t>
      </w:r>
      <w:r w:rsidRPr="006239EB">
        <w:rPr>
          <w:rFonts w:asciiTheme="minorHAnsi" w:hAnsiTheme="minorHAnsi" w:cstheme="minorHAnsi"/>
          <w:i/>
          <w:iCs/>
          <w:color w:val="1C1D1E"/>
          <w:sz w:val="24"/>
          <w:szCs w:val="24"/>
          <w:shd w:val="clear" w:color="auto" w:fill="FFFFFF"/>
        </w:rPr>
        <w:t>et al</w:t>
      </w:r>
      <w:r w:rsidRPr="006239EB">
        <w:rPr>
          <w:rFonts w:asciiTheme="minorHAnsi" w:hAnsiTheme="minorHAnsi" w:cstheme="minorHAnsi"/>
          <w:color w:val="1C1D1E"/>
          <w:sz w:val="24"/>
          <w:szCs w:val="24"/>
          <w:shd w:val="clear" w:color="auto" w:fill="FFFFFF"/>
        </w:rPr>
        <w:t>. (</w:t>
      </w:r>
      <w:r w:rsidRPr="006239EB">
        <w:rPr>
          <w:rStyle w:val="pubyear"/>
          <w:rFonts w:asciiTheme="minorHAnsi" w:hAnsiTheme="minorHAnsi" w:cstheme="minorHAnsi"/>
          <w:color w:val="1C1D1E"/>
          <w:sz w:val="24"/>
          <w:szCs w:val="24"/>
          <w:shd w:val="clear" w:color="auto" w:fill="FFFFFF"/>
        </w:rPr>
        <w:t>2012</w:t>
      </w:r>
      <w:r w:rsidRPr="006239EB">
        <w:rPr>
          <w:rFonts w:asciiTheme="minorHAnsi" w:hAnsiTheme="minorHAnsi" w:cstheme="minorHAnsi"/>
          <w:color w:val="1C1D1E"/>
          <w:sz w:val="24"/>
          <w:szCs w:val="24"/>
          <w:shd w:val="clear" w:color="auto" w:fill="FFFFFF"/>
        </w:rPr>
        <w:t>) Measuring the cost of cybercrime. Workshop on the Economics of Information Security, Berlin</w:t>
      </w:r>
    </w:p>
    <w:p w:rsidR="006239EB" w:rsidRPr="006239EB" w:rsidRDefault="006239EB" w:rsidP="0004048D">
      <w:pPr>
        <w:contextualSpacing/>
        <w:rPr>
          <w:rFonts w:asciiTheme="minorHAnsi" w:hAnsiTheme="minorHAnsi" w:cstheme="minorHAnsi"/>
          <w:color w:val="1C1D1E"/>
          <w:sz w:val="24"/>
          <w:szCs w:val="24"/>
          <w:shd w:val="clear" w:color="auto" w:fill="FFFFFF"/>
        </w:rPr>
      </w:pPr>
    </w:p>
    <w:p w:rsidR="006239EB" w:rsidRPr="006239EB" w:rsidRDefault="006239EB" w:rsidP="006239EB">
      <w:pPr>
        <w:tabs>
          <w:tab w:val="left" w:pos="5270"/>
        </w:tabs>
        <w:rPr>
          <w:rStyle w:val="serialtitle"/>
          <w:rFonts w:asciiTheme="minorHAnsi" w:hAnsiTheme="minorHAnsi" w:cstheme="minorHAnsi"/>
          <w:color w:val="333333"/>
          <w:sz w:val="24"/>
          <w:szCs w:val="24"/>
          <w:shd w:val="clear" w:color="auto" w:fill="FFFFFF"/>
        </w:rPr>
      </w:pPr>
      <w:r w:rsidRPr="006239EB">
        <w:rPr>
          <w:rStyle w:val="authors"/>
          <w:rFonts w:asciiTheme="minorHAnsi" w:hAnsiTheme="minorHAnsi" w:cstheme="minorHAnsi"/>
          <w:color w:val="333333"/>
          <w:sz w:val="24"/>
          <w:szCs w:val="24"/>
          <w:shd w:val="clear" w:color="auto" w:fill="FFFFFF"/>
        </w:rPr>
        <w:t>Bradshaw, P</w:t>
      </w:r>
      <w:proofErr w:type="gramStart"/>
      <w:r w:rsidRPr="006239EB">
        <w:rPr>
          <w:rStyle w:val="authors"/>
          <w:rFonts w:asciiTheme="minorHAnsi" w:hAnsiTheme="minorHAnsi" w:cstheme="minorHAnsi"/>
          <w:color w:val="333333"/>
          <w:sz w:val="24"/>
          <w:szCs w:val="24"/>
          <w:shd w:val="clear" w:color="auto" w:fill="FFFFFF"/>
        </w:rPr>
        <w:t>,.</w:t>
      </w:r>
      <w:proofErr w:type="gramEnd"/>
      <w:r w:rsidRPr="006239EB">
        <w:rPr>
          <w:rFonts w:asciiTheme="minorHAnsi" w:hAnsiTheme="minorHAnsi" w:cstheme="minorHAnsi"/>
          <w:color w:val="333333"/>
          <w:sz w:val="24"/>
          <w:szCs w:val="24"/>
          <w:shd w:val="clear" w:color="auto" w:fill="FFFFFF"/>
        </w:rPr>
        <w:t> </w:t>
      </w:r>
      <w:r w:rsidRPr="006239EB">
        <w:rPr>
          <w:rStyle w:val="date"/>
          <w:rFonts w:asciiTheme="minorHAnsi" w:hAnsiTheme="minorHAnsi" w:cstheme="minorHAnsi"/>
          <w:color w:val="333333"/>
          <w:sz w:val="24"/>
          <w:szCs w:val="24"/>
          <w:shd w:val="clear" w:color="auto" w:fill="FFFFFF"/>
        </w:rPr>
        <w:t>(2017)</w:t>
      </w:r>
      <w:r w:rsidRPr="006239EB">
        <w:rPr>
          <w:rFonts w:asciiTheme="minorHAnsi" w:hAnsiTheme="minorHAnsi" w:cstheme="minorHAnsi"/>
          <w:color w:val="333333"/>
          <w:sz w:val="24"/>
          <w:szCs w:val="24"/>
          <w:shd w:val="clear" w:color="auto" w:fill="FFFFFF"/>
        </w:rPr>
        <w:t> </w:t>
      </w:r>
      <w:r w:rsidRPr="006239EB">
        <w:rPr>
          <w:rStyle w:val="arttitle"/>
          <w:rFonts w:asciiTheme="minorHAnsi" w:hAnsiTheme="minorHAnsi" w:cstheme="minorHAnsi"/>
          <w:color w:val="333333"/>
          <w:sz w:val="24"/>
          <w:szCs w:val="24"/>
          <w:shd w:val="clear" w:color="auto" w:fill="FFFFFF"/>
        </w:rPr>
        <w:t>Chilling Effect,</w:t>
      </w:r>
      <w:r w:rsidRPr="006239EB">
        <w:rPr>
          <w:rFonts w:asciiTheme="minorHAnsi" w:hAnsiTheme="minorHAnsi" w:cstheme="minorHAnsi"/>
          <w:color w:val="333333"/>
          <w:sz w:val="24"/>
          <w:szCs w:val="24"/>
          <w:shd w:val="clear" w:color="auto" w:fill="FFFFFF"/>
        </w:rPr>
        <w:t> </w:t>
      </w:r>
      <w:r w:rsidRPr="006239EB">
        <w:rPr>
          <w:rStyle w:val="serialtitle"/>
          <w:rFonts w:asciiTheme="minorHAnsi" w:hAnsiTheme="minorHAnsi" w:cstheme="minorHAnsi"/>
          <w:color w:val="333333"/>
          <w:sz w:val="24"/>
          <w:szCs w:val="24"/>
          <w:shd w:val="clear" w:color="auto" w:fill="FFFFFF"/>
        </w:rPr>
        <w:t xml:space="preserve">Digital </w:t>
      </w:r>
      <w:r w:rsidRPr="006239EB">
        <w:rPr>
          <w:rStyle w:val="serialtitle"/>
          <w:rFonts w:asciiTheme="minorHAnsi" w:hAnsiTheme="minorHAnsi" w:cstheme="minorHAnsi"/>
          <w:color w:val="333333"/>
          <w:sz w:val="24"/>
          <w:szCs w:val="24"/>
          <w:shd w:val="clear" w:color="auto" w:fill="FFFFFF"/>
        </w:rPr>
        <w:t>Journalism, accessed 26/06/2021</w:t>
      </w:r>
    </w:p>
    <w:p w:rsidR="006239EB" w:rsidRPr="006239EB" w:rsidRDefault="006239EB" w:rsidP="006239EB">
      <w:pPr>
        <w:tabs>
          <w:tab w:val="left" w:pos="5270"/>
        </w:tabs>
        <w:rPr>
          <w:rStyle w:val="serialtitle"/>
          <w:rFonts w:asciiTheme="minorHAnsi" w:hAnsiTheme="minorHAnsi" w:cstheme="minorHAnsi"/>
          <w:color w:val="333333"/>
          <w:sz w:val="24"/>
          <w:szCs w:val="24"/>
          <w:shd w:val="clear" w:color="auto" w:fill="FFFFFF"/>
        </w:rPr>
      </w:pPr>
    </w:p>
    <w:p w:rsidR="006239EB" w:rsidRPr="006239EB" w:rsidRDefault="006239EB" w:rsidP="006239EB">
      <w:pPr>
        <w:tabs>
          <w:tab w:val="left" w:pos="5270"/>
        </w:tabs>
        <w:rPr>
          <w:rFonts w:asciiTheme="minorHAnsi" w:hAnsiTheme="minorHAnsi" w:cstheme="minorHAnsi"/>
          <w:sz w:val="24"/>
          <w:szCs w:val="24"/>
        </w:rPr>
      </w:pPr>
      <w:r w:rsidRPr="006239EB">
        <w:rPr>
          <w:rFonts w:asciiTheme="minorHAnsi" w:hAnsiTheme="minorHAnsi" w:cstheme="minorHAnsi"/>
          <w:color w:val="333333"/>
          <w:sz w:val="24"/>
          <w:szCs w:val="24"/>
          <w:shd w:val="clear" w:color="auto" w:fill="FFFFFF"/>
        </w:rPr>
        <w:t>Carrier, L. M. (2003) ‘College Students’ Choices of Study Strategies’, </w:t>
      </w:r>
      <w:r w:rsidRPr="006239EB">
        <w:rPr>
          <w:rFonts w:asciiTheme="minorHAnsi" w:hAnsiTheme="minorHAnsi" w:cstheme="minorHAnsi"/>
          <w:i/>
          <w:iCs/>
          <w:color w:val="333333"/>
          <w:sz w:val="24"/>
          <w:szCs w:val="24"/>
          <w:shd w:val="clear" w:color="auto" w:fill="FFFFFF"/>
        </w:rPr>
        <w:t>Perceptual and Motor Skills</w:t>
      </w:r>
      <w:r w:rsidRPr="006239EB">
        <w:rPr>
          <w:rFonts w:asciiTheme="minorHAnsi" w:hAnsiTheme="minorHAnsi" w:cstheme="minorHAnsi"/>
          <w:color w:val="333333"/>
          <w:sz w:val="24"/>
          <w:szCs w:val="24"/>
          <w:shd w:val="clear" w:color="auto" w:fill="FFFFFF"/>
        </w:rPr>
        <w:t xml:space="preserve">, 96(1), pp. 54–56. </w:t>
      </w:r>
      <w:proofErr w:type="spellStart"/>
      <w:proofErr w:type="gramStart"/>
      <w:r w:rsidRPr="006239EB">
        <w:rPr>
          <w:rFonts w:asciiTheme="minorHAnsi" w:hAnsiTheme="minorHAnsi" w:cstheme="minorHAnsi"/>
          <w:color w:val="333333"/>
          <w:sz w:val="24"/>
          <w:szCs w:val="24"/>
          <w:shd w:val="clear" w:color="auto" w:fill="FFFFFF"/>
        </w:rPr>
        <w:t>doi</w:t>
      </w:r>
      <w:proofErr w:type="spellEnd"/>
      <w:proofErr w:type="gramEnd"/>
      <w:r w:rsidRPr="006239EB">
        <w:rPr>
          <w:rFonts w:asciiTheme="minorHAnsi" w:hAnsiTheme="minorHAnsi" w:cstheme="minorHAnsi"/>
          <w:color w:val="333333"/>
          <w:sz w:val="24"/>
          <w:szCs w:val="24"/>
          <w:shd w:val="clear" w:color="auto" w:fill="FFFFFF"/>
        </w:rPr>
        <w:t>: </w:t>
      </w:r>
      <w:hyperlink r:id="rId8" w:history="1">
        <w:r w:rsidRPr="006239EB">
          <w:rPr>
            <w:rStyle w:val="Hyperlink"/>
            <w:rFonts w:asciiTheme="minorHAnsi" w:hAnsiTheme="minorHAnsi" w:cstheme="minorHAnsi"/>
            <w:color w:val="006ACC"/>
            <w:sz w:val="24"/>
            <w:szCs w:val="24"/>
            <w:shd w:val="clear" w:color="auto" w:fill="FFFFFF"/>
          </w:rPr>
          <w:t>10.2466/pms.2003.96.1.54</w:t>
        </w:r>
      </w:hyperlink>
      <w:r w:rsidRPr="006239EB">
        <w:rPr>
          <w:rFonts w:asciiTheme="minorHAnsi" w:hAnsiTheme="minorHAnsi" w:cstheme="minorHAnsi"/>
          <w:color w:val="333333"/>
          <w:sz w:val="24"/>
          <w:szCs w:val="24"/>
          <w:shd w:val="clear" w:color="auto" w:fill="FFFFFF"/>
        </w:rPr>
        <w:t>.</w:t>
      </w:r>
    </w:p>
    <w:p w:rsidR="006239EB" w:rsidRPr="006239EB" w:rsidRDefault="006239EB" w:rsidP="006239EB">
      <w:pPr>
        <w:tabs>
          <w:tab w:val="left" w:pos="5270"/>
        </w:tabs>
        <w:rPr>
          <w:rFonts w:asciiTheme="minorHAnsi" w:hAnsiTheme="minorHAnsi" w:cstheme="minorHAnsi"/>
          <w:color w:val="333333"/>
          <w:sz w:val="24"/>
          <w:szCs w:val="24"/>
          <w:shd w:val="clear" w:color="auto" w:fill="FFFFFF"/>
        </w:rPr>
      </w:pPr>
    </w:p>
    <w:p w:rsidR="006239EB" w:rsidRPr="006239EB" w:rsidRDefault="006239EB" w:rsidP="006239EB">
      <w:pPr>
        <w:tabs>
          <w:tab w:val="left" w:pos="5270"/>
        </w:tabs>
        <w:rPr>
          <w:rFonts w:asciiTheme="minorHAnsi" w:hAnsiTheme="minorHAnsi" w:cstheme="minorHAnsi"/>
          <w:color w:val="000000"/>
          <w:sz w:val="24"/>
          <w:szCs w:val="24"/>
          <w:shd w:val="clear" w:color="auto" w:fill="FFFFFF"/>
        </w:rPr>
      </w:pPr>
      <w:r w:rsidRPr="006239EB">
        <w:rPr>
          <w:rFonts w:asciiTheme="minorHAnsi" w:hAnsiTheme="minorHAnsi" w:cstheme="minorHAnsi"/>
          <w:color w:val="000000"/>
          <w:sz w:val="24"/>
          <w:szCs w:val="24"/>
          <w:shd w:val="clear" w:color="auto" w:fill="FFFFFF"/>
        </w:rPr>
        <w:t>Casey, E., 2011. </w:t>
      </w:r>
      <w:r w:rsidRPr="006239EB">
        <w:rPr>
          <w:rFonts w:asciiTheme="minorHAnsi" w:hAnsiTheme="minorHAnsi" w:cstheme="minorHAnsi"/>
          <w:i/>
          <w:iCs/>
          <w:color w:val="000000"/>
          <w:sz w:val="24"/>
          <w:szCs w:val="24"/>
          <w:shd w:val="clear" w:color="auto" w:fill="FFFFFF"/>
        </w:rPr>
        <w:t>Digital Evidence and Computer Crime</w:t>
      </w:r>
      <w:r w:rsidRPr="006239EB">
        <w:rPr>
          <w:rFonts w:asciiTheme="minorHAnsi" w:hAnsiTheme="minorHAnsi" w:cstheme="minorHAnsi"/>
          <w:color w:val="000000"/>
          <w:sz w:val="24"/>
          <w:szCs w:val="24"/>
          <w:shd w:val="clear" w:color="auto" w:fill="FFFFFF"/>
        </w:rPr>
        <w:t>. 3rd ed. Baltimore: Elsevier Inc.</w:t>
      </w:r>
    </w:p>
    <w:p w:rsidR="006239EB" w:rsidRPr="006239EB" w:rsidRDefault="006239EB" w:rsidP="006239EB">
      <w:pPr>
        <w:tabs>
          <w:tab w:val="left" w:pos="5270"/>
        </w:tabs>
        <w:rPr>
          <w:rFonts w:asciiTheme="minorHAnsi" w:hAnsiTheme="minorHAnsi" w:cstheme="minorHAnsi"/>
          <w:color w:val="333333"/>
          <w:sz w:val="24"/>
          <w:szCs w:val="24"/>
          <w:shd w:val="clear" w:color="auto" w:fill="FFFFFF"/>
        </w:rPr>
      </w:pPr>
    </w:p>
    <w:p w:rsidR="0004048D" w:rsidRPr="006239EB" w:rsidRDefault="0004048D" w:rsidP="0004048D">
      <w:pPr>
        <w:rPr>
          <w:rFonts w:asciiTheme="minorHAnsi" w:hAnsiTheme="minorHAnsi" w:cstheme="minorHAnsi"/>
          <w:sz w:val="24"/>
          <w:szCs w:val="24"/>
        </w:rPr>
      </w:pPr>
    </w:p>
    <w:p w:rsidR="0004048D" w:rsidRPr="006239EB" w:rsidRDefault="0004048D" w:rsidP="0004048D">
      <w:pPr>
        <w:rPr>
          <w:rFonts w:asciiTheme="minorHAnsi" w:hAnsiTheme="minorHAnsi" w:cstheme="minorHAnsi"/>
          <w:color w:val="1C1D1E"/>
          <w:sz w:val="24"/>
          <w:szCs w:val="24"/>
          <w:shd w:val="clear" w:color="auto" w:fill="FFFFFF"/>
        </w:rPr>
      </w:pPr>
      <w:r w:rsidRPr="006239EB">
        <w:rPr>
          <w:rStyle w:val="groupname"/>
          <w:rFonts w:asciiTheme="minorHAnsi" w:hAnsiTheme="minorHAnsi" w:cstheme="minorHAnsi"/>
          <w:color w:val="1C1D1E"/>
          <w:sz w:val="24"/>
          <w:szCs w:val="24"/>
          <w:shd w:val="clear" w:color="auto" w:fill="FFFFFF"/>
        </w:rPr>
        <w:t>Commission of the European Communities</w:t>
      </w:r>
      <w:r w:rsidRPr="006239EB">
        <w:rPr>
          <w:rFonts w:asciiTheme="minorHAnsi" w:hAnsiTheme="minorHAnsi" w:cstheme="minorHAnsi"/>
          <w:color w:val="1C1D1E"/>
          <w:sz w:val="24"/>
          <w:szCs w:val="24"/>
          <w:shd w:val="clear" w:color="auto" w:fill="FFFFFF"/>
        </w:rPr>
        <w:t> (</w:t>
      </w:r>
      <w:r w:rsidRPr="006239EB">
        <w:rPr>
          <w:rStyle w:val="pubyear"/>
          <w:rFonts w:asciiTheme="minorHAnsi" w:hAnsiTheme="minorHAnsi" w:cstheme="minorHAnsi"/>
          <w:color w:val="1C1D1E"/>
          <w:sz w:val="24"/>
          <w:szCs w:val="24"/>
          <w:shd w:val="clear" w:color="auto" w:fill="FFFFFF"/>
        </w:rPr>
        <w:t>2007</w:t>
      </w:r>
      <w:r w:rsidRPr="006239EB">
        <w:rPr>
          <w:rFonts w:asciiTheme="minorHAnsi" w:hAnsiTheme="minorHAnsi" w:cstheme="minorHAnsi"/>
          <w:color w:val="1C1D1E"/>
          <w:sz w:val="24"/>
          <w:szCs w:val="24"/>
          <w:shd w:val="clear" w:color="auto" w:fill="FFFFFF"/>
        </w:rPr>
        <w:t>) </w:t>
      </w:r>
      <w:r w:rsidRPr="006239EB">
        <w:rPr>
          <w:rStyle w:val="booktitle"/>
          <w:rFonts w:asciiTheme="minorHAnsi" w:hAnsiTheme="minorHAnsi" w:cstheme="minorHAnsi"/>
          <w:i/>
          <w:iCs/>
          <w:color w:val="1C1D1E"/>
          <w:sz w:val="24"/>
          <w:szCs w:val="24"/>
          <w:shd w:val="clear" w:color="auto" w:fill="FFFFFF"/>
        </w:rPr>
        <w:t xml:space="preserve">Towards a General Policy on the Fight </w:t>
      </w:r>
      <w:proofErr w:type="gramStart"/>
      <w:r w:rsidRPr="006239EB">
        <w:rPr>
          <w:rStyle w:val="booktitle"/>
          <w:rFonts w:asciiTheme="minorHAnsi" w:hAnsiTheme="minorHAnsi" w:cstheme="minorHAnsi"/>
          <w:i/>
          <w:iCs/>
          <w:color w:val="1C1D1E"/>
          <w:sz w:val="24"/>
          <w:szCs w:val="24"/>
          <w:shd w:val="clear" w:color="auto" w:fill="FFFFFF"/>
        </w:rPr>
        <w:t>Against</w:t>
      </w:r>
      <w:proofErr w:type="gramEnd"/>
      <w:r w:rsidRPr="006239EB">
        <w:rPr>
          <w:rStyle w:val="booktitle"/>
          <w:rFonts w:asciiTheme="minorHAnsi" w:hAnsiTheme="minorHAnsi" w:cstheme="minorHAnsi"/>
          <w:i/>
          <w:iCs/>
          <w:color w:val="1C1D1E"/>
          <w:sz w:val="24"/>
          <w:szCs w:val="24"/>
          <w:shd w:val="clear" w:color="auto" w:fill="FFFFFF"/>
        </w:rPr>
        <w:t xml:space="preserve"> Cyber Crime</w:t>
      </w:r>
      <w:r w:rsidRPr="006239EB">
        <w:rPr>
          <w:rFonts w:asciiTheme="minorHAnsi" w:hAnsiTheme="minorHAnsi" w:cstheme="minorHAnsi"/>
          <w:color w:val="1C1D1E"/>
          <w:sz w:val="24"/>
          <w:szCs w:val="24"/>
          <w:shd w:val="clear" w:color="auto" w:fill="FFFFFF"/>
        </w:rPr>
        <w:t>. COM (2007) 267 final. </w:t>
      </w:r>
      <w:r w:rsidRPr="006239EB">
        <w:rPr>
          <w:rStyle w:val="publisherlocation"/>
          <w:rFonts w:asciiTheme="minorHAnsi" w:hAnsiTheme="minorHAnsi" w:cstheme="minorHAnsi"/>
          <w:color w:val="1C1D1E"/>
          <w:sz w:val="24"/>
          <w:szCs w:val="24"/>
          <w:shd w:val="clear" w:color="auto" w:fill="FFFFFF"/>
        </w:rPr>
        <w:t>Brussels</w:t>
      </w:r>
      <w:r w:rsidRPr="006239EB">
        <w:rPr>
          <w:rFonts w:asciiTheme="minorHAnsi" w:hAnsiTheme="minorHAnsi" w:cstheme="minorHAnsi"/>
          <w:color w:val="1C1D1E"/>
          <w:sz w:val="24"/>
          <w:szCs w:val="24"/>
          <w:shd w:val="clear" w:color="auto" w:fill="FFFFFF"/>
        </w:rPr>
        <w:t>: Commission of the European Communities. </w:t>
      </w:r>
      <w:hyperlink r:id="rId9" w:history="1">
        <w:r w:rsidRPr="006239EB">
          <w:rPr>
            <w:rStyle w:val="Hyperlink"/>
            <w:rFonts w:asciiTheme="minorHAnsi" w:hAnsiTheme="minorHAnsi" w:cstheme="minorHAnsi"/>
            <w:sz w:val="24"/>
            <w:szCs w:val="24"/>
            <w:shd w:val="clear" w:color="auto" w:fill="FFFFFF"/>
          </w:rPr>
          <w:t>http://eurlex.europa.eu/LexUriServ/LexUriServ.do?uri=COM:2007:0267:FIN:EN:PDF</w:t>
        </w:r>
      </w:hyperlink>
      <w:r w:rsidRPr="006239EB">
        <w:rPr>
          <w:rFonts w:asciiTheme="minorHAnsi" w:hAnsiTheme="minorHAnsi" w:cstheme="minorHAnsi"/>
          <w:color w:val="1C1D1E"/>
          <w:sz w:val="24"/>
          <w:szCs w:val="24"/>
          <w:shd w:val="clear" w:color="auto" w:fill="FFFFFF"/>
        </w:rPr>
        <w:t>, accessed 27/06/2021</w:t>
      </w:r>
    </w:p>
    <w:p w:rsidR="006239EB" w:rsidRPr="006239EB" w:rsidRDefault="006239EB" w:rsidP="0004048D">
      <w:pPr>
        <w:rPr>
          <w:rFonts w:asciiTheme="minorHAnsi" w:hAnsiTheme="minorHAnsi" w:cstheme="minorHAnsi"/>
          <w:color w:val="1C1D1E"/>
          <w:sz w:val="24"/>
          <w:szCs w:val="24"/>
          <w:shd w:val="clear" w:color="auto" w:fill="FFFFFF"/>
        </w:rPr>
      </w:pPr>
    </w:p>
    <w:p w:rsidR="006239EB" w:rsidRPr="006239EB" w:rsidRDefault="006239EB" w:rsidP="006239EB">
      <w:pPr>
        <w:tabs>
          <w:tab w:val="left" w:pos="5270"/>
        </w:tabs>
        <w:rPr>
          <w:rFonts w:asciiTheme="minorHAnsi" w:hAnsiTheme="minorHAnsi" w:cstheme="minorHAnsi"/>
          <w:color w:val="1C1D1E"/>
          <w:sz w:val="24"/>
          <w:szCs w:val="24"/>
          <w:shd w:val="clear" w:color="auto" w:fill="FFFFFF"/>
        </w:rPr>
      </w:pPr>
      <w:r w:rsidRPr="006239EB">
        <w:rPr>
          <w:rStyle w:val="groupname"/>
          <w:rFonts w:asciiTheme="minorHAnsi" w:hAnsiTheme="minorHAnsi" w:cstheme="minorHAnsi"/>
          <w:color w:val="1C1D1E"/>
          <w:sz w:val="24"/>
          <w:szCs w:val="24"/>
          <w:shd w:val="clear" w:color="auto" w:fill="FFFFFF"/>
        </w:rPr>
        <w:t>Congressional Research Service</w:t>
      </w:r>
      <w:r w:rsidRPr="006239EB">
        <w:rPr>
          <w:rFonts w:asciiTheme="minorHAnsi" w:hAnsiTheme="minorHAnsi" w:cstheme="minorHAnsi"/>
          <w:color w:val="1C1D1E"/>
          <w:sz w:val="24"/>
          <w:szCs w:val="24"/>
          <w:shd w:val="clear" w:color="auto" w:fill="FFFFFF"/>
        </w:rPr>
        <w:t> (</w:t>
      </w:r>
      <w:r w:rsidRPr="006239EB">
        <w:rPr>
          <w:rStyle w:val="pubyear"/>
          <w:rFonts w:asciiTheme="minorHAnsi" w:hAnsiTheme="minorHAnsi" w:cstheme="minorHAnsi"/>
          <w:color w:val="1C1D1E"/>
          <w:sz w:val="24"/>
          <w:szCs w:val="24"/>
          <w:shd w:val="clear" w:color="auto" w:fill="FFFFFF"/>
        </w:rPr>
        <w:t>2012</w:t>
      </w:r>
      <w:r w:rsidRPr="006239EB">
        <w:rPr>
          <w:rFonts w:asciiTheme="minorHAnsi" w:hAnsiTheme="minorHAnsi" w:cstheme="minorHAnsi"/>
          <w:color w:val="1C1D1E"/>
          <w:sz w:val="24"/>
          <w:szCs w:val="24"/>
          <w:shd w:val="clear" w:color="auto" w:fill="FFFFFF"/>
        </w:rPr>
        <w:t>) </w:t>
      </w:r>
      <w:r w:rsidRPr="006239EB">
        <w:rPr>
          <w:rFonts w:asciiTheme="minorHAnsi" w:hAnsiTheme="minorHAnsi" w:cstheme="minorHAnsi"/>
          <w:i/>
          <w:iCs/>
          <w:color w:val="1C1D1E"/>
          <w:sz w:val="24"/>
          <w:szCs w:val="24"/>
          <w:shd w:val="clear" w:color="auto" w:fill="FFFFFF"/>
        </w:rPr>
        <w:t>Cybercrime: Conceptual Issues for Congress and U.S. Law Enforcement</w:t>
      </w:r>
      <w:r w:rsidRPr="006239EB">
        <w:rPr>
          <w:rFonts w:asciiTheme="minorHAnsi" w:hAnsiTheme="minorHAnsi" w:cstheme="minorHAnsi"/>
          <w:color w:val="1C1D1E"/>
          <w:sz w:val="24"/>
          <w:szCs w:val="24"/>
          <w:shd w:val="clear" w:color="auto" w:fill="FFFFFF"/>
        </w:rPr>
        <w:t>. </w:t>
      </w:r>
      <w:hyperlink r:id="rId10" w:history="1">
        <w:r w:rsidRPr="006239EB">
          <w:rPr>
            <w:rStyle w:val="Hyperlink"/>
            <w:rFonts w:asciiTheme="minorHAnsi" w:hAnsiTheme="minorHAnsi" w:cstheme="minorHAnsi"/>
            <w:color w:val="005274"/>
            <w:sz w:val="24"/>
            <w:szCs w:val="24"/>
            <w:shd w:val="clear" w:color="auto" w:fill="FFFFFF"/>
          </w:rPr>
          <w:t>http://www.fas.org/sgp/crs/misc/R42547.pdf</w:t>
        </w:r>
      </w:hyperlink>
      <w:r w:rsidRPr="006239EB">
        <w:rPr>
          <w:rFonts w:asciiTheme="minorHAnsi" w:hAnsiTheme="minorHAnsi" w:cstheme="minorHAnsi"/>
          <w:color w:val="1C1D1E"/>
          <w:sz w:val="24"/>
          <w:szCs w:val="24"/>
          <w:shd w:val="clear" w:color="auto" w:fill="FFFFFF"/>
        </w:rPr>
        <w:t>, accessed 27/06/2021</w:t>
      </w:r>
    </w:p>
    <w:p w:rsidR="006239EB" w:rsidRPr="006239EB" w:rsidRDefault="006239EB" w:rsidP="006239EB">
      <w:pPr>
        <w:tabs>
          <w:tab w:val="left" w:pos="5270"/>
        </w:tabs>
        <w:rPr>
          <w:rFonts w:asciiTheme="minorHAnsi" w:hAnsiTheme="minorHAnsi" w:cstheme="minorHAnsi"/>
          <w:color w:val="1C1D1E"/>
          <w:sz w:val="24"/>
          <w:szCs w:val="24"/>
          <w:shd w:val="clear" w:color="auto" w:fill="FFFFFF"/>
        </w:rPr>
      </w:pPr>
    </w:p>
    <w:p w:rsidR="006239EB" w:rsidRPr="006239EB" w:rsidRDefault="006239EB" w:rsidP="006239EB">
      <w:pPr>
        <w:tabs>
          <w:tab w:val="left" w:pos="5270"/>
        </w:tabs>
        <w:rPr>
          <w:rFonts w:asciiTheme="minorHAnsi" w:hAnsiTheme="minorHAnsi" w:cstheme="minorHAnsi"/>
          <w:color w:val="2E414F"/>
          <w:sz w:val="24"/>
          <w:szCs w:val="24"/>
          <w:shd w:val="clear" w:color="auto" w:fill="FFFFFF"/>
        </w:rPr>
      </w:pPr>
      <w:r w:rsidRPr="006239EB">
        <w:rPr>
          <w:rFonts w:asciiTheme="minorHAnsi" w:hAnsiTheme="minorHAnsi" w:cstheme="minorHAnsi"/>
          <w:color w:val="2E414F"/>
          <w:sz w:val="24"/>
          <w:szCs w:val="24"/>
          <w:shd w:val="clear" w:color="auto" w:fill="FFFFFF"/>
        </w:rPr>
        <w:t xml:space="preserve">Farmer, D., &amp; </w:t>
      </w:r>
      <w:proofErr w:type="spellStart"/>
      <w:r w:rsidRPr="006239EB">
        <w:rPr>
          <w:rFonts w:asciiTheme="minorHAnsi" w:hAnsiTheme="minorHAnsi" w:cstheme="minorHAnsi"/>
          <w:color w:val="2E414F"/>
          <w:sz w:val="24"/>
          <w:szCs w:val="24"/>
          <w:shd w:val="clear" w:color="auto" w:fill="FFFFFF"/>
        </w:rPr>
        <w:t>Venema</w:t>
      </w:r>
      <w:proofErr w:type="spellEnd"/>
      <w:r w:rsidRPr="006239EB">
        <w:rPr>
          <w:rFonts w:asciiTheme="minorHAnsi" w:hAnsiTheme="minorHAnsi" w:cstheme="minorHAnsi"/>
          <w:color w:val="2E414F"/>
          <w:sz w:val="24"/>
          <w:szCs w:val="24"/>
          <w:shd w:val="clear" w:color="auto" w:fill="FFFFFF"/>
        </w:rPr>
        <w:t xml:space="preserve">, W. (2000). Improving the Security of Your Site by Breaking </w:t>
      </w:r>
      <w:proofErr w:type="gramStart"/>
      <w:r w:rsidRPr="006239EB">
        <w:rPr>
          <w:rFonts w:asciiTheme="minorHAnsi" w:hAnsiTheme="minorHAnsi" w:cstheme="minorHAnsi"/>
          <w:color w:val="2E414F"/>
          <w:sz w:val="24"/>
          <w:szCs w:val="24"/>
          <w:shd w:val="clear" w:color="auto" w:fill="FFFFFF"/>
        </w:rPr>
        <w:t>Into</w:t>
      </w:r>
      <w:proofErr w:type="gramEnd"/>
      <w:r w:rsidRPr="006239EB">
        <w:rPr>
          <w:rFonts w:asciiTheme="minorHAnsi" w:hAnsiTheme="minorHAnsi" w:cstheme="minorHAnsi"/>
          <w:color w:val="2E414F"/>
          <w:sz w:val="24"/>
          <w:szCs w:val="24"/>
          <w:shd w:val="clear" w:color="auto" w:fill="FFFFFF"/>
        </w:rPr>
        <w:t xml:space="preserve"> it. [PDF] accessed 24/06/2021</w:t>
      </w:r>
    </w:p>
    <w:p w:rsidR="006239EB" w:rsidRPr="006239EB" w:rsidRDefault="006239EB" w:rsidP="006239EB">
      <w:pPr>
        <w:tabs>
          <w:tab w:val="left" w:pos="5270"/>
        </w:tabs>
        <w:rPr>
          <w:rFonts w:asciiTheme="minorHAnsi" w:hAnsiTheme="minorHAnsi" w:cstheme="minorHAnsi"/>
          <w:color w:val="1C1D1E"/>
          <w:sz w:val="24"/>
          <w:szCs w:val="24"/>
          <w:shd w:val="clear" w:color="auto" w:fill="FFFFFF"/>
        </w:rPr>
      </w:pPr>
    </w:p>
    <w:p w:rsidR="006239EB" w:rsidRPr="006239EB" w:rsidRDefault="006239EB" w:rsidP="006239EB">
      <w:pPr>
        <w:tabs>
          <w:tab w:val="left" w:pos="5270"/>
        </w:tabs>
        <w:rPr>
          <w:rFonts w:asciiTheme="minorHAnsi" w:hAnsiTheme="minorHAnsi" w:cstheme="minorHAnsi"/>
          <w:sz w:val="24"/>
          <w:szCs w:val="24"/>
        </w:rPr>
      </w:pPr>
    </w:p>
    <w:p w:rsidR="006239EB" w:rsidRPr="006239EB" w:rsidRDefault="006239EB" w:rsidP="006239EB">
      <w:pPr>
        <w:tabs>
          <w:tab w:val="left" w:pos="5270"/>
        </w:tabs>
        <w:rPr>
          <w:rFonts w:asciiTheme="minorHAnsi" w:hAnsiTheme="minorHAnsi" w:cstheme="minorHAnsi"/>
          <w:color w:val="1C1D1E"/>
          <w:sz w:val="24"/>
          <w:szCs w:val="24"/>
          <w:shd w:val="clear" w:color="auto" w:fill="FFFFFF"/>
        </w:rPr>
      </w:pPr>
      <w:proofErr w:type="spellStart"/>
      <w:r w:rsidRPr="006239EB">
        <w:rPr>
          <w:rStyle w:val="author"/>
          <w:rFonts w:asciiTheme="minorHAnsi" w:hAnsiTheme="minorHAnsi" w:cstheme="minorHAnsi"/>
          <w:color w:val="1C1D1E"/>
          <w:sz w:val="24"/>
          <w:szCs w:val="24"/>
          <w:shd w:val="clear" w:color="auto" w:fill="FFFFFF"/>
        </w:rPr>
        <w:t>Hinnen</w:t>
      </w:r>
      <w:proofErr w:type="spellEnd"/>
      <w:r w:rsidRPr="006239EB">
        <w:rPr>
          <w:rStyle w:val="author"/>
          <w:rFonts w:asciiTheme="minorHAnsi" w:hAnsiTheme="minorHAnsi" w:cstheme="minorHAnsi"/>
          <w:color w:val="1C1D1E"/>
          <w:sz w:val="24"/>
          <w:szCs w:val="24"/>
          <w:shd w:val="clear" w:color="auto" w:fill="FFFFFF"/>
        </w:rPr>
        <w:t>, T.</w:t>
      </w:r>
      <w:r w:rsidRPr="006239EB">
        <w:rPr>
          <w:rFonts w:asciiTheme="minorHAnsi" w:hAnsiTheme="minorHAnsi" w:cstheme="minorHAnsi"/>
          <w:color w:val="1C1D1E"/>
          <w:sz w:val="24"/>
          <w:szCs w:val="24"/>
          <w:shd w:val="clear" w:color="auto" w:fill="FFFFFF"/>
        </w:rPr>
        <w:t> (</w:t>
      </w:r>
      <w:r w:rsidRPr="006239EB">
        <w:rPr>
          <w:rStyle w:val="pubyear"/>
          <w:rFonts w:asciiTheme="minorHAnsi" w:hAnsiTheme="minorHAnsi" w:cstheme="minorHAnsi"/>
          <w:color w:val="1C1D1E"/>
          <w:sz w:val="24"/>
          <w:szCs w:val="24"/>
          <w:shd w:val="clear" w:color="auto" w:fill="FFFFFF"/>
        </w:rPr>
        <w:t>2004</w:t>
      </w:r>
      <w:r w:rsidRPr="006239EB">
        <w:rPr>
          <w:rFonts w:asciiTheme="minorHAnsi" w:hAnsiTheme="minorHAnsi" w:cstheme="minorHAnsi"/>
          <w:color w:val="1C1D1E"/>
          <w:sz w:val="24"/>
          <w:szCs w:val="24"/>
          <w:shd w:val="clear" w:color="auto" w:fill="FFFFFF"/>
        </w:rPr>
        <w:t>) </w:t>
      </w:r>
      <w:proofErr w:type="gramStart"/>
      <w:r w:rsidRPr="006239EB">
        <w:rPr>
          <w:rStyle w:val="articletitle"/>
          <w:rFonts w:asciiTheme="minorHAnsi" w:hAnsiTheme="minorHAnsi" w:cstheme="minorHAnsi"/>
          <w:color w:val="1C1D1E"/>
          <w:sz w:val="24"/>
          <w:szCs w:val="24"/>
          <w:shd w:val="clear" w:color="auto" w:fill="FFFFFF"/>
        </w:rPr>
        <w:t>The</w:t>
      </w:r>
      <w:proofErr w:type="gramEnd"/>
      <w:r w:rsidRPr="006239EB">
        <w:rPr>
          <w:rStyle w:val="articletitle"/>
          <w:rFonts w:asciiTheme="minorHAnsi" w:hAnsiTheme="minorHAnsi" w:cstheme="minorHAnsi"/>
          <w:color w:val="1C1D1E"/>
          <w:sz w:val="24"/>
          <w:szCs w:val="24"/>
          <w:shd w:val="clear" w:color="auto" w:fill="FFFFFF"/>
        </w:rPr>
        <w:t xml:space="preserve"> cyber-front in the war on terrorism: Curbing terrorist use of the Internet</w:t>
      </w:r>
      <w:r w:rsidRPr="006239EB">
        <w:rPr>
          <w:rFonts w:asciiTheme="minorHAnsi" w:hAnsiTheme="minorHAnsi" w:cstheme="minorHAnsi"/>
          <w:color w:val="1C1D1E"/>
          <w:sz w:val="24"/>
          <w:szCs w:val="24"/>
          <w:shd w:val="clear" w:color="auto" w:fill="FFFFFF"/>
        </w:rPr>
        <w:t>. </w:t>
      </w:r>
      <w:r w:rsidRPr="006239EB">
        <w:rPr>
          <w:rFonts w:asciiTheme="minorHAnsi" w:hAnsiTheme="minorHAnsi" w:cstheme="minorHAnsi"/>
          <w:i/>
          <w:iCs/>
          <w:color w:val="1C1D1E"/>
          <w:sz w:val="24"/>
          <w:szCs w:val="24"/>
          <w:shd w:val="clear" w:color="auto" w:fill="FFFFFF"/>
        </w:rPr>
        <w:t>The Columbia Science and Technology Law Review</w:t>
      </w:r>
      <w:r w:rsidRPr="006239EB">
        <w:rPr>
          <w:rFonts w:asciiTheme="minorHAnsi" w:hAnsiTheme="minorHAnsi" w:cstheme="minorHAnsi"/>
          <w:color w:val="1C1D1E"/>
          <w:sz w:val="24"/>
          <w:szCs w:val="24"/>
          <w:shd w:val="clear" w:color="auto" w:fill="FFFFFF"/>
        </w:rPr>
        <w:t> </w:t>
      </w:r>
      <w:r w:rsidRPr="006239EB">
        <w:rPr>
          <w:rStyle w:val="vol"/>
          <w:rFonts w:asciiTheme="minorHAnsi" w:hAnsiTheme="minorHAnsi" w:cstheme="minorHAnsi"/>
          <w:b/>
          <w:bCs/>
          <w:color w:val="1C1D1E"/>
          <w:sz w:val="24"/>
          <w:szCs w:val="24"/>
          <w:shd w:val="clear" w:color="auto" w:fill="FFFFFF"/>
        </w:rPr>
        <w:t>5</w:t>
      </w:r>
      <w:r w:rsidRPr="006239EB">
        <w:rPr>
          <w:rFonts w:asciiTheme="minorHAnsi" w:hAnsiTheme="minorHAnsi" w:cstheme="minorHAnsi"/>
          <w:color w:val="1C1D1E"/>
          <w:sz w:val="24"/>
          <w:szCs w:val="24"/>
          <w:shd w:val="clear" w:color="auto" w:fill="FFFFFF"/>
        </w:rPr>
        <w:t>(</w:t>
      </w:r>
      <w:r w:rsidRPr="006239EB">
        <w:rPr>
          <w:rStyle w:val="citedissue"/>
          <w:rFonts w:asciiTheme="minorHAnsi" w:hAnsiTheme="minorHAnsi" w:cstheme="minorHAnsi"/>
          <w:color w:val="1C1D1E"/>
          <w:sz w:val="24"/>
          <w:szCs w:val="24"/>
          <w:shd w:val="clear" w:color="auto" w:fill="FFFFFF"/>
        </w:rPr>
        <w:t>5</w:t>
      </w:r>
      <w:r w:rsidRPr="006239EB">
        <w:rPr>
          <w:rFonts w:asciiTheme="minorHAnsi" w:hAnsiTheme="minorHAnsi" w:cstheme="minorHAnsi"/>
          <w:color w:val="1C1D1E"/>
          <w:sz w:val="24"/>
          <w:szCs w:val="24"/>
          <w:shd w:val="clear" w:color="auto" w:fill="FFFFFF"/>
        </w:rPr>
        <w:t>), </w:t>
      </w:r>
      <w:r w:rsidRPr="006239EB">
        <w:rPr>
          <w:rStyle w:val="pagefirst"/>
          <w:rFonts w:asciiTheme="minorHAnsi" w:hAnsiTheme="minorHAnsi" w:cstheme="minorHAnsi"/>
          <w:color w:val="1C1D1E"/>
          <w:sz w:val="24"/>
          <w:szCs w:val="24"/>
          <w:shd w:val="clear" w:color="auto" w:fill="FFFFFF"/>
        </w:rPr>
        <w:t>1</w:t>
      </w:r>
      <w:r w:rsidRPr="006239EB">
        <w:rPr>
          <w:rFonts w:asciiTheme="minorHAnsi" w:hAnsiTheme="minorHAnsi" w:cstheme="minorHAnsi"/>
          <w:color w:val="1C1D1E"/>
          <w:sz w:val="24"/>
          <w:szCs w:val="24"/>
          <w:shd w:val="clear" w:color="auto" w:fill="FFFFFF"/>
        </w:rPr>
        <w:t>– </w:t>
      </w:r>
      <w:r w:rsidRPr="006239EB">
        <w:rPr>
          <w:rStyle w:val="pagelast"/>
          <w:rFonts w:asciiTheme="minorHAnsi" w:hAnsiTheme="minorHAnsi" w:cstheme="minorHAnsi"/>
          <w:color w:val="1C1D1E"/>
          <w:sz w:val="24"/>
          <w:szCs w:val="24"/>
          <w:shd w:val="clear" w:color="auto" w:fill="FFFFFF"/>
        </w:rPr>
        <w:t>42</w:t>
      </w:r>
      <w:r w:rsidRPr="006239EB">
        <w:rPr>
          <w:rFonts w:asciiTheme="minorHAnsi" w:hAnsiTheme="minorHAnsi" w:cstheme="minorHAnsi"/>
          <w:color w:val="1C1D1E"/>
          <w:sz w:val="24"/>
          <w:szCs w:val="24"/>
          <w:shd w:val="clear" w:color="auto" w:fill="FFFFFF"/>
        </w:rPr>
        <w:t>.</w:t>
      </w:r>
    </w:p>
    <w:p w:rsidR="006239EB" w:rsidRPr="006239EB" w:rsidRDefault="006239EB" w:rsidP="006239EB">
      <w:pPr>
        <w:tabs>
          <w:tab w:val="left" w:pos="5270"/>
        </w:tabs>
        <w:rPr>
          <w:rFonts w:asciiTheme="minorHAnsi" w:hAnsiTheme="minorHAnsi" w:cstheme="minorHAnsi"/>
          <w:color w:val="1C1D1E"/>
          <w:sz w:val="24"/>
          <w:szCs w:val="24"/>
          <w:shd w:val="clear" w:color="auto" w:fill="FFFFFF"/>
        </w:rPr>
      </w:pPr>
    </w:p>
    <w:p w:rsidR="006239EB" w:rsidRPr="006239EB" w:rsidRDefault="006239EB" w:rsidP="006239EB">
      <w:pPr>
        <w:tabs>
          <w:tab w:val="left" w:pos="5270"/>
        </w:tabs>
        <w:rPr>
          <w:rFonts w:asciiTheme="minorHAnsi" w:hAnsiTheme="minorHAnsi" w:cstheme="minorHAnsi"/>
          <w:color w:val="1C1D1E"/>
          <w:sz w:val="24"/>
          <w:szCs w:val="24"/>
          <w:shd w:val="clear" w:color="auto" w:fill="FFFFFF"/>
        </w:rPr>
      </w:pPr>
      <w:proofErr w:type="spellStart"/>
      <w:r w:rsidRPr="006239EB">
        <w:rPr>
          <w:rStyle w:val="author"/>
          <w:rFonts w:asciiTheme="minorHAnsi" w:hAnsiTheme="minorHAnsi" w:cstheme="minorHAnsi"/>
          <w:color w:val="1C1D1E"/>
          <w:sz w:val="24"/>
          <w:szCs w:val="24"/>
          <w:shd w:val="clear" w:color="auto" w:fill="FFFFFF"/>
        </w:rPr>
        <w:t>Kshetri</w:t>
      </w:r>
      <w:proofErr w:type="spellEnd"/>
      <w:r w:rsidRPr="006239EB">
        <w:rPr>
          <w:rStyle w:val="author"/>
          <w:rFonts w:asciiTheme="minorHAnsi" w:hAnsiTheme="minorHAnsi" w:cstheme="minorHAnsi"/>
          <w:color w:val="1C1D1E"/>
          <w:sz w:val="24"/>
          <w:szCs w:val="24"/>
          <w:shd w:val="clear" w:color="auto" w:fill="FFFFFF"/>
        </w:rPr>
        <w:t>, N.</w:t>
      </w:r>
      <w:r w:rsidRPr="006239EB">
        <w:rPr>
          <w:rFonts w:asciiTheme="minorHAnsi" w:hAnsiTheme="minorHAnsi" w:cstheme="minorHAnsi"/>
          <w:color w:val="1C1D1E"/>
          <w:sz w:val="24"/>
          <w:szCs w:val="24"/>
          <w:shd w:val="clear" w:color="auto" w:fill="FFFFFF"/>
        </w:rPr>
        <w:t> (</w:t>
      </w:r>
      <w:r w:rsidRPr="006239EB">
        <w:rPr>
          <w:rStyle w:val="pubyear"/>
          <w:rFonts w:asciiTheme="minorHAnsi" w:hAnsiTheme="minorHAnsi" w:cstheme="minorHAnsi"/>
          <w:color w:val="1C1D1E"/>
          <w:sz w:val="24"/>
          <w:szCs w:val="24"/>
          <w:shd w:val="clear" w:color="auto" w:fill="FFFFFF"/>
        </w:rPr>
        <w:t>2009</w:t>
      </w:r>
      <w:r w:rsidRPr="006239EB">
        <w:rPr>
          <w:rFonts w:asciiTheme="minorHAnsi" w:hAnsiTheme="minorHAnsi" w:cstheme="minorHAnsi"/>
          <w:color w:val="1C1D1E"/>
          <w:sz w:val="24"/>
          <w:szCs w:val="24"/>
          <w:shd w:val="clear" w:color="auto" w:fill="FFFFFF"/>
        </w:rPr>
        <w:t>) </w:t>
      </w:r>
      <w:r w:rsidRPr="006239EB">
        <w:rPr>
          <w:rStyle w:val="articletitle"/>
          <w:rFonts w:asciiTheme="minorHAnsi" w:hAnsiTheme="minorHAnsi" w:cstheme="minorHAnsi"/>
          <w:color w:val="1C1D1E"/>
          <w:sz w:val="24"/>
          <w:szCs w:val="24"/>
          <w:shd w:val="clear" w:color="auto" w:fill="FFFFFF"/>
        </w:rPr>
        <w:t>Positive externality, increasing returns, and the rise in cybercrime</w:t>
      </w:r>
      <w:r w:rsidRPr="006239EB">
        <w:rPr>
          <w:rFonts w:asciiTheme="minorHAnsi" w:hAnsiTheme="minorHAnsi" w:cstheme="minorHAnsi"/>
          <w:color w:val="1C1D1E"/>
          <w:sz w:val="24"/>
          <w:szCs w:val="24"/>
          <w:shd w:val="clear" w:color="auto" w:fill="FFFFFF"/>
        </w:rPr>
        <w:t>. </w:t>
      </w:r>
      <w:r w:rsidRPr="006239EB">
        <w:rPr>
          <w:rFonts w:asciiTheme="minorHAnsi" w:hAnsiTheme="minorHAnsi" w:cstheme="minorHAnsi"/>
          <w:i/>
          <w:iCs/>
          <w:color w:val="1C1D1E"/>
          <w:sz w:val="24"/>
          <w:szCs w:val="24"/>
          <w:shd w:val="clear" w:color="auto" w:fill="FFFFFF"/>
        </w:rPr>
        <w:t>Communications of the ACM</w:t>
      </w:r>
      <w:r w:rsidRPr="006239EB">
        <w:rPr>
          <w:rFonts w:asciiTheme="minorHAnsi" w:hAnsiTheme="minorHAnsi" w:cstheme="minorHAnsi"/>
          <w:color w:val="1C1D1E"/>
          <w:sz w:val="24"/>
          <w:szCs w:val="24"/>
          <w:shd w:val="clear" w:color="auto" w:fill="FFFFFF"/>
        </w:rPr>
        <w:t> </w:t>
      </w:r>
      <w:r w:rsidRPr="006239EB">
        <w:rPr>
          <w:rStyle w:val="vol"/>
          <w:rFonts w:asciiTheme="minorHAnsi" w:hAnsiTheme="minorHAnsi" w:cstheme="minorHAnsi"/>
          <w:b/>
          <w:bCs/>
          <w:color w:val="1C1D1E"/>
          <w:sz w:val="24"/>
          <w:szCs w:val="24"/>
          <w:shd w:val="clear" w:color="auto" w:fill="FFFFFF"/>
        </w:rPr>
        <w:t>52</w:t>
      </w:r>
      <w:r w:rsidRPr="006239EB">
        <w:rPr>
          <w:rFonts w:asciiTheme="minorHAnsi" w:hAnsiTheme="minorHAnsi" w:cstheme="minorHAnsi"/>
          <w:color w:val="1C1D1E"/>
          <w:sz w:val="24"/>
          <w:szCs w:val="24"/>
          <w:shd w:val="clear" w:color="auto" w:fill="FFFFFF"/>
        </w:rPr>
        <w:t>(</w:t>
      </w:r>
      <w:r w:rsidRPr="006239EB">
        <w:rPr>
          <w:rStyle w:val="citedissue"/>
          <w:rFonts w:asciiTheme="minorHAnsi" w:hAnsiTheme="minorHAnsi" w:cstheme="minorHAnsi"/>
          <w:color w:val="1C1D1E"/>
          <w:sz w:val="24"/>
          <w:szCs w:val="24"/>
          <w:shd w:val="clear" w:color="auto" w:fill="FFFFFF"/>
        </w:rPr>
        <w:t>12</w:t>
      </w:r>
      <w:r w:rsidRPr="006239EB">
        <w:rPr>
          <w:rFonts w:asciiTheme="minorHAnsi" w:hAnsiTheme="minorHAnsi" w:cstheme="minorHAnsi"/>
          <w:color w:val="1C1D1E"/>
          <w:sz w:val="24"/>
          <w:szCs w:val="24"/>
          <w:shd w:val="clear" w:color="auto" w:fill="FFFFFF"/>
        </w:rPr>
        <w:t>), </w:t>
      </w:r>
      <w:r w:rsidRPr="006239EB">
        <w:rPr>
          <w:rStyle w:val="pagefirst"/>
          <w:rFonts w:asciiTheme="minorHAnsi" w:hAnsiTheme="minorHAnsi" w:cstheme="minorHAnsi"/>
          <w:color w:val="1C1D1E"/>
          <w:sz w:val="24"/>
          <w:szCs w:val="24"/>
          <w:shd w:val="clear" w:color="auto" w:fill="FFFFFF"/>
        </w:rPr>
        <w:t>141</w:t>
      </w:r>
      <w:r w:rsidRPr="006239EB">
        <w:rPr>
          <w:rFonts w:asciiTheme="minorHAnsi" w:hAnsiTheme="minorHAnsi" w:cstheme="minorHAnsi"/>
          <w:color w:val="1C1D1E"/>
          <w:sz w:val="24"/>
          <w:szCs w:val="24"/>
          <w:shd w:val="clear" w:color="auto" w:fill="FFFFFF"/>
        </w:rPr>
        <w:t>– </w:t>
      </w:r>
      <w:r w:rsidRPr="006239EB">
        <w:rPr>
          <w:rStyle w:val="pagelast"/>
          <w:rFonts w:asciiTheme="minorHAnsi" w:hAnsiTheme="minorHAnsi" w:cstheme="minorHAnsi"/>
          <w:color w:val="1C1D1E"/>
          <w:sz w:val="24"/>
          <w:szCs w:val="24"/>
          <w:shd w:val="clear" w:color="auto" w:fill="FFFFFF"/>
        </w:rPr>
        <w:t>144</w:t>
      </w:r>
      <w:r w:rsidRPr="006239EB">
        <w:rPr>
          <w:rFonts w:asciiTheme="minorHAnsi" w:hAnsiTheme="minorHAnsi" w:cstheme="minorHAnsi"/>
          <w:color w:val="1C1D1E"/>
          <w:sz w:val="24"/>
          <w:szCs w:val="24"/>
          <w:shd w:val="clear" w:color="auto" w:fill="FFFFFF"/>
        </w:rPr>
        <w:t>.</w:t>
      </w:r>
    </w:p>
    <w:p w:rsidR="006239EB" w:rsidRPr="006239EB" w:rsidRDefault="006239EB" w:rsidP="0004048D">
      <w:pPr>
        <w:rPr>
          <w:rFonts w:asciiTheme="minorHAnsi" w:hAnsiTheme="minorHAnsi" w:cstheme="minorHAnsi"/>
          <w:color w:val="1C1D1E"/>
          <w:sz w:val="24"/>
          <w:szCs w:val="24"/>
          <w:shd w:val="clear" w:color="auto" w:fill="FFFFFF"/>
        </w:rPr>
      </w:pPr>
    </w:p>
    <w:p w:rsidR="0004048D" w:rsidRPr="006239EB" w:rsidRDefault="0004048D" w:rsidP="0004048D">
      <w:pPr>
        <w:tabs>
          <w:tab w:val="left" w:pos="5270"/>
        </w:tabs>
        <w:rPr>
          <w:rFonts w:asciiTheme="minorHAnsi" w:hAnsiTheme="minorHAnsi" w:cstheme="minorHAnsi"/>
          <w:sz w:val="24"/>
          <w:szCs w:val="24"/>
        </w:rPr>
      </w:pPr>
      <w:r w:rsidRPr="006239EB">
        <w:rPr>
          <w:rFonts w:asciiTheme="minorHAnsi" w:hAnsiTheme="minorHAnsi" w:cstheme="minorHAnsi"/>
          <w:sz w:val="24"/>
          <w:szCs w:val="24"/>
        </w:rPr>
        <w:tab/>
      </w:r>
    </w:p>
    <w:p w:rsidR="0004048D" w:rsidRPr="006239EB" w:rsidRDefault="0004048D" w:rsidP="0004048D">
      <w:pPr>
        <w:tabs>
          <w:tab w:val="left" w:pos="5270"/>
        </w:tabs>
        <w:rPr>
          <w:rFonts w:asciiTheme="minorHAnsi" w:hAnsiTheme="minorHAnsi" w:cstheme="minorHAnsi"/>
          <w:sz w:val="24"/>
          <w:szCs w:val="24"/>
        </w:rPr>
      </w:pPr>
      <w:r w:rsidRPr="006239EB">
        <w:rPr>
          <w:rFonts w:asciiTheme="minorHAnsi" w:hAnsiTheme="minorHAnsi" w:cstheme="minorHAnsi"/>
          <w:sz w:val="24"/>
          <w:szCs w:val="24"/>
        </w:rPr>
        <w:t xml:space="preserve">Office for National Statistics, 2019 Internet Users UK 2019 </w:t>
      </w:r>
      <w:hyperlink r:id="rId11" w:history="1">
        <w:r w:rsidRPr="006239EB">
          <w:rPr>
            <w:rStyle w:val="Hyperlink"/>
            <w:rFonts w:asciiTheme="minorHAnsi" w:hAnsiTheme="minorHAnsi" w:cstheme="minorHAnsi"/>
            <w:sz w:val="24"/>
            <w:szCs w:val="24"/>
          </w:rPr>
          <w:t>Internet users, UK - Office for National Statistics (ons.gov.uk)</w:t>
        </w:r>
      </w:hyperlink>
      <w:r w:rsidRPr="006239EB">
        <w:rPr>
          <w:rFonts w:asciiTheme="minorHAnsi" w:hAnsiTheme="minorHAnsi" w:cstheme="minorHAnsi"/>
          <w:sz w:val="24"/>
          <w:szCs w:val="24"/>
        </w:rPr>
        <w:t xml:space="preserve"> accessed 27/06/2021</w:t>
      </w:r>
    </w:p>
    <w:p w:rsidR="0004048D" w:rsidRDefault="0004048D" w:rsidP="0004048D">
      <w:pPr>
        <w:tabs>
          <w:tab w:val="left" w:pos="5270"/>
        </w:tabs>
        <w:rPr>
          <w:rFonts w:ascii="Arial" w:hAnsi="Arial" w:cs="Arial"/>
          <w:color w:val="1C1D1E"/>
          <w:sz w:val="21"/>
          <w:szCs w:val="21"/>
          <w:shd w:val="clear" w:color="auto" w:fill="FFFFFF"/>
        </w:rPr>
      </w:pPr>
    </w:p>
    <w:p w:rsidR="0004048D" w:rsidRDefault="0004048D" w:rsidP="0004048D">
      <w:pPr>
        <w:tabs>
          <w:tab w:val="left" w:pos="5270"/>
        </w:tabs>
        <w:rPr>
          <w:rFonts w:ascii="Arial" w:hAnsi="Arial" w:cs="Arial"/>
          <w:color w:val="1C1D1E"/>
          <w:sz w:val="21"/>
          <w:szCs w:val="21"/>
          <w:shd w:val="clear" w:color="auto" w:fill="FFFFFF"/>
        </w:rPr>
      </w:pPr>
    </w:p>
    <w:p w:rsidR="0004048D" w:rsidRDefault="0004048D" w:rsidP="0004048D">
      <w:pPr>
        <w:tabs>
          <w:tab w:val="left" w:pos="5270"/>
        </w:tabs>
        <w:rPr>
          <w:rFonts w:ascii="Arial" w:hAnsi="Arial" w:cs="Arial"/>
          <w:color w:val="1C1D1E"/>
          <w:sz w:val="21"/>
          <w:szCs w:val="21"/>
          <w:shd w:val="clear" w:color="auto" w:fill="FFFFFF"/>
        </w:rPr>
      </w:pPr>
    </w:p>
    <w:p w:rsidR="0004048D" w:rsidRDefault="0004048D" w:rsidP="0004048D">
      <w:pPr>
        <w:tabs>
          <w:tab w:val="left" w:pos="5270"/>
        </w:tabs>
        <w:rPr>
          <w:rFonts w:ascii="Arial" w:hAnsi="Arial" w:cs="Arial"/>
          <w:color w:val="000000"/>
          <w:shd w:val="clear" w:color="auto" w:fill="FFFFFF"/>
        </w:rPr>
      </w:pPr>
    </w:p>
    <w:p w:rsidR="0004048D" w:rsidRDefault="0004048D" w:rsidP="0004048D">
      <w:pPr>
        <w:tabs>
          <w:tab w:val="left" w:pos="5270"/>
        </w:tabs>
        <w:rPr>
          <w:rStyle w:val="serialtitle"/>
          <w:rFonts w:ascii="Arial" w:hAnsi="Arial" w:cs="Arial"/>
          <w:color w:val="333333"/>
          <w:shd w:val="clear" w:color="auto" w:fill="FFFFFF"/>
        </w:rPr>
      </w:pPr>
    </w:p>
    <w:p w:rsidR="0004048D" w:rsidRDefault="0004048D" w:rsidP="0004048D">
      <w:pPr>
        <w:tabs>
          <w:tab w:val="left" w:pos="5270"/>
        </w:tabs>
        <w:rPr>
          <w:rFonts w:ascii="Arial" w:hAnsi="Arial" w:cs="Arial"/>
          <w:color w:val="2E414F"/>
          <w:sz w:val="21"/>
          <w:szCs w:val="21"/>
          <w:shd w:val="clear" w:color="auto" w:fill="FFFFFF"/>
        </w:rPr>
      </w:pPr>
    </w:p>
    <w:p w:rsidR="0004048D" w:rsidRDefault="0004048D">
      <w:pPr>
        <w:rPr>
          <w:rFonts w:asciiTheme="minorHAnsi" w:hAnsiTheme="minorHAnsi" w:cstheme="minorHAnsi"/>
          <w:sz w:val="24"/>
        </w:rPr>
      </w:pPr>
    </w:p>
    <w:p w:rsidR="007519BB" w:rsidRDefault="007519BB">
      <w:pPr>
        <w:rPr>
          <w:rFonts w:asciiTheme="minorHAnsi" w:hAnsiTheme="minorHAnsi" w:cstheme="minorHAnsi"/>
          <w:sz w:val="24"/>
        </w:rPr>
      </w:pPr>
    </w:p>
    <w:p w:rsidR="007519BB" w:rsidRDefault="007519BB">
      <w:pPr>
        <w:rPr>
          <w:rFonts w:asciiTheme="minorHAnsi" w:hAnsiTheme="minorHAnsi" w:cstheme="minorHAnsi"/>
          <w:sz w:val="24"/>
        </w:rPr>
      </w:pPr>
    </w:p>
    <w:p w:rsidR="007519BB" w:rsidRDefault="007519BB">
      <w:pPr>
        <w:rPr>
          <w:rFonts w:asciiTheme="minorHAnsi" w:hAnsiTheme="minorHAnsi" w:cstheme="minorHAnsi"/>
          <w:sz w:val="24"/>
        </w:rPr>
      </w:pPr>
    </w:p>
    <w:p w:rsidR="006239EB" w:rsidRDefault="006239EB">
      <w:pPr>
        <w:rPr>
          <w:rFonts w:asciiTheme="minorHAnsi" w:hAnsiTheme="minorHAnsi" w:cstheme="minorHAnsi"/>
          <w:sz w:val="24"/>
        </w:rPr>
      </w:pPr>
    </w:p>
    <w:p w:rsidR="006239EB" w:rsidRDefault="006239EB">
      <w:pPr>
        <w:rPr>
          <w:rFonts w:asciiTheme="minorHAnsi" w:hAnsiTheme="minorHAnsi" w:cstheme="minorHAnsi"/>
          <w:sz w:val="24"/>
        </w:rPr>
      </w:pPr>
    </w:p>
    <w:p w:rsidR="006239EB" w:rsidRDefault="006239EB">
      <w:pPr>
        <w:rPr>
          <w:rFonts w:asciiTheme="minorHAnsi" w:hAnsiTheme="minorHAnsi" w:cstheme="minorHAnsi"/>
          <w:sz w:val="24"/>
        </w:rPr>
      </w:pPr>
    </w:p>
    <w:p w:rsidR="006239EB" w:rsidRDefault="006239EB">
      <w:pPr>
        <w:rPr>
          <w:rFonts w:asciiTheme="minorHAnsi" w:hAnsiTheme="minorHAnsi" w:cstheme="minorHAnsi"/>
          <w:sz w:val="24"/>
        </w:rPr>
      </w:pPr>
    </w:p>
    <w:p w:rsidR="007519BB" w:rsidRPr="007519BB" w:rsidRDefault="007519BB" w:rsidP="007519BB">
      <w:pPr>
        <w:rPr>
          <w:rFonts w:asciiTheme="minorHAnsi" w:hAnsiTheme="minorHAnsi" w:cstheme="minorHAnsi"/>
          <w:b/>
          <w:sz w:val="24"/>
          <w:u w:val="single"/>
        </w:rPr>
      </w:pPr>
      <w:r w:rsidRPr="007519BB">
        <w:rPr>
          <w:rFonts w:asciiTheme="minorHAnsi" w:hAnsiTheme="minorHAnsi" w:cstheme="minorHAnsi"/>
          <w:b/>
          <w:sz w:val="24"/>
          <w:u w:val="single"/>
        </w:rPr>
        <w:lastRenderedPageBreak/>
        <w:t>1000 words - Evidence based policing/criminology and crime prevention/criminal Justice</w:t>
      </w:r>
    </w:p>
    <w:p w:rsidR="007519BB" w:rsidRPr="007519BB" w:rsidRDefault="007519BB" w:rsidP="007519BB">
      <w:pPr>
        <w:rPr>
          <w:rFonts w:asciiTheme="minorHAnsi" w:hAnsiTheme="minorHAnsi" w:cstheme="minorHAnsi"/>
          <w:b/>
          <w:sz w:val="24"/>
          <w:u w:val="single"/>
        </w:rPr>
      </w:pPr>
      <w:r w:rsidRPr="007519BB">
        <w:rPr>
          <w:rFonts w:asciiTheme="minorHAnsi" w:hAnsiTheme="minorHAnsi" w:cstheme="minorHAnsi"/>
          <w:b/>
          <w:sz w:val="24"/>
          <w:u w:val="single"/>
        </w:rPr>
        <w:t xml:space="preserve">Critically analyse the concept of evidence-based policing and ‘what works’ in policing evaluating crime prevention theories and strategies and considering the options open to reduce re offending. </w:t>
      </w:r>
    </w:p>
    <w:p w:rsidR="007519BB" w:rsidRPr="007519BB" w:rsidRDefault="007519BB" w:rsidP="007519BB">
      <w:pPr>
        <w:rPr>
          <w:rFonts w:asciiTheme="minorHAnsi" w:hAnsiTheme="minorHAnsi" w:cstheme="minorHAnsi"/>
          <w:sz w:val="24"/>
        </w:rPr>
      </w:pPr>
    </w:p>
    <w:p w:rsidR="007519BB" w:rsidRPr="007519BB" w:rsidRDefault="007519BB" w:rsidP="007519BB">
      <w:pPr>
        <w:rPr>
          <w:rFonts w:asciiTheme="minorHAnsi" w:hAnsiTheme="minorHAnsi" w:cstheme="minorHAnsi"/>
          <w:sz w:val="24"/>
        </w:rPr>
      </w:pPr>
    </w:p>
    <w:p w:rsidR="007519BB" w:rsidRPr="007519BB" w:rsidRDefault="007519BB" w:rsidP="007519BB">
      <w:pPr>
        <w:rPr>
          <w:rFonts w:asciiTheme="minorHAnsi" w:hAnsiTheme="minorHAnsi" w:cstheme="minorHAnsi"/>
          <w:sz w:val="24"/>
        </w:rPr>
      </w:pPr>
      <w:r w:rsidRPr="007519BB">
        <w:rPr>
          <w:rFonts w:asciiTheme="minorHAnsi" w:hAnsiTheme="minorHAnsi" w:cstheme="minorHAnsi"/>
          <w:sz w:val="24"/>
        </w:rPr>
        <w:t xml:space="preserve">Evidence Based Policing (EBP) being beneficial to policing is difficult to argue; it informs and guides police agency. EPB is based on the ideas of Laurence Sherman, whose theory identifies that rigorous scientific evaluations should inform decisions made by the police. Using research to inform decisions is key however, a broader definition to EBP should be considered. Overall, crime is keeping up with the pace of advancing technologies and is becoming more complex and diverse with the ever increasing use of social media and data sources. Issues within a global context of organised crime and people trafficking requires the police to be smarter in order to understand and provide answers to current and future policing issues. By understanding what is the best available evidence is and what might not be, allows for police to overcome constraints of EPB and identify ways to overcome these (Pepper et al, 2020). </w:t>
      </w:r>
    </w:p>
    <w:p w:rsidR="007519BB" w:rsidRPr="007519BB" w:rsidRDefault="007519BB" w:rsidP="007519BB">
      <w:pPr>
        <w:rPr>
          <w:rFonts w:asciiTheme="minorHAnsi" w:hAnsiTheme="minorHAnsi" w:cstheme="minorHAnsi"/>
          <w:sz w:val="24"/>
        </w:rPr>
      </w:pPr>
    </w:p>
    <w:p w:rsidR="007519BB" w:rsidRPr="007519BB" w:rsidRDefault="007519BB" w:rsidP="007519BB">
      <w:pPr>
        <w:rPr>
          <w:rFonts w:asciiTheme="minorHAnsi" w:hAnsiTheme="minorHAnsi" w:cstheme="minorHAnsi"/>
          <w:sz w:val="24"/>
        </w:rPr>
      </w:pPr>
      <w:r w:rsidRPr="007519BB">
        <w:rPr>
          <w:rFonts w:asciiTheme="minorHAnsi" w:hAnsiTheme="minorHAnsi" w:cstheme="minorHAnsi"/>
          <w:sz w:val="24"/>
        </w:rPr>
        <w:t>When identifying best available evidence, the police will use appropriate research methods and sources for the issue being raised. Research must be carefully conducted, reviewed and transparent in relation to its methods, limitations, how any conclusions were reached and the theoretical basis should be made clear. The research can be used to develop a greater understanding of a specific issue. This can be done by describing the nature, the extent and any possible causes of a specific problem or by assessing the effect of an intervention implemented by the police by testing the impact of the initiative or exploring any identifiable consequences of changing policing strategy (College of Policing, 2021).</w:t>
      </w:r>
    </w:p>
    <w:p w:rsidR="007519BB" w:rsidRPr="007519BB" w:rsidRDefault="007519BB" w:rsidP="007519BB">
      <w:pPr>
        <w:rPr>
          <w:rFonts w:asciiTheme="minorHAnsi" w:hAnsiTheme="minorHAnsi" w:cstheme="minorHAnsi"/>
          <w:sz w:val="24"/>
        </w:rPr>
      </w:pPr>
    </w:p>
    <w:p w:rsidR="007519BB" w:rsidRPr="007519BB" w:rsidRDefault="007519BB" w:rsidP="007519BB">
      <w:pPr>
        <w:rPr>
          <w:rFonts w:asciiTheme="minorHAnsi" w:hAnsiTheme="minorHAnsi" w:cstheme="minorHAnsi"/>
          <w:sz w:val="24"/>
        </w:rPr>
      </w:pPr>
      <w:r w:rsidRPr="007519BB">
        <w:rPr>
          <w:rFonts w:asciiTheme="minorHAnsi" w:hAnsiTheme="minorHAnsi" w:cstheme="minorHAnsi"/>
          <w:sz w:val="24"/>
        </w:rPr>
        <w:t xml:space="preserve">The notion of EBP can involve a number of different types of activities which include; using scrupulous evaluation methods to explore the effectiveness of patrol strategies, investigative policies and police training programmes, reflecting on research knowledge and analysing managerial meetings, ensuring officers are trained on what is already known about effective policing practices in relation to crime control, community engagement and relationships, reducing disparity and bias and dealing with policing concerns, using crime analysis to guide resources, using risk assessments which have been validated in identifying crimes which fall in the high risk category such as domestic violence in order to understand early warning markers and problematic behaviours and partnering with businesses and key individuals within a community to carry out research (Dunham, Alpert &amp; Mclean, 2021). </w:t>
      </w:r>
    </w:p>
    <w:p w:rsidR="007519BB" w:rsidRPr="007519BB" w:rsidRDefault="007519BB" w:rsidP="007519BB">
      <w:pPr>
        <w:rPr>
          <w:rFonts w:asciiTheme="minorHAnsi" w:hAnsiTheme="minorHAnsi" w:cstheme="minorHAnsi"/>
          <w:sz w:val="24"/>
        </w:rPr>
      </w:pPr>
    </w:p>
    <w:p w:rsidR="007519BB" w:rsidRPr="007519BB" w:rsidRDefault="007519BB" w:rsidP="007519BB">
      <w:pPr>
        <w:rPr>
          <w:rFonts w:asciiTheme="minorHAnsi" w:hAnsiTheme="minorHAnsi" w:cstheme="minorHAnsi"/>
          <w:sz w:val="24"/>
        </w:rPr>
      </w:pPr>
    </w:p>
    <w:p w:rsidR="007519BB" w:rsidRPr="007519BB" w:rsidRDefault="007519BB" w:rsidP="007519BB">
      <w:pPr>
        <w:rPr>
          <w:rFonts w:asciiTheme="minorHAnsi" w:hAnsiTheme="minorHAnsi" w:cstheme="minorHAnsi"/>
          <w:sz w:val="24"/>
        </w:rPr>
      </w:pPr>
      <w:r w:rsidRPr="007519BB">
        <w:rPr>
          <w:rFonts w:asciiTheme="minorHAnsi" w:hAnsiTheme="minorHAnsi" w:cstheme="minorHAnsi"/>
          <w:sz w:val="24"/>
        </w:rPr>
        <w:t xml:space="preserve">EBP however, does not provide definitive answers that police should apply without critically analysing them. All practices undertaken by officers should be reflected upon and best available evidence should be considered as to how it can be applied to their day to day work which should ultimately support and guide them to learn from both their successes and failures (Dawson, 2016). EPB suggests research alone is not sufficient and thus proactive work should be undertaken to support the research. Cartwright and </w:t>
      </w:r>
      <w:proofErr w:type="spellStart"/>
      <w:r w:rsidRPr="007519BB">
        <w:rPr>
          <w:rFonts w:asciiTheme="minorHAnsi" w:hAnsiTheme="minorHAnsi" w:cstheme="minorHAnsi"/>
          <w:sz w:val="24"/>
        </w:rPr>
        <w:t>Hardie</w:t>
      </w:r>
      <w:proofErr w:type="spellEnd"/>
      <w:r w:rsidRPr="007519BB">
        <w:rPr>
          <w:rFonts w:asciiTheme="minorHAnsi" w:hAnsiTheme="minorHAnsi" w:cstheme="minorHAnsi"/>
          <w:sz w:val="24"/>
        </w:rPr>
        <w:t xml:space="preserve"> (2012) identified that a key challenge when implementing EBP is the understanding of ‘’the entire argument necessary to get you from there to here’’. It relates to the presumption that the evidence </w:t>
      </w:r>
      <w:r w:rsidRPr="007519BB">
        <w:rPr>
          <w:rFonts w:asciiTheme="minorHAnsi" w:hAnsiTheme="minorHAnsi" w:cstheme="minorHAnsi"/>
          <w:sz w:val="24"/>
        </w:rPr>
        <w:lastRenderedPageBreak/>
        <w:t xml:space="preserve">will prove a causal link between intervention and the outcome in one place and can be applied to the police ignoring whether the same support factors are in place for all scenarios (e.g. same number of resources or specific demographics).  Therefore, training programmes are imperative, enabling officers to appraise evidence and use the evidence to inform their decision-making by seeking to understand the whole argument, not just looking at what worked but surrounding factors that influenced the results (Fleming &amp; </w:t>
      </w:r>
      <w:proofErr w:type="spellStart"/>
      <w:r w:rsidRPr="007519BB">
        <w:rPr>
          <w:rFonts w:asciiTheme="minorHAnsi" w:hAnsiTheme="minorHAnsi" w:cstheme="minorHAnsi"/>
          <w:sz w:val="24"/>
        </w:rPr>
        <w:t>Wingrove</w:t>
      </w:r>
      <w:proofErr w:type="spellEnd"/>
      <w:r w:rsidRPr="007519BB">
        <w:rPr>
          <w:rFonts w:asciiTheme="minorHAnsi" w:hAnsiTheme="minorHAnsi" w:cstheme="minorHAnsi"/>
          <w:sz w:val="24"/>
        </w:rPr>
        <w:t>, 2016).</w:t>
      </w:r>
    </w:p>
    <w:p w:rsidR="007519BB" w:rsidRPr="007519BB" w:rsidRDefault="007519BB" w:rsidP="007519BB">
      <w:pPr>
        <w:rPr>
          <w:rFonts w:asciiTheme="minorHAnsi" w:hAnsiTheme="minorHAnsi" w:cstheme="minorHAnsi"/>
          <w:sz w:val="24"/>
        </w:rPr>
      </w:pPr>
    </w:p>
    <w:p w:rsidR="007519BB" w:rsidRPr="007519BB" w:rsidRDefault="007519BB" w:rsidP="007519BB">
      <w:pPr>
        <w:rPr>
          <w:rFonts w:asciiTheme="minorHAnsi" w:hAnsiTheme="minorHAnsi" w:cstheme="minorHAnsi"/>
          <w:sz w:val="24"/>
        </w:rPr>
      </w:pPr>
      <w:r w:rsidRPr="007519BB">
        <w:rPr>
          <w:rFonts w:asciiTheme="minorHAnsi" w:hAnsiTheme="minorHAnsi" w:cstheme="minorHAnsi"/>
          <w:sz w:val="24"/>
        </w:rPr>
        <w:t>The traditional approaches to crime prevention has been to identify the psychological and social causes of crime in an attempt to change these deficiencies by allowing the offender to undertake special educational, recreational and employment services however, escalating crime rates suggest this approach does not work (</w:t>
      </w:r>
      <w:proofErr w:type="spellStart"/>
      <w:r w:rsidRPr="007519BB">
        <w:rPr>
          <w:rFonts w:asciiTheme="minorHAnsi" w:hAnsiTheme="minorHAnsi" w:cstheme="minorHAnsi"/>
          <w:sz w:val="24"/>
        </w:rPr>
        <w:t>Geason</w:t>
      </w:r>
      <w:proofErr w:type="spellEnd"/>
      <w:r w:rsidRPr="007519BB">
        <w:rPr>
          <w:rFonts w:asciiTheme="minorHAnsi" w:hAnsiTheme="minorHAnsi" w:cstheme="minorHAnsi"/>
          <w:sz w:val="24"/>
        </w:rPr>
        <w:t xml:space="preserve"> &amp; Wilson, 1988). An alternative to this is situational crime prevention which rests on two assumptions: the offender is a rational decision make who only commits crimes where the benefits outweigh the cost or risk; and the opportunity to commit the crime must be easily accessible. Situational crime prevention is involves the management, design and manipulation of the immediate environment. Rational choice theory is at the basis of situational crime prevention as it makes the assumptions that offenders make the decision to commit the crime freely and is done so in the immediate circumstances in which the offender is contemplated and their motivation is not beyond control. Bennet (1986) argues that the decision to offend is in the first instance socially determine however, the final decision to offend against a particular target is situationally determined. There is evidence to suggest that situational crime prevention works in relation to crimes such as burglary, vandalism and car crime however, cannot reduce incidence of violence. </w:t>
      </w:r>
    </w:p>
    <w:p w:rsidR="007519BB" w:rsidRPr="007519BB" w:rsidRDefault="007519BB" w:rsidP="007519BB">
      <w:pPr>
        <w:rPr>
          <w:rFonts w:asciiTheme="minorHAnsi" w:hAnsiTheme="minorHAnsi" w:cstheme="minorHAnsi"/>
          <w:sz w:val="24"/>
        </w:rPr>
      </w:pPr>
    </w:p>
    <w:p w:rsidR="007519BB" w:rsidRPr="007519BB" w:rsidRDefault="007519BB" w:rsidP="007519BB">
      <w:pPr>
        <w:rPr>
          <w:rFonts w:asciiTheme="minorHAnsi" w:hAnsiTheme="minorHAnsi" w:cstheme="minorHAnsi"/>
          <w:sz w:val="24"/>
        </w:rPr>
      </w:pPr>
      <w:r w:rsidRPr="007519BB">
        <w:rPr>
          <w:rFonts w:asciiTheme="minorHAnsi" w:hAnsiTheme="minorHAnsi" w:cstheme="minorHAnsi"/>
          <w:sz w:val="24"/>
        </w:rPr>
        <w:t>Although crime preventative measures and proactive policing is at the forefront of the vision in relation to reducing crime, it is inevitable that criminal activity will continue to be committed therefore, it is vital that there are things in place to prevent reoffending. Whether offenders are punished in prison, or in the community, they must be managed in order to stop them reoffending, fewer offenders mean fewer victims (Home Office, 2006). Many offenders face complex, multiple and inter-related problems which require managing with the correct interventions to give them the best chance. Every offender has an offender manage who is responsible for making sure they are not only punished for the crime they have committed but they are also rehabilitated in order to reduce their likelihood of reoffending. They offer support for education, employment, housing and drug/alcohol related issues. Offender management have a number of partners, Civic Society Alliance, Corporate Alliance and Faith, Community and Voluntary Sector Alliance, all aimed at working together to reduce re-offending. Partnership working is in everyone’s interest as it tackles the problems and social exclusions offenders have and make society safer.</w:t>
      </w:r>
    </w:p>
    <w:p w:rsidR="007519BB" w:rsidRPr="007519BB" w:rsidRDefault="007519BB" w:rsidP="007519BB">
      <w:pPr>
        <w:rPr>
          <w:rFonts w:asciiTheme="minorHAnsi" w:hAnsiTheme="minorHAnsi" w:cstheme="minorHAnsi"/>
          <w:sz w:val="24"/>
        </w:rPr>
      </w:pPr>
    </w:p>
    <w:p w:rsidR="007519BB" w:rsidRPr="007519BB" w:rsidRDefault="007519BB" w:rsidP="007519BB">
      <w:pPr>
        <w:rPr>
          <w:rFonts w:asciiTheme="minorHAnsi" w:hAnsiTheme="minorHAnsi" w:cstheme="minorHAnsi"/>
          <w:sz w:val="24"/>
        </w:rPr>
      </w:pPr>
      <w:r w:rsidRPr="007519BB">
        <w:rPr>
          <w:rFonts w:asciiTheme="minorHAnsi" w:hAnsiTheme="minorHAnsi" w:cstheme="minorHAnsi"/>
          <w:sz w:val="24"/>
        </w:rPr>
        <w:t xml:space="preserve">Community Resolution and Conditional Cautions are two out of court disposals aimed to empower victims, giving them the say on how they wish for the offender to be dealt with. The disposals allow for police to attach rehabilitative conditions in order to encourage offenders to turn their life around and make better, more informed decisions this reducing their likelihood of reoffending (Gibson, 2021). </w:t>
      </w:r>
    </w:p>
    <w:p w:rsidR="007519BB" w:rsidRPr="007519BB" w:rsidRDefault="007519BB" w:rsidP="007519BB">
      <w:pPr>
        <w:rPr>
          <w:rFonts w:asciiTheme="minorHAnsi" w:hAnsiTheme="minorHAnsi" w:cstheme="minorHAnsi"/>
          <w:sz w:val="24"/>
        </w:rPr>
      </w:pPr>
    </w:p>
    <w:p w:rsidR="006239EB" w:rsidRDefault="006239EB" w:rsidP="007519BB">
      <w:pPr>
        <w:rPr>
          <w:rFonts w:asciiTheme="minorHAnsi" w:hAnsiTheme="minorHAnsi" w:cstheme="minorHAnsi"/>
          <w:sz w:val="24"/>
        </w:rPr>
      </w:pPr>
    </w:p>
    <w:p w:rsidR="006239EB" w:rsidRDefault="006239EB" w:rsidP="007519BB">
      <w:pPr>
        <w:rPr>
          <w:rFonts w:asciiTheme="minorHAnsi" w:hAnsiTheme="minorHAnsi" w:cstheme="minorHAnsi"/>
          <w:sz w:val="24"/>
        </w:rPr>
      </w:pPr>
    </w:p>
    <w:p w:rsidR="007519BB" w:rsidRDefault="007519BB" w:rsidP="007519BB">
      <w:pPr>
        <w:rPr>
          <w:rFonts w:asciiTheme="minorHAnsi" w:hAnsiTheme="minorHAnsi" w:cstheme="minorHAnsi"/>
          <w:b/>
          <w:sz w:val="24"/>
          <w:u w:val="single"/>
        </w:rPr>
      </w:pPr>
      <w:r w:rsidRPr="006239EB">
        <w:rPr>
          <w:rFonts w:asciiTheme="minorHAnsi" w:hAnsiTheme="minorHAnsi" w:cstheme="minorHAnsi"/>
          <w:b/>
          <w:sz w:val="24"/>
          <w:u w:val="single"/>
        </w:rPr>
        <w:lastRenderedPageBreak/>
        <w:t>References</w:t>
      </w:r>
    </w:p>
    <w:p w:rsidR="00326299" w:rsidRDefault="00326299" w:rsidP="007519BB">
      <w:pPr>
        <w:rPr>
          <w:rFonts w:asciiTheme="minorHAnsi" w:hAnsiTheme="minorHAnsi" w:cstheme="minorHAnsi"/>
          <w:b/>
          <w:sz w:val="24"/>
          <w:u w:val="single"/>
        </w:rPr>
      </w:pPr>
    </w:p>
    <w:p w:rsidR="00326299" w:rsidRPr="00326299" w:rsidRDefault="00326299" w:rsidP="007519BB">
      <w:pPr>
        <w:rPr>
          <w:rFonts w:asciiTheme="minorHAnsi" w:hAnsiTheme="minorHAnsi" w:cstheme="minorHAnsi"/>
          <w:sz w:val="24"/>
        </w:rPr>
      </w:pPr>
      <w:r w:rsidRPr="007519BB">
        <w:rPr>
          <w:rFonts w:asciiTheme="minorHAnsi" w:hAnsiTheme="minorHAnsi" w:cstheme="minorHAnsi"/>
          <w:sz w:val="24"/>
        </w:rPr>
        <w:t xml:space="preserve">Bennett, Trevor (1986), 'Situational Crime Prevention from the Offender's Perspective', in Kevin Heal and Gloria </w:t>
      </w:r>
      <w:proofErr w:type="spellStart"/>
      <w:r w:rsidRPr="007519BB">
        <w:rPr>
          <w:rFonts w:asciiTheme="minorHAnsi" w:hAnsiTheme="minorHAnsi" w:cstheme="minorHAnsi"/>
          <w:sz w:val="24"/>
        </w:rPr>
        <w:t>Laycock</w:t>
      </w:r>
      <w:proofErr w:type="spellEnd"/>
      <w:r w:rsidRPr="007519BB">
        <w:rPr>
          <w:rFonts w:asciiTheme="minorHAnsi" w:hAnsiTheme="minorHAnsi" w:cstheme="minorHAnsi"/>
          <w:sz w:val="24"/>
        </w:rPr>
        <w:t xml:space="preserve"> (eds.), Situational Crime Prevention: From Theory into Practice, Her Majes</w:t>
      </w:r>
      <w:r>
        <w:rPr>
          <w:rFonts w:asciiTheme="minorHAnsi" w:hAnsiTheme="minorHAnsi" w:cstheme="minorHAnsi"/>
          <w:sz w:val="24"/>
        </w:rPr>
        <w:t xml:space="preserve">ty's Stationery Office, </w:t>
      </w:r>
      <w:proofErr w:type="gramStart"/>
      <w:r>
        <w:rPr>
          <w:rFonts w:asciiTheme="minorHAnsi" w:hAnsiTheme="minorHAnsi" w:cstheme="minorHAnsi"/>
          <w:sz w:val="24"/>
        </w:rPr>
        <w:t>London</w:t>
      </w:r>
      <w:proofErr w:type="gramEnd"/>
      <w:r>
        <w:rPr>
          <w:rFonts w:asciiTheme="minorHAnsi" w:hAnsiTheme="minorHAnsi" w:cstheme="minorHAnsi"/>
          <w:sz w:val="24"/>
        </w:rPr>
        <w:t>.</w:t>
      </w:r>
    </w:p>
    <w:p w:rsidR="007519BB" w:rsidRDefault="007519BB" w:rsidP="007519BB">
      <w:pPr>
        <w:rPr>
          <w:rFonts w:asciiTheme="minorHAnsi" w:hAnsiTheme="minorHAnsi" w:cstheme="minorHAnsi"/>
          <w:sz w:val="24"/>
        </w:rPr>
      </w:pPr>
    </w:p>
    <w:p w:rsidR="00326299" w:rsidRPr="007519BB" w:rsidRDefault="00326299" w:rsidP="00326299">
      <w:pPr>
        <w:rPr>
          <w:rFonts w:asciiTheme="minorHAnsi" w:hAnsiTheme="minorHAnsi" w:cstheme="minorHAnsi"/>
          <w:sz w:val="24"/>
        </w:rPr>
      </w:pPr>
      <w:r w:rsidRPr="007519BB">
        <w:rPr>
          <w:rFonts w:asciiTheme="minorHAnsi" w:hAnsiTheme="minorHAnsi" w:cstheme="minorHAnsi"/>
          <w:sz w:val="24"/>
        </w:rPr>
        <w:t>Cartwright, N. and Hardy, J., 2012. Evidence-Based Policy: A Practical Guide to Doing It Better. Oxford: Oxford University Press.</w:t>
      </w:r>
    </w:p>
    <w:p w:rsidR="00326299" w:rsidRPr="007519BB" w:rsidRDefault="00326299" w:rsidP="007519BB">
      <w:pPr>
        <w:rPr>
          <w:rFonts w:asciiTheme="minorHAnsi" w:hAnsiTheme="minorHAnsi" w:cstheme="minorHAnsi"/>
          <w:sz w:val="24"/>
        </w:rPr>
      </w:pPr>
    </w:p>
    <w:p w:rsidR="007519BB" w:rsidRPr="007519BB" w:rsidRDefault="007519BB" w:rsidP="007519BB">
      <w:pPr>
        <w:rPr>
          <w:rFonts w:asciiTheme="minorHAnsi" w:hAnsiTheme="minorHAnsi" w:cstheme="minorHAnsi"/>
          <w:sz w:val="24"/>
        </w:rPr>
      </w:pPr>
    </w:p>
    <w:p w:rsidR="007519BB" w:rsidRPr="007519BB" w:rsidRDefault="007519BB" w:rsidP="007519BB">
      <w:pPr>
        <w:rPr>
          <w:rFonts w:asciiTheme="minorHAnsi" w:hAnsiTheme="minorHAnsi" w:cstheme="minorHAnsi"/>
          <w:sz w:val="24"/>
        </w:rPr>
      </w:pPr>
      <w:r w:rsidRPr="007519BB">
        <w:rPr>
          <w:rFonts w:asciiTheme="minorHAnsi" w:hAnsiTheme="minorHAnsi" w:cstheme="minorHAnsi"/>
          <w:sz w:val="24"/>
        </w:rPr>
        <w:t>College of Policing. 2021. What is evidence-based policing? | What Works Centre for Crime Reduction. [</w:t>
      </w:r>
      <w:proofErr w:type="gramStart"/>
      <w:r w:rsidRPr="007519BB">
        <w:rPr>
          <w:rFonts w:asciiTheme="minorHAnsi" w:hAnsiTheme="minorHAnsi" w:cstheme="minorHAnsi"/>
          <w:sz w:val="24"/>
        </w:rPr>
        <w:t>online</w:t>
      </w:r>
      <w:proofErr w:type="gramEnd"/>
      <w:r w:rsidRPr="007519BB">
        <w:rPr>
          <w:rFonts w:asciiTheme="minorHAnsi" w:hAnsiTheme="minorHAnsi" w:cstheme="minorHAnsi"/>
          <w:sz w:val="24"/>
        </w:rPr>
        <w:t>] Available at: &lt;https://whatworks.college.police.uk/About/Pages/What-is-EBP.aspx&gt; [Accessed 20 June 2021].</w:t>
      </w:r>
    </w:p>
    <w:p w:rsidR="007519BB" w:rsidRPr="007519BB" w:rsidRDefault="007519BB" w:rsidP="007519BB">
      <w:pPr>
        <w:rPr>
          <w:rFonts w:asciiTheme="minorHAnsi" w:hAnsiTheme="minorHAnsi" w:cstheme="minorHAnsi"/>
          <w:sz w:val="24"/>
        </w:rPr>
      </w:pPr>
    </w:p>
    <w:p w:rsidR="007519BB" w:rsidRPr="007519BB" w:rsidRDefault="007519BB" w:rsidP="007519BB">
      <w:pPr>
        <w:rPr>
          <w:rFonts w:asciiTheme="minorHAnsi" w:hAnsiTheme="minorHAnsi" w:cstheme="minorHAnsi"/>
          <w:sz w:val="24"/>
        </w:rPr>
      </w:pPr>
      <w:r w:rsidRPr="007519BB">
        <w:rPr>
          <w:rFonts w:asciiTheme="minorHAnsi" w:hAnsiTheme="minorHAnsi" w:cstheme="minorHAnsi"/>
          <w:sz w:val="24"/>
        </w:rPr>
        <w:t xml:space="preserve">Dawson, P., &amp; </w:t>
      </w:r>
      <w:proofErr w:type="spellStart"/>
      <w:r w:rsidRPr="007519BB">
        <w:rPr>
          <w:rFonts w:asciiTheme="minorHAnsi" w:hAnsiTheme="minorHAnsi" w:cstheme="minorHAnsi"/>
          <w:sz w:val="24"/>
        </w:rPr>
        <w:t>Stanko</w:t>
      </w:r>
      <w:proofErr w:type="spellEnd"/>
      <w:r w:rsidRPr="007519BB">
        <w:rPr>
          <w:rFonts w:asciiTheme="minorHAnsi" w:hAnsiTheme="minorHAnsi" w:cstheme="minorHAnsi"/>
          <w:sz w:val="24"/>
        </w:rPr>
        <w:t xml:space="preserve">, E. (2016). The Best-Kept Secret(s) of Evidence Based Policing. Legal Information Management, 16(2), 64-71. </w:t>
      </w:r>
      <w:proofErr w:type="gramStart"/>
      <w:r w:rsidRPr="007519BB">
        <w:rPr>
          <w:rFonts w:asciiTheme="minorHAnsi" w:hAnsiTheme="minorHAnsi" w:cstheme="minorHAnsi"/>
          <w:sz w:val="24"/>
        </w:rPr>
        <w:t>doi:</w:t>
      </w:r>
      <w:proofErr w:type="gramEnd"/>
      <w:r w:rsidRPr="007519BB">
        <w:rPr>
          <w:rFonts w:asciiTheme="minorHAnsi" w:hAnsiTheme="minorHAnsi" w:cstheme="minorHAnsi"/>
          <w:sz w:val="24"/>
        </w:rPr>
        <w:t>10.1017/S1472669616000190</w:t>
      </w:r>
    </w:p>
    <w:p w:rsidR="007519BB" w:rsidRPr="007519BB" w:rsidRDefault="007519BB" w:rsidP="007519BB">
      <w:pPr>
        <w:rPr>
          <w:rFonts w:asciiTheme="minorHAnsi" w:hAnsiTheme="minorHAnsi" w:cstheme="minorHAnsi"/>
          <w:sz w:val="24"/>
        </w:rPr>
      </w:pPr>
    </w:p>
    <w:p w:rsidR="007519BB" w:rsidRPr="007519BB" w:rsidRDefault="007519BB" w:rsidP="007519BB">
      <w:pPr>
        <w:rPr>
          <w:rFonts w:asciiTheme="minorHAnsi" w:hAnsiTheme="minorHAnsi" w:cstheme="minorHAnsi"/>
          <w:sz w:val="24"/>
        </w:rPr>
      </w:pPr>
      <w:r w:rsidRPr="007519BB">
        <w:rPr>
          <w:rFonts w:asciiTheme="minorHAnsi" w:hAnsiTheme="minorHAnsi" w:cstheme="minorHAnsi"/>
          <w:sz w:val="24"/>
        </w:rPr>
        <w:t>Dunham, R., Alpert, G. and McLean, K., 2021. Critical Issues in Policing. 8th ed. Long Grove: Waveland Press Inc.</w:t>
      </w:r>
    </w:p>
    <w:p w:rsidR="007519BB" w:rsidRPr="007519BB" w:rsidRDefault="007519BB" w:rsidP="007519BB">
      <w:pPr>
        <w:rPr>
          <w:rFonts w:asciiTheme="minorHAnsi" w:hAnsiTheme="minorHAnsi" w:cstheme="minorHAnsi"/>
          <w:sz w:val="24"/>
        </w:rPr>
      </w:pPr>
    </w:p>
    <w:p w:rsidR="007519BB" w:rsidRPr="007519BB" w:rsidRDefault="007519BB" w:rsidP="007519BB">
      <w:pPr>
        <w:rPr>
          <w:rFonts w:asciiTheme="minorHAnsi" w:hAnsiTheme="minorHAnsi" w:cstheme="minorHAnsi"/>
          <w:sz w:val="24"/>
        </w:rPr>
      </w:pPr>
      <w:r w:rsidRPr="007519BB">
        <w:rPr>
          <w:rFonts w:asciiTheme="minorHAnsi" w:hAnsiTheme="minorHAnsi" w:cstheme="minorHAnsi"/>
          <w:sz w:val="24"/>
        </w:rPr>
        <w:t xml:space="preserve">Fleming, J., Fyfe, N., &amp; </w:t>
      </w:r>
      <w:proofErr w:type="spellStart"/>
      <w:r w:rsidRPr="007519BB">
        <w:rPr>
          <w:rFonts w:asciiTheme="minorHAnsi" w:hAnsiTheme="minorHAnsi" w:cstheme="minorHAnsi"/>
          <w:sz w:val="24"/>
        </w:rPr>
        <w:t>Wingrove</w:t>
      </w:r>
      <w:proofErr w:type="spellEnd"/>
      <w:r w:rsidRPr="007519BB">
        <w:rPr>
          <w:rFonts w:asciiTheme="minorHAnsi" w:hAnsiTheme="minorHAnsi" w:cstheme="minorHAnsi"/>
          <w:sz w:val="24"/>
        </w:rPr>
        <w:t>, J. (2016) Evidence-informed Policing: The Design of a Pilot Training Programme</w:t>
      </w:r>
    </w:p>
    <w:p w:rsidR="007519BB" w:rsidRPr="007519BB" w:rsidRDefault="007519BB" w:rsidP="007519BB">
      <w:pPr>
        <w:rPr>
          <w:rFonts w:asciiTheme="minorHAnsi" w:hAnsiTheme="minorHAnsi" w:cstheme="minorHAnsi"/>
          <w:sz w:val="24"/>
        </w:rPr>
      </w:pPr>
    </w:p>
    <w:p w:rsidR="007519BB" w:rsidRPr="007519BB" w:rsidRDefault="007519BB" w:rsidP="007519BB">
      <w:pPr>
        <w:rPr>
          <w:rFonts w:asciiTheme="minorHAnsi" w:hAnsiTheme="minorHAnsi" w:cstheme="minorHAnsi"/>
          <w:sz w:val="24"/>
        </w:rPr>
      </w:pPr>
      <w:proofErr w:type="spellStart"/>
      <w:r w:rsidRPr="007519BB">
        <w:rPr>
          <w:rFonts w:asciiTheme="minorHAnsi" w:hAnsiTheme="minorHAnsi" w:cstheme="minorHAnsi"/>
          <w:sz w:val="24"/>
        </w:rPr>
        <w:t>Geason</w:t>
      </w:r>
      <w:proofErr w:type="spellEnd"/>
      <w:r w:rsidRPr="007519BB">
        <w:rPr>
          <w:rFonts w:asciiTheme="minorHAnsi" w:hAnsiTheme="minorHAnsi" w:cstheme="minorHAnsi"/>
          <w:sz w:val="24"/>
        </w:rPr>
        <w:t>, S. and Wilson, P., 1988. Crime Prevention. Theory and Practice. Canberra: Australian Institute of Criminology.</w:t>
      </w:r>
    </w:p>
    <w:p w:rsidR="007519BB" w:rsidRPr="007519BB" w:rsidRDefault="007519BB" w:rsidP="007519BB">
      <w:pPr>
        <w:rPr>
          <w:rFonts w:asciiTheme="minorHAnsi" w:hAnsiTheme="minorHAnsi" w:cstheme="minorHAnsi"/>
          <w:sz w:val="24"/>
        </w:rPr>
      </w:pPr>
    </w:p>
    <w:p w:rsidR="007519BB" w:rsidRPr="007519BB" w:rsidRDefault="007519BB" w:rsidP="007519BB">
      <w:pPr>
        <w:rPr>
          <w:rFonts w:asciiTheme="minorHAnsi" w:hAnsiTheme="minorHAnsi" w:cstheme="minorHAnsi"/>
          <w:sz w:val="24"/>
        </w:rPr>
      </w:pPr>
    </w:p>
    <w:p w:rsidR="007519BB" w:rsidRDefault="007519BB" w:rsidP="007519BB">
      <w:pPr>
        <w:rPr>
          <w:rFonts w:asciiTheme="minorHAnsi" w:hAnsiTheme="minorHAnsi" w:cstheme="minorHAnsi"/>
          <w:sz w:val="24"/>
        </w:rPr>
      </w:pPr>
      <w:r w:rsidRPr="007519BB">
        <w:rPr>
          <w:rFonts w:asciiTheme="minorHAnsi" w:hAnsiTheme="minorHAnsi" w:cstheme="minorHAnsi"/>
          <w:sz w:val="24"/>
        </w:rPr>
        <w:t>Gibson, C., 2021. Out of Court Disposals. A review of policy, operation and research evidence. [PDF] Nottingham. Available at: &lt;https://sentencingacademy.org.uk/wp-content/uploads/2021/02/Out-of-Court-Disposals-3.pdf&gt; [Accessed 1 July 2021].</w:t>
      </w:r>
    </w:p>
    <w:p w:rsidR="002D63FF" w:rsidRDefault="002D63FF" w:rsidP="007519BB">
      <w:pPr>
        <w:rPr>
          <w:rFonts w:asciiTheme="minorHAnsi" w:hAnsiTheme="minorHAnsi" w:cstheme="minorHAnsi"/>
          <w:sz w:val="24"/>
        </w:rPr>
      </w:pPr>
    </w:p>
    <w:p w:rsidR="002D63FF" w:rsidRDefault="002D63FF" w:rsidP="002D63FF">
      <w:pPr>
        <w:rPr>
          <w:rFonts w:asciiTheme="minorHAnsi" w:hAnsiTheme="minorHAnsi" w:cstheme="minorHAnsi"/>
          <w:sz w:val="24"/>
        </w:rPr>
      </w:pPr>
      <w:r w:rsidRPr="007519BB">
        <w:rPr>
          <w:rFonts w:asciiTheme="minorHAnsi" w:hAnsiTheme="minorHAnsi" w:cstheme="minorHAnsi"/>
          <w:sz w:val="24"/>
        </w:rPr>
        <w:t xml:space="preserve">Pepper, I., Rogers, C. &amp; Martin, </w:t>
      </w:r>
      <w:proofErr w:type="gramStart"/>
      <w:r w:rsidRPr="007519BB">
        <w:rPr>
          <w:rFonts w:asciiTheme="minorHAnsi" w:hAnsiTheme="minorHAnsi" w:cstheme="minorHAnsi"/>
          <w:sz w:val="24"/>
        </w:rPr>
        <w:t>H</w:t>
      </w:r>
      <w:proofErr w:type="gramEnd"/>
      <w:r w:rsidRPr="007519BB">
        <w:rPr>
          <w:rFonts w:asciiTheme="minorHAnsi" w:hAnsiTheme="minorHAnsi" w:cstheme="minorHAnsi"/>
          <w:sz w:val="24"/>
        </w:rPr>
        <w:t xml:space="preserve">. 2020 ‘Evidence based policing: a view on its development within the police service’. Journal of Work Applied Management, Vol. 12 No. 1, pp. 91-96. Available at: </w:t>
      </w:r>
      <w:hyperlink r:id="rId12" w:history="1">
        <w:r w:rsidR="00326299" w:rsidRPr="00026A17">
          <w:rPr>
            <w:rStyle w:val="Hyperlink"/>
            <w:rFonts w:asciiTheme="minorHAnsi" w:hAnsiTheme="minorHAnsi" w:cstheme="minorHAnsi"/>
            <w:sz w:val="24"/>
          </w:rPr>
          <w:t>https://www.emerald.com/insight/content/doi/10.1108/JWAM-01-2020-0001/full/html</w:t>
        </w:r>
      </w:hyperlink>
    </w:p>
    <w:p w:rsidR="00326299" w:rsidRDefault="00326299" w:rsidP="002D63FF">
      <w:pPr>
        <w:rPr>
          <w:rFonts w:asciiTheme="minorHAnsi" w:hAnsiTheme="minorHAnsi" w:cstheme="minorHAnsi"/>
          <w:sz w:val="24"/>
        </w:rPr>
      </w:pPr>
    </w:p>
    <w:p w:rsidR="00326299" w:rsidRPr="007519BB" w:rsidRDefault="00326299" w:rsidP="00326299">
      <w:pPr>
        <w:rPr>
          <w:rFonts w:asciiTheme="minorHAnsi" w:hAnsiTheme="minorHAnsi" w:cstheme="minorHAnsi"/>
          <w:sz w:val="24"/>
        </w:rPr>
      </w:pPr>
      <w:r w:rsidRPr="007519BB">
        <w:rPr>
          <w:rFonts w:asciiTheme="minorHAnsi" w:hAnsiTheme="minorHAnsi" w:cstheme="minorHAnsi"/>
          <w:sz w:val="24"/>
        </w:rPr>
        <w:t>Sherman, L. 1998 ‘Evidence-Based Policing. Ideas in American Policing Series.’ Washington, DC: Police Foundation</w:t>
      </w:r>
    </w:p>
    <w:p w:rsidR="00326299" w:rsidRDefault="00326299" w:rsidP="002D63FF">
      <w:pPr>
        <w:rPr>
          <w:rFonts w:asciiTheme="minorHAnsi" w:hAnsiTheme="minorHAnsi" w:cstheme="minorHAnsi"/>
          <w:sz w:val="24"/>
        </w:rPr>
      </w:pPr>
    </w:p>
    <w:p w:rsidR="00326299" w:rsidRPr="007519BB" w:rsidRDefault="00326299" w:rsidP="00326299">
      <w:pPr>
        <w:rPr>
          <w:rFonts w:asciiTheme="minorHAnsi" w:hAnsiTheme="minorHAnsi" w:cstheme="minorHAnsi"/>
          <w:sz w:val="24"/>
        </w:rPr>
      </w:pPr>
      <w:r w:rsidRPr="007519BB">
        <w:rPr>
          <w:rFonts w:asciiTheme="minorHAnsi" w:hAnsiTheme="minorHAnsi" w:cstheme="minorHAnsi"/>
          <w:sz w:val="24"/>
        </w:rPr>
        <w:t>The Home Office, 2006. A Five Year Strategy for Protecting the Public and Reducing Re-offending. Ireland: Stationery Office.</w:t>
      </w:r>
    </w:p>
    <w:p w:rsidR="00326299" w:rsidRPr="007519BB" w:rsidRDefault="00326299" w:rsidP="002D63FF">
      <w:pPr>
        <w:rPr>
          <w:rFonts w:asciiTheme="minorHAnsi" w:hAnsiTheme="minorHAnsi" w:cstheme="minorHAnsi"/>
          <w:sz w:val="24"/>
        </w:rPr>
      </w:pPr>
    </w:p>
    <w:p w:rsidR="002D63FF" w:rsidRDefault="002D63FF" w:rsidP="007519BB">
      <w:pPr>
        <w:rPr>
          <w:rFonts w:asciiTheme="minorHAnsi" w:hAnsiTheme="minorHAnsi" w:cstheme="minorHAnsi"/>
          <w:sz w:val="24"/>
        </w:rPr>
      </w:pPr>
    </w:p>
    <w:p w:rsidR="007519BB" w:rsidRDefault="007519BB" w:rsidP="007519BB">
      <w:pPr>
        <w:rPr>
          <w:rFonts w:asciiTheme="minorHAnsi" w:hAnsiTheme="minorHAnsi" w:cstheme="minorHAnsi"/>
          <w:sz w:val="24"/>
        </w:rPr>
      </w:pPr>
    </w:p>
    <w:p w:rsidR="007519BB" w:rsidRDefault="007519BB" w:rsidP="007519BB">
      <w:pPr>
        <w:rPr>
          <w:rFonts w:asciiTheme="minorHAnsi" w:hAnsiTheme="minorHAnsi" w:cstheme="minorHAnsi"/>
          <w:sz w:val="24"/>
        </w:rPr>
      </w:pPr>
    </w:p>
    <w:p w:rsidR="00326299" w:rsidRDefault="00326299" w:rsidP="007519BB">
      <w:pPr>
        <w:rPr>
          <w:rFonts w:asciiTheme="minorHAnsi" w:hAnsiTheme="minorHAnsi" w:cstheme="minorHAnsi"/>
          <w:sz w:val="24"/>
        </w:rPr>
      </w:pPr>
    </w:p>
    <w:p w:rsidR="00326299" w:rsidRDefault="00326299" w:rsidP="007519BB">
      <w:pPr>
        <w:rPr>
          <w:rFonts w:asciiTheme="minorHAnsi" w:hAnsiTheme="minorHAnsi" w:cstheme="minorHAnsi"/>
          <w:sz w:val="24"/>
        </w:rPr>
      </w:pPr>
    </w:p>
    <w:p w:rsidR="00326299" w:rsidRDefault="00326299" w:rsidP="007519BB">
      <w:pPr>
        <w:rPr>
          <w:rFonts w:asciiTheme="minorHAnsi" w:hAnsiTheme="minorHAnsi" w:cstheme="minorHAnsi"/>
          <w:sz w:val="24"/>
        </w:rPr>
      </w:pPr>
    </w:p>
    <w:p w:rsidR="007519BB" w:rsidRDefault="007519BB" w:rsidP="007519BB">
      <w:pPr>
        <w:rPr>
          <w:rFonts w:asciiTheme="minorHAnsi" w:hAnsiTheme="minorHAnsi" w:cstheme="minorHAnsi"/>
          <w:sz w:val="24"/>
        </w:rPr>
      </w:pPr>
    </w:p>
    <w:p w:rsidR="006239EB" w:rsidRPr="006239EB" w:rsidRDefault="006239EB" w:rsidP="006239EB">
      <w:pPr>
        <w:rPr>
          <w:rFonts w:asciiTheme="minorHAnsi" w:hAnsiTheme="minorHAnsi" w:cstheme="minorHAnsi"/>
          <w:b/>
          <w:sz w:val="24"/>
          <w:u w:val="single"/>
        </w:rPr>
      </w:pPr>
      <w:r w:rsidRPr="006239EB">
        <w:rPr>
          <w:rFonts w:asciiTheme="minorHAnsi" w:hAnsiTheme="minorHAnsi" w:cstheme="minorHAnsi"/>
          <w:b/>
          <w:sz w:val="24"/>
          <w:u w:val="single"/>
        </w:rPr>
        <w:t>1000 words - Information and Intelligence/Communication Skills</w:t>
      </w:r>
    </w:p>
    <w:p w:rsidR="006239EB" w:rsidRPr="006239EB" w:rsidRDefault="006239EB" w:rsidP="006239EB">
      <w:pPr>
        <w:rPr>
          <w:rFonts w:asciiTheme="minorHAnsi" w:hAnsiTheme="minorHAnsi" w:cstheme="minorHAnsi"/>
          <w:b/>
          <w:sz w:val="24"/>
          <w:u w:val="single"/>
        </w:rPr>
      </w:pPr>
      <w:r w:rsidRPr="006239EB">
        <w:rPr>
          <w:rFonts w:asciiTheme="minorHAnsi" w:hAnsiTheme="minorHAnsi" w:cstheme="minorHAnsi"/>
          <w:b/>
          <w:sz w:val="24"/>
          <w:u w:val="single"/>
        </w:rPr>
        <w:t xml:space="preserve">Critically evaluate the methods used by police in gathering information and intelligence, how information contributes to the ‘tasking and coordinating’ process and how information and intelligence is communicated. </w:t>
      </w:r>
    </w:p>
    <w:p w:rsidR="006239EB" w:rsidRPr="006239EB" w:rsidRDefault="006239EB" w:rsidP="006239EB">
      <w:pPr>
        <w:rPr>
          <w:rFonts w:asciiTheme="minorHAnsi" w:hAnsiTheme="minorHAnsi" w:cstheme="minorHAnsi"/>
          <w:sz w:val="24"/>
        </w:rPr>
      </w:pPr>
    </w:p>
    <w:p w:rsidR="006239EB" w:rsidRPr="006239EB" w:rsidRDefault="006239EB" w:rsidP="006239EB">
      <w:pPr>
        <w:rPr>
          <w:rFonts w:asciiTheme="minorHAnsi" w:hAnsiTheme="minorHAnsi" w:cstheme="minorHAnsi"/>
          <w:sz w:val="24"/>
        </w:rPr>
      </w:pPr>
    </w:p>
    <w:p w:rsidR="006239EB" w:rsidRPr="006239EB" w:rsidRDefault="006239EB" w:rsidP="006239EB">
      <w:pPr>
        <w:rPr>
          <w:rFonts w:asciiTheme="minorHAnsi" w:hAnsiTheme="minorHAnsi" w:cstheme="minorHAnsi"/>
          <w:sz w:val="24"/>
        </w:rPr>
      </w:pPr>
      <w:r w:rsidRPr="006239EB">
        <w:rPr>
          <w:rFonts w:asciiTheme="minorHAnsi" w:hAnsiTheme="minorHAnsi" w:cstheme="minorHAnsi"/>
          <w:sz w:val="24"/>
        </w:rPr>
        <w:t xml:space="preserve">When discussing information and intelligence, it is vital to have an understanding as to what the terms mean. Information is simply raw data of any type, whilst in contrast intelligence is data which has been graded and analysed, given added value or significance (UNODC, 2010). Police intelligence is dependent on an assortment of information sources. These include; open sources which include publicly available information via mediums such as social media, covert human intelligence sources, undercover operations, technical interceptions of communication devices, law enforcement partners through both the UK and International, security and intelligence agencies, private sector and members of the public (Nationalcrimeagency.gov.uk, 2021). </w:t>
      </w:r>
    </w:p>
    <w:p w:rsidR="006239EB" w:rsidRPr="006239EB" w:rsidRDefault="006239EB" w:rsidP="006239EB">
      <w:pPr>
        <w:rPr>
          <w:rFonts w:asciiTheme="minorHAnsi" w:hAnsiTheme="minorHAnsi" w:cstheme="minorHAnsi"/>
          <w:sz w:val="24"/>
        </w:rPr>
      </w:pPr>
    </w:p>
    <w:p w:rsidR="006239EB" w:rsidRPr="006239EB" w:rsidRDefault="006239EB" w:rsidP="006239EB">
      <w:pPr>
        <w:rPr>
          <w:rFonts w:asciiTheme="minorHAnsi" w:hAnsiTheme="minorHAnsi" w:cstheme="minorHAnsi"/>
          <w:sz w:val="24"/>
        </w:rPr>
      </w:pPr>
      <w:r w:rsidRPr="006239EB">
        <w:rPr>
          <w:rFonts w:asciiTheme="minorHAnsi" w:hAnsiTheme="minorHAnsi" w:cstheme="minorHAnsi"/>
          <w:sz w:val="24"/>
        </w:rPr>
        <w:t>Intelligence-led policing has become an integral approach to crime control for police forces within the United Kingdom (UK). Intelligence led-policing allows police to work smarter and places an objective basis for interpreting priorities and allocation of resources (</w:t>
      </w:r>
      <w:proofErr w:type="spellStart"/>
      <w:r w:rsidRPr="006239EB">
        <w:rPr>
          <w:rFonts w:asciiTheme="minorHAnsi" w:hAnsiTheme="minorHAnsi" w:cstheme="minorHAnsi"/>
          <w:sz w:val="24"/>
        </w:rPr>
        <w:t>Ratcliffe</w:t>
      </w:r>
      <w:proofErr w:type="spellEnd"/>
      <w:r w:rsidRPr="006239EB">
        <w:rPr>
          <w:rFonts w:asciiTheme="minorHAnsi" w:hAnsiTheme="minorHAnsi" w:cstheme="minorHAnsi"/>
          <w:sz w:val="24"/>
        </w:rPr>
        <w:t>, 2016). In 2004, the UK intelligence-led policing consecrated in legislation that ensured all forces were to adopt the National Intelligence Model (NIM). It materialised at the time criminal threats were less conservative and where organised-crime groups dictated. Intelligence-led policing is a tactic that reduces crime through a more pro-active policing approach which is focussed on criminal intelligence. This pro-active approach is a more professionalised approach to policing (James, 2003) directing resources from reactive, managing investigative routes, to proactive tactics which are directed by greater in-depth intelligence gathering. This NIM has evolved into a decision making tool on how to manage resources following intelligence, which has a greater emphasis on information sharing and partnership working. It uses a regulated intelligence-related structures across all forces and aims to improve the use and sharing of intelligence between, local, cross-border and international levels (Maguire, 2004).</w:t>
      </w:r>
    </w:p>
    <w:p w:rsidR="006239EB" w:rsidRPr="006239EB" w:rsidRDefault="006239EB" w:rsidP="006239EB">
      <w:pPr>
        <w:rPr>
          <w:rFonts w:asciiTheme="minorHAnsi" w:hAnsiTheme="minorHAnsi" w:cstheme="minorHAnsi"/>
          <w:sz w:val="24"/>
        </w:rPr>
      </w:pPr>
    </w:p>
    <w:p w:rsidR="006239EB" w:rsidRPr="006239EB" w:rsidRDefault="006239EB" w:rsidP="006239EB">
      <w:pPr>
        <w:rPr>
          <w:rFonts w:asciiTheme="minorHAnsi" w:hAnsiTheme="minorHAnsi" w:cstheme="minorHAnsi"/>
          <w:sz w:val="24"/>
        </w:rPr>
      </w:pPr>
      <w:r w:rsidRPr="006239EB">
        <w:rPr>
          <w:rFonts w:asciiTheme="minorHAnsi" w:hAnsiTheme="minorHAnsi" w:cstheme="minorHAnsi"/>
          <w:sz w:val="24"/>
        </w:rPr>
        <w:t xml:space="preserve">In order to evaluate information to manage and disseminate into intelligence, police use the intelligence report. The information received is grading by the officer submitting it and is then assessed by specialised departments for its legitimacy. From this, the specialised departments are able to make links between previously submitted information and gain an understanding how a certain criminal operates (College of policing, 2021). </w:t>
      </w:r>
    </w:p>
    <w:p w:rsidR="006239EB" w:rsidRPr="006239EB" w:rsidRDefault="006239EB" w:rsidP="006239EB">
      <w:pPr>
        <w:rPr>
          <w:rFonts w:asciiTheme="minorHAnsi" w:hAnsiTheme="minorHAnsi" w:cstheme="minorHAnsi"/>
          <w:sz w:val="24"/>
        </w:rPr>
      </w:pPr>
    </w:p>
    <w:p w:rsidR="006239EB" w:rsidRPr="006239EB" w:rsidRDefault="006239EB" w:rsidP="006239EB">
      <w:pPr>
        <w:rPr>
          <w:rFonts w:asciiTheme="minorHAnsi" w:hAnsiTheme="minorHAnsi" w:cstheme="minorHAnsi"/>
          <w:sz w:val="24"/>
        </w:rPr>
      </w:pPr>
      <w:r w:rsidRPr="006239EB">
        <w:rPr>
          <w:rFonts w:asciiTheme="minorHAnsi" w:hAnsiTheme="minorHAnsi" w:cstheme="minorHAnsi"/>
          <w:sz w:val="24"/>
        </w:rPr>
        <w:t xml:space="preserve">The 3x5x2 model is a standardised system of intelligence grading which is expressed via numerical and alphabetic values. The numbers within the name represent the information evaluation, the source evaluation and the intelligence handling and sharing rules. These evaluations are used in assessing the reliability and validity of any information received. The source evaluation is broken down into whether the source is reliable, untested or not reliable. From this the intelligence evaluation is assessed; known directly to the source, known indirectly to the source but corroborated, known indirectly to the source, not known </w:t>
      </w:r>
      <w:r w:rsidRPr="006239EB">
        <w:rPr>
          <w:rFonts w:asciiTheme="minorHAnsi" w:hAnsiTheme="minorHAnsi" w:cstheme="minorHAnsi"/>
          <w:sz w:val="24"/>
        </w:rPr>
        <w:lastRenderedPageBreak/>
        <w:t>or suspected to be false. All information received must then be given a handling code which states whether lawful sharing of the information is permitt</w:t>
      </w:r>
      <w:r w:rsidR="00D658B0">
        <w:rPr>
          <w:rFonts w:asciiTheme="minorHAnsi" w:hAnsiTheme="minorHAnsi" w:cstheme="minorHAnsi"/>
          <w:sz w:val="24"/>
        </w:rPr>
        <w:t>ed or permitted with conditions</w:t>
      </w:r>
      <w:r w:rsidRPr="006239EB">
        <w:rPr>
          <w:rFonts w:asciiTheme="minorHAnsi" w:hAnsiTheme="minorHAnsi" w:cstheme="minorHAnsi"/>
          <w:sz w:val="24"/>
        </w:rPr>
        <w:t xml:space="preserve">. Based on the reliability grading of the information, specialist can determine its strength quickly. The information grading allows for intelligence sharing between organisations and protects the source. However, initial grading is complete by officers receiving the information and thus can be graded on opinion which in turn may not validate the intelligence precisely (Adams, 2013). </w:t>
      </w:r>
    </w:p>
    <w:p w:rsidR="006239EB" w:rsidRPr="006239EB" w:rsidRDefault="006239EB" w:rsidP="006239EB">
      <w:pPr>
        <w:rPr>
          <w:rFonts w:asciiTheme="minorHAnsi" w:hAnsiTheme="minorHAnsi" w:cstheme="minorHAnsi"/>
          <w:sz w:val="24"/>
        </w:rPr>
      </w:pPr>
    </w:p>
    <w:p w:rsidR="006239EB" w:rsidRPr="006239EB" w:rsidRDefault="006239EB" w:rsidP="006239EB">
      <w:pPr>
        <w:rPr>
          <w:rFonts w:asciiTheme="minorHAnsi" w:hAnsiTheme="minorHAnsi" w:cstheme="minorHAnsi"/>
          <w:sz w:val="24"/>
        </w:rPr>
      </w:pPr>
      <w:r w:rsidRPr="006239EB">
        <w:rPr>
          <w:rFonts w:asciiTheme="minorHAnsi" w:hAnsiTheme="minorHAnsi" w:cstheme="minorHAnsi"/>
          <w:sz w:val="24"/>
        </w:rPr>
        <w:t>Within the NIM, the tasking and co-ordination process uses a framework for managers to identify key operational priorities which provides knowledge on how to deploy police and partner agencies in order to tackle these priorities. Tasking and co-ordination is a ‘bottom-up’ process where intelligence gathered from communities in turn set local priorities. Where these local issues escalate, additional or specialist resources may be required. The tasking and co-ordination groups can be at local level or at Force level. The decisions that are made must be communicated effectively to the front line to ensure the decisions are appropriately actioned. These actions must then be assessed regularly to ensure the actions have been effective and will continue to be effective in supporting police priorities (Gwent Police, 2021)</w:t>
      </w:r>
    </w:p>
    <w:p w:rsidR="006239EB" w:rsidRPr="006239EB" w:rsidRDefault="006239EB" w:rsidP="006239EB">
      <w:pPr>
        <w:rPr>
          <w:rFonts w:asciiTheme="minorHAnsi" w:hAnsiTheme="minorHAnsi" w:cstheme="minorHAnsi"/>
          <w:sz w:val="24"/>
        </w:rPr>
      </w:pPr>
    </w:p>
    <w:p w:rsidR="006239EB" w:rsidRPr="006239EB" w:rsidRDefault="006239EB" w:rsidP="006239EB">
      <w:pPr>
        <w:rPr>
          <w:rFonts w:asciiTheme="minorHAnsi" w:hAnsiTheme="minorHAnsi" w:cstheme="minorHAnsi"/>
          <w:sz w:val="24"/>
        </w:rPr>
      </w:pPr>
      <w:r w:rsidRPr="006239EB">
        <w:rPr>
          <w:rFonts w:asciiTheme="minorHAnsi" w:hAnsiTheme="minorHAnsi" w:cstheme="minorHAnsi"/>
          <w:sz w:val="24"/>
        </w:rPr>
        <w:t xml:space="preserve">For police to share intelligence which can be used to prevent and detect crime, the Police National Database (PND) was formed. It is an information management system which can be accessed by all forces throughout the UK. Due to PND being available via electronic devices, it makes it easily accessible for all forces which allows for immediate retrieval of information when required. Following the </w:t>
      </w:r>
      <w:proofErr w:type="spellStart"/>
      <w:r w:rsidRPr="006239EB">
        <w:rPr>
          <w:rFonts w:asciiTheme="minorHAnsi" w:hAnsiTheme="minorHAnsi" w:cstheme="minorHAnsi"/>
          <w:sz w:val="24"/>
        </w:rPr>
        <w:t>Bichard</w:t>
      </w:r>
      <w:proofErr w:type="spellEnd"/>
      <w:r w:rsidRPr="006239EB">
        <w:rPr>
          <w:rFonts w:asciiTheme="minorHAnsi" w:hAnsiTheme="minorHAnsi" w:cstheme="minorHAnsi"/>
          <w:sz w:val="24"/>
        </w:rPr>
        <w:t xml:space="preserve"> Inquiry, the PND was set up as during the </w:t>
      </w:r>
      <w:proofErr w:type="spellStart"/>
      <w:r w:rsidRPr="006239EB">
        <w:rPr>
          <w:rFonts w:asciiTheme="minorHAnsi" w:hAnsiTheme="minorHAnsi" w:cstheme="minorHAnsi"/>
          <w:sz w:val="24"/>
        </w:rPr>
        <w:t>Soham</w:t>
      </w:r>
      <w:proofErr w:type="spellEnd"/>
      <w:r w:rsidRPr="006239EB">
        <w:rPr>
          <w:rFonts w:asciiTheme="minorHAnsi" w:hAnsiTheme="minorHAnsi" w:cstheme="minorHAnsi"/>
          <w:sz w:val="24"/>
        </w:rPr>
        <w:t xml:space="preserve"> murders, it was identified that there were failings in police intelligence and how it was shared. The PND is used as a tool to disrupt and reduce all types of crime and is heavily used in the disrupting of organised crime groups that operate throughout the UK (</w:t>
      </w:r>
      <w:proofErr w:type="spellStart"/>
      <w:r w:rsidRPr="006239EB">
        <w:rPr>
          <w:rFonts w:asciiTheme="minorHAnsi" w:hAnsiTheme="minorHAnsi" w:cstheme="minorHAnsi"/>
          <w:sz w:val="24"/>
        </w:rPr>
        <w:t>Ferndandez</w:t>
      </w:r>
      <w:proofErr w:type="spellEnd"/>
      <w:r w:rsidRPr="006239EB">
        <w:rPr>
          <w:rFonts w:asciiTheme="minorHAnsi" w:hAnsiTheme="minorHAnsi" w:cstheme="minorHAnsi"/>
          <w:sz w:val="24"/>
        </w:rPr>
        <w:t xml:space="preserve"> Sanchez, 2009). </w:t>
      </w:r>
    </w:p>
    <w:p w:rsidR="006239EB" w:rsidRPr="006239EB" w:rsidRDefault="006239EB" w:rsidP="006239EB">
      <w:pPr>
        <w:rPr>
          <w:rFonts w:asciiTheme="minorHAnsi" w:hAnsiTheme="minorHAnsi" w:cstheme="minorHAnsi"/>
          <w:sz w:val="24"/>
        </w:rPr>
      </w:pPr>
    </w:p>
    <w:p w:rsidR="006239EB" w:rsidRPr="006239EB" w:rsidRDefault="006239EB" w:rsidP="006239EB">
      <w:pPr>
        <w:rPr>
          <w:rFonts w:asciiTheme="minorHAnsi" w:hAnsiTheme="minorHAnsi" w:cstheme="minorHAnsi"/>
          <w:sz w:val="24"/>
        </w:rPr>
      </w:pPr>
      <w:r w:rsidRPr="006239EB">
        <w:rPr>
          <w:rFonts w:asciiTheme="minorHAnsi" w:hAnsiTheme="minorHAnsi" w:cstheme="minorHAnsi"/>
          <w:sz w:val="24"/>
        </w:rPr>
        <w:t>Intelligence must also be shared cross-borders. The Schengen Information System is the most widely used and biggest information sharing system for security issues throughout Europe. The system assists authorities in Europe to preserve information and intelligence on individuals and vehicles and enters alerts onto those individuals or vehicles. The system not only enters alerts, it also gives information on what is required to be done in relation to those individuals or vehicles and has a single point of contact. In 2019 new regulations were put on the Schengen Information System whereby it can contain biometrics of individuals and more information added in relation intelligence on terrorism (Migration and Home Affairs - European Commission, 2021).</w:t>
      </w:r>
    </w:p>
    <w:p w:rsidR="006239EB" w:rsidRPr="006239EB" w:rsidRDefault="006239EB" w:rsidP="006239EB">
      <w:pPr>
        <w:rPr>
          <w:rFonts w:asciiTheme="minorHAnsi" w:hAnsiTheme="minorHAnsi" w:cstheme="minorHAnsi"/>
          <w:sz w:val="24"/>
        </w:rPr>
      </w:pPr>
    </w:p>
    <w:p w:rsidR="006239EB" w:rsidRPr="006239EB" w:rsidRDefault="006239EB" w:rsidP="006239EB">
      <w:pPr>
        <w:rPr>
          <w:rFonts w:asciiTheme="minorHAnsi" w:hAnsiTheme="minorHAnsi" w:cstheme="minorHAnsi"/>
          <w:sz w:val="24"/>
        </w:rPr>
      </w:pPr>
      <w:r w:rsidRPr="006239EB">
        <w:rPr>
          <w:rFonts w:asciiTheme="minorHAnsi" w:hAnsiTheme="minorHAnsi" w:cstheme="minorHAnsi"/>
          <w:sz w:val="24"/>
        </w:rPr>
        <w:t xml:space="preserve">The requirement for sharing information and intelligence has also been high however, has not always been something the UK police forces have been good at. It appears this has only now improved following high end cases such as the </w:t>
      </w:r>
      <w:proofErr w:type="spellStart"/>
      <w:r w:rsidRPr="006239EB">
        <w:rPr>
          <w:rFonts w:asciiTheme="minorHAnsi" w:hAnsiTheme="minorHAnsi" w:cstheme="minorHAnsi"/>
          <w:sz w:val="24"/>
        </w:rPr>
        <w:t>Soham</w:t>
      </w:r>
      <w:proofErr w:type="spellEnd"/>
      <w:r w:rsidRPr="006239EB">
        <w:rPr>
          <w:rFonts w:asciiTheme="minorHAnsi" w:hAnsiTheme="minorHAnsi" w:cstheme="minorHAnsi"/>
          <w:sz w:val="24"/>
        </w:rPr>
        <w:t xml:space="preserve"> Murders. With the continuing development of technology and the continuing understanding of the importance of information intelligence, police will inevitably better their handling of doing so, both locally and internationally. </w:t>
      </w:r>
    </w:p>
    <w:p w:rsidR="006239EB" w:rsidRPr="006239EB" w:rsidRDefault="006239EB" w:rsidP="006239EB">
      <w:pPr>
        <w:rPr>
          <w:rFonts w:asciiTheme="minorHAnsi" w:hAnsiTheme="minorHAnsi" w:cstheme="minorHAnsi"/>
          <w:sz w:val="24"/>
        </w:rPr>
      </w:pPr>
    </w:p>
    <w:p w:rsidR="006239EB" w:rsidRPr="006239EB" w:rsidRDefault="006239EB" w:rsidP="006239EB">
      <w:pPr>
        <w:rPr>
          <w:rFonts w:asciiTheme="minorHAnsi" w:hAnsiTheme="minorHAnsi" w:cstheme="minorHAnsi"/>
          <w:sz w:val="24"/>
        </w:rPr>
      </w:pPr>
    </w:p>
    <w:p w:rsidR="006239EB" w:rsidRPr="006239EB" w:rsidRDefault="006239EB" w:rsidP="006239EB">
      <w:pPr>
        <w:rPr>
          <w:rFonts w:asciiTheme="minorHAnsi" w:hAnsiTheme="minorHAnsi" w:cstheme="minorHAnsi"/>
          <w:sz w:val="24"/>
        </w:rPr>
      </w:pPr>
    </w:p>
    <w:p w:rsidR="006239EB" w:rsidRPr="006239EB" w:rsidRDefault="006239EB" w:rsidP="006239EB">
      <w:pPr>
        <w:rPr>
          <w:rFonts w:asciiTheme="minorHAnsi" w:hAnsiTheme="minorHAnsi" w:cstheme="minorHAnsi"/>
          <w:sz w:val="24"/>
        </w:rPr>
      </w:pPr>
    </w:p>
    <w:p w:rsidR="006239EB" w:rsidRPr="007B1492" w:rsidRDefault="006239EB" w:rsidP="006239EB">
      <w:pPr>
        <w:rPr>
          <w:rFonts w:asciiTheme="minorHAnsi" w:hAnsiTheme="minorHAnsi" w:cstheme="minorHAnsi"/>
          <w:b/>
          <w:sz w:val="24"/>
          <w:u w:val="single"/>
        </w:rPr>
      </w:pPr>
      <w:r w:rsidRPr="007B1492">
        <w:rPr>
          <w:rFonts w:asciiTheme="minorHAnsi" w:hAnsiTheme="minorHAnsi" w:cstheme="minorHAnsi"/>
          <w:b/>
          <w:sz w:val="24"/>
          <w:u w:val="single"/>
        </w:rPr>
        <w:t>References</w:t>
      </w:r>
    </w:p>
    <w:p w:rsidR="006239EB" w:rsidRPr="006239EB" w:rsidRDefault="006239EB" w:rsidP="006239EB">
      <w:pPr>
        <w:rPr>
          <w:rFonts w:asciiTheme="minorHAnsi" w:hAnsiTheme="minorHAnsi" w:cstheme="minorHAnsi"/>
          <w:sz w:val="24"/>
        </w:rPr>
      </w:pPr>
    </w:p>
    <w:p w:rsidR="006239EB" w:rsidRDefault="006239EB" w:rsidP="006239EB">
      <w:pPr>
        <w:rPr>
          <w:rFonts w:asciiTheme="minorHAnsi" w:hAnsiTheme="minorHAnsi" w:cstheme="minorHAnsi"/>
          <w:sz w:val="24"/>
        </w:rPr>
      </w:pPr>
      <w:r w:rsidRPr="006239EB">
        <w:rPr>
          <w:rFonts w:asciiTheme="minorHAnsi" w:hAnsiTheme="minorHAnsi" w:cstheme="minorHAnsi"/>
          <w:sz w:val="24"/>
        </w:rPr>
        <w:t>Adams, S., 2013. The 5-minute guide to the intelligence grading process and its application in OSINT. [</w:t>
      </w:r>
      <w:proofErr w:type="gramStart"/>
      <w:r w:rsidRPr="006239EB">
        <w:rPr>
          <w:rFonts w:asciiTheme="minorHAnsi" w:hAnsiTheme="minorHAnsi" w:cstheme="minorHAnsi"/>
          <w:sz w:val="24"/>
        </w:rPr>
        <w:t>online</w:t>
      </w:r>
      <w:proofErr w:type="gramEnd"/>
      <w:r w:rsidRPr="006239EB">
        <w:rPr>
          <w:rFonts w:asciiTheme="minorHAnsi" w:hAnsiTheme="minorHAnsi" w:cstheme="minorHAnsi"/>
          <w:sz w:val="24"/>
        </w:rPr>
        <w:t>] Intelligence with Steve. Available at: &lt;https://www.intelligencewithsteve.com/post/the-5-minute-guide-to-the-intelligence-grading-process-and-its-application-in-osint&gt; [Accessed 1 July 2021].</w:t>
      </w:r>
    </w:p>
    <w:p w:rsidR="00326299" w:rsidRDefault="00326299" w:rsidP="006239EB">
      <w:pPr>
        <w:rPr>
          <w:rFonts w:asciiTheme="minorHAnsi" w:hAnsiTheme="minorHAnsi" w:cstheme="minorHAnsi"/>
          <w:sz w:val="24"/>
        </w:rPr>
      </w:pPr>
    </w:p>
    <w:p w:rsidR="00D658B0" w:rsidRPr="00D658B0" w:rsidRDefault="00D658B0" w:rsidP="00D658B0">
      <w:pPr>
        <w:spacing w:before="100" w:after="100"/>
        <w:rPr>
          <w:rFonts w:asciiTheme="minorHAnsi" w:eastAsiaTheme="minorHAnsi" w:hAnsiTheme="minorHAnsi" w:cstheme="minorHAnsi"/>
          <w:sz w:val="24"/>
          <w:szCs w:val="22"/>
          <w:lang w:eastAsia="en-US"/>
        </w:rPr>
      </w:pPr>
      <w:proofErr w:type="spellStart"/>
      <w:r w:rsidRPr="00D658B0">
        <w:rPr>
          <w:rFonts w:asciiTheme="minorHAnsi" w:eastAsiaTheme="minorHAnsi" w:hAnsiTheme="minorHAnsi" w:cstheme="minorHAnsi"/>
          <w:sz w:val="24"/>
          <w:szCs w:val="22"/>
          <w:lang w:eastAsia="en-US"/>
        </w:rPr>
        <w:t>Fernández</w:t>
      </w:r>
      <w:proofErr w:type="spellEnd"/>
      <w:r w:rsidRPr="00D658B0">
        <w:rPr>
          <w:rFonts w:asciiTheme="minorHAnsi" w:eastAsiaTheme="minorHAnsi" w:hAnsiTheme="minorHAnsi" w:cstheme="minorHAnsi"/>
          <w:sz w:val="24"/>
          <w:szCs w:val="22"/>
          <w:lang w:eastAsia="en-US"/>
        </w:rPr>
        <w:t xml:space="preserve"> </w:t>
      </w:r>
      <w:proofErr w:type="spellStart"/>
      <w:r w:rsidRPr="00D658B0">
        <w:rPr>
          <w:rFonts w:asciiTheme="minorHAnsi" w:eastAsiaTheme="minorHAnsi" w:hAnsiTheme="minorHAnsi" w:cstheme="minorHAnsi"/>
          <w:sz w:val="24"/>
          <w:szCs w:val="22"/>
          <w:lang w:eastAsia="en-US"/>
        </w:rPr>
        <w:t>Sánchez</w:t>
      </w:r>
      <w:proofErr w:type="spellEnd"/>
      <w:r w:rsidRPr="00D658B0">
        <w:rPr>
          <w:rFonts w:asciiTheme="minorHAnsi" w:eastAsiaTheme="minorHAnsi" w:hAnsiTheme="minorHAnsi" w:cstheme="minorHAnsi"/>
          <w:sz w:val="24"/>
          <w:szCs w:val="22"/>
          <w:lang w:eastAsia="en-US"/>
        </w:rPr>
        <w:t xml:space="preserve">, P., 2009. </w:t>
      </w:r>
      <w:r w:rsidRPr="00D658B0">
        <w:rPr>
          <w:rFonts w:asciiTheme="minorHAnsi" w:eastAsiaTheme="minorHAnsi" w:hAnsiTheme="minorHAnsi" w:cstheme="minorHAnsi"/>
          <w:i/>
          <w:iCs/>
          <w:sz w:val="24"/>
          <w:szCs w:val="22"/>
          <w:lang w:eastAsia="en-US"/>
        </w:rPr>
        <w:t>International legal dimension of terrorism</w:t>
      </w:r>
      <w:r w:rsidRPr="00D658B0">
        <w:rPr>
          <w:rFonts w:asciiTheme="minorHAnsi" w:eastAsiaTheme="minorHAnsi" w:hAnsiTheme="minorHAnsi" w:cstheme="minorHAnsi"/>
          <w:sz w:val="24"/>
          <w:szCs w:val="22"/>
          <w:lang w:eastAsia="en-US"/>
        </w:rPr>
        <w:t>. Leiden: Brill.</w:t>
      </w:r>
    </w:p>
    <w:p w:rsidR="00D658B0" w:rsidRDefault="00D658B0" w:rsidP="006239EB">
      <w:pPr>
        <w:rPr>
          <w:rFonts w:asciiTheme="minorHAnsi" w:hAnsiTheme="minorHAnsi" w:cstheme="minorHAnsi"/>
          <w:sz w:val="24"/>
        </w:rPr>
      </w:pPr>
    </w:p>
    <w:p w:rsidR="00326299" w:rsidRPr="006239EB" w:rsidRDefault="00326299" w:rsidP="00326299">
      <w:pPr>
        <w:rPr>
          <w:rFonts w:asciiTheme="minorHAnsi" w:hAnsiTheme="minorHAnsi" w:cstheme="minorHAnsi"/>
          <w:sz w:val="24"/>
        </w:rPr>
      </w:pPr>
      <w:r w:rsidRPr="006239EB">
        <w:rPr>
          <w:rFonts w:asciiTheme="minorHAnsi" w:hAnsiTheme="minorHAnsi" w:cstheme="minorHAnsi"/>
          <w:sz w:val="24"/>
        </w:rPr>
        <w:t>Gwent Police, 2021. Tasking and Co-ordination Policy. [</w:t>
      </w:r>
      <w:proofErr w:type="spellStart"/>
      <w:proofErr w:type="gramStart"/>
      <w:r w:rsidRPr="006239EB">
        <w:rPr>
          <w:rFonts w:asciiTheme="minorHAnsi" w:hAnsiTheme="minorHAnsi" w:cstheme="minorHAnsi"/>
          <w:sz w:val="24"/>
        </w:rPr>
        <w:t>ebook</w:t>
      </w:r>
      <w:proofErr w:type="spellEnd"/>
      <w:proofErr w:type="gramEnd"/>
      <w:r w:rsidRPr="006239EB">
        <w:rPr>
          <w:rFonts w:asciiTheme="minorHAnsi" w:hAnsiTheme="minorHAnsi" w:cstheme="minorHAnsi"/>
          <w:sz w:val="24"/>
        </w:rPr>
        <w:t>] Gwent Police. Available at: &lt;http://www.intelligenceanalysis.net/Legal%20-%20Gwent%20NIM%20policy.pdf&gt; [Accessed 1 July 2021].</w:t>
      </w:r>
    </w:p>
    <w:p w:rsidR="00326299" w:rsidRDefault="00326299" w:rsidP="006239EB">
      <w:pPr>
        <w:rPr>
          <w:rFonts w:asciiTheme="minorHAnsi" w:hAnsiTheme="minorHAnsi" w:cstheme="minorHAnsi"/>
          <w:sz w:val="24"/>
        </w:rPr>
      </w:pPr>
    </w:p>
    <w:p w:rsidR="00D658B0" w:rsidRPr="00D658B0" w:rsidRDefault="00D658B0" w:rsidP="00D658B0">
      <w:pPr>
        <w:rPr>
          <w:rFonts w:asciiTheme="minorHAnsi" w:hAnsiTheme="minorHAnsi" w:cstheme="minorHAnsi"/>
          <w:sz w:val="24"/>
          <w:szCs w:val="22"/>
        </w:rPr>
      </w:pPr>
      <w:r w:rsidRPr="00D658B0">
        <w:rPr>
          <w:rFonts w:asciiTheme="minorHAnsi" w:hAnsiTheme="minorHAnsi" w:cstheme="minorHAnsi"/>
          <w:sz w:val="24"/>
          <w:szCs w:val="22"/>
        </w:rPr>
        <w:t>James, A. (2003). The Advance of Intelligence-Led P</w:t>
      </w:r>
      <w:bookmarkStart w:id="0" w:name="_GoBack"/>
      <w:bookmarkEnd w:id="0"/>
      <w:r w:rsidRPr="00D658B0">
        <w:rPr>
          <w:rFonts w:asciiTheme="minorHAnsi" w:hAnsiTheme="minorHAnsi" w:cstheme="minorHAnsi"/>
          <w:sz w:val="24"/>
          <w:szCs w:val="22"/>
        </w:rPr>
        <w:t>olicing Strategies: The Emperor's New Clothes</w:t>
      </w:r>
      <w:proofErr w:type="gramStart"/>
      <w:r w:rsidRPr="00D658B0">
        <w:rPr>
          <w:rFonts w:asciiTheme="minorHAnsi" w:hAnsiTheme="minorHAnsi" w:cstheme="minorHAnsi"/>
          <w:sz w:val="24"/>
          <w:szCs w:val="22"/>
        </w:rPr>
        <w:t>?.</w:t>
      </w:r>
      <w:proofErr w:type="gramEnd"/>
      <w:r w:rsidRPr="00D658B0">
        <w:rPr>
          <w:rFonts w:asciiTheme="minorHAnsi" w:hAnsiTheme="minorHAnsi" w:cstheme="minorHAnsi"/>
          <w:sz w:val="24"/>
          <w:szCs w:val="22"/>
        </w:rPr>
        <w:t> </w:t>
      </w:r>
      <w:r w:rsidRPr="00D658B0">
        <w:rPr>
          <w:rFonts w:asciiTheme="minorHAnsi" w:hAnsiTheme="minorHAnsi" w:cstheme="minorHAnsi"/>
          <w:i/>
          <w:iCs/>
          <w:sz w:val="24"/>
          <w:szCs w:val="22"/>
        </w:rPr>
        <w:t>The Police Journal. Theory, Practice and Principles</w:t>
      </w:r>
      <w:r w:rsidRPr="00D658B0">
        <w:rPr>
          <w:rFonts w:asciiTheme="minorHAnsi" w:hAnsiTheme="minorHAnsi" w:cstheme="minorHAnsi"/>
          <w:sz w:val="24"/>
          <w:szCs w:val="22"/>
        </w:rPr>
        <w:t>. 76 (1)</w:t>
      </w:r>
    </w:p>
    <w:p w:rsidR="00D658B0" w:rsidRDefault="00D658B0" w:rsidP="006239EB">
      <w:pPr>
        <w:rPr>
          <w:rFonts w:asciiTheme="minorHAnsi" w:hAnsiTheme="minorHAnsi" w:cstheme="minorHAnsi"/>
          <w:sz w:val="24"/>
        </w:rPr>
      </w:pPr>
    </w:p>
    <w:p w:rsidR="00326299" w:rsidRDefault="00326299" w:rsidP="00326299">
      <w:pPr>
        <w:rPr>
          <w:rFonts w:asciiTheme="minorHAnsi" w:hAnsiTheme="minorHAnsi" w:cstheme="minorHAnsi"/>
          <w:sz w:val="24"/>
        </w:rPr>
      </w:pPr>
      <w:r w:rsidRPr="006239EB">
        <w:rPr>
          <w:rFonts w:asciiTheme="minorHAnsi" w:hAnsiTheme="minorHAnsi" w:cstheme="minorHAnsi"/>
          <w:sz w:val="24"/>
        </w:rPr>
        <w:t>Migration and Home Affairs - European Commission. 2021. Schengen Information System - Migration and Home Affairs - European Commission. [</w:t>
      </w:r>
      <w:proofErr w:type="gramStart"/>
      <w:r w:rsidRPr="006239EB">
        <w:rPr>
          <w:rFonts w:asciiTheme="minorHAnsi" w:hAnsiTheme="minorHAnsi" w:cstheme="minorHAnsi"/>
          <w:sz w:val="24"/>
        </w:rPr>
        <w:t>online</w:t>
      </w:r>
      <w:proofErr w:type="gramEnd"/>
      <w:r w:rsidRPr="006239EB">
        <w:rPr>
          <w:rFonts w:asciiTheme="minorHAnsi" w:hAnsiTheme="minorHAnsi" w:cstheme="minorHAnsi"/>
          <w:sz w:val="24"/>
        </w:rPr>
        <w:t>] Available at: &lt;https://ec.europa.eu/home-affairs/what-we-do/policies/borders-and-visas/schengen-information-system_en&gt; [Accessed 5 July 2021].</w:t>
      </w:r>
    </w:p>
    <w:p w:rsidR="00326299" w:rsidRPr="006239EB" w:rsidRDefault="00326299" w:rsidP="006239EB">
      <w:pPr>
        <w:rPr>
          <w:rFonts w:asciiTheme="minorHAnsi" w:hAnsiTheme="minorHAnsi" w:cstheme="minorHAnsi"/>
          <w:sz w:val="24"/>
        </w:rPr>
      </w:pPr>
    </w:p>
    <w:p w:rsidR="006239EB" w:rsidRPr="006239EB" w:rsidRDefault="006239EB" w:rsidP="006239EB">
      <w:pPr>
        <w:rPr>
          <w:rFonts w:asciiTheme="minorHAnsi" w:hAnsiTheme="minorHAnsi" w:cstheme="minorHAnsi"/>
          <w:sz w:val="24"/>
        </w:rPr>
      </w:pPr>
    </w:p>
    <w:p w:rsidR="006239EB" w:rsidRPr="006239EB" w:rsidRDefault="006239EB" w:rsidP="006239EB">
      <w:pPr>
        <w:rPr>
          <w:rFonts w:asciiTheme="minorHAnsi" w:hAnsiTheme="minorHAnsi" w:cstheme="minorHAnsi"/>
          <w:sz w:val="24"/>
        </w:rPr>
      </w:pPr>
      <w:r w:rsidRPr="006239EB">
        <w:rPr>
          <w:rFonts w:asciiTheme="minorHAnsi" w:hAnsiTheme="minorHAnsi" w:cstheme="minorHAnsi"/>
          <w:sz w:val="24"/>
        </w:rPr>
        <w:t>Nationalcrimeagency.gov.uk. 2021. Intelligence: enhancing the picture of serious organised crime affecting the UK. [</w:t>
      </w:r>
      <w:proofErr w:type="gramStart"/>
      <w:r w:rsidRPr="006239EB">
        <w:rPr>
          <w:rFonts w:asciiTheme="minorHAnsi" w:hAnsiTheme="minorHAnsi" w:cstheme="minorHAnsi"/>
          <w:sz w:val="24"/>
        </w:rPr>
        <w:t>online</w:t>
      </w:r>
      <w:proofErr w:type="gramEnd"/>
      <w:r w:rsidRPr="006239EB">
        <w:rPr>
          <w:rFonts w:asciiTheme="minorHAnsi" w:hAnsiTheme="minorHAnsi" w:cstheme="minorHAnsi"/>
          <w:sz w:val="24"/>
        </w:rPr>
        <w:t>] Available at: &lt;https://nationalcrimeagency.gov.uk/what-we-do/how-we-work/intelligence-enhancing-the-picture-of-serious-organised-crime-affecting-the-uk&gt; [Accessed 2 July 2021].</w:t>
      </w:r>
    </w:p>
    <w:p w:rsidR="006239EB" w:rsidRDefault="006239EB" w:rsidP="006239EB">
      <w:pPr>
        <w:rPr>
          <w:rFonts w:asciiTheme="minorHAnsi" w:hAnsiTheme="minorHAnsi" w:cstheme="minorHAnsi"/>
          <w:sz w:val="24"/>
        </w:rPr>
      </w:pPr>
    </w:p>
    <w:p w:rsidR="00D658B0" w:rsidRPr="00D658B0" w:rsidRDefault="00D658B0" w:rsidP="00D658B0">
      <w:pPr>
        <w:rPr>
          <w:rFonts w:asciiTheme="minorHAnsi" w:hAnsiTheme="minorHAnsi" w:cstheme="minorHAnsi"/>
          <w:sz w:val="24"/>
          <w:szCs w:val="22"/>
          <w:shd w:val="clear" w:color="auto" w:fill="FFFFFF"/>
        </w:rPr>
      </w:pPr>
      <w:proofErr w:type="spellStart"/>
      <w:r w:rsidRPr="00D658B0">
        <w:rPr>
          <w:rFonts w:asciiTheme="minorHAnsi" w:hAnsiTheme="minorHAnsi" w:cstheme="minorHAnsi"/>
          <w:sz w:val="24"/>
          <w:szCs w:val="22"/>
          <w:shd w:val="clear" w:color="auto" w:fill="FFFFFF"/>
        </w:rPr>
        <w:t>Ratcliffe</w:t>
      </w:r>
      <w:proofErr w:type="spellEnd"/>
      <w:r w:rsidRPr="00D658B0">
        <w:rPr>
          <w:rFonts w:asciiTheme="minorHAnsi" w:hAnsiTheme="minorHAnsi" w:cstheme="minorHAnsi"/>
          <w:sz w:val="24"/>
          <w:szCs w:val="22"/>
          <w:shd w:val="clear" w:color="auto" w:fill="FFFFFF"/>
        </w:rPr>
        <w:t>, J., 2016. </w:t>
      </w:r>
      <w:r w:rsidRPr="00D658B0">
        <w:rPr>
          <w:rFonts w:asciiTheme="minorHAnsi" w:hAnsiTheme="minorHAnsi" w:cstheme="minorHAnsi"/>
          <w:i/>
          <w:iCs/>
          <w:sz w:val="24"/>
          <w:szCs w:val="22"/>
          <w:shd w:val="clear" w:color="auto" w:fill="FFFFFF"/>
        </w:rPr>
        <w:t>Intelligence-Led Policing</w:t>
      </w:r>
      <w:r w:rsidRPr="00D658B0">
        <w:rPr>
          <w:rFonts w:asciiTheme="minorHAnsi" w:hAnsiTheme="minorHAnsi" w:cstheme="minorHAnsi"/>
          <w:sz w:val="24"/>
          <w:szCs w:val="22"/>
          <w:shd w:val="clear" w:color="auto" w:fill="FFFFFF"/>
        </w:rPr>
        <w:t>. Taylor &amp; Francis.</w:t>
      </w:r>
    </w:p>
    <w:p w:rsidR="00D658B0" w:rsidRPr="006239EB" w:rsidRDefault="00D658B0" w:rsidP="006239EB">
      <w:pPr>
        <w:rPr>
          <w:rFonts w:asciiTheme="minorHAnsi" w:hAnsiTheme="minorHAnsi" w:cstheme="minorHAnsi"/>
          <w:sz w:val="24"/>
        </w:rPr>
      </w:pPr>
    </w:p>
    <w:p w:rsidR="00326299" w:rsidRDefault="00326299" w:rsidP="006239EB">
      <w:pPr>
        <w:rPr>
          <w:rFonts w:asciiTheme="minorHAnsi" w:hAnsiTheme="minorHAnsi" w:cstheme="minorHAnsi"/>
          <w:sz w:val="24"/>
        </w:rPr>
      </w:pPr>
    </w:p>
    <w:p w:rsidR="00326299" w:rsidRPr="006239EB" w:rsidRDefault="00326299" w:rsidP="00326299">
      <w:pPr>
        <w:rPr>
          <w:rFonts w:asciiTheme="minorHAnsi" w:hAnsiTheme="minorHAnsi" w:cstheme="minorHAnsi"/>
          <w:sz w:val="24"/>
        </w:rPr>
      </w:pPr>
      <w:r w:rsidRPr="006239EB">
        <w:rPr>
          <w:rFonts w:asciiTheme="minorHAnsi" w:hAnsiTheme="minorHAnsi" w:cstheme="minorHAnsi"/>
          <w:sz w:val="24"/>
        </w:rPr>
        <w:t>UNODC, 2010. Criminal Intelligence Manual for Front-line Law Enforcement. [</w:t>
      </w:r>
      <w:proofErr w:type="spellStart"/>
      <w:proofErr w:type="gramStart"/>
      <w:r w:rsidRPr="006239EB">
        <w:rPr>
          <w:rFonts w:asciiTheme="minorHAnsi" w:hAnsiTheme="minorHAnsi" w:cstheme="minorHAnsi"/>
          <w:sz w:val="24"/>
        </w:rPr>
        <w:t>ebook</w:t>
      </w:r>
      <w:proofErr w:type="spellEnd"/>
      <w:proofErr w:type="gramEnd"/>
      <w:r w:rsidRPr="006239EB">
        <w:rPr>
          <w:rFonts w:asciiTheme="minorHAnsi" w:hAnsiTheme="minorHAnsi" w:cstheme="minorHAnsi"/>
          <w:sz w:val="24"/>
        </w:rPr>
        <w:t>] New York: United Nations. Available at: &lt;https://www.unodc.org/documents/organized-crime/Law-Enforcement/Criminal_Intelligence_for_Front_Line_Law_Enforcement.pdf&gt; [Accessed 1 July 2021].</w:t>
      </w:r>
    </w:p>
    <w:p w:rsidR="00326299" w:rsidRPr="0015032A" w:rsidRDefault="00326299" w:rsidP="006239EB">
      <w:pPr>
        <w:rPr>
          <w:rFonts w:asciiTheme="minorHAnsi" w:hAnsiTheme="minorHAnsi" w:cstheme="minorHAnsi"/>
          <w:sz w:val="24"/>
        </w:rPr>
      </w:pPr>
    </w:p>
    <w:sectPr w:rsidR="00326299" w:rsidRPr="001503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34428C"/>
    <w:multiLevelType w:val="multilevel"/>
    <w:tmpl w:val="510E1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9526F1B"/>
    <w:multiLevelType w:val="hybridMultilevel"/>
    <w:tmpl w:val="4104B98C"/>
    <w:lvl w:ilvl="0" w:tplc="BCE8CA90">
      <w:start w:val="1"/>
      <w:numFmt w:val="bullet"/>
      <w:lvlText w:val=""/>
      <w:lvlJc w:val="left"/>
      <w:pPr>
        <w:ind w:left="720" w:hanging="360"/>
      </w:pPr>
      <w:rPr>
        <w:rFonts w:ascii="Symbol" w:hAnsi="Symbol" w:hint="default"/>
      </w:rPr>
    </w:lvl>
    <w:lvl w:ilvl="1" w:tplc="98C44506">
      <w:start w:val="1"/>
      <w:numFmt w:val="bullet"/>
      <w:lvlText w:val="o"/>
      <w:lvlJc w:val="left"/>
      <w:pPr>
        <w:ind w:left="1440" w:hanging="360"/>
      </w:pPr>
      <w:rPr>
        <w:rFonts w:ascii="Courier New" w:hAnsi="Courier New" w:hint="default"/>
      </w:rPr>
    </w:lvl>
    <w:lvl w:ilvl="2" w:tplc="8A8A353E">
      <w:start w:val="1"/>
      <w:numFmt w:val="bullet"/>
      <w:lvlText w:val=""/>
      <w:lvlJc w:val="left"/>
      <w:pPr>
        <w:ind w:left="2160" w:hanging="360"/>
      </w:pPr>
      <w:rPr>
        <w:rFonts w:ascii="Wingdings" w:hAnsi="Wingdings" w:hint="default"/>
      </w:rPr>
    </w:lvl>
    <w:lvl w:ilvl="3" w:tplc="D2D48B14">
      <w:start w:val="1"/>
      <w:numFmt w:val="bullet"/>
      <w:lvlText w:val=""/>
      <w:lvlJc w:val="left"/>
      <w:pPr>
        <w:ind w:left="2880" w:hanging="360"/>
      </w:pPr>
      <w:rPr>
        <w:rFonts w:ascii="Symbol" w:hAnsi="Symbol" w:hint="default"/>
      </w:rPr>
    </w:lvl>
    <w:lvl w:ilvl="4" w:tplc="02CC9A06">
      <w:start w:val="1"/>
      <w:numFmt w:val="bullet"/>
      <w:lvlText w:val="o"/>
      <w:lvlJc w:val="left"/>
      <w:pPr>
        <w:ind w:left="3600" w:hanging="360"/>
      </w:pPr>
      <w:rPr>
        <w:rFonts w:ascii="Courier New" w:hAnsi="Courier New" w:hint="default"/>
      </w:rPr>
    </w:lvl>
    <w:lvl w:ilvl="5" w:tplc="693237EE">
      <w:start w:val="1"/>
      <w:numFmt w:val="bullet"/>
      <w:lvlText w:val=""/>
      <w:lvlJc w:val="left"/>
      <w:pPr>
        <w:ind w:left="4320" w:hanging="360"/>
      </w:pPr>
      <w:rPr>
        <w:rFonts w:ascii="Wingdings" w:hAnsi="Wingdings" w:hint="default"/>
      </w:rPr>
    </w:lvl>
    <w:lvl w:ilvl="6" w:tplc="EE6662C4">
      <w:start w:val="1"/>
      <w:numFmt w:val="bullet"/>
      <w:lvlText w:val=""/>
      <w:lvlJc w:val="left"/>
      <w:pPr>
        <w:ind w:left="5040" w:hanging="360"/>
      </w:pPr>
      <w:rPr>
        <w:rFonts w:ascii="Symbol" w:hAnsi="Symbol" w:hint="default"/>
      </w:rPr>
    </w:lvl>
    <w:lvl w:ilvl="7" w:tplc="7DBC18D2">
      <w:start w:val="1"/>
      <w:numFmt w:val="bullet"/>
      <w:lvlText w:val="o"/>
      <w:lvlJc w:val="left"/>
      <w:pPr>
        <w:ind w:left="5760" w:hanging="360"/>
      </w:pPr>
      <w:rPr>
        <w:rFonts w:ascii="Courier New" w:hAnsi="Courier New" w:hint="default"/>
      </w:rPr>
    </w:lvl>
    <w:lvl w:ilvl="8" w:tplc="94BE9FBC">
      <w:start w:val="1"/>
      <w:numFmt w:val="bullet"/>
      <w:lvlText w:val=""/>
      <w:lvlJc w:val="left"/>
      <w:pPr>
        <w:ind w:left="6480" w:hanging="360"/>
      </w:pPr>
      <w:rPr>
        <w:rFonts w:ascii="Wingdings" w:hAnsi="Wingdings" w:hint="default"/>
      </w:rPr>
    </w:lvl>
  </w:abstractNum>
  <w:abstractNum w:abstractNumId="2" w15:restartNumberingAfterBreak="0">
    <w:nsid w:val="6598333E"/>
    <w:multiLevelType w:val="multilevel"/>
    <w:tmpl w:val="311A2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62DE"/>
    <w:rsid w:val="0004048D"/>
    <w:rsid w:val="0015032A"/>
    <w:rsid w:val="002C641D"/>
    <w:rsid w:val="002D63FF"/>
    <w:rsid w:val="00326299"/>
    <w:rsid w:val="004403BC"/>
    <w:rsid w:val="00475779"/>
    <w:rsid w:val="005D4DAB"/>
    <w:rsid w:val="005D58CF"/>
    <w:rsid w:val="005E0BA1"/>
    <w:rsid w:val="006239EB"/>
    <w:rsid w:val="00631556"/>
    <w:rsid w:val="00703AA0"/>
    <w:rsid w:val="007519BB"/>
    <w:rsid w:val="00772697"/>
    <w:rsid w:val="00774993"/>
    <w:rsid w:val="00791056"/>
    <w:rsid w:val="007B1492"/>
    <w:rsid w:val="008856B9"/>
    <w:rsid w:val="0089766D"/>
    <w:rsid w:val="008C13B9"/>
    <w:rsid w:val="00B02B39"/>
    <w:rsid w:val="00B926F3"/>
    <w:rsid w:val="00BB1B6E"/>
    <w:rsid w:val="00C60FED"/>
    <w:rsid w:val="00D658B0"/>
    <w:rsid w:val="00E162DE"/>
    <w:rsid w:val="00E65182"/>
    <w:rsid w:val="00ED54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20A31"/>
  <w15:chartTrackingRefBased/>
  <w15:docId w15:val="{FF1CFA35-9CA7-440D-B4EC-65C92D568E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62DE"/>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03AA0"/>
    <w:pPr>
      <w:spacing w:before="100" w:beforeAutospacing="1" w:after="100" w:afterAutospacing="1"/>
    </w:pPr>
    <w:rPr>
      <w:sz w:val="24"/>
      <w:szCs w:val="24"/>
    </w:rPr>
  </w:style>
  <w:style w:type="character" w:customStyle="1" w:styleId="taxonomy-tooltip-element">
    <w:name w:val="taxonomy-tooltip-element"/>
    <w:basedOn w:val="DefaultParagraphFont"/>
    <w:rsid w:val="00703AA0"/>
  </w:style>
  <w:style w:type="character" w:styleId="Hyperlink">
    <w:name w:val="Hyperlink"/>
    <w:basedOn w:val="DefaultParagraphFont"/>
    <w:uiPriority w:val="99"/>
    <w:unhideWhenUsed/>
    <w:rsid w:val="0004048D"/>
    <w:rPr>
      <w:color w:val="0000FF"/>
      <w:u w:val="single"/>
    </w:rPr>
  </w:style>
  <w:style w:type="character" w:customStyle="1" w:styleId="nlmyear">
    <w:name w:val="nlm_year"/>
    <w:basedOn w:val="DefaultParagraphFont"/>
    <w:rsid w:val="0004048D"/>
  </w:style>
  <w:style w:type="character" w:customStyle="1" w:styleId="nlmarticle-title">
    <w:name w:val="nlm_article-title"/>
    <w:basedOn w:val="DefaultParagraphFont"/>
    <w:rsid w:val="0004048D"/>
  </w:style>
  <w:style w:type="character" w:customStyle="1" w:styleId="nlmpublisher-loc">
    <w:name w:val="nlm_publisher-loc"/>
    <w:basedOn w:val="DefaultParagraphFont"/>
    <w:rsid w:val="0004048D"/>
  </w:style>
  <w:style w:type="character" w:customStyle="1" w:styleId="nlmpublisher-name">
    <w:name w:val="nlm_publisher-name"/>
    <w:basedOn w:val="DefaultParagraphFont"/>
    <w:rsid w:val="0004048D"/>
  </w:style>
  <w:style w:type="character" w:customStyle="1" w:styleId="nlmetal">
    <w:name w:val="nlm_etal"/>
    <w:basedOn w:val="DefaultParagraphFont"/>
    <w:rsid w:val="0004048D"/>
  </w:style>
  <w:style w:type="character" w:customStyle="1" w:styleId="author">
    <w:name w:val="author"/>
    <w:basedOn w:val="DefaultParagraphFont"/>
    <w:rsid w:val="0004048D"/>
  </w:style>
  <w:style w:type="character" w:customStyle="1" w:styleId="pubyear">
    <w:name w:val="pubyear"/>
    <w:basedOn w:val="DefaultParagraphFont"/>
    <w:rsid w:val="0004048D"/>
  </w:style>
  <w:style w:type="character" w:customStyle="1" w:styleId="groupname">
    <w:name w:val="groupname"/>
    <w:basedOn w:val="DefaultParagraphFont"/>
    <w:rsid w:val="0004048D"/>
  </w:style>
  <w:style w:type="character" w:customStyle="1" w:styleId="booktitle">
    <w:name w:val="booktitle"/>
    <w:basedOn w:val="DefaultParagraphFont"/>
    <w:rsid w:val="0004048D"/>
  </w:style>
  <w:style w:type="character" w:customStyle="1" w:styleId="publisherlocation">
    <w:name w:val="publisherlocation"/>
    <w:basedOn w:val="DefaultParagraphFont"/>
    <w:rsid w:val="0004048D"/>
  </w:style>
  <w:style w:type="character" w:customStyle="1" w:styleId="articletitle">
    <w:name w:val="articletitle"/>
    <w:basedOn w:val="DefaultParagraphFont"/>
    <w:rsid w:val="0004048D"/>
  </w:style>
  <w:style w:type="character" w:customStyle="1" w:styleId="vol">
    <w:name w:val="vol"/>
    <w:basedOn w:val="DefaultParagraphFont"/>
    <w:rsid w:val="0004048D"/>
  </w:style>
  <w:style w:type="character" w:customStyle="1" w:styleId="citedissue">
    <w:name w:val="citedissue"/>
    <w:basedOn w:val="DefaultParagraphFont"/>
    <w:rsid w:val="0004048D"/>
  </w:style>
  <w:style w:type="character" w:customStyle="1" w:styleId="pagefirst">
    <w:name w:val="pagefirst"/>
    <w:basedOn w:val="DefaultParagraphFont"/>
    <w:rsid w:val="0004048D"/>
  </w:style>
  <w:style w:type="character" w:customStyle="1" w:styleId="pagelast">
    <w:name w:val="pagelast"/>
    <w:basedOn w:val="DefaultParagraphFont"/>
    <w:rsid w:val="0004048D"/>
  </w:style>
  <w:style w:type="character" w:customStyle="1" w:styleId="authors">
    <w:name w:val="authors"/>
    <w:basedOn w:val="DefaultParagraphFont"/>
    <w:rsid w:val="0004048D"/>
  </w:style>
  <w:style w:type="character" w:customStyle="1" w:styleId="date">
    <w:name w:val="date"/>
    <w:basedOn w:val="DefaultParagraphFont"/>
    <w:rsid w:val="0004048D"/>
  </w:style>
  <w:style w:type="character" w:customStyle="1" w:styleId="arttitle">
    <w:name w:val="art_title"/>
    <w:basedOn w:val="DefaultParagraphFont"/>
    <w:rsid w:val="0004048D"/>
  </w:style>
  <w:style w:type="character" w:customStyle="1" w:styleId="serialtitle">
    <w:name w:val="serial_title"/>
    <w:basedOn w:val="DefaultParagraphFont"/>
    <w:rsid w:val="000404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1466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466/pms.2003.96.1.5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justice.gov.uk/downloads/offenders/mappa/mappa-guidance-2012-part1.pdf" TargetMode="External"/><Relationship Id="rId12" Type="http://schemas.openxmlformats.org/officeDocument/2006/relationships/hyperlink" Target="https://www.emerald.com/insight/content/doi/10.1108/JWAM-01-2020-0001/full/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justice.gov.uk/downloads/offenders/mappa/mappa-guidance-2012-part1.pdf" TargetMode="External"/><Relationship Id="rId11" Type="http://schemas.openxmlformats.org/officeDocument/2006/relationships/hyperlink" Target="https://www.ons.gov.uk/businessindustryandtrade/itandinternetindustry/bulletins/internetusers/2019" TargetMode="External"/><Relationship Id="rId5" Type="http://schemas.openxmlformats.org/officeDocument/2006/relationships/hyperlink" Target="http://www.college.police.uk/News/College-news/Documents/Demand%20Report%2023_1_15_noBleed.pdf" TargetMode="External"/><Relationship Id="rId10" Type="http://schemas.openxmlformats.org/officeDocument/2006/relationships/hyperlink" Target="http://www.fas.org/sgp/crs/misc/R42547.pdf" TargetMode="External"/><Relationship Id="rId4" Type="http://schemas.openxmlformats.org/officeDocument/2006/relationships/webSettings" Target="webSettings.xml"/><Relationship Id="rId9" Type="http://schemas.openxmlformats.org/officeDocument/2006/relationships/hyperlink" Target="http://eurlex.europa.eu/LexUriServ/LexUriServ.do?uri=COM:2007:0267:FIN:EN: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6140</Words>
  <Characters>34999</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41057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Scannell,Sian swp6485</dc:creator>
  <cp:keywords/>
  <dc:description/>
  <cp:lastModifiedBy>Scannell,Sian swp6485</cp:lastModifiedBy>
  <cp:revision>2</cp:revision>
  <dcterms:created xsi:type="dcterms:W3CDTF">2021-07-05T15:16:00Z</dcterms:created>
  <dcterms:modified xsi:type="dcterms:W3CDTF">2021-07-05T15:16:00Z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60cf2686-c440-4bf9-9198-b3218f48a9f4</vt:lpwstr>
  </property>
</Properties>
</file>