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theme/themeOverride1.xml" ContentType="application/vnd.openxmlformats-officedocument.themeOverride+xml"/>
  <Override PartName="/word/charts/chart2.xml" ContentType="application/vnd.openxmlformats-officedocument.drawingml.chart+xml"/>
  <Override PartName="/word/theme/themeOverride2.xml" ContentType="application/vnd.openxmlformats-officedocument.themeOverride+xml"/>
  <Override PartName="/word/charts/chart3.xml" ContentType="application/vnd.openxmlformats-officedocument.drawingml.chart+xml"/>
  <Override PartName="/word/theme/themeOverride3.xml" ContentType="application/vnd.openxmlformats-officedocument.themeOverride+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0A3750" w:rsidRDefault="000A3750" w:rsidP="0096401D">
      <w:pPr>
        <w:jc w:val="center"/>
        <w:rPr>
          <w:rFonts w:cs="Times New Roman"/>
          <w:b/>
          <w:sz w:val="40"/>
          <w:szCs w:val="32"/>
        </w:rPr>
      </w:pPr>
    </w:p>
    <w:p w:rsidR="0096401D" w:rsidRPr="0096401D" w:rsidRDefault="0096401D" w:rsidP="0096401D">
      <w:pPr>
        <w:jc w:val="center"/>
        <w:rPr>
          <w:rFonts w:cs="Times New Roman"/>
          <w:b/>
          <w:sz w:val="40"/>
          <w:szCs w:val="32"/>
        </w:rPr>
      </w:pPr>
      <w:r w:rsidRPr="0096401D">
        <w:rPr>
          <w:rFonts w:cs="Times New Roman"/>
          <w:b/>
          <w:sz w:val="40"/>
          <w:szCs w:val="32"/>
        </w:rPr>
        <w:t>BA SOTAH – International Hotel Management</w:t>
      </w:r>
    </w:p>
    <w:p w:rsidR="00CB2D35" w:rsidRDefault="0096401D" w:rsidP="0096401D">
      <w:pPr>
        <w:jc w:val="center"/>
        <w:rPr>
          <w:rFonts w:cs="Times New Roman"/>
          <w:b/>
          <w:sz w:val="40"/>
          <w:szCs w:val="32"/>
        </w:rPr>
      </w:pPr>
      <w:r w:rsidRPr="0096401D">
        <w:rPr>
          <w:rFonts w:cs="Times New Roman"/>
          <w:b/>
          <w:sz w:val="40"/>
          <w:szCs w:val="32"/>
        </w:rPr>
        <w:t>Financial Management for the Hotel Industry</w:t>
      </w:r>
    </w:p>
    <w:p w:rsidR="003C4E25" w:rsidRDefault="00CB2D35">
      <w:pPr>
        <w:spacing w:line="276" w:lineRule="auto"/>
        <w:jc w:val="left"/>
        <w:rPr>
          <w:rFonts w:cs="Times New Roman"/>
          <w:b/>
          <w:sz w:val="40"/>
          <w:szCs w:val="32"/>
        </w:rPr>
        <w:sectPr w:rsidR="003C4E25">
          <w:footerReference w:type="default" r:id="rId8"/>
          <w:pgSz w:w="12240" w:h="15840"/>
          <w:pgMar w:top="1440" w:right="1440" w:bottom="1440" w:left="1440" w:header="720" w:footer="720" w:gutter="0"/>
          <w:cols w:space="720"/>
          <w:docGrid w:linePitch="360"/>
        </w:sectPr>
      </w:pPr>
      <w:r>
        <w:rPr>
          <w:rFonts w:cs="Times New Roman"/>
          <w:b/>
          <w:sz w:val="40"/>
          <w:szCs w:val="32"/>
        </w:rPr>
        <w:br w:type="page"/>
      </w:r>
    </w:p>
    <w:sdt>
      <w:sdtPr>
        <w:rPr>
          <w:rFonts w:ascii="Times New Roman" w:eastAsiaTheme="minorHAnsi" w:hAnsi="Times New Roman" w:cstheme="minorBidi"/>
          <w:color w:val="auto"/>
          <w:sz w:val="24"/>
          <w:szCs w:val="22"/>
        </w:rPr>
        <w:id w:val="-1959248718"/>
        <w:docPartObj>
          <w:docPartGallery w:val="Table of Contents"/>
          <w:docPartUnique/>
        </w:docPartObj>
      </w:sdtPr>
      <w:sdtEndPr>
        <w:rPr>
          <w:b/>
          <w:bCs/>
          <w:noProof/>
        </w:rPr>
      </w:sdtEndPr>
      <w:sdtContent>
        <w:p w:rsidR="003C4E25" w:rsidRDefault="003C4E25" w:rsidP="003C4E25">
          <w:pPr>
            <w:pStyle w:val="TOCHeading"/>
            <w:jc w:val="center"/>
          </w:pPr>
          <w:r>
            <w:t>Table of Contents</w:t>
          </w:r>
        </w:p>
        <w:p w:rsidR="003C4E25" w:rsidRDefault="003C4E25">
          <w:pPr>
            <w:pStyle w:val="TOC1"/>
            <w:tabs>
              <w:tab w:val="right" w:leader="dot" w:pos="9350"/>
            </w:tabs>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95051845" w:history="1">
            <w:r w:rsidRPr="001531E7">
              <w:rPr>
                <w:rStyle w:val="Hyperlink"/>
                <w:noProof/>
              </w:rPr>
              <w:t>Introduction</w:t>
            </w:r>
            <w:r>
              <w:rPr>
                <w:noProof/>
                <w:webHidden/>
              </w:rPr>
              <w:tab/>
            </w:r>
            <w:r>
              <w:rPr>
                <w:noProof/>
                <w:webHidden/>
              </w:rPr>
              <w:fldChar w:fldCharType="begin"/>
            </w:r>
            <w:r>
              <w:rPr>
                <w:noProof/>
                <w:webHidden/>
              </w:rPr>
              <w:instrText xml:space="preserve"> PAGEREF _Toc95051845 \h </w:instrText>
            </w:r>
            <w:r>
              <w:rPr>
                <w:noProof/>
                <w:webHidden/>
              </w:rPr>
            </w:r>
            <w:r>
              <w:rPr>
                <w:noProof/>
                <w:webHidden/>
              </w:rPr>
              <w:fldChar w:fldCharType="separate"/>
            </w:r>
            <w:r>
              <w:rPr>
                <w:noProof/>
                <w:webHidden/>
              </w:rPr>
              <w:t>2</w:t>
            </w:r>
            <w:r>
              <w:rPr>
                <w:noProof/>
                <w:webHidden/>
              </w:rPr>
              <w:fldChar w:fldCharType="end"/>
            </w:r>
          </w:hyperlink>
        </w:p>
        <w:p w:rsidR="003C4E25" w:rsidRDefault="0097704F">
          <w:pPr>
            <w:pStyle w:val="TOC1"/>
            <w:tabs>
              <w:tab w:val="right" w:leader="dot" w:pos="9350"/>
            </w:tabs>
            <w:rPr>
              <w:rFonts w:asciiTheme="minorHAnsi" w:eastAsiaTheme="minorEastAsia" w:hAnsiTheme="minorHAnsi"/>
              <w:noProof/>
              <w:sz w:val="22"/>
              <w:lang w:val="en-GB" w:eastAsia="en-GB"/>
            </w:rPr>
          </w:pPr>
          <w:hyperlink w:anchor="_Toc95051846" w:history="1">
            <w:r w:rsidR="003C4E25" w:rsidRPr="001531E7">
              <w:rPr>
                <w:rStyle w:val="Hyperlink"/>
                <w:noProof/>
              </w:rPr>
              <w:t>A) Ratio Analysis of Jurys Inn</w:t>
            </w:r>
            <w:r w:rsidR="003C4E25">
              <w:rPr>
                <w:noProof/>
                <w:webHidden/>
              </w:rPr>
              <w:tab/>
            </w:r>
            <w:r w:rsidR="003C4E25">
              <w:rPr>
                <w:noProof/>
                <w:webHidden/>
              </w:rPr>
              <w:fldChar w:fldCharType="begin"/>
            </w:r>
            <w:r w:rsidR="003C4E25">
              <w:rPr>
                <w:noProof/>
                <w:webHidden/>
              </w:rPr>
              <w:instrText xml:space="preserve"> PAGEREF _Toc95051846 \h </w:instrText>
            </w:r>
            <w:r w:rsidR="003C4E25">
              <w:rPr>
                <w:noProof/>
                <w:webHidden/>
              </w:rPr>
            </w:r>
            <w:r w:rsidR="003C4E25">
              <w:rPr>
                <w:noProof/>
                <w:webHidden/>
              </w:rPr>
              <w:fldChar w:fldCharType="separate"/>
            </w:r>
            <w:r w:rsidR="003C4E25">
              <w:rPr>
                <w:noProof/>
                <w:webHidden/>
              </w:rPr>
              <w:t>3</w:t>
            </w:r>
            <w:r w:rsidR="003C4E25">
              <w:rPr>
                <w:noProof/>
                <w:webHidden/>
              </w:rPr>
              <w:fldChar w:fldCharType="end"/>
            </w:r>
          </w:hyperlink>
        </w:p>
        <w:p w:rsidR="003C4E25" w:rsidRDefault="0097704F">
          <w:pPr>
            <w:pStyle w:val="TOC2"/>
            <w:tabs>
              <w:tab w:val="right" w:leader="dot" w:pos="9350"/>
            </w:tabs>
            <w:rPr>
              <w:rFonts w:asciiTheme="minorHAnsi" w:eastAsiaTheme="minorEastAsia" w:hAnsiTheme="minorHAnsi"/>
              <w:noProof/>
              <w:sz w:val="22"/>
              <w:lang w:val="en-GB" w:eastAsia="en-GB"/>
            </w:rPr>
          </w:pPr>
          <w:hyperlink w:anchor="_Toc95051847" w:history="1">
            <w:r w:rsidR="003C4E25" w:rsidRPr="001531E7">
              <w:rPr>
                <w:rStyle w:val="Hyperlink"/>
                <w:noProof/>
              </w:rPr>
              <w:t>Profitability Ratios</w:t>
            </w:r>
            <w:r w:rsidR="003C4E25">
              <w:rPr>
                <w:noProof/>
                <w:webHidden/>
              </w:rPr>
              <w:tab/>
            </w:r>
            <w:r w:rsidR="003C4E25">
              <w:rPr>
                <w:noProof/>
                <w:webHidden/>
              </w:rPr>
              <w:fldChar w:fldCharType="begin"/>
            </w:r>
            <w:r w:rsidR="003C4E25">
              <w:rPr>
                <w:noProof/>
                <w:webHidden/>
              </w:rPr>
              <w:instrText xml:space="preserve"> PAGEREF _Toc95051847 \h </w:instrText>
            </w:r>
            <w:r w:rsidR="003C4E25">
              <w:rPr>
                <w:noProof/>
                <w:webHidden/>
              </w:rPr>
            </w:r>
            <w:r w:rsidR="003C4E25">
              <w:rPr>
                <w:noProof/>
                <w:webHidden/>
              </w:rPr>
              <w:fldChar w:fldCharType="separate"/>
            </w:r>
            <w:r w:rsidR="003C4E25">
              <w:rPr>
                <w:noProof/>
                <w:webHidden/>
              </w:rPr>
              <w:t>3</w:t>
            </w:r>
            <w:r w:rsidR="003C4E25">
              <w:rPr>
                <w:noProof/>
                <w:webHidden/>
              </w:rPr>
              <w:fldChar w:fldCharType="end"/>
            </w:r>
          </w:hyperlink>
        </w:p>
        <w:p w:rsidR="003C4E25" w:rsidRDefault="0097704F">
          <w:pPr>
            <w:pStyle w:val="TOC2"/>
            <w:tabs>
              <w:tab w:val="right" w:leader="dot" w:pos="9350"/>
            </w:tabs>
            <w:rPr>
              <w:rFonts w:asciiTheme="minorHAnsi" w:eastAsiaTheme="minorEastAsia" w:hAnsiTheme="minorHAnsi"/>
              <w:noProof/>
              <w:sz w:val="22"/>
              <w:lang w:val="en-GB" w:eastAsia="en-GB"/>
            </w:rPr>
          </w:pPr>
          <w:hyperlink w:anchor="_Toc95051848" w:history="1">
            <w:r w:rsidR="003C4E25" w:rsidRPr="001531E7">
              <w:rPr>
                <w:rStyle w:val="Hyperlink"/>
                <w:noProof/>
              </w:rPr>
              <w:t>Liquidity Ratios</w:t>
            </w:r>
            <w:r w:rsidR="003C4E25">
              <w:rPr>
                <w:noProof/>
                <w:webHidden/>
              </w:rPr>
              <w:tab/>
            </w:r>
            <w:r w:rsidR="003C4E25">
              <w:rPr>
                <w:noProof/>
                <w:webHidden/>
              </w:rPr>
              <w:fldChar w:fldCharType="begin"/>
            </w:r>
            <w:r w:rsidR="003C4E25">
              <w:rPr>
                <w:noProof/>
                <w:webHidden/>
              </w:rPr>
              <w:instrText xml:space="preserve"> PAGEREF _Toc95051848 \h </w:instrText>
            </w:r>
            <w:r w:rsidR="003C4E25">
              <w:rPr>
                <w:noProof/>
                <w:webHidden/>
              </w:rPr>
            </w:r>
            <w:r w:rsidR="003C4E25">
              <w:rPr>
                <w:noProof/>
                <w:webHidden/>
              </w:rPr>
              <w:fldChar w:fldCharType="separate"/>
            </w:r>
            <w:r w:rsidR="003C4E25">
              <w:rPr>
                <w:noProof/>
                <w:webHidden/>
              </w:rPr>
              <w:t>5</w:t>
            </w:r>
            <w:r w:rsidR="003C4E25">
              <w:rPr>
                <w:noProof/>
                <w:webHidden/>
              </w:rPr>
              <w:fldChar w:fldCharType="end"/>
            </w:r>
          </w:hyperlink>
        </w:p>
        <w:p w:rsidR="003C4E25" w:rsidRDefault="0097704F">
          <w:pPr>
            <w:pStyle w:val="TOC2"/>
            <w:tabs>
              <w:tab w:val="right" w:leader="dot" w:pos="9350"/>
            </w:tabs>
            <w:rPr>
              <w:rFonts w:asciiTheme="minorHAnsi" w:eastAsiaTheme="minorEastAsia" w:hAnsiTheme="minorHAnsi"/>
              <w:noProof/>
              <w:sz w:val="22"/>
              <w:lang w:val="en-GB" w:eastAsia="en-GB"/>
            </w:rPr>
          </w:pPr>
          <w:hyperlink w:anchor="_Toc95051849" w:history="1">
            <w:r w:rsidR="003C4E25" w:rsidRPr="001531E7">
              <w:rPr>
                <w:rStyle w:val="Hyperlink"/>
                <w:noProof/>
              </w:rPr>
              <w:t>Gearing Ratios</w:t>
            </w:r>
            <w:r w:rsidR="003C4E25">
              <w:rPr>
                <w:noProof/>
                <w:webHidden/>
              </w:rPr>
              <w:tab/>
            </w:r>
            <w:r w:rsidR="003C4E25">
              <w:rPr>
                <w:noProof/>
                <w:webHidden/>
              </w:rPr>
              <w:fldChar w:fldCharType="begin"/>
            </w:r>
            <w:r w:rsidR="003C4E25">
              <w:rPr>
                <w:noProof/>
                <w:webHidden/>
              </w:rPr>
              <w:instrText xml:space="preserve"> PAGEREF _Toc95051849 \h </w:instrText>
            </w:r>
            <w:r w:rsidR="003C4E25">
              <w:rPr>
                <w:noProof/>
                <w:webHidden/>
              </w:rPr>
            </w:r>
            <w:r w:rsidR="003C4E25">
              <w:rPr>
                <w:noProof/>
                <w:webHidden/>
              </w:rPr>
              <w:fldChar w:fldCharType="separate"/>
            </w:r>
            <w:r w:rsidR="003C4E25">
              <w:rPr>
                <w:noProof/>
                <w:webHidden/>
              </w:rPr>
              <w:t>7</w:t>
            </w:r>
            <w:r w:rsidR="003C4E25">
              <w:rPr>
                <w:noProof/>
                <w:webHidden/>
              </w:rPr>
              <w:fldChar w:fldCharType="end"/>
            </w:r>
          </w:hyperlink>
        </w:p>
        <w:p w:rsidR="003C4E25" w:rsidRDefault="0097704F">
          <w:pPr>
            <w:pStyle w:val="TOC1"/>
            <w:tabs>
              <w:tab w:val="right" w:leader="dot" w:pos="9350"/>
            </w:tabs>
            <w:rPr>
              <w:rFonts w:asciiTheme="minorHAnsi" w:eastAsiaTheme="minorEastAsia" w:hAnsiTheme="minorHAnsi"/>
              <w:noProof/>
              <w:sz w:val="22"/>
              <w:lang w:val="en-GB" w:eastAsia="en-GB"/>
            </w:rPr>
          </w:pPr>
          <w:hyperlink w:anchor="_Toc95051850" w:history="1">
            <w:r w:rsidR="003C4E25" w:rsidRPr="001531E7">
              <w:rPr>
                <w:rStyle w:val="Hyperlink"/>
                <w:noProof/>
              </w:rPr>
              <w:t>B) Importance of Ratio Analysis in the Hospitality Sector:</w:t>
            </w:r>
            <w:r w:rsidR="003C4E25">
              <w:rPr>
                <w:noProof/>
                <w:webHidden/>
              </w:rPr>
              <w:tab/>
            </w:r>
            <w:r w:rsidR="003C4E25">
              <w:rPr>
                <w:noProof/>
                <w:webHidden/>
              </w:rPr>
              <w:fldChar w:fldCharType="begin"/>
            </w:r>
            <w:r w:rsidR="003C4E25">
              <w:rPr>
                <w:noProof/>
                <w:webHidden/>
              </w:rPr>
              <w:instrText xml:space="preserve"> PAGEREF _Toc95051850 \h </w:instrText>
            </w:r>
            <w:r w:rsidR="003C4E25">
              <w:rPr>
                <w:noProof/>
                <w:webHidden/>
              </w:rPr>
            </w:r>
            <w:r w:rsidR="003C4E25">
              <w:rPr>
                <w:noProof/>
                <w:webHidden/>
              </w:rPr>
              <w:fldChar w:fldCharType="separate"/>
            </w:r>
            <w:r w:rsidR="003C4E25">
              <w:rPr>
                <w:noProof/>
                <w:webHidden/>
              </w:rPr>
              <w:t>8</w:t>
            </w:r>
            <w:r w:rsidR="003C4E25">
              <w:rPr>
                <w:noProof/>
                <w:webHidden/>
              </w:rPr>
              <w:fldChar w:fldCharType="end"/>
            </w:r>
          </w:hyperlink>
        </w:p>
        <w:p w:rsidR="003C4E25" w:rsidRDefault="0097704F">
          <w:pPr>
            <w:pStyle w:val="TOC1"/>
            <w:tabs>
              <w:tab w:val="right" w:leader="dot" w:pos="9350"/>
            </w:tabs>
            <w:rPr>
              <w:rFonts w:asciiTheme="minorHAnsi" w:eastAsiaTheme="minorEastAsia" w:hAnsiTheme="minorHAnsi"/>
              <w:noProof/>
              <w:sz w:val="22"/>
              <w:lang w:val="en-GB" w:eastAsia="en-GB"/>
            </w:rPr>
          </w:pPr>
          <w:hyperlink w:anchor="_Toc95051851" w:history="1">
            <w:r w:rsidR="003C4E25" w:rsidRPr="001531E7">
              <w:rPr>
                <w:rStyle w:val="Hyperlink"/>
                <w:noProof/>
              </w:rPr>
              <w:t>C) Benefits and Limitations of Ratio Analysis:</w:t>
            </w:r>
            <w:r w:rsidR="003C4E25">
              <w:rPr>
                <w:noProof/>
                <w:webHidden/>
              </w:rPr>
              <w:tab/>
            </w:r>
            <w:r w:rsidR="003C4E25">
              <w:rPr>
                <w:noProof/>
                <w:webHidden/>
              </w:rPr>
              <w:fldChar w:fldCharType="begin"/>
            </w:r>
            <w:r w:rsidR="003C4E25">
              <w:rPr>
                <w:noProof/>
                <w:webHidden/>
              </w:rPr>
              <w:instrText xml:space="preserve"> PAGEREF _Toc95051851 \h </w:instrText>
            </w:r>
            <w:r w:rsidR="003C4E25">
              <w:rPr>
                <w:noProof/>
                <w:webHidden/>
              </w:rPr>
            </w:r>
            <w:r w:rsidR="003C4E25">
              <w:rPr>
                <w:noProof/>
                <w:webHidden/>
              </w:rPr>
              <w:fldChar w:fldCharType="separate"/>
            </w:r>
            <w:r w:rsidR="003C4E25">
              <w:rPr>
                <w:noProof/>
                <w:webHidden/>
              </w:rPr>
              <w:t>10</w:t>
            </w:r>
            <w:r w:rsidR="003C4E25">
              <w:rPr>
                <w:noProof/>
                <w:webHidden/>
              </w:rPr>
              <w:fldChar w:fldCharType="end"/>
            </w:r>
          </w:hyperlink>
        </w:p>
        <w:p w:rsidR="003C4E25" w:rsidRDefault="0097704F">
          <w:pPr>
            <w:pStyle w:val="TOC1"/>
            <w:tabs>
              <w:tab w:val="right" w:leader="dot" w:pos="9350"/>
            </w:tabs>
            <w:rPr>
              <w:rFonts w:asciiTheme="minorHAnsi" w:eastAsiaTheme="minorEastAsia" w:hAnsiTheme="minorHAnsi"/>
              <w:noProof/>
              <w:sz w:val="22"/>
              <w:lang w:val="en-GB" w:eastAsia="en-GB"/>
            </w:rPr>
          </w:pPr>
          <w:hyperlink w:anchor="_Toc95051852" w:history="1">
            <w:r w:rsidR="003C4E25" w:rsidRPr="001531E7">
              <w:rPr>
                <w:rStyle w:val="Hyperlink"/>
                <w:noProof/>
              </w:rPr>
              <w:t>Conclusion</w:t>
            </w:r>
            <w:r w:rsidR="003C4E25">
              <w:rPr>
                <w:noProof/>
                <w:webHidden/>
              </w:rPr>
              <w:tab/>
            </w:r>
            <w:r w:rsidR="003C4E25">
              <w:rPr>
                <w:noProof/>
                <w:webHidden/>
              </w:rPr>
              <w:fldChar w:fldCharType="begin"/>
            </w:r>
            <w:r w:rsidR="003C4E25">
              <w:rPr>
                <w:noProof/>
                <w:webHidden/>
              </w:rPr>
              <w:instrText xml:space="preserve"> PAGEREF _Toc95051852 \h </w:instrText>
            </w:r>
            <w:r w:rsidR="003C4E25">
              <w:rPr>
                <w:noProof/>
                <w:webHidden/>
              </w:rPr>
            </w:r>
            <w:r w:rsidR="003C4E25">
              <w:rPr>
                <w:noProof/>
                <w:webHidden/>
              </w:rPr>
              <w:fldChar w:fldCharType="separate"/>
            </w:r>
            <w:r w:rsidR="003C4E25">
              <w:rPr>
                <w:noProof/>
                <w:webHidden/>
              </w:rPr>
              <w:t>11</w:t>
            </w:r>
            <w:r w:rsidR="003C4E25">
              <w:rPr>
                <w:noProof/>
                <w:webHidden/>
              </w:rPr>
              <w:fldChar w:fldCharType="end"/>
            </w:r>
          </w:hyperlink>
        </w:p>
        <w:p w:rsidR="003C4E25" w:rsidRDefault="0097704F">
          <w:pPr>
            <w:pStyle w:val="TOC1"/>
            <w:tabs>
              <w:tab w:val="right" w:leader="dot" w:pos="9350"/>
            </w:tabs>
            <w:rPr>
              <w:rFonts w:asciiTheme="minorHAnsi" w:eastAsiaTheme="minorEastAsia" w:hAnsiTheme="minorHAnsi"/>
              <w:noProof/>
              <w:sz w:val="22"/>
              <w:lang w:val="en-GB" w:eastAsia="en-GB"/>
            </w:rPr>
          </w:pPr>
          <w:hyperlink w:anchor="_Toc95051853" w:history="1">
            <w:r w:rsidR="003C4E25" w:rsidRPr="001531E7">
              <w:rPr>
                <w:rStyle w:val="Hyperlink"/>
                <w:noProof/>
              </w:rPr>
              <w:t>References</w:t>
            </w:r>
            <w:r w:rsidR="003C4E25">
              <w:rPr>
                <w:noProof/>
                <w:webHidden/>
              </w:rPr>
              <w:tab/>
            </w:r>
            <w:r w:rsidR="003C4E25">
              <w:rPr>
                <w:noProof/>
                <w:webHidden/>
              </w:rPr>
              <w:fldChar w:fldCharType="begin"/>
            </w:r>
            <w:r w:rsidR="003C4E25">
              <w:rPr>
                <w:noProof/>
                <w:webHidden/>
              </w:rPr>
              <w:instrText xml:space="preserve"> PAGEREF _Toc95051853 \h </w:instrText>
            </w:r>
            <w:r w:rsidR="003C4E25">
              <w:rPr>
                <w:noProof/>
                <w:webHidden/>
              </w:rPr>
            </w:r>
            <w:r w:rsidR="003C4E25">
              <w:rPr>
                <w:noProof/>
                <w:webHidden/>
              </w:rPr>
              <w:fldChar w:fldCharType="separate"/>
            </w:r>
            <w:r w:rsidR="003C4E25">
              <w:rPr>
                <w:noProof/>
                <w:webHidden/>
              </w:rPr>
              <w:t>12</w:t>
            </w:r>
            <w:r w:rsidR="003C4E25">
              <w:rPr>
                <w:noProof/>
                <w:webHidden/>
              </w:rPr>
              <w:fldChar w:fldCharType="end"/>
            </w:r>
          </w:hyperlink>
        </w:p>
        <w:p w:rsidR="003C4E25" w:rsidRDefault="003C4E25">
          <w:r>
            <w:rPr>
              <w:b/>
              <w:bCs/>
              <w:noProof/>
            </w:rPr>
            <w:fldChar w:fldCharType="end"/>
          </w:r>
        </w:p>
      </w:sdtContent>
    </w:sdt>
    <w:p w:rsidR="00CB2D35" w:rsidRDefault="00CB2D35"/>
    <w:p w:rsidR="0096401D" w:rsidRPr="0096401D" w:rsidRDefault="0096401D" w:rsidP="00CB2D35">
      <w:pPr>
        <w:rPr>
          <w:rFonts w:cs="Times New Roman"/>
          <w:b/>
          <w:szCs w:val="24"/>
        </w:rPr>
      </w:pPr>
      <w:r w:rsidRPr="0096401D">
        <w:rPr>
          <w:rFonts w:cs="Times New Roman"/>
          <w:b/>
          <w:szCs w:val="24"/>
        </w:rPr>
        <w:br w:type="page"/>
      </w:r>
    </w:p>
    <w:p w:rsidR="0096401D" w:rsidRDefault="0096401D" w:rsidP="0096401D">
      <w:pPr>
        <w:pStyle w:val="Heading1"/>
      </w:pPr>
      <w:bookmarkStart w:id="0" w:name="_Toc95048624"/>
      <w:bookmarkStart w:id="1" w:name="_Toc95051845"/>
      <w:r>
        <w:t>Introduction</w:t>
      </w:r>
      <w:bookmarkEnd w:id="0"/>
      <w:bookmarkEnd w:id="1"/>
      <w:r>
        <w:t xml:space="preserve"> </w:t>
      </w:r>
    </w:p>
    <w:p w:rsidR="0096401D" w:rsidRDefault="005843C2" w:rsidP="00C82082">
      <w:pPr>
        <w:rPr>
          <w:rFonts w:cs="Times New Roman"/>
          <w:b/>
          <w:sz w:val="28"/>
          <w:szCs w:val="24"/>
        </w:rPr>
      </w:pPr>
      <w:r w:rsidRPr="00D06354">
        <w:rPr>
          <w:rFonts w:cs="Times New Roman"/>
          <w:szCs w:val="24"/>
        </w:rPr>
        <w:t>The tourism sector is one of the largest sectors in the UK and currently many companies are working in this sector. Jurys Inn is a company that is working in the hospitality sector and is currently managing some companies within the United Kingdom and Northern Ireland. This report is prepared to assist the company to understand its financial standing based on ratio analysis and their respective visual graphs. Ratio Analysis is a tool that is used vastly to identify differen</w:t>
      </w:r>
      <w:r w:rsidR="000812D6" w:rsidRPr="00D06354">
        <w:rPr>
          <w:rFonts w:cs="Times New Roman"/>
          <w:szCs w:val="24"/>
        </w:rPr>
        <w:t xml:space="preserve">t issues within an organization, namely the profitability, liquidity, efficiency, leverage, etc. of firms. This analysis is particularly beneficial for determining the trend of different ratios and comparing the ratios with other industry leaders. This analysis can help to determine the financial situations of the firms from analyzing the trend over the reporting periods. </w:t>
      </w:r>
      <w:r w:rsidR="000A3750">
        <w:rPr>
          <w:rFonts w:cs="Times New Roman"/>
          <w:szCs w:val="24"/>
        </w:rPr>
        <w:t xml:space="preserve">The report explains the company’s </w:t>
      </w:r>
      <w:r w:rsidR="00715DD9">
        <w:rPr>
          <w:rFonts w:cs="Times New Roman"/>
          <w:szCs w:val="24"/>
        </w:rPr>
        <w:t>profita</w:t>
      </w:r>
      <w:r w:rsidR="00C82082">
        <w:rPr>
          <w:rFonts w:cs="Times New Roman"/>
          <w:szCs w:val="24"/>
        </w:rPr>
        <w:t>bility, liquidity, and leverage. T</w:t>
      </w:r>
      <w:r w:rsidR="00715DD9">
        <w:rPr>
          <w:rFonts w:cs="Times New Roman"/>
          <w:szCs w:val="24"/>
        </w:rPr>
        <w:t>hen</w:t>
      </w:r>
      <w:r w:rsidR="00C82082">
        <w:rPr>
          <w:rFonts w:cs="Times New Roman"/>
          <w:szCs w:val="24"/>
        </w:rPr>
        <w:t xml:space="preserve"> it</w:t>
      </w:r>
      <w:r w:rsidR="00715DD9">
        <w:rPr>
          <w:rFonts w:cs="Times New Roman"/>
          <w:szCs w:val="24"/>
        </w:rPr>
        <w:t xml:space="preserve"> explain</w:t>
      </w:r>
      <w:r w:rsidR="00C82082">
        <w:rPr>
          <w:rFonts w:cs="Times New Roman"/>
          <w:szCs w:val="24"/>
        </w:rPr>
        <w:t>s</w:t>
      </w:r>
      <w:r w:rsidR="00715DD9">
        <w:rPr>
          <w:rFonts w:cs="Times New Roman"/>
          <w:szCs w:val="24"/>
        </w:rPr>
        <w:t xml:space="preserve"> the benefits and </w:t>
      </w:r>
      <w:r w:rsidR="00C82082">
        <w:rPr>
          <w:rFonts w:cs="Times New Roman"/>
          <w:szCs w:val="24"/>
        </w:rPr>
        <w:t xml:space="preserve">limitations of ratio analysis that an </w:t>
      </w:r>
      <w:proofErr w:type="spellStart"/>
      <w:r w:rsidR="00C82082">
        <w:rPr>
          <w:rFonts w:cs="Times New Roman"/>
          <w:szCs w:val="24"/>
        </w:rPr>
        <w:t>organisation</w:t>
      </w:r>
      <w:proofErr w:type="spellEnd"/>
      <w:r w:rsidR="00C82082">
        <w:rPr>
          <w:rFonts w:cs="Times New Roman"/>
          <w:szCs w:val="24"/>
        </w:rPr>
        <w:t xml:space="preserve"> like Jurys Inn</w:t>
      </w:r>
      <w:r w:rsidR="00715DD9">
        <w:rPr>
          <w:rFonts w:cs="Times New Roman"/>
          <w:szCs w:val="24"/>
        </w:rPr>
        <w:t xml:space="preserve"> </w:t>
      </w:r>
      <w:r w:rsidR="00C82082">
        <w:rPr>
          <w:rFonts w:cs="Times New Roman"/>
          <w:szCs w:val="24"/>
        </w:rPr>
        <w:t>should be careful about when making decisions.</w:t>
      </w:r>
    </w:p>
    <w:p w:rsidR="00C82082" w:rsidRDefault="00C82082">
      <w:pPr>
        <w:spacing w:line="276" w:lineRule="auto"/>
        <w:jc w:val="left"/>
        <w:rPr>
          <w:rFonts w:eastAsiaTheme="majorEastAsia" w:cstheme="majorBidi"/>
          <w:b/>
          <w:color w:val="000000" w:themeColor="text1"/>
          <w:sz w:val="32"/>
          <w:szCs w:val="32"/>
        </w:rPr>
      </w:pPr>
      <w:bookmarkStart w:id="2" w:name="_Toc95048625"/>
      <w:bookmarkStart w:id="3" w:name="_Toc95051846"/>
      <w:r>
        <w:br w:type="page"/>
      </w:r>
    </w:p>
    <w:p w:rsidR="000812D6" w:rsidRPr="0096401D" w:rsidRDefault="0096401D" w:rsidP="00CB2D35">
      <w:pPr>
        <w:pStyle w:val="Heading1"/>
      </w:pPr>
      <w:r>
        <w:t xml:space="preserve">A) </w:t>
      </w:r>
      <w:r w:rsidR="005843C2" w:rsidRPr="0096401D">
        <w:t>Ratio Analysis of Jurys Inn</w:t>
      </w:r>
      <w:bookmarkEnd w:id="2"/>
      <w:bookmarkEnd w:id="3"/>
    </w:p>
    <w:p w:rsidR="000812D6" w:rsidRPr="00941CB6" w:rsidRDefault="00941CB6" w:rsidP="00D06354">
      <w:r>
        <w:t>Ratio analysis can help an organisation</w:t>
      </w:r>
      <w:r w:rsidR="000A3750">
        <w:t>, as well as its investors,</w:t>
      </w:r>
      <w:r>
        <w:t xml:space="preserve"> get an overall idea regarding the profitability, liquidity, efficiency, and leverage of the organisation</w:t>
      </w:r>
      <w:r w:rsidR="005444FF">
        <w:t xml:space="preserve"> (Brigham and Houston, 2021)</w:t>
      </w:r>
      <w:r>
        <w:t>. The following section conducts a</w:t>
      </w:r>
      <w:r w:rsidR="005843C2" w:rsidRPr="00D06354">
        <w:rPr>
          <w:rFonts w:cs="Times New Roman"/>
          <w:szCs w:val="24"/>
        </w:rPr>
        <w:t xml:space="preserve"> ratio analysis of Jurys Inn </w:t>
      </w:r>
      <w:r>
        <w:rPr>
          <w:rFonts w:cs="Times New Roman"/>
          <w:szCs w:val="24"/>
        </w:rPr>
        <w:t>to explore its profitability, liquidity, and leverage condition.</w:t>
      </w:r>
    </w:p>
    <w:p w:rsidR="00A81ABA" w:rsidRDefault="005843C2" w:rsidP="0096401D">
      <w:pPr>
        <w:pStyle w:val="Heading2"/>
      </w:pPr>
      <w:bookmarkStart w:id="4" w:name="_Toc95048626"/>
      <w:bookmarkStart w:id="5" w:name="_Toc95051847"/>
      <w:r w:rsidRPr="00D06354">
        <w:t>Profitability Ratios</w:t>
      </w:r>
      <w:bookmarkEnd w:id="4"/>
      <w:bookmarkEnd w:id="5"/>
    </w:p>
    <w:p w:rsidR="00D06354" w:rsidRPr="005444FF" w:rsidRDefault="000532B0" w:rsidP="000532B0">
      <w:pPr>
        <w:rPr>
          <w:rFonts w:cs="Times New Roman"/>
          <w:szCs w:val="24"/>
        </w:rPr>
      </w:pPr>
      <w:r w:rsidRPr="00D06354">
        <w:rPr>
          <w:rFonts w:cs="Times New Roman"/>
          <w:szCs w:val="24"/>
        </w:rPr>
        <w:t xml:space="preserve">The profitability ratios are used to determine the performance of </w:t>
      </w:r>
      <w:r w:rsidR="005444FF">
        <w:rPr>
          <w:rFonts w:cs="Times New Roman"/>
          <w:szCs w:val="24"/>
        </w:rPr>
        <w:t>an organisation</w:t>
      </w:r>
      <w:r w:rsidRPr="00D06354">
        <w:rPr>
          <w:rFonts w:cs="Times New Roman"/>
          <w:szCs w:val="24"/>
        </w:rPr>
        <w:t>. The most used profitability ratios are Gross Margin, Operating Profit (PBIT) Margin, Return on Capital Employed (ROCE), Return on Equity (ROE), and Return on Asset (ROA)</w:t>
      </w:r>
      <w:r w:rsidR="005444FF">
        <w:rPr>
          <w:rFonts w:cs="Times New Roman"/>
          <w:szCs w:val="24"/>
        </w:rPr>
        <w:t xml:space="preserve"> (</w:t>
      </w:r>
      <w:proofErr w:type="spellStart"/>
      <w:r w:rsidR="005444FF">
        <w:rPr>
          <w:rFonts w:cs="Times New Roman"/>
          <w:szCs w:val="24"/>
        </w:rPr>
        <w:t>Delen</w:t>
      </w:r>
      <w:proofErr w:type="spellEnd"/>
      <w:r w:rsidR="005444FF">
        <w:rPr>
          <w:rFonts w:cs="Times New Roman"/>
          <w:szCs w:val="24"/>
        </w:rPr>
        <w:t xml:space="preserve"> et al., 2013)</w:t>
      </w:r>
      <w:r w:rsidRPr="00D06354">
        <w:rPr>
          <w:rFonts w:cs="Times New Roman"/>
          <w:szCs w:val="24"/>
        </w:rPr>
        <w:t>.</w:t>
      </w:r>
      <w:r>
        <w:t xml:space="preserve"> </w:t>
      </w:r>
      <w:r w:rsidR="005843C2" w:rsidRPr="00D06354">
        <w:rPr>
          <w:rFonts w:cs="Times New Roman"/>
          <w:szCs w:val="24"/>
        </w:rPr>
        <w:t>The profitability ratios</w:t>
      </w:r>
      <w:r>
        <w:rPr>
          <w:rFonts w:cs="Times New Roman"/>
          <w:szCs w:val="24"/>
        </w:rPr>
        <w:t xml:space="preserve"> of Jurys Inn</w:t>
      </w:r>
      <w:r w:rsidR="005843C2" w:rsidRPr="00D06354">
        <w:rPr>
          <w:rFonts w:cs="Times New Roman"/>
          <w:szCs w:val="24"/>
        </w:rPr>
        <w:t xml:space="preserve"> are calculated and provided in the table along wit</w:t>
      </w:r>
      <w:r w:rsidR="005843C2">
        <w:rPr>
          <w:rFonts w:cs="Times New Roman"/>
          <w:szCs w:val="24"/>
        </w:rPr>
        <w:t>h the calculations and formulas:</w:t>
      </w:r>
    </w:p>
    <w:tbl>
      <w:tblPr>
        <w:tblStyle w:val="TableGrid"/>
        <w:tblW w:w="9558" w:type="dxa"/>
        <w:tblLayout w:type="fixed"/>
        <w:tblLook w:val="04A0" w:firstRow="1" w:lastRow="0" w:firstColumn="1" w:lastColumn="0" w:noHBand="0" w:noVBand="1"/>
      </w:tblPr>
      <w:tblGrid>
        <w:gridCol w:w="1908"/>
        <w:gridCol w:w="3330"/>
        <w:gridCol w:w="2160"/>
        <w:gridCol w:w="2160"/>
      </w:tblGrid>
      <w:tr w:rsidR="00B16F93" w:rsidTr="00941CB6">
        <w:tc>
          <w:tcPr>
            <w:tcW w:w="1908" w:type="dxa"/>
          </w:tcPr>
          <w:p w:rsidR="00A81ABA" w:rsidRPr="0096401D" w:rsidRDefault="005843C2" w:rsidP="0096401D">
            <w:pPr>
              <w:jc w:val="center"/>
              <w:rPr>
                <w:rFonts w:cs="Times New Roman"/>
                <w:b/>
                <w:szCs w:val="24"/>
              </w:rPr>
            </w:pPr>
            <w:r w:rsidRPr="0096401D">
              <w:rPr>
                <w:rFonts w:cs="Times New Roman"/>
                <w:b/>
                <w:szCs w:val="24"/>
              </w:rPr>
              <w:t>Ratio</w:t>
            </w:r>
          </w:p>
        </w:tc>
        <w:tc>
          <w:tcPr>
            <w:tcW w:w="3330" w:type="dxa"/>
          </w:tcPr>
          <w:p w:rsidR="00A81ABA" w:rsidRPr="0096401D" w:rsidRDefault="005843C2" w:rsidP="0096401D">
            <w:pPr>
              <w:jc w:val="center"/>
              <w:rPr>
                <w:rFonts w:cs="Times New Roman"/>
                <w:b/>
                <w:szCs w:val="24"/>
              </w:rPr>
            </w:pPr>
            <w:r w:rsidRPr="0096401D">
              <w:rPr>
                <w:rFonts w:cs="Times New Roman"/>
                <w:b/>
                <w:szCs w:val="24"/>
              </w:rPr>
              <w:t>Formula</w:t>
            </w:r>
          </w:p>
        </w:tc>
        <w:tc>
          <w:tcPr>
            <w:tcW w:w="2160" w:type="dxa"/>
          </w:tcPr>
          <w:p w:rsidR="00A81ABA" w:rsidRPr="0096401D" w:rsidRDefault="005843C2" w:rsidP="0096401D">
            <w:pPr>
              <w:jc w:val="center"/>
              <w:rPr>
                <w:rFonts w:cs="Times New Roman"/>
                <w:b/>
                <w:szCs w:val="24"/>
              </w:rPr>
            </w:pPr>
            <w:r w:rsidRPr="0096401D">
              <w:rPr>
                <w:rFonts w:cs="Times New Roman"/>
                <w:b/>
                <w:szCs w:val="24"/>
              </w:rPr>
              <w:t>2019</w:t>
            </w:r>
          </w:p>
        </w:tc>
        <w:tc>
          <w:tcPr>
            <w:tcW w:w="2160" w:type="dxa"/>
          </w:tcPr>
          <w:p w:rsidR="00A81ABA" w:rsidRPr="0096401D" w:rsidRDefault="005843C2" w:rsidP="0096401D">
            <w:pPr>
              <w:jc w:val="center"/>
              <w:rPr>
                <w:rFonts w:cs="Times New Roman"/>
                <w:b/>
                <w:szCs w:val="24"/>
              </w:rPr>
            </w:pPr>
            <w:r w:rsidRPr="0096401D">
              <w:rPr>
                <w:rFonts w:cs="Times New Roman"/>
                <w:b/>
                <w:szCs w:val="24"/>
              </w:rPr>
              <w:t>2020</w:t>
            </w:r>
          </w:p>
        </w:tc>
      </w:tr>
      <w:tr w:rsidR="00B16F93" w:rsidTr="00941CB6">
        <w:tc>
          <w:tcPr>
            <w:tcW w:w="1908" w:type="dxa"/>
          </w:tcPr>
          <w:p w:rsidR="00A81ABA" w:rsidRPr="00D06354" w:rsidRDefault="005843C2" w:rsidP="00D06354">
            <w:pPr>
              <w:rPr>
                <w:rFonts w:cs="Times New Roman"/>
                <w:szCs w:val="24"/>
              </w:rPr>
            </w:pPr>
            <w:r w:rsidRPr="00D06354">
              <w:rPr>
                <w:rFonts w:cs="Times New Roman"/>
                <w:szCs w:val="24"/>
              </w:rPr>
              <w:t>Gross Margin</w:t>
            </w:r>
          </w:p>
        </w:tc>
        <w:tc>
          <w:tcPr>
            <w:tcW w:w="3330" w:type="dxa"/>
          </w:tcPr>
          <w:p w:rsidR="00A81ABA" w:rsidRPr="00D06354" w:rsidRDefault="005843C2" w:rsidP="00D06354">
            <w:pPr>
              <w:rPr>
                <w:rFonts w:cs="Times New Roman"/>
                <w:szCs w:val="24"/>
                <w:lang w:val="en-GB"/>
              </w:rPr>
            </w:pPr>
            <w:r w:rsidRPr="00D06354">
              <w:rPr>
                <w:rFonts w:cs="Times New Roman"/>
                <w:szCs w:val="24"/>
                <w:u w:val="single"/>
                <w:lang w:val="en-GB"/>
              </w:rPr>
              <w:t>Gross profit</w:t>
            </w:r>
            <w:r w:rsidRPr="00D06354">
              <w:rPr>
                <w:rFonts w:cs="Times New Roman"/>
                <w:szCs w:val="24"/>
                <w:lang w:val="en-GB"/>
              </w:rPr>
              <w:t xml:space="preserve">          x 100</w:t>
            </w:r>
          </w:p>
          <w:p w:rsidR="00A81ABA" w:rsidRPr="00D06354" w:rsidRDefault="005843C2" w:rsidP="00D06354">
            <w:pPr>
              <w:rPr>
                <w:rFonts w:cs="Times New Roman"/>
                <w:szCs w:val="24"/>
                <w:lang w:val="en-GB"/>
              </w:rPr>
            </w:pPr>
            <w:r w:rsidRPr="00D06354">
              <w:rPr>
                <w:rFonts w:cs="Times New Roman"/>
                <w:szCs w:val="24"/>
                <w:lang w:val="en-GB"/>
              </w:rPr>
              <w:t>Revenue (Sales)</w:t>
            </w:r>
          </w:p>
          <w:p w:rsidR="00A81ABA" w:rsidRPr="00D06354" w:rsidRDefault="00A81ABA" w:rsidP="00D06354">
            <w:pPr>
              <w:rPr>
                <w:rFonts w:cs="Times New Roman"/>
                <w:szCs w:val="24"/>
              </w:rPr>
            </w:pPr>
          </w:p>
        </w:tc>
        <w:tc>
          <w:tcPr>
            <w:tcW w:w="2160" w:type="dxa"/>
          </w:tcPr>
          <w:p w:rsidR="00A81ABA" w:rsidRPr="00D06354" w:rsidRDefault="005843C2" w:rsidP="00D06354">
            <w:pPr>
              <w:rPr>
                <w:rFonts w:cs="Times New Roman"/>
                <w:szCs w:val="24"/>
              </w:rPr>
            </w:pPr>
            <w:r w:rsidRPr="00D06354">
              <w:rPr>
                <w:rFonts w:cs="Times New Roman"/>
                <w:szCs w:val="24"/>
              </w:rPr>
              <w:t>=(5050/5500)*100</w:t>
            </w:r>
          </w:p>
          <w:p w:rsidR="00A81ABA" w:rsidRPr="00D06354" w:rsidRDefault="005843C2" w:rsidP="00D06354">
            <w:pPr>
              <w:rPr>
                <w:rFonts w:cs="Times New Roman"/>
                <w:szCs w:val="24"/>
              </w:rPr>
            </w:pPr>
            <w:r w:rsidRPr="00D06354">
              <w:rPr>
                <w:rFonts w:cs="Times New Roman"/>
                <w:szCs w:val="24"/>
              </w:rPr>
              <w:t>= 92%</w:t>
            </w:r>
          </w:p>
        </w:tc>
        <w:tc>
          <w:tcPr>
            <w:tcW w:w="2160" w:type="dxa"/>
          </w:tcPr>
          <w:p w:rsidR="00A81ABA" w:rsidRPr="00D06354" w:rsidRDefault="005843C2" w:rsidP="00D06354">
            <w:pPr>
              <w:rPr>
                <w:rFonts w:cs="Times New Roman"/>
                <w:szCs w:val="24"/>
              </w:rPr>
            </w:pPr>
            <w:r w:rsidRPr="00D06354">
              <w:rPr>
                <w:rFonts w:cs="Times New Roman"/>
                <w:szCs w:val="24"/>
              </w:rPr>
              <w:t>=(5150/6000)*100</w:t>
            </w:r>
          </w:p>
          <w:p w:rsidR="00A81ABA" w:rsidRPr="00D06354" w:rsidRDefault="005843C2" w:rsidP="00D06354">
            <w:pPr>
              <w:rPr>
                <w:rFonts w:cs="Times New Roman"/>
                <w:szCs w:val="24"/>
              </w:rPr>
            </w:pPr>
            <w:r w:rsidRPr="00D06354">
              <w:rPr>
                <w:rFonts w:cs="Times New Roman"/>
                <w:szCs w:val="24"/>
              </w:rPr>
              <w:t>= 85.84%</w:t>
            </w:r>
          </w:p>
        </w:tc>
      </w:tr>
      <w:tr w:rsidR="00B16F93" w:rsidTr="00941CB6">
        <w:tc>
          <w:tcPr>
            <w:tcW w:w="1908" w:type="dxa"/>
          </w:tcPr>
          <w:p w:rsidR="00A81ABA" w:rsidRPr="00D06354" w:rsidRDefault="005843C2" w:rsidP="00D06354">
            <w:pPr>
              <w:rPr>
                <w:rFonts w:cs="Times New Roman"/>
                <w:szCs w:val="24"/>
              </w:rPr>
            </w:pPr>
            <w:r w:rsidRPr="00D06354">
              <w:rPr>
                <w:rFonts w:cs="Times New Roman"/>
                <w:szCs w:val="24"/>
              </w:rPr>
              <w:t>Operating Profit (PBIT) Margin</w:t>
            </w:r>
            <w:r w:rsidR="002E6FFF" w:rsidRPr="00D06354">
              <w:rPr>
                <w:rFonts w:cs="Times New Roman"/>
                <w:szCs w:val="24"/>
              </w:rPr>
              <w:t>*</w:t>
            </w:r>
          </w:p>
        </w:tc>
        <w:tc>
          <w:tcPr>
            <w:tcW w:w="3330" w:type="dxa"/>
          </w:tcPr>
          <w:p w:rsidR="00A81ABA" w:rsidRPr="00D06354" w:rsidRDefault="005843C2" w:rsidP="00D06354">
            <w:pPr>
              <w:rPr>
                <w:rFonts w:cs="Times New Roman"/>
                <w:szCs w:val="24"/>
                <w:lang w:val="en-GB"/>
              </w:rPr>
            </w:pPr>
            <w:r w:rsidRPr="00D06354">
              <w:rPr>
                <w:rFonts w:cs="Times New Roman"/>
                <w:szCs w:val="24"/>
                <w:u w:val="single"/>
                <w:lang w:val="en-GB"/>
              </w:rPr>
              <w:t>Operating profit</w:t>
            </w:r>
            <w:r w:rsidRPr="00D06354">
              <w:rPr>
                <w:rFonts w:cs="Times New Roman"/>
                <w:szCs w:val="24"/>
                <w:lang w:val="en-GB"/>
              </w:rPr>
              <w:t xml:space="preserve">    x 100</w:t>
            </w:r>
          </w:p>
          <w:p w:rsidR="00A81ABA" w:rsidRPr="00D06354" w:rsidRDefault="005843C2" w:rsidP="00D06354">
            <w:pPr>
              <w:rPr>
                <w:rFonts w:cs="Times New Roman"/>
                <w:szCs w:val="24"/>
              </w:rPr>
            </w:pPr>
            <w:r w:rsidRPr="00D06354">
              <w:rPr>
                <w:rFonts w:cs="Times New Roman"/>
                <w:szCs w:val="24"/>
                <w:lang w:val="en-GB"/>
              </w:rPr>
              <w:t>Revenue (Sales)</w:t>
            </w:r>
          </w:p>
        </w:tc>
        <w:tc>
          <w:tcPr>
            <w:tcW w:w="2160" w:type="dxa"/>
          </w:tcPr>
          <w:p w:rsidR="00A81ABA" w:rsidRPr="00D06354" w:rsidRDefault="005843C2" w:rsidP="00D06354">
            <w:pPr>
              <w:rPr>
                <w:rFonts w:cs="Times New Roman"/>
                <w:szCs w:val="24"/>
              </w:rPr>
            </w:pPr>
            <w:r w:rsidRPr="00D06354">
              <w:rPr>
                <w:rFonts w:cs="Times New Roman"/>
                <w:szCs w:val="24"/>
              </w:rPr>
              <w:t>=( 4,028/5500)*100</w:t>
            </w:r>
          </w:p>
          <w:p w:rsidR="00A81ABA" w:rsidRPr="00D06354" w:rsidRDefault="005843C2" w:rsidP="00D06354">
            <w:pPr>
              <w:rPr>
                <w:rFonts w:cs="Times New Roman"/>
                <w:szCs w:val="24"/>
              </w:rPr>
            </w:pPr>
            <w:r w:rsidRPr="00D06354">
              <w:rPr>
                <w:rFonts w:cs="Times New Roman"/>
                <w:szCs w:val="24"/>
              </w:rPr>
              <w:t>= 73.24%</w:t>
            </w:r>
          </w:p>
          <w:p w:rsidR="00A81ABA" w:rsidRPr="00D06354" w:rsidRDefault="005843C2" w:rsidP="00D06354">
            <w:pPr>
              <w:rPr>
                <w:rFonts w:cs="Times New Roman"/>
                <w:szCs w:val="24"/>
              </w:rPr>
            </w:pPr>
            <w:r w:rsidRPr="00D06354">
              <w:rPr>
                <w:rFonts w:cs="Times New Roman"/>
                <w:szCs w:val="24"/>
              </w:rPr>
              <w:t>Operating Profit = (4,008+20)</w:t>
            </w:r>
          </w:p>
        </w:tc>
        <w:tc>
          <w:tcPr>
            <w:tcW w:w="2160" w:type="dxa"/>
          </w:tcPr>
          <w:p w:rsidR="00A81ABA" w:rsidRPr="00D06354" w:rsidRDefault="005843C2" w:rsidP="00D06354">
            <w:pPr>
              <w:rPr>
                <w:rFonts w:cs="Times New Roman"/>
                <w:szCs w:val="24"/>
              </w:rPr>
            </w:pPr>
            <w:r w:rsidRPr="00D06354">
              <w:rPr>
                <w:rFonts w:cs="Times New Roman"/>
                <w:szCs w:val="24"/>
              </w:rPr>
              <w:t>=( 4,091/6000)*100</w:t>
            </w:r>
          </w:p>
          <w:p w:rsidR="002E6FFF" w:rsidRPr="00D06354" w:rsidRDefault="005843C2" w:rsidP="00D06354">
            <w:pPr>
              <w:rPr>
                <w:rFonts w:cs="Times New Roman"/>
                <w:szCs w:val="24"/>
              </w:rPr>
            </w:pPr>
            <w:r w:rsidRPr="00D06354">
              <w:rPr>
                <w:rFonts w:cs="Times New Roman"/>
                <w:szCs w:val="24"/>
              </w:rPr>
              <w:t>= 68.18%</w:t>
            </w:r>
          </w:p>
          <w:p w:rsidR="002E6FFF" w:rsidRPr="00D06354" w:rsidRDefault="005843C2" w:rsidP="00D06354">
            <w:pPr>
              <w:rPr>
                <w:rFonts w:cs="Times New Roman"/>
                <w:szCs w:val="24"/>
              </w:rPr>
            </w:pPr>
            <w:r w:rsidRPr="00D06354">
              <w:rPr>
                <w:rFonts w:cs="Times New Roman"/>
                <w:szCs w:val="24"/>
              </w:rPr>
              <w:t>Operating Profit = (4,073+18)</w:t>
            </w:r>
          </w:p>
        </w:tc>
      </w:tr>
      <w:tr w:rsidR="00B16F93" w:rsidTr="00941CB6">
        <w:tc>
          <w:tcPr>
            <w:tcW w:w="1908" w:type="dxa"/>
          </w:tcPr>
          <w:p w:rsidR="00A81ABA" w:rsidRPr="00D06354" w:rsidRDefault="005843C2" w:rsidP="00D06354">
            <w:pPr>
              <w:rPr>
                <w:rFonts w:cs="Times New Roman"/>
                <w:szCs w:val="24"/>
              </w:rPr>
            </w:pPr>
            <w:r w:rsidRPr="00D06354">
              <w:rPr>
                <w:rFonts w:cs="Times New Roman"/>
                <w:szCs w:val="24"/>
              </w:rPr>
              <w:t>Return on Capital Employed (ROCE)</w:t>
            </w:r>
          </w:p>
        </w:tc>
        <w:tc>
          <w:tcPr>
            <w:tcW w:w="3330" w:type="dxa"/>
          </w:tcPr>
          <w:p w:rsidR="002E6FFF" w:rsidRPr="00D06354" w:rsidRDefault="00941CB6" w:rsidP="00D06354">
            <w:pPr>
              <w:rPr>
                <w:rFonts w:cs="Times New Roman"/>
                <w:szCs w:val="24"/>
                <w:u w:val="single"/>
                <w:lang w:val="en-GB"/>
              </w:rPr>
            </w:pPr>
            <w:r>
              <w:rPr>
                <w:rFonts w:cs="Times New Roman"/>
                <w:szCs w:val="24"/>
                <w:u w:val="single"/>
                <w:lang w:val="en-GB"/>
              </w:rPr>
              <w:t>Operating Profit</w:t>
            </w:r>
            <w:r w:rsidR="005843C2" w:rsidRPr="00D06354">
              <w:rPr>
                <w:rFonts w:cs="Times New Roman"/>
                <w:szCs w:val="24"/>
                <w:u w:val="single"/>
                <w:lang w:val="en-GB"/>
              </w:rPr>
              <w:t xml:space="preserve">   </w:t>
            </w:r>
            <w:r w:rsidR="005843C2" w:rsidRPr="00D06354">
              <w:rPr>
                <w:rFonts w:cs="Times New Roman"/>
                <w:szCs w:val="24"/>
                <w:lang w:val="en-GB"/>
              </w:rPr>
              <w:t xml:space="preserve">     x 100</w:t>
            </w:r>
          </w:p>
          <w:p w:rsidR="00A81ABA" w:rsidRPr="00D06354" w:rsidRDefault="005843C2" w:rsidP="00D06354">
            <w:pPr>
              <w:rPr>
                <w:rFonts w:cs="Times New Roman"/>
                <w:szCs w:val="24"/>
              </w:rPr>
            </w:pPr>
            <w:r w:rsidRPr="00D06354">
              <w:rPr>
                <w:rFonts w:cs="Times New Roman"/>
                <w:szCs w:val="24"/>
                <w:lang w:val="en-GB"/>
              </w:rPr>
              <w:t>Equity + Non-Current Liabilities</w:t>
            </w:r>
          </w:p>
        </w:tc>
        <w:tc>
          <w:tcPr>
            <w:tcW w:w="2160" w:type="dxa"/>
          </w:tcPr>
          <w:p w:rsidR="00A81ABA" w:rsidRPr="00D06354" w:rsidRDefault="005843C2" w:rsidP="00D06354">
            <w:pPr>
              <w:rPr>
                <w:rFonts w:cs="Times New Roman"/>
                <w:szCs w:val="24"/>
              </w:rPr>
            </w:pPr>
            <w:r w:rsidRPr="00D06354">
              <w:rPr>
                <w:rFonts w:cs="Times New Roman"/>
                <w:szCs w:val="24"/>
              </w:rPr>
              <w:t>=(4,028/(150+2,068+ 4,008))*100</w:t>
            </w:r>
          </w:p>
          <w:p w:rsidR="002E6FFF" w:rsidRPr="00D06354" w:rsidRDefault="005843C2" w:rsidP="00D06354">
            <w:pPr>
              <w:rPr>
                <w:rFonts w:cs="Times New Roman"/>
                <w:szCs w:val="24"/>
              </w:rPr>
            </w:pPr>
            <w:r w:rsidRPr="00D06354">
              <w:rPr>
                <w:rFonts w:cs="Times New Roman"/>
                <w:szCs w:val="24"/>
              </w:rPr>
              <w:t>=64.70%</w:t>
            </w:r>
          </w:p>
        </w:tc>
        <w:tc>
          <w:tcPr>
            <w:tcW w:w="2160" w:type="dxa"/>
          </w:tcPr>
          <w:p w:rsidR="00A81ABA" w:rsidRPr="00D06354" w:rsidRDefault="005843C2" w:rsidP="00D06354">
            <w:pPr>
              <w:rPr>
                <w:rFonts w:cs="Times New Roman"/>
                <w:szCs w:val="24"/>
              </w:rPr>
            </w:pPr>
            <w:r w:rsidRPr="00D06354">
              <w:rPr>
                <w:rFonts w:cs="Times New Roman"/>
                <w:szCs w:val="24"/>
              </w:rPr>
              <w:t>=(4,091/ (145+2,056+ 4,073))*100</w:t>
            </w:r>
          </w:p>
          <w:p w:rsidR="002E6FFF" w:rsidRPr="00D06354" w:rsidRDefault="005843C2" w:rsidP="00D06354">
            <w:pPr>
              <w:rPr>
                <w:rFonts w:cs="Times New Roman"/>
                <w:szCs w:val="24"/>
              </w:rPr>
            </w:pPr>
            <w:r w:rsidRPr="00D06354">
              <w:rPr>
                <w:rFonts w:cs="Times New Roman"/>
                <w:szCs w:val="24"/>
              </w:rPr>
              <w:t>= 65.21%</w:t>
            </w:r>
          </w:p>
        </w:tc>
      </w:tr>
      <w:tr w:rsidR="00B16F93" w:rsidTr="00941CB6">
        <w:tc>
          <w:tcPr>
            <w:tcW w:w="1908" w:type="dxa"/>
          </w:tcPr>
          <w:p w:rsidR="00A81ABA" w:rsidRPr="00D06354" w:rsidRDefault="005843C2" w:rsidP="00D06354">
            <w:pPr>
              <w:rPr>
                <w:rFonts w:cs="Times New Roman"/>
                <w:szCs w:val="24"/>
              </w:rPr>
            </w:pPr>
            <w:r w:rsidRPr="00D06354">
              <w:rPr>
                <w:rFonts w:cs="Times New Roman"/>
                <w:szCs w:val="24"/>
              </w:rPr>
              <w:t>Return on Equity (ROE)</w:t>
            </w:r>
          </w:p>
        </w:tc>
        <w:tc>
          <w:tcPr>
            <w:tcW w:w="3330" w:type="dxa"/>
          </w:tcPr>
          <w:p w:rsidR="002E6FFF" w:rsidRPr="00D06354" w:rsidRDefault="005843C2" w:rsidP="00D06354">
            <w:pPr>
              <w:rPr>
                <w:rFonts w:cs="Times New Roman"/>
                <w:szCs w:val="24"/>
                <w:u w:val="single"/>
                <w:lang w:val="en-GB"/>
              </w:rPr>
            </w:pPr>
            <w:r w:rsidRPr="00D06354">
              <w:rPr>
                <w:rFonts w:cs="Times New Roman"/>
                <w:szCs w:val="24"/>
                <w:u w:val="single"/>
                <w:lang w:val="en-GB"/>
              </w:rPr>
              <w:t xml:space="preserve">Net Profit           </w:t>
            </w:r>
            <w:r w:rsidRPr="00D06354">
              <w:rPr>
                <w:rFonts w:cs="Times New Roman"/>
                <w:szCs w:val="24"/>
                <w:lang w:val="en-GB"/>
              </w:rPr>
              <w:t xml:space="preserve">     x   100</w:t>
            </w:r>
          </w:p>
          <w:p w:rsidR="00A81ABA" w:rsidRPr="00D06354" w:rsidRDefault="005843C2" w:rsidP="00D06354">
            <w:pPr>
              <w:rPr>
                <w:rFonts w:cs="Times New Roman"/>
                <w:szCs w:val="24"/>
              </w:rPr>
            </w:pPr>
            <w:r w:rsidRPr="00D06354">
              <w:rPr>
                <w:rFonts w:cs="Times New Roman"/>
                <w:szCs w:val="24"/>
                <w:lang w:val="en-GB"/>
              </w:rPr>
              <w:t>Shareholders’ Equity</w:t>
            </w:r>
          </w:p>
        </w:tc>
        <w:tc>
          <w:tcPr>
            <w:tcW w:w="2160" w:type="dxa"/>
          </w:tcPr>
          <w:p w:rsidR="00A81ABA" w:rsidRPr="00D06354" w:rsidRDefault="005843C2" w:rsidP="00D06354">
            <w:pPr>
              <w:rPr>
                <w:rFonts w:cs="Times New Roman"/>
                <w:szCs w:val="24"/>
              </w:rPr>
            </w:pPr>
            <w:r w:rsidRPr="00D06354">
              <w:rPr>
                <w:rFonts w:cs="Times New Roman"/>
                <w:szCs w:val="24"/>
              </w:rPr>
              <w:t>=(4,008/6,076)*100</w:t>
            </w:r>
          </w:p>
          <w:p w:rsidR="002E6FFF" w:rsidRPr="00D06354" w:rsidRDefault="005843C2" w:rsidP="00D06354">
            <w:pPr>
              <w:rPr>
                <w:rFonts w:cs="Times New Roman"/>
                <w:szCs w:val="24"/>
              </w:rPr>
            </w:pPr>
            <w:r w:rsidRPr="00D06354">
              <w:rPr>
                <w:rFonts w:cs="Times New Roman"/>
                <w:szCs w:val="24"/>
              </w:rPr>
              <w:t>=65.96%</w:t>
            </w:r>
          </w:p>
        </w:tc>
        <w:tc>
          <w:tcPr>
            <w:tcW w:w="2160" w:type="dxa"/>
          </w:tcPr>
          <w:p w:rsidR="00A81ABA" w:rsidRPr="00D06354" w:rsidRDefault="005843C2" w:rsidP="00D06354">
            <w:pPr>
              <w:rPr>
                <w:rFonts w:cs="Times New Roman"/>
                <w:szCs w:val="24"/>
              </w:rPr>
            </w:pPr>
            <w:r w:rsidRPr="00D06354">
              <w:rPr>
                <w:rFonts w:cs="Times New Roman"/>
                <w:szCs w:val="24"/>
              </w:rPr>
              <w:t>=(4,073/6,129)*100</w:t>
            </w:r>
          </w:p>
          <w:p w:rsidR="002E6FFF" w:rsidRPr="00D06354" w:rsidRDefault="005843C2" w:rsidP="00D06354">
            <w:pPr>
              <w:rPr>
                <w:rFonts w:cs="Times New Roman"/>
                <w:szCs w:val="24"/>
              </w:rPr>
            </w:pPr>
            <w:r w:rsidRPr="00D06354">
              <w:rPr>
                <w:rFonts w:cs="Times New Roman"/>
                <w:szCs w:val="24"/>
              </w:rPr>
              <w:t>= 66.45%</w:t>
            </w:r>
          </w:p>
        </w:tc>
      </w:tr>
      <w:tr w:rsidR="00B16F93" w:rsidTr="00941CB6">
        <w:tc>
          <w:tcPr>
            <w:tcW w:w="1908" w:type="dxa"/>
          </w:tcPr>
          <w:p w:rsidR="00A81ABA" w:rsidRPr="00D06354" w:rsidRDefault="005843C2" w:rsidP="00D06354">
            <w:pPr>
              <w:rPr>
                <w:rFonts w:cs="Times New Roman"/>
                <w:szCs w:val="24"/>
              </w:rPr>
            </w:pPr>
            <w:r w:rsidRPr="00D06354">
              <w:rPr>
                <w:rFonts w:cs="Times New Roman"/>
                <w:szCs w:val="24"/>
              </w:rPr>
              <w:t>Return on Asset (ROA)</w:t>
            </w:r>
          </w:p>
        </w:tc>
        <w:tc>
          <w:tcPr>
            <w:tcW w:w="3330" w:type="dxa"/>
          </w:tcPr>
          <w:p w:rsidR="002E6FFF" w:rsidRPr="00D06354" w:rsidRDefault="005843C2" w:rsidP="00D06354">
            <w:pPr>
              <w:rPr>
                <w:rFonts w:cs="Times New Roman"/>
                <w:szCs w:val="24"/>
                <w:u w:val="single"/>
                <w:lang w:val="en-GB"/>
              </w:rPr>
            </w:pPr>
            <w:r w:rsidRPr="00D06354">
              <w:rPr>
                <w:rFonts w:cs="Times New Roman"/>
                <w:szCs w:val="24"/>
                <w:u w:val="single"/>
                <w:lang w:val="en-GB"/>
              </w:rPr>
              <w:t xml:space="preserve">Net Profit             </w:t>
            </w:r>
            <w:r w:rsidRPr="00D06354">
              <w:rPr>
                <w:rFonts w:cs="Times New Roman"/>
                <w:szCs w:val="24"/>
                <w:lang w:val="en-GB"/>
              </w:rPr>
              <w:t xml:space="preserve">     x   100</w:t>
            </w:r>
          </w:p>
          <w:p w:rsidR="00A81ABA" w:rsidRPr="00D06354" w:rsidRDefault="005843C2" w:rsidP="00D06354">
            <w:pPr>
              <w:rPr>
                <w:rFonts w:cs="Times New Roman"/>
                <w:szCs w:val="24"/>
              </w:rPr>
            </w:pPr>
            <w:r w:rsidRPr="00D06354">
              <w:rPr>
                <w:rFonts w:cs="Times New Roman"/>
                <w:szCs w:val="24"/>
                <w:lang w:val="en-GB"/>
              </w:rPr>
              <w:t>Total Assets</w:t>
            </w:r>
          </w:p>
        </w:tc>
        <w:tc>
          <w:tcPr>
            <w:tcW w:w="2160" w:type="dxa"/>
          </w:tcPr>
          <w:p w:rsidR="00A81ABA" w:rsidRPr="00D06354" w:rsidRDefault="005843C2" w:rsidP="00D06354">
            <w:pPr>
              <w:rPr>
                <w:rFonts w:cs="Times New Roman"/>
                <w:szCs w:val="24"/>
              </w:rPr>
            </w:pPr>
            <w:r w:rsidRPr="00D06354">
              <w:rPr>
                <w:rFonts w:cs="Times New Roman"/>
                <w:szCs w:val="24"/>
              </w:rPr>
              <w:t>=(4,008/7565)*100</w:t>
            </w:r>
          </w:p>
          <w:p w:rsidR="002E6FFF" w:rsidRPr="00D06354" w:rsidRDefault="005843C2" w:rsidP="00D06354">
            <w:pPr>
              <w:rPr>
                <w:rFonts w:cs="Times New Roman"/>
                <w:szCs w:val="24"/>
              </w:rPr>
            </w:pPr>
            <w:r w:rsidRPr="00D06354">
              <w:rPr>
                <w:rFonts w:cs="Times New Roman"/>
                <w:szCs w:val="24"/>
              </w:rPr>
              <w:t>=52.98%</w:t>
            </w:r>
          </w:p>
        </w:tc>
        <w:tc>
          <w:tcPr>
            <w:tcW w:w="2160" w:type="dxa"/>
          </w:tcPr>
          <w:p w:rsidR="002E6FFF" w:rsidRPr="00D06354" w:rsidRDefault="005843C2" w:rsidP="00D06354">
            <w:pPr>
              <w:rPr>
                <w:rFonts w:cs="Times New Roman"/>
                <w:szCs w:val="24"/>
              </w:rPr>
            </w:pPr>
            <w:r w:rsidRPr="00D06354">
              <w:rPr>
                <w:rFonts w:cs="Times New Roman"/>
                <w:szCs w:val="24"/>
              </w:rPr>
              <w:t>=(4,073/7890)*100</w:t>
            </w:r>
          </w:p>
          <w:p w:rsidR="002E6FFF" w:rsidRPr="00D06354" w:rsidRDefault="005843C2" w:rsidP="00D06354">
            <w:pPr>
              <w:rPr>
                <w:rFonts w:cs="Times New Roman"/>
                <w:szCs w:val="24"/>
              </w:rPr>
            </w:pPr>
            <w:r w:rsidRPr="00D06354">
              <w:rPr>
                <w:rFonts w:cs="Times New Roman"/>
                <w:szCs w:val="24"/>
              </w:rPr>
              <w:t>= 51.62%</w:t>
            </w:r>
          </w:p>
        </w:tc>
      </w:tr>
    </w:tbl>
    <w:p w:rsidR="008F5C52" w:rsidRDefault="005843C2" w:rsidP="00D06354">
      <w:pPr>
        <w:rPr>
          <w:rFonts w:cs="Times New Roman"/>
          <w:szCs w:val="24"/>
        </w:rPr>
      </w:pPr>
      <w:r w:rsidRPr="00D06354">
        <w:rPr>
          <w:rFonts w:cs="Times New Roman"/>
          <w:szCs w:val="24"/>
        </w:rPr>
        <w:t>*Operating Profit = Net Income + Interest + Tax Expense</w:t>
      </w:r>
    </w:p>
    <w:p w:rsidR="00D06354" w:rsidRDefault="000532B0" w:rsidP="000532B0">
      <w:pPr>
        <w:jc w:val="center"/>
        <w:rPr>
          <w:rFonts w:cs="Times New Roman"/>
          <w:szCs w:val="24"/>
        </w:rPr>
      </w:pPr>
      <w:r>
        <w:rPr>
          <w:rFonts w:cs="Times New Roman"/>
          <w:szCs w:val="24"/>
        </w:rPr>
        <w:t>Table 1: Profitability ratios of Jurys Inn</w:t>
      </w:r>
    </w:p>
    <w:p w:rsidR="008F5C52" w:rsidRDefault="005843C2" w:rsidP="00D06354">
      <w:pPr>
        <w:rPr>
          <w:rFonts w:cs="Times New Roman"/>
          <w:szCs w:val="24"/>
        </w:rPr>
      </w:pPr>
      <w:r w:rsidRPr="00D06354">
        <w:rPr>
          <w:rFonts w:cs="Times New Roman"/>
          <w:noProof/>
          <w:szCs w:val="24"/>
          <w:lang w:val="en-GB" w:eastAsia="en-GB"/>
        </w:rPr>
        <w:drawing>
          <wp:inline distT="0" distB="0" distL="0" distR="0">
            <wp:extent cx="5820508" cy="2743200"/>
            <wp:effectExtent l="0" t="0" r="27940" b="1905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96401D" w:rsidRPr="007A0B73" w:rsidRDefault="0096401D" w:rsidP="0096401D">
      <w:pPr>
        <w:jc w:val="center"/>
      </w:pPr>
      <w:r>
        <w:rPr>
          <w:rFonts w:cs="Times New Roman"/>
          <w:szCs w:val="24"/>
        </w:rPr>
        <w:t>Figure 1: Profitability Ratios Graphs Presentation</w:t>
      </w:r>
      <w:r w:rsidR="007A0B73">
        <w:t xml:space="preserve"> </w:t>
      </w:r>
      <w:r w:rsidR="007A0B73">
        <w:rPr>
          <w:rFonts w:cs="Times New Roman"/>
          <w:szCs w:val="24"/>
        </w:rPr>
        <w:t>(Self-creation)</w:t>
      </w:r>
    </w:p>
    <w:p w:rsidR="008F5C52" w:rsidRPr="00D06354" w:rsidRDefault="005843C2" w:rsidP="00D06354">
      <w:pPr>
        <w:tabs>
          <w:tab w:val="left" w:pos="2880"/>
        </w:tabs>
        <w:rPr>
          <w:rFonts w:cs="Times New Roman"/>
          <w:szCs w:val="24"/>
        </w:rPr>
      </w:pPr>
      <w:r w:rsidRPr="00D06354">
        <w:rPr>
          <w:rFonts w:cs="Times New Roman"/>
          <w:szCs w:val="24"/>
        </w:rPr>
        <w:t>The profitability ratios of Jurys Inn are explained below:</w:t>
      </w:r>
    </w:p>
    <w:p w:rsidR="008F5C52" w:rsidRPr="00D06354" w:rsidRDefault="005843C2" w:rsidP="005444FF">
      <w:pPr>
        <w:pStyle w:val="ListParagraph"/>
        <w:numPr>
          <w:ilvl w:val="0"/>
          <w:numId w:val="8"/>
        </w:numPr>
        <w:tabs>
          <w:tab w:val="left" w:pos="2880"/>
        </w:tabs>
        <w:rPr>
          <w:rFonts w:cs="Times New Roman"/>
          <w:szCs w:val="24"/>
        </w:rPr>
      </w:pPr>
      <w:r w:rsidRPr="00D06354">
        <w:rPr>
          <w:rFonts w:cs="Times New Roman"/>
          <w:szCs w:val="24"/>
        </w:rPr>
        <w:t>Gross Margin: The gross margin ratio demonstrates the percentage of return received after deducting the direct cost</w:t>
      </w:r>
      <w:r w:rsidR="005444FF">
        <w:rPr>
          <w:rFonts w:cs="Times New Roman"/>
          <w:szCs w:val="24"/>
        </w:rPr>
        <w:t xml:space="preserve"> </w:t>
      </w:r>
      <w:r w:rsidR="005444FF" w:rsidRPr="005444FF">
        <w:rPr>
          <w:rFonts w:cs="Times New Roman"/>
          <w:szCs w:val="24"/>
        </w:rPr>
        <w:t>(</w:t>
      </w:r>
      <w:proofErr w:type="spellStart"/>
      <w:r w:rsidR="005444FF" w:rsidRPr="005444FF">
        <w:rPr>
          <w:rFonts w:cs="Times New Roman"/>
          <w:szCs w:val="24"/>
        </w:rPr>
        <w:t>Delen</w:t>
      </w:r>
      <w:proofErr w:type="spellEnd"/>
      <w:r w:rsidR="005444FF" w:rsidRPr="005444FF">
        <w:rPr>
          <w:rFonts w:cs="Times New Roman"/>
          <w:szCs w:val="24"/>
        </w:rPr>
        <w:t xml:space="preserve"> et al., 2013)</w:t>
      </w:r>
      <w:r w:rsidRPr="00D06354">
        <w:rPr>
          <w:rFonts w:cs="Times New Roman"/>
          <w:szCs w:val="24"/>
        </w:rPr>
        <w:t xml:space="preserve">. The gross margin of Jurys Inn has shown a negative trend from 91.82% to 85.83% showing a decrease in the profitability of the company. The reasons behind the negative performance can be </w:t>
      </w:r>
      <w:r w:rsidR="00591601" w:rsidRPr="00D06354">
        <w:rPr>
          <w:rFonts w:cs="Times New Roman"/>
          <w:szCs w:val="24"/>
        </w:rPr>
        <w:t xml:space="preserve">lower sales or increasing cost of goods sold. </w:t>
      </w:r>
    </w:p>
    <w:p w:rsidR="00591601" w:rsidRPr="00D06354" w:rsidRDefault="005843C2" w:rsidP="005444FF">
      <w:pPr>
        <w:pStyle w:val="ListParagraph"/>
        <w:numPr>
          <w:ilvl w:val="0"/>
          <w:numId w:val="8"/>
        </w:numPr>
        <w:tabs>
          <w:tab w:val="left" w:pos="2880"/>
        </w:tabs>
        <w:rPr>
          <w:rFonts w:cs="Times New Roman"/>
          <w:szCs w:val="24"/>
        </w:rPr>
      </w:pPr>
      <w:r w:rsidRPr="00D06354">
        <w:rPr>
          <w:rFonts w:cs="Times New Roman"/>
          <w:szCs w:val="24"/>
        </w:rPr>
        <w:t>Operating Profit (PBIT) Margin: The operating expenses are a great concern of the company. If the company fails to reduce its operating overhead expense, then it can experience a reduction in operating profit</w:t>
      </w:r>
      <w:r w:rsidR="005444FF">
        <w:rPr>
          <w:rFonts w:cs="Times New Roman"/>
          <w:szCs w:val="24"/>
        </w:rPr>
        <w:t xml:space="preserve"> </w:t>
      </w:r>
      <w:r w:rsidR="005444FF" w:rsidRPr="005444FF">
        <w:rPr>
          <w:rFonts w:cs="Times New Roman"/>
          <w:szCs w:val="24"/>
        </w:rPr>
        <w:t>(Banerjee, 2015)</w:t>
      </w:r>
      <w:r w:rsidRPr="00D06354">
        <w:rPr>
          <w:rFonts w:cs="Times New Roman"/>
          <w:szCs w:val="24"/>
        </w:rPr>
        <w:t xml:space="preserve">. The Operating Profit Margin has reduced greatly for Jurys Inn from 2019 to 2020. This means the company has experienced a lower operating profit in the recent year indicating higher operating (administration, distribution, salaries, rent, etc.) expenses and lower sales. </w:t>
      </w:r>
    </w:p>
    <w:p w:rsidR="00591601" w:rsidRPr="00D06354" w:rsidRDefault="005843C2" w:rsidP="005444FF">
      <w:pPr>
        <w:pStyle w:val="ListParagraph"/>
        <w:numPr>
          <w:ilvl w:val="0"/>
          <w:numId w:val="8"/>
        </w:numPr>
        <w:tabs>
          <w:tab w:val="left" w:pos="2880"/>
        </w:tabs>
        <w:rPr>
          <w:rFonts w:cs="Times New Roman"/>
          <w:szCs w:val="24"/>
        </w:rPr>
      </w:pPr>
      <w:r w:rsidRPr="00D06354">
        <w:rPr>
          <w:rFonts w:cs="Times New Roman"/>
          <w:szCs w:val="24"/>
        </w:rPr>
        <w:t>Return on Capital Employed (ROCE): The ROCE indicates the company's ability to produce a profit from the capital (equity and Long term liability) it has invested</w:t>
      </w:r>
      <w:r w:rsidR="005444FF">
        <w:rPr>
          <w:rFonts w:cs="Times New Roman"/>
          <w:szCs w:val="24"/>
        </w:rPr>
        <w:t xml:space="preserve"> </w:t>
      </w:r>
      <w:r w:rsidR="005444FF" w:rsidRPr="005444FF">
        <w:rPr>
          <w:rFonts w:cs="Times New Roman"/>
          <w:szCs w:val="24"/>
        </w:rPr>
        <w:t>(Banerjee, 2015)</w:t>
      </w:r>
      <w:r w:rsidRPr="00D06354">
        <w:rPr>
          <w:rFonts w:cs="Times New Roman"/>
          <w:szCs w:val="24"/>
        </w:rPr>
        <w:t>. If the ROCE is higher, then it is a good indicator of the profitability of the firm. The ROCE of the company has increased from 64.70% in 2019 to 66.75% in 2020. This means the company can use its capital properly to generate profits. Thus the company has higher profitability from the capital.</w:t>
      </w:r>
    </w:p>
    <w:p w:rsidR="00591601" w:rsidRPr="00D06354" w:rsidRDefault="005843C2" w:rsidP="005444FF">
      <w:pPr>
        <w:pStyle w:val="ListParagraph"/>
        <w:numPr>
          <w:ilvl w:val="0"/>
          <w:numId w:val="8"/>
        </w:numPr>
        <w:tabs>
          <w:tab w:val="left" w:pos="2880"/>
        </w:tabs>
        <w:rPr>
          <w:rFonts w:cs="Times New Roman"/>
          <w:szCs w:val="24"/>
        </w:rPr>
      </w:pPr>
      <w:r w:rsidRPr="00D06354">
        <w:rPr>
          <w:rFonts w:cs="Times New Roman"/>
          <w:szCs w:val="24"/>
        </w:rPr>
        <w:t>Return on Equity (ROE): ROE indicates how well a company can use the shareholder's equity or equity capital to generate a net profit</w:t>
      </w:r>
      <w:r w:rsidR="005444FF">
        <w:rPr>
          <w:rFonts w:cs="Times New Roman"/>
          <w:szCs w:val="24"/>
        </w:rPr>
        <w:t xml:space="preserve"> </w:t>
      </w:r>
      <w:r w:rsidR="005444FF" w:rsidRPr="005444FF">
        <w:rPr>
          <w:rFonts w:cs="Times New Roman"/>
          <w:szCs w:val="24"/>
        </w:rPr>
        <w:t>(</w:t>
      </w:r>
      <w:proofErr w:type="spellStart"/>
      <w:r w:rsidR="005444FF" w:rsidRPr="005444FF">
        <w:rPr>
          <w:rFonts w:cs="Times New Roman"/>
          <w:szCs w:val="24"/>
        </w:rPr>
        <w:t>Besley</w:t>
      </w:r>
      <w:proofErr w:type="spellEnd"/>
      <w:r w:rsidR="005444FF" w:rsidRPr="005444FF">
        <w:rPr>
          <w:rFonts w:cs="Times New Roman"/>
          <w:szCs w:val="24"/>
        </w:rPr>
        <w:t xml:space="preserve"> and Brigham, 2014)</w:t>
      </w:r>
      <w:r w:rsidRPr="00D06354">
        <w:rPr>
          <w:rFonts w:cs="Times New Roman"/>
          <w:szCs w:val="24"/>
        </w:rPr>
        <w:t xml:space="preserve">. The higher the ROE, the better the company is in managing its equity capital to increase profitability. The ROE of Jurys Inn has increased over the period from 65.96% to 66.45%. The company has used its capital provided by the shareholders properly to generate net income. </w:t>
      </w:r>
    </w:p>
    <w:p w:rsidR="00C16710" w:rsidRPr="0096401D" w:rsidRDefault="005843C2" w:rsidP="005444FF">
      <w:pPr>
        <w:pStyle w:val="ListParagraph"/>
        <w:numPr>
          <w:ilvl w:val="0"/>
          <w:numId w:val="8"/>
        </w:numPr>
        <w:tabs>
          <w:tab w:val="left" w:pos="2880"/>
        </w:tabs>
        <w:rPr>
          <w:rFonts w:cs="Times New Roman"/>
          <w:szCs w:val="24"/>
        </w:rPr>
      </w:pPr>
      <w:r w:rsidRPr="00D06354">
        <w:rPr>
          <w:rFonts w:cs="Times New Roman"/>
          <w:szCs w:val="24"/>
        </w:rPr>
        <w:t>Return on Asset (ROA)</w:t>
      </w:r>
      <w:r w:rsidR="00C16710" w:rsidRPr="00D06354">
        <w:rPr>
          <w:rFonts w:cs="Times New Roman"/>
          <w:szCs w:val="24"/>
        </w:rPr>
        <w:t>: The ROA measures how well a company is performing by utilizing its assets. The high ROA shows better asset management of the firm</w:t>
      </w:r>
      <w:r w:rsidR="005444FF">
        <w:rPr>
          <w:rFonts w:cs="Times New Roman"/>
          <w:szCs w:val="24"/>
        </w:rPr>
        <w:t xml:space="preserve"> </w:t>
      </w:r>
      <w:r w:rsidR="005444FF" w:rsidRPr="005444FF">
        <w:rPr>
          <w:rFonts w:cs="Times New Roman"/>
          <w:szCs w:val="24"/>
        </w:rPr>
        <w:t>(Chandra, 2011)</w:t>
      </w:r>
      <w:r w:rsidR="00C16710" w:rsidRPr="00D06354">
        <w:rPr>
          <w:rFonts w:cs="Times New Roman"/>
          <w:szCs w:val="24"/>
        </w:rPr>
        <w:t xml:space="preserve">. The ROA of the company has increased from 52.98% in 2019 to 51.62% in 2020. Thus, the company could not increase its profitability by managing its total assets. </w:t>
      </w:r>
    </w:p>
    <w:p w:rsidR="00C16710" w:rsidRPr="0096401D" w:rsidRDefault="005843C2" w:rsidP="0096401D">
      <w:pPr>
        <w:pStyle w:val="Heading2"/>
      </w:pPr>
      <w:bookmarkStart w:id="6" w:name="_Toc95048627"/>
      <w:bookmarkStart w:id="7" w:name="_Toc95051848"/>
      <w:r w:rsidRPr="00D06354">
        <w:t>Liquidity Ratios</w:t>
      </w:r>
      <w:bookmarkEnd w:id="6"/>
      <w:bookmarkEnd w:id="7"/>
    </w:p>
    <w:p w:rsidR="00C16710" w:rsidRPr="005444FF" w:rsidRDefault="005843C2" w:rsidP="000532B0">
      <w:r w:rsidRPr="005843C2">
        <w:rPr>
          <w:rFonts w:cs="Times New Roman"/>
          <w:szCs w:val="24"/>
        </w:rPr>
        <w:t>The liquidity ratio is a very important measure for the company. It is a financial metric to determine the company’s ability to pay off the debt</w:t>
      </w:r>
      <w:r w:rsidR="005444FF">
        <w:rPr>
          <w:rFonts w:cs="Times New Roman"/>
          <w:szCs w:val="24"/>
        </w:rPr>
        <w:t xml:space="preserve"> </w:t>
      </w:r>
      <w:r w:rsidR="005444FF">
        <w:t>(</w:t>
      </w:r>
      <w:proofErr w:type="spellStart"/>
      <w:r w:rsidR="005444FF">
        <w:t>Berk</w:t>
      </w:r>
      <w:proofErr w:type="spellEnd"/>
      <w:r w:rsidR="005444FF">
        <w:t xml:space="preserve"> et al., 2013)</w:t>
      </w:r>
      <w:r w:rsidRPr="005843C2">
        <w:rPr>
          <w:rFonts w:cs="Times New Roman"/>
          <w:szCs w:val="24"/>
        </w:rPr>
        <w:t xml:space="preserve">. It shows whether the company has enough liquidity to pay the debt obligations and keep a margin of safety. Thus the liquidity of the Jurys Inn has been measured by two ratios: current ratio and quick ratio. </w:t>
      </w:r>
    </w:p>
    <w:tbl>
      <w:tblPr>
        <w:tblStyle w:val="TableGrid"/>
        <w:tblW w:w="8831" w:type="dxa"/>
        <w:tblInd w:w="198" w:type="dxa"/>
        <w:tblLook w:val="04A0" w:firstRow="1" w:lastRow="0" w:firstColumn="1" w:lastColumn="0" w:noHBand="0" w:noVBand="1"/>
      </w:tblPr>
      <w:tblGrid>
        <w:gridCol w:w="1650"/>
        <w:gridCol w:w="2850"/>
        <w:gridCol w:w="2250"/>
        <w:gridCol w:w="2081"/>
      </w:tblGrid>
      <w:tr w:rsidR="00B16F93" w:rsidTr="007A0B73">
        <w:tc>
          <w:tcPr>
            <w:tcW w:w="1650" w:type="dxa"/>
          </w:tcPr>
          <w:p w:rsidR="00C16710" w:rsidRPr="000532B0" w:rsidRDefault="005843C2" w:rsidP="000532B0">
            <w:pPr>
              <w:pStyle w:val="ListParagraph"/>
              <w:ind w:left="0"/>
              <w:jc w:val="center"/>
              <w:rPr>
                <w:rFonts w:cs="Times New Roman"/>
                <w:b/>
                <w:szCs w:val="24"/>
              </w:rPr>
            </w:pPr>
            <w:r w:rsidRPr="000532B0">
              <w:rPr>
                <w:rFonts w:cs="Times New Roman"/>
                <w:b/>
                <w:szCs w:val="24"/>
              </w:rPr>
              <w:t>Ratio</w:t>
            </w:r>
          </w:p>
        </w:tc>
        <w:tc>
          <w:tcPr>
            <w:tcW w:w="2850" w:type="dxa"/>
          </w:tcPr>
          <w:p w:rsidR="00C16710" w:rsidRPr="000532B0" w:rsidRDefault="005843C2" w:rsidP="000532B0">
            <w:pPr>
              <w:pStyle w:val="ListParagraph"/>
              <w:ind w:left="0"/>
              <w:jc w:val="center"/>
              <w:rPr>
                <w:rFonts w:cs="Times New Roman"/>
                <w:b/>
                <w:szCs w:val="24"/>
              </w:rPr>
            </w:pPr>
            <w:r w:rsidRPr="000532B0">
              <w:rPr>
                <w:rFonts w:cs="Times New Roman"/>
                <w:b/>
                <w:szCs w:val="24"/>
              </w:rPr>
              <w:t>Formula</w:t>
            </w:r>
          </w:p>
        </w:tc>
        <w:tc>
          <w:tcPr>
            <w:tcW w:w="2250" w:type="dxa"/>
          </w:tcPr>
          <w:p w:rsidR="00C16710" w:rsidRPr="000532B0" w:rsidRDefault="005843C2" w:rsidP="000532B0">
            <w:pPr>
              <w:pStyle w:val="ListParagraph"/>
              <w:ind w:left="0"/>
              <w:jc w:val="center"/>
              <w:rPr>
                <w:rFonts w:cs="Times New Roman"/>
                <w:b/>
                <w:szCs w:val="24"/>
              </w:rPr>
            </w:pPr>
            <w:r w:rsidRPr="000532B0">
              <w:rPr>
                <w:rFonts w:cs="Times New Roman"/>
                <w:b/>
                <w:szCs w:val="24"/>
              </w:rPr>
              <w:t>2019</w:t>
            </w:r>
          </w:p>
        </w:tc>
        <w:tc>
          <w:tcPr>
            <w:tcW w:w="2081" w:type="dxa"/>
          </w:tcPr>
          <w:p w:rsidR="00C16710" w:rsidRPr="000532B0" w:rsidRDefault="005843C2" w:rsidP="000532B0">
            <w:pPr>
              <w:pStyle w:val="ListParagraph"/>
              <w:ind w:left="0"/>
              <w:jc w:val="center"/>
              <w:rPr>
                <w:rFonts w:cs="Times New Roman"/>
                <w:b/>
                <w:szCs w:val="24"/>
              </w:rPr>
            </w:pPr>
            <w:r w:rsidRPr="000532B0">
              <w:rPr>
                <w:rFonts w:cs="Times New Roman"/>
                <w:b/>
                <w:szCs w:val="24"/>
              </w:rPr>
              <w:t>2020</w:t>
            </w:r>
          </w:p>
        </w:tc>
      </w:tr>
      <w:tr w:rsidR="00B16F93" w:rsidTr="007A0B73">
        <w:tc>
          <w:tcPr>
            <w:tcW w:w="1650" w:type="dxa"/>
          </w:tcPr>
          <w:p w:rsidR="00C16710" w:rsidRPr="00D06354" w:rsidRDefault="005843C2" w:rsidP="00D06354">
            <w:pPr>
              <w:pStyle w:val="ListParagraph"/>
              <w:ind w:left="0"/>
              <w:rPr>
                <w:rFonts w:cs="Times New Roman"/>
                <w:szCs w:val="24"/>
              </w:rPr>
            </w:pPr>
            <w:r w:rsidRPr="00D06354">
              <w:rPr>
                <w:rFonts w:cs="Times New Roman"/>
                <w:szCs w:val="24"/>
              </w:rPr>
              <w:t>Current Ratio</w:t>
            </w:r>
          </w:p>
        </w:tc>
        <w:tc>
          <w:tcPr>
            <w:tcW w:w="2850" w:type="dxa"/>
          </w:tcPr>
          <w:p w:rsidR="0015345D" w:rsidRPr="00D06354" w:rsidRDefault="005843C2" w:rsidP="00D06354">
            <w:pPr>
              <w:rPr>
                <w:rFonts w:cs="Times New Roman"/>
                <w:szCs w:val="24"/>
                <w:u w:val="single"/>
                <w:lang w:val="en-GB"/>
              </w:rPr>
            </w:pPr>
            <w:r w:rsidRPr="00D06354">
              <w:rPr>
                <w:rFonts w:cs="Times New Roman"/>
                <w:szCs w:val="24"/>
                <w:u w:val="single"/>
                <w:lang w:val="en-GB"/>
              </w:rPr>
              <w:t xml:space="preserve">Current Asset </w:t>
            </w:r>
          </w:p>
          <w:p w:rsidR="00C16710" w:rsidRPr="00D06354" w:rsidRDefault="005843C2" w:rsidP="00D06354">
            <w:pPr>
              <w:rPr>
                <w:rFonts w:cs="Times New Roman"/>
                <w:szCs w:val="24"/>
              </w:rPr>
            </w:pPr>
            <w:r w:rsidRPr="00D06354">
              <w:rPr>
                <w:rFonts w:cs="Times New Roman"/>
                <w:szCs w:val="24"/>
                <w:lang w:val="en-GB"/>
              </w:rPr>
              <w:t xml:space="preserve">Current Liabilities </w:t>
            </w:r>
          </w:p>
        </w:tc>
        <w:tc>
          <w:tcPr>
            <w:tcW w:w="2250" w:type="dxa"/>
          </w:tcPr>
          <w:p w:rsidR="00C16710" w:rsidRPr="00D06354" w:rsidRDefault="005843C2" w:rsidP="00D06354">
            <w:pPr>
              <w:pStyle w:val="ListParagraph"/>
              <w:ind w:left="0"/>
              <w:rPr>
                <w:rFonts w:cs="Times New Roman"/>
                <w:szCs w:val="24"/>
              </w:rPr>
            </w:pPr>
            <w:r w:rsidRPr="00D06354">
              <w:rPr>
                <w:rFonts w:cs="Times New Roman"/>
                <w:szCs w:val="24"/>
              </w:rPr>
              <w:t>=( 3065/ 1339)</w:t>
            </w:r>
          </w:p>
          <w:p w:rsidR="0015345D" w:rsidRPr="00D06354" w:rsidRDefault="005843C2" w:rsidP="00D06354">
            <w:pPr>
              <w:pStyle w:val="ListParagraph"/>
              <w:ind w:left="0"/>
              <w:rPr>
                <w:rFonts w:cs="Times New Roman"/>
                <w:szCs w:val="24"/>
              </w:rPr>
            </w:pPr>
            <w:r w:rsidRPr="00D06354">
              <w:rPr>
                <w:rFonts w:cs="Times New Roman"/>
                <w:szCs w:val="24"/>
              </w:rPr>
              <w:t>= 2.29</w:t>
            </w:r>
          </w:p>
        </w:tc>
        <w:tc>
          <w:tcPr>
            <w:tcW w:w="2081" w:type="dxa"/>
          </w:tcPr>
          <w:p w:rsidR="00C16710" w:rsidRPr="00D06354" w:rsidRDefault="005843C2" w:rsidP="00D06354">
            <w:pPr>
              <w:rPr>
                <w:rFonts w:cs="Times New Roman"/>
                <w:szCs w:val="24"/>
              </w:rPr>
            </w:pPr>
            <w:r w:rsidRPr="00D06354">
              <w:rPr>
                <w:rFonts w:cs="Times New Roman"/>
                <w:szCs w:val="24"/>
              </w:rPr>
              <w:t>=( 3240/1616)</w:t>
            </w:r>
          </w:p>
          <w:p w:rsidR="0015345D" w:rsidRPr="00D06354" w:rsidRDefault="005843C2" w:rsidP="00D06354">
            <w:pPr>
              <w:rPr>
                <w:rFonts w:cs="Times New Roman"/>
                <w:szCs w:val="24"/>
              </w:rPr>
            </w:pPr>
            <w:r w:rsidRPr="00D06354">
              <w:rPr>
                <w:rFonts w:cs="Times New Roman"/>
                <w:szCs w:val="24"/>
              </w:rPr>
              <w:t>= 2.01</w:t>
            </w:r>
          </w:p>
        </w:tc>
      </w:tr>
      <w:tr w:rsidR="00B16F93" w:rsidTr="007A0B73">
        <w:tc>
          <w:tcPr>
            <w:tcW w:w="1650" w:type="dxa"/>
          </w:tcPr>
          <w:p w:rsidR="00C16710" w:rsidRPr="00D06354" w:rsidRDefault="005843C2" w:rsidP="00D06354">
            <w:pPr>
              <w:pStyle w:val="ListParagraph"/>
              <w:ind w:left="0"/>
              <w:rPr>
                <w:rFonts w:cs="Times New Roman"/>
                <w:szCs w:val="24"/>
              </w:rPr>
            </w:pPr>
            <w:r w:rsidRPr="00D06354">
              <w:rPr>
                <w:rFonts w:cs="Times New Roman"/>
                <w:szCs w:val="24"/>
              </w:rPr>
              <w:t>Quick Ratio</w:t>
            </w:r>
          </w:p>
        </w:tc>
        <w:tc>
          <w:tcPr>
            <w:tcW w:w="2850" w:type="dxa"/>
          </w:tcPr>
          <w:p w:rsidR="0015345D" w:rsidRPr="00D06354" w:rsidRDefault="005843C2" w:rsidP="00D06354">
            <w:pPr>
              <w:rPr>
                <w:rFonts w:cs="Times New Roman"/>
                <w:szCs w:val="24"/>
                <w:u w:val="single"/>
                <w:lang w:val="en-GB"/>
              </w:rPr>
            </w:pPr>
            <w:r w:rsidRPr="00D06354">
              <w:rPr>
                <w:rFonts w:cs="Times New Roman"/>
                <w:szCs w:val="24"/>
                <w:u w:val="single"/>
                <w:lang w:val="en-GB"/>
              </w:rPr>
              <w:t xml:space="preserve">Current Asset- Inventories </w:t>
            </w:r>
          </w:p>
          <w:p w:rsidR="0015345D" w:rsidRPr="00D06354" w:rsidRDefault="005843C2" w:rsidP="00D06354">
            <w:pPr>
              <w:rPr>
                <w:rFonts w:cs="Times New Roman"/>
                <w:szCs w:val="24"/>
                <w:lang w:val="en-GB"/>
              </w:rPr>
            </w:pPr>
            <w:r w:rsidRPr="00D06354">
              <w:rPr>
                <w:rFonts w:cs="Times New Roman"/>
                <w:szCs w:val="24"/>
                <w:lang w:val="en-GB"/>
              </w:rPr>
              <w:t>Current Liabilities</w:t>
            </w:r>
          </w:p>
          <w:p w:rsidR="00C16710" w:rsidRPr="00D06354" w:rsidRDefault="00C16710" w:rsidP="00D06354">
            <w:pPr>
              <w:pStyle w:val="ListParagraph"/>
              <w:ind w:left="0"/>
              <w:rPr>
                <w:rFonts w:cs="Times New Roman"/>
                <w:szCs w:val="24"/>
              </w:rPr>
            </w:pPr>
          </w:p>
        </w:tc>
        <w:tc>
          <w:tcPr>
            <w:tcW w:w="2250" w:type="dxa"/>
          </w:tcPr>
          <w:p w:rsidR="0015345D" w:rsidRPr="00D06354" w:rsidRDefault="005843C2" w:rsidP="00D06354">
            <w:pPr>
              <w:pStyle w:val="ListParagraph"/>
              <w:ind w:left="0"/>
              <w:rPr>
                <w:rFonts w:cs="Times New Roman"/>
                <w:szCs w:val="24"/>
              </w:rPr>
            </w:pPr>
            <w:r w:rsidRPr="00D06354">
              <w:rPr>
                <w:rFonts w:cs="Times New Roman"/>
                <w:szCs w:val="24"/>
              </w:rPr>
              <w:t>=((3065- 1450)/1339)</w:t>
            </w:r>
          </w:p>
          <w:p w:rsidR="0015345D" w:rsidRPr="00D06354" w:rsidRDefault="005843C2" w:rsidP="00D06354">
            <w:pPr>
              <w:pStyle w:val="ListParagraph"/>
              <w:ind w:left="0"/>
              <w:rPr>
                <w:rFonts w:cs="Times New Roman"/>
                <w:szCs w:val="24"/>
              </w:rPr>
            </w:pPr>
            <w:r w:rsidRPr="00D06354">
              <w:rPr>
                <w:rFonts w:cs="Times New Roman"/>
                <w:szCs w:val="24"/>
              </w:rPr>
              <w:t>= 1.21</w:t>
            </w:r>
          </w:p>
        </w:tc>
        <w:tc>
          <w:tcPr>
            <w:tcW w:w="2081" w:type="dxa"/>
          </w:tcPr>
          <w:p w:rsidR="0015345D" w:rsidRPr="00D06354" w:rsidRDefault="005843C2" w:rsidP="00D06354">
            <w:pPr>
              <w:pStyle w:val="ListParagraph"/>
              <w:ind w:left="0"/>
              <w:rPr>
                <w:rFonts w:cs="Times New Roman"/>
                <w:szCs w:val="24"/>
              </w:rPr>
            </w:pPr>
            <w:r w:rsidRPr="00D06354">
              <w:rPr>
                <w:rFonts w:cs="Times New Roman"/>
                <w:szCs w:val="24"/>
              </w:rPr>
              <w:t>=((3240- 1420)/1616)</w:t>
            </w:r>
          </w:p>
          <w:p w:rsidR="0015345D" w:rsidRPr="00D06354" w:rsidRDefault="005843C2" w:rsidP="00D06354">
            <w:pPr>
              <w:pStyle w:val="ListParagraph"/>
              <w:ind w:left="0"/>
              <w:rPr>
                <w:rFonts w:cs="Times New Roman"/>
                <w:szCs w:val="24"/>
              </w:rPr>
            </w:pPr>
            <w:r w:rsidRPr="00D06354">
              <w:rPr>
                <w:rFonts w:cs="Times New Roman"/>
                <w:szCs w:val="24"/>
              </w:rPr>
              <w:t>= 1.12</w:t>
            </w:r>
          </w:p>
        </w:tc>
      </w:tr>
    </w:tbl>
    <w:p w:rsidR="00C16710" w:rsidRDefault="000532B0" w:rsidP="000532B0">
      <w:pPr>
        <w:pStyle w:val="ListParagraph"/>
        <w:spacing w:before="240"/>
        <w:jc w:val="center"/>
        <w:rPr>
          <w:rFonts w:cs="Times New Roman"/>
          <w:szCs w:val="24"/>
        </w:rPr>
      </w:pPr>
      <w:r>
        <w:rPr>
          <w:rFonts w:cs="Times New Roman"/>
          <w:szCs w:val="24"/>
        </w:rPr>
        <w:t>Table 2: Liquidity Ratios of Jurys Inn</w:t>
      </w:r>
    </w:p>
    <w:p w:rsidR="0015345D" w:rsidRDefault="005843C2" w:rsidP="007A0B73">
      <w:pPr>
        <w:pStyle w:val="ListParagraph"/>
        <w:jc w:val="center"/>
        <w:rPr>
          <w:rFonts w:cs="Times New Roman"/>
          <w:szCs w:val="24"/>
        </w:rPr>
      </w:pPr>
      <w:r w:rsidRPr="00D06354">
        <w:rPr>
          <w:rFonts w:cs="Times New Roman"/>
          <w:noProof/>
          <w:szCs w:val="24"/>
          <w:lang w:val="en-GB" w:eastAsia="en-GB"/>
        </w:rPr>
        <w:drawing>
          <wp:inline distT="0" distB="0" distL="0" distR="0">
            <wp:extent cx="4572000" cy="2743200"/>
            <wp:effectExtent l="0" t="0" r="19050" b="1905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96401D" w:rsidRPr="0096401D" w:rsidRDefault="0096401D" w:rsidP="0096401D">
      <w:pPr>
        <w:pStyle w:val="ListParagraph"/>
        <w:jc w:val="center"/>
        <w:rPr>
          <w:rFonts w:cs="Times New Roman"/>
          <w:szCs w:val="24"/>
        </w:rPr>
      </w:pPr>
      <w:r>
        <w:rPr>
          <w:rFonts w:cs="Times New Roman"/>
          <w:szCs w:val="24"/>
        </w:rPr>
        <w:t>Figure 2: Liquidity ratios Graphs</w:t>
      </w:r>
      <w:r w:rsidR="007A0B73">
        <w:rPr>
          <w:rFonts w:cs="Times New Roman"/>
          <w:szCs w:val="24"/>
        </w:rPr>
        <w:t xml:space="preserve"> (Self-creation)</w:t>
      </w:r>
    </w:p>
    <w:p w:rsidR="0015345D" w:rsidRPr="00D06354" w:rsidRDefault="005843C2" w:rsidP="00D06354">
      <w:pPr>
        <w:tabs>
          <w:tab w:val="left" w:pos="1302"/>
        </w:tabs>
        <w:rPr>
          <w:rFonts w:cs="Times New Roman"/>
          <w:szCs w:val="24"/>
        </w:rPr>
      </w:pPr>
      <w:r w:rsidRPr="00D06354">
        <w:rPr>
          <w:rFonts w:cs="Times New Roman"/>
          <w:szCs w:val="24"/>
        </w:rPr>
        <w:t>The liquidity ratios are explained below:</w:t>
      </w:r>
    </w:p>
    <w:p w:rsidR="0015345D" w:rsidRPr="00D06354" w:rsidRDefault="005843C2" w:rsidP="002B34A4">
      <w:pPr>
        <w:pStyle w:val="ListParagraph"/>
        <w:numPr>
          <w:ilvl w:val="0"/>
          <w:numId w:val="9"/>
        </w:numPr>
        <w:tabs>
          <w:tab w:val="left" w:pos="1302"/>
        </w:tabs>
        <w:rPr>
          <w:rFonts w:cs="Times New Roman"/>
          <w:szCs w:val="24"/>
        </w:rPr>
      </w:pPr>
      <w:r w:rsidRPr="00D06354">
        <w:rPr>
          <w:rFonts w:cs="Times New Roman"/>
          <w:szCs w:val="24"/>
        </w:rPr>
        <w:t>Current ratio: The current ratio measures the company’s ability to pay off the current liabilities with its current assets</w:t>
      </w:r>
      <w:r w:rsidR="002B34A4">
        <w:rPr>
          <w:rFonts w:cs="Times New Roman"/>
          <w:szCs w:val="24"/>
        </w:rPr>
        <w:t xml:space="preserve"> </w:t>
      </w:r>
      <w:r w:rsidR="002B34A4" w:rsidRPr="002B34A4">
        <w:rPr>
          <w:rFonts w:cs="Times New Roman"/>
          <w:szCs w:val="24"/>
        </w:rPr>
        <w:t>(Martin et al., 2020)</w:t>
      </w:r>
      <w:r w:rsidRPr="00D06354">
        <w:rPr>
          <w:rFonts w:cs="Times New Roman"/>
          <w:szCs w:val="24"/>
        </w:rPr>
        <w:t xml:space="preserve">. The current ratios of Jurys Inn have reduced from 2.29 to 2.00. It means the </w:t>
      </w:r>
      <w:r w:rsidR="00D673C9" w:rsidRPr="00D06354">
        <w:rPr>
          <w:rFonts w:cs="Times New Roman"/>
          <w:szCs w:val="24"/>
        </w:rPr>
        <w:t xml:space="preserve">company's liquidity has declined from the year 2019 to 2020. However, the ratio in </w:t>
      </w:r>
      <w:r w:rsidR="000A3750">
        <w:rPr>
          <w:rFonts w:cs="Times New Roman"/>
          <w:szCs w:val="24"/>
        </w:rPr>
        <w:t xml:space="preserve">the year </w:t>
      </w:r>
      <w:r w:rsidR="00D673C9" w:rsidRPr="00D06354">
        <w:rPr>
          <w:rFonts w:cs="Times New Roman"/>
          <w:szCs w:val="24"/>
        </w:rPr>
        <w:t>2020 is still 2:1 which is a better liquidity standing. The company has much more current assets than its current liabilities.</w:t>
      </w:r>
    </w:p>
    <w:p w:rsidR="00D673C9" w:rsidRDefault="005843C2" w:rsidP="005444FF">
      <w:pPr>
        <w:pStyle w:val="ListParagraph"/>
        <w:numPr>
          <w:ilvl w:val="0"/>
          <w:numId w:val="9"/>
        </w:numPr>
        <w:tabs>
          <w:tab w:val="left" w:pos="1302"/>
        </w:tabs>
        <w:rPr>
          <w:rFonts w:cs="Times New Roman"/>
          <w:szCs w:val="24"/>
        </w:rPr>
      </w:pPr>
      <w:r w:rsidRPr="00D06354">
        <w:rPr>
          <w:rFonts w:cs="Times New Roman"/>
          <w:szCs w:val="24"/>
        </w:rPr>
        <w:t>Quick ratio: The quick ratio measures the company’s ability to meet its current liabilities with its most liquid assets</w:t>
      </w:r>
      <w:r w:rsidR="005444FF">
        <w:rPr>
          <w:rFonts w:cs="Times New Roman"/>
          <w:szCs w:val="24"/>
        </w:rPr>
        <w:t xml:space="preserve"> </w:t>
      </w:r>
      <w:r w:rsidR="005444FF" w:rsidRPr="005444FF">
        <w:rPr>
          <w:rFonts w:cs="Times New Roman"/>
          <w:szCs w:val="24"/>
        </w:rPr>
        <w:t xml:space="preserve">(Titman and </w:t>
      </w:r>
      <w:proofErr w:type="spellStart"/>
      <w:r w:rsidR="005444FF" w:rsidRPr="005444FF">
        <w:rPr>
          <w:rFonts w:cs="Times New Roman"/>
          <w:szCs w:val="24"/>
        </w:rPr>
        <w:t>Keown</w:t>
      </w:r>
      <w:proofErr w:type="spellEnd"/>
      <w:r w:rsidR="005444FF" w:rsidRPr="005444FF">
        <w:rPr>
          <w:rFonts w:cs="Times New Roman"/>
          <w:szCs w:val="24"/>
        </w:rPr>
        <w:t>, 2018)</w:t>
      </w:r>
      <w:r w:rsidRPr="00D06354">
        <w:rPr>
          <w:rFonts w:cs="Times New Roman"/>
          <w:szCs w:val="24"/>
        </w:rPr>
        <w:t>. Thus it excludes inventory from the liquid assets. The quick ratio of Jurys Inn in 2020 is 1.13 which has reduced from the 2019 ratio. The ratio in</w:t>
      </w:r>
      <w:r w:rsidR="000A3750">
        <w:rPr>
          <w:rFonts w:cs="Times New Roman"/>
          <w:szCs w:val="24"/>
        </w:rPr>
        <w:t xml:space="preserve"> the year</w:t>
      </w:r>
      <w:r w:rsidRPr="00D06354">
        <w:rPr>
          <w:rFonts w:cs="Times New Roman"/>
          <w:szCs w:val="24"/>
        </w:rPr>
        <w:t xml:space="preserve"> 2019 is higher than 1 which means Jurys Inn has enough liquid assets to meet its current debt obligations.</w:t>
      </w:r>
    </w:p>
    <w:p w:rsidR="00D06354" w:rsidRPr="00D06354" w:rsidRDefault="00D06354" w:rsidP="00D06354">
      <w:pPr>
        <w:pStyle w:val="ListParagraph"/>
        <w:tabs>
          <w:tab w:val="left" w:pos="1302"/>
        </w:tabs>
        <w:rPr>
          <w:rFonts w:cs="Times New Roman"/>
          <w:szCs w:val="24"/>
        </w:rPr>
      </w:pPr>
    </w:p>
    <w:p w:rsidR="0096401D" w:rsidRDefault="0096401D">
      <w:pPr>
        <w:spacing w:line="276" w:lineRule="auto"/>
        <w:jc w:val="left"/>
        <w:rPr>
          <w:rFonts w:eastAsiaTheme="majorEastAsia" w:cstheme="majorBidi"/>
          <w:b/>
          <w:color w:val="000000" w:themeColor="text1"/>
          <w:sz w:val="28"/>
          <w:szCs w:val="26"/>
        </w:rPr>
      </w:pPr>
      <w:r>
        <w:br w:type="page"/>
      </w:r>
    </w:p>
    <w:p w:rsidR="00D673C9" w:rsidRPr="00D06354" w:rsidRDefault="005843C2" w:rsidP="0096401D">
      <w:pPr>
        <w:pStyle w:val="Heading2"/>
      </w:pPr>
      <w:bookmarkStart w:id="8" w:name="_Toc95048628"/>
      <w:bookmarkStart w:id="9" w:name="_Toc95051849"/>
      <w:r w:rsidRPr="00D06354">
        <w:t>Gearing Ratio</w:t>
      </w:r>
      <w:r w:rsidR="0096401D">
        <w:t>s</w:t>
      </w:r>
      <w:bookmarkEnd w:id="8"/>
      <w:bookmarkEnd w:id="9"/>
    </w:p>
    <w:p w:rsidR="00D06354" w:rsidRPr="000532B0" w:rsidRDefault="005843C2" w:rsidP="002B34A4">
      <w:pPr>
        <w:rPr>
          <w:rFonts w:cs="Times New Roman"/>
          <w:szCs w:val="24"/>
        </w:rPr>
      </w:pPr>
      <w:r w:rsidRPr="005843C2">
        <w:rPr>
          <w:rFonts w:cs="Times New Roman"/>
          <w:szCs w:val="24"/>
        </w:rPr>
        <w:t>Gearing ratios are important financial ratios that compare the company’s shareholder’</w:t>
      </w:r>
      <w:r w:rsidR="0077066F" w:rsidRPr="005843C2">
        <w:rPr>
          <w:rFonts w:cs="Times New Roman"/>
          <w:szCs w:val="24"/>
        </w:rPr>
        <w:t>s equity to debt. The gearing ratios are financial metrics of leverage of the company</w:t>
      </w:r>
      <w:r w:rsidR="002B34A4">
        <w:rPr>
          <w:rFonts w:cs="Times New Roman"/>
          <w:szCs w:val="24"/>
        </w:rPr>
        <w:t xml:space="preserve"> (Martin et al., 2020)</w:t>
      </w:r>
      <w:r w:rsidR="0077066F" w:rsidRPr="005843C2">
        <w:rPr>
          <w:rFonts w:cs="Times New Roman"/>
          <w:szCs w:val="24"/>
        </w:rPr>
        <w:t xml:space="preserve">. The gearing ratios are important to understand the company’s financial standing and to decide whether it should bring some changes in its capital formation. </w:t>
      </w:r>
    </w:p>
    <w:tbl>
      <w:tblPr>
        <w:tblStyle w:val="TableGrid"/>
        <w:tblW w:w="9288" w:type="dxa"/>
        <w:tblInd w:w="720" w:type="dxa"/>
        <w:tblLayout w:type="fixed"/>
        <w:tblLook w:val="04A0" w:firstRow="1" w:lastRow="0" w:firstColumn="1" w:lastColumn="0" w:noHBand="0" w:noVBand="1"/>
      </w:tblPr>
      <w:tblGrid>
        <w:gridCol w:w="1313"/>
        <w:gridCol w:w="3205"/>
        <w:gridCol w:w="2397"/>
        <w:gridCol w:w="2373"/>
      </w:tblGrid>
      <w:tr w:rsidR="00B16F93" w:rsidTr="0096401D">
        <w:tc>
          <w:tcPr>
            <w:tcW w:w="1313" w:type="dxa"/>
          </w:tcPr>
          <w:p w:rsidR="005251C3" w:rsidRPr="0096401D" w:rsidRDefault="005843C2" w:rsidP="0096401D">
            <w:pPr>
              <w:pStyle w:val="ListParagraph"/>
              <w:tabs>
                <w:tab w:val="left" w:pos="1302"/>
              </w:tabs>
              <w:ind w:left="0"/>
              <w:jc w:val="center"/>
              <w:rPr>
                <w:rFonts w:cs="Times New Roman"/>
                <w:b/>
                <w:szCs w:val="24"/>
              </w:rPr>
            </w:pPr>
            <w:r w:rsidRPr="0096401D">
              <w:rPr>
                <w:rFonts w:cs="Times New Roman"/>
                <w:b/>
                <w:szCs w:val="24"/>
              </w:rPr>
              <w:t>Ratios</w:t>
            </w:r>
          </w:p>
        </w:tc>
        <w:tc>
          <w:tcPr>
            <w:tcW w:w="3205" w:type="dxa"/>
          </w:tcPr>
          <w:p w:rsidR="005251C3" w:rsidRPr="0096401D" w:rsidRDefault="005843C2" w:rsidP="0096401D">
            <w:pPr>
              <w:pStyle w:val="ListParagraph"/>
              <w:tabs>
                <w:tab w:val="left" w:pos="1302"/>
              </w:tabs>
              <w:ind w:left="0"/>
              <w:jc w:val="center"/>
              <w:rPr>
                <w:rFonts w:cs="Times New Roman"/>
                <w:b/>
                <w:szCs w:val="24"/>
              </w:rPr>
            </w:pPr>
            <w:r w:rsidRPr="0096401D">
              <w:rPr>
                <w:rFonts w:cs="Times New Roman"/>
                <w:b/>
                <w:szCs w:val="24"/>
              </w:rPr>
              <w:t>Formula</w:t>
            </w:r>
          </w:p>
        </w:tc>
        <w:tc>
          <w:tcPr>
            <w:tcW w:w="2397" w:type="dxa"/>
          </w:tcPr>
          <w:p w:rsidR="005251C3" w:rsidRPr="0096401D" w:rsidRDefault="005843C2" w:rsidP="0096401D">
            <w:pPr>
              <w:pStyle w:val="ListParagraph"/>
              <w:tabs>
                <w:tab w:val="left" w:pos="1302"/>
              </w:tabs>
              <w:ind w:left="0"/>
              <w:jc w:val="center"/>
              <w:rPr>
                <w:rFonts w:cs="Times New Roman"/>
                <w:b/>
                <w:szCs w:val="24"/>
              </w:rPr>
            </w:pPr>
            <w:r w:rsidRPr="0096401D">
              <w:rPr>
                <w:rFonts w:cs="Times New Roman"/>
                <w:b/>
                <w:szCs w:val="24"/>
              </w:rPr>
              <w:t>2019</w:t>
            </w:r>
          </w:p>
        </w:tc>
        <w:tc>
          <w:tcPr>
            <w:tcW w:w="2373" w:type="dxa"/>
          </w:tcPr>
          <w:p w:rsidR="005251C3" w:rsidRPr="0096401D" w:rsidRDefault="005843C2" w:rsidP="0096401D">
            <w:pPr>
              <w:pStyle w:val="ListParagraph"/>
              <w:tabs>
                <w:tab w:val="left" w:pos="1302"/>
              </w:tabs>
              <w:ind w:left="0"/>
              <w:jc w:val="center"/>
              <w:rPr>
                <w:rFonts w:cs="Times New Roman"/>
                <w:b/>
                <w:szCs w:val="24"/>
              </w:rPr>
            </w:pPr>
            <w:r w:rsidRPr="0096401D">
              <w:rPr>
                <w:rFonts w:cs="Times New Roman"/>
                <w:b/>
                <w:szCs w:val="24"/>
              </w:rPr>
              <w:t>2020</w:t>
            </w:r>
          </w:p>
        </w:tc>
      </w:tr>
      <w:tr w:rsidR="00B16F93" w:rsidTr="0096401D">
        <w:tc>
          <w:tcPr>
            <w:tcW w:w="1313" w:type="dxa"/>
          </w:tcPr>
          <w:p w:rsidR="005251C3" w:rsidRPr="00D06354" w:rsidRDefault="005843C2" w:rsidP="00D06354">
            <w:pPr>
              <w:pStyle w:val="ListParagraph"/>
              <w:tabs>
                <w:tab w:val="left" w:pos="1302"/>
              </w:tabs>
              <w:ind w:left="0"/>
              <w:rPr>
                <w:rFonts w:cs="Times New Roman"/>
                <w:szCs w:val="24"/>
              </w:rPr>
            </w:pPr>
            <w:r w:rsidRPr="00D06354">
              <w:rPr>
                <w:rFonts w:cs="Times New Roman"/>
                <w:szCs w:val="24"/>
              </w:rPr>
              <w:t>Gearing ratio</w:t>
            </w:r>
          </w:p>
        </w:tc>
        <w:tc>
          <w:tcPr>
            <w:tcW w:w="3205" w:type="dxa"/>
          </w:tcPr>
          <w:p w:rsidR="005251C3" w:rsidRPr="00D06354" w:rsidRDefault="005843C2" w:rsidP="00D06354">
            <w:pPr>
              <w:tabs>
                <w:tab w:val="left" w:pos="1302"/>
              </w:tabs>
              <w:rPr>
                <w:rFonts w:cs="Times New Roman"/>
                <w:szCs w:val="24"/>
                <w:u w:val="single"/>
                <w:lang w:val="fr-FR"/>
              </w:rPr>
            </w:pPr>
            <w:r w:rsidRPr="00D06354">
              <w:rPr>
                <w:rFonts w:cs="Times New Roman"/>
                <w:szCs w:val="24"/>
                <w:u w:val="single"/>
                <w:lang w:val="fr-FR"/>
              </w:rPr>
              <w:t xml:space="preserve">Non-Current Liabilities </w:t>
            </w:r>
            <w:r w:rsidRPr="00D06354">
              <w:rPr>
                <w:rFonts w:cs="Times New Roman"/>
                <w:szCs w:val="24"/>
                <w:lang w:val="fr-FR"/>
              </w:rPr>
              <w:t xml:space="preserve">      x 100</w:t>
            </w:r>
          </w:p>
          <w:p w:rsidR="005251C3" w:rsidRPr="00D06354" w:rsidRDefault="005843C2" w:rsidP="00D06354">
            <w:pPr>
              <w:tabs>
                <w:tab w:val="left" w:pos="1302"/>
              </w:tabs>
              <w:rPr>
                <w:rFonts w:cs="Times New Roman"/>
                <w:szCs w:val="24"/>
                <w:lang w:val="fr-FR"/>
              </w:rPr>
            </w:pPr>
            <w:r w:rsidRPr="00D06354">
              <w:rPr>
                <w:rFonts w:cs="Times New Roman"/>
                <w:szCs w:val="24"/>
                <w:lang w:val="fr-FR"/>
              </w:rPr>
              <w:t>Non-current liabilities + Equity</w:t>
            </w:r>
          </w:p>
          <w:p w:rsidR="005251C3" w:rsidRPr="00D06354" w:rsidRDefault="005251C3" w:rsidP="00D06354">
            <w:pPr>
              <w:pStyle w:val="ListParagraph"/>
              <w:tabs>
                <w:tab w:val="left" w:pos="1302"/>
              </w:tabs>
              <w:ind w:left="0"/>
              <w:rPr>
                <w:rFonts w:cs="Times New Roman"/>
                <w:szCs w:val="24"/>
              </w:rPr>
            </w:pPr>
          </w:p>
        </w:tc>
        <w:tc>
          <w:tcPr>
            <w:tcW w:w="2397" w:type="dxa"/>
          </w:tcPr>
          <w:p w:rsidR="005251C3" w:rsidRPr="00D06354" w:rsidRDefault="005843C2" w:rsidP="00D06354">
            <w:pPr>
              <w:tabs>
                <w:tab w:val="left" w:pos="1302"/>
              </w:tabs>
              <w:rPr>
                <w:rFonts w:cs="Times New Roman"/>
                <w:szCs w:val="24"/>
              </w:rPr>
            </w:pPr>
            <w:r w:rsidRPr="00D06354">
              <w:rPr>
                <w:rFonts w:cs="Times New Roman"/>
                <w:szCs w:val="24"/>
              </w:rPr>
              <w:t>=(150/(150+2,068+ 4,008))*100</w:t>
            </w:r>
          </w:p>
          <w:p w:rsidR="005251C3" w:rsidRPr="00D06354" w:rsidRDefault="005843C2" w:rsidP="00D06354">
            <w:pPr>
              <w:tabs>
                <w:tab w:val="left" w:pos="1302"/>
              </w:tabs>
              <w:rPr>
                <w:rFonts w:cs="Times New Roman"/>
                <w:szCs w:val="24"/>
              </w:rPr>
            </w:pPr>
            <w:r w:rsidRPr="00D06354">
              <w:rPr>
                <w:rFonts w:cs="Times New Roman"/>
                <w:szCs w:val="24"/>
              </w:rPr>
              <w:t>= 2.41%</w:t>
            </w:r>
          </w:p>
        </w:tc>
        <w:tc>
          <w:tcPr>
            <w:tcW w:w="2373" w:type="dxa"/>
          </w:tcPr>
          <w:p w:rsidR="005251C3" w:rsidRPr="00D06354" w:rsidRDefault="005843C2" w:rsidP="00D06354">
            <w:pPr>
              <w:tabs>
                <w:tab w:val="left" w:pos="1302"/>
              </w:tabs>
              <w:rPr>
                <w:rFonts w:cs="Times New Roman"/>
                <w:szCs w:val="24"/>
              </w:rPr>
            </w:pPr>
            <w:r w:rsidRPr="00D06354">
              <w:rPr>
                <w:rFonts w:cs="Times New Roman"/>
                <w:szCs w:val="24"/>
              </w:rPr>
              <w:t>=(145/(145+2,056+ 4,073))*100</w:t>
            </w:r>
          </w:p>
          <w:p w:rsidR="005251C3" w:rsidRPr="00D06354" w:rsidRDefault="005843C2" w:rsidP="00D06354">
            <w:pPr>
              <w:tabs>
                <w:tab w:val="left" w:pos="1302"/>
              </w:tabs>
              <w:rPr>
                <w:rFonts w:cs="Times New Roman"/>
                <w:szCs w:val="24"/>
              </w:rPr>
            </w:pPr>
            <w:r w:rsidRPr="00D06354">
              <w:rPr>
                <w:rFonts w:cs="Times New Roman"/>
                <w:szCs w:val="24"/>
              </w:rPr>
              <w:t>= 2.31%</w:t>
            </w:r>
          </w:p>
        </w:tc>
      </w:tr>
      <w:tr w:rsidR="00B16F93" w:rsidTr="0096401D">
        <w:tc>
          <w:tcPr>
            <w:tcW w:w="1313" w:type="dxa"/>
          </w:tcPr>
          <w:p w:rsidR="005251C3" w:rsidRPr="00D06354" w:rsidRDefault="005843C2" w:rsidP="00D06354">
            <w:pPr>
              <w:pStyle w:val="ListParagraph"/>
              <w:tabs>
                <w:tab w:val="left" w:pos="1302"/>
              </w:tabs>
              <w:ind w:left="0"/>
              <w:rPr>
                <w:rFonts w:cs="Times New Roman"/>
                <w:szCs w:val="24"/>
              </w:rPr>
            </w:pPr>
            <w:r w:rsidRPr="00D06354">
              <w:rPr>
                <w:rFonts w:cs="Times New Roman"/>
                <w:szCs w:val="24"/>
              </w:rPr>
              <w:t>Debt to equity ratio</w:t>
            </w:r>
          </w:p>
        </w:tc>
        <w:tc>
          <w:tcPr>
            <w:tcW w:w="3205" w:type="dxa"/>
          </w:tcPr>
          <w:p w:rsidR="005251C3" w:rsidRPr="00D06354" w:rsidRDefault="005843C2" w:rsidP="00D06354">
            <w:pPr>
              <w:tabs>
                <w:tab w:val="left" w:pos="1302"/>
              </w:tabs>
              <w:rPr>
                <w:rFonts w:cs="Times New Roman"/>
                <w:szCs w:val="24"/>
                <w:u w:val="single"/>
                <w:lang w:val="en-GB"/>
              </w:rPr>
            </w:pPr>
            <w:r w:rsidRPr="00D06354">
              <w:rPr>
                <w:rFonts w:cs="Times New Roman"/>
                <w:szCs w:val="24"/>
                <w:u w:val="single"/>
                <w:lang w:val="en-GB"/>
              </w:rPr>
              <w:t xml:space="preserve">Total liabilities  </w:t>
            </w:r>
          </w:p>
          <w:p w:rsidR="005251C3" w:rsidRPr="00D06354" w:rsidRDefault="005843C2" w:rsidP="00D06354">
            <w:pPr>
              <w:pStyle w:val="ListParagraph"/>
              <w:tabs>
                <w:tab w:val="left" w:pos="1302"/>
              </w:tabs>
              <w:ind w:left="0"/>
              <w:rPr>
                <w:rFonts w:cs="Times New Roman"/>
                <w:szCs w:val="24"/>
              </w:rPr>
            </w:pPr>
            <w:r w:rsidRPr="00D06354">
              <w:rPr>
                <w:rFonts w:cs="Times New Roman"/>
                <w:szCs w:val="24"/>
                <w:lang w:val="en-GB"/>
              </w:rPr>
              <w:t>Total Shareholders’ Equity</w:t>
            </w:r>
          </w:p>
        </w:tc>
        <w:tc>
          <w:tcPr>
            <w:tcW w:w="2397" w:type="dxa"/>
          </w:tcPr>
          <w:p w:rsidR="005251C3" w:rsidRPr="00D06354" w:rsidRDefault="005843C2" w:rsidP="00D06354">
            <w:pPr>
              <w:tabs>
                <w:tab w:val="left" w:pos="1302"/>
              </w:tabs>
              <w:rPr>
                <w:rFonts w:cs="Times New Roman"/>
                <w:szCs w:val="24"/>
              </w:rPr>
            </w:pPr>
            <w:r w:rsidRPr="00D06354">
              <w:rPr>
                <w:rFonts w:cs="Times New Roman"/>
                <w:szCs w:val="24"/>
              </w:rPr>
              <w:t>=(1339+150)/(2,068+4,008)</w:t>
            </w:r>
          </w:p>
          <w:p w:rsidR="005251C3" w:rsidRPr="00D06354" w:rsidRDefault="005843C2" w:rsidP="00D06354">
            <w:pPr>
              <w:tabs>
                <w:tab w:val="left" w:pos="1302"/>
              </w:tabs>
              <w:rPr>
                <w:rFonts w:cs="Times New Roman"/>
                <w:szCs w:val="24"/>
              </w:rPr>
            </w:pPr>
            <w:r w:rsidRPr="00D06354">
              <w:rPr>
                <w:rFonts w:cs="Times New Roman"/>
                <w:szCs w:val="24"/>
              </w:rPr>
              <w:t xml:space="preserve">= </w:t>
            </w:r>
            <w:r w:rsidR="00264EFC" w:rsidRPr="00D06354">
              <w:rPr>
                <w:rFonts w:cs="Times New Roman"/>
                <w:szCs w:val="24"/>
              </w:rPr>
              <w:t>0.25</w:t>
            </w:r>
          </w:p>
        </w:tc>
        <w:tc>
          <w:tcPr>
            <w:tcW w:w="2373" w:type="dxa"/>
          </w:tcPr>
          <w:p w:rsidR="005251C3" w:rsidRPr="00D06354" w:rsidRDefault="005843C2" w:rsidP="00D06354">
            <w:pPr>
              <w:pStyle w:val="ListParagraph"/>
              <w:tabs>
                <w:tab w:val="left" w:pos="1302"/>
              </w:tabs>
              <w:ind w:left="0"/>
              <w:rPr>
                <w:rFonts w:cs="Times New Roman"/>
                <w:szCs w:val="24"/>
              </w:rPr>
            </w:pPr>
            <w:r w:rsidRPr="00D06354">
              <w:rPr>
                <w:rFonts w:cs="Times New Roman"/>
                <w:szCs w:val="24"/>
              </w:rPr>
              <w:t>=(1616+145)/( 2,056+ 4,073)</w:t>
            </w:r>
          </w:p>
          <w:p w:rsidR="00264EFC" w:rsidRPr="00D06354" w:rsidRDefault="005843C2" w:rsidP="00D06354">
            <w:pPr>
              <w:pStyle w:val="ListParagraph"/>
              <w:tabs>
                <w:tab w:val="left" w:pos="1302"/>
              </w:tabs>
              <w:ind w:left="0"/>
              <w:rPr>
                <w:rFonts w:cs="Times New Roman"/>
                <w:szCs w:val="24"/>
              </w:rPr>
            </w:pPr>
            <w:r w:rsidRPr="00D06354">
              <w:rPr>
                <w:rFonts w:cs="Times New Roman"/>
                <w:szCs w:val="24"/>
              </w:rPr>
              <w:t>=0.29</w:t>
            </w:r>
          </w:p>
        </w:tc>
      </w:tr>
      <w:tr w:rsidR="00B16F93" w:rsidTr="0096401D">
        <w:trPr>
          <w:trHeight w:val="863"/>
        </w:trPr>
        <w:tc>
          <w:tcPr>
            <w:tcW w:w="1313" w:type="dxa"/>
          </w:tcPr>
          <w:p w:rsidR="005251C3" w:rsidRPr="00D06354" w:rsidRDefault="005843C2" w:rsidP="00D06354">
            <w:pPr>
              <w:pStyle w:val="ListParagraph"/>
              <w:tabs>
                <w:tab w:val="left" w:pos="1302"/>
              </w:tabs>
              <w:ind w:left="0"/>
              <w:rPr>
                <w:rFonts w:cs="Times New Roman"/>
                <w:szCs w:val="24"/>
              </w:rPr>
            </w:pPr>
            <w:r w:rsidRPr="00D06354">
              <w:rPr>
                <w:rFonts w:cs="Times New Roman"/>
                <w:szCs w:val="24"/>
              </w:rPr>
              <w:t>Interest Cover</w:t>
            </w:r>
          </w:p>
        </w:tc>
        <w:tc>
          <w:tcPr>
            <w:tcW w:w="3205" w:type="dxa"/>
          </w:tcPr>
          <w:p w:rsidR="00264EFC" w:rsidRPr="00D06354" w:rsidRDefault="005843C2" w:rsidP="00D06354">
            <w:pPr>
              <w:tabs>
                <w:tab w:val="left" w:pos="1302"/>
              </w:tabs>
              <w:rPr>
                <w:rFonts w:cs="Times New Roman"/>
                <w:szCs w:val="24"/>
                <w:u w:val="single"/>
                <w:lang w:val="en-GB"/>
              </w:rPr>
            </w:pPr>
            <w:r w:rsidRPr="00D06354">
              <w:rPr>
                <w:rFonts w:cs="Times New Roman"/>
                <w:szCs w:val="24"/>
                <w:u w:val="single"/>
                <w:lang w:val="en-GB"/>
              </w:rPr>
              <w:t xml:space="preserve">Operating Profit </w:t>
            </w:r>
            <w:r w:rsidRPr="00D06354">
              <w:rPr>
                <w:rFonts w:cs="Times New Roman"/>
                <w:szCs w:val="24"/>
                <w:lang w:val="en-GB"/>
              </w:rPr>
              <w:t xml:space="preserve">     </w:t>
            </w:r>
          </w:p>
          <w:p w:rsidR="005251C3" w:rsidRPr="0096401D" w:rsidRDefault="005843C2" w:rsidP="0096401D">
            <w:pPr>
              <w:tabs>
                <w:tab w:val="left" w:pos="1302"/>
              </w:tabs>
              <w:rPr>
                <w:rFonts w:cs="Times New Roman"/>
                <w:szCs w:val="24"/>
                <w:lang w:val="en-GB"/>
              </w:rPr>
            </w:pPr>
            <w:r w:rsidRPr="00D06354">
              <w:rPr>
                <w:rFonts w:cs="Times New Roman"/>
                <w:szCs w:val="24"/>
                <w:lang w:val="en-GB"/>
              </w:rPr>
              <w:t xml:space="preserve">Interest Expense  </w:t>
            </w:r>
          </w:p>
        </w:tc>
        <w:tc>
          <w:tcPr>
            <w:tcW w:w="2397" w:type="dxa"/>
          </w:tcPr>
          <w:p w:rsidR="005251C3" w:rsidRPr="00D06354" w:rsidRDefault="005843C2" w:rsidP="00D06354">
            <w:pPr>
              <w:pStyle w:val="ListParagraph"/>
              <w:tabs>
                <w:tab w:val="left" w:pos="1302"/>
              </w:tabs>
              <w:ind w:left="0"/>
              <w:rPr>
                <w:rFonts w:cs="Times New Roman"/>
                <w:szCs w:val="24"/>
              </w:rPr>
            </w:pPr>
            <w:r w:rsidRPr="00D06354">
              <w:rPr>
                <w:rFonts w:cs="Times New Roman"/>
                <w:szCs w:val="24"/>
              </w:rPr>
              <w:t>=(4,028/20)</w:t>
            </w:r>
          </w:p>
          <w:p w:rsidR="00264EFC" w:rsidRPr="00D06354" w:rsidRDefault="005843C2" w:rsidP="00D06354">
            <w:pPr>
              <w:pStyle w:val="ListParagraph"/>
              <w:tabs>
                <w:tab w:val="left" w:pos="1302"/>
              </w:tabs>
              <w:ind w:left="0"/>
              <w:rPr>
                <w:rFonts w:cs="Times New Roman"/>
                <w:szCs w:val="24"/>
              </w:rPr>
            </w:pPr>
            <w:r w:rsidRPr="00D06354">
              <w:rPr>
                <w:rFonts w:cs="Times New Roman"/>
                <w:szCs w:val="24"/>
              </w:rPr>
              <w:t>=201.4 times</w:t>
            </w:r>
          </w:p>
        </w:tc>
        <w:tc>
          <w:tcPr>
            <w:tcW w:w="2373" w:type="dxa"/>
          </w:tcPr>
          <w:p w:rsidR="00264EFC" w:rsidRPr="00D06354" w:rsidRDefault="005843C2" w:rsidP="00D06354">
            <w:pPr>
              <w:pStyle w:val="ListParagraph"/>
              <w:tabs>
                <w:tab w:val="left" w:pos="1302"/>
              </w:tabs>
              <w:ind w:left="0"/>
              <w:rPr>
                <w:rFonts w:cs="Times New Roman"/>
                <w:szCs w:val="24"/>
              </w:rPr>
            </w:pPr>
            <w:r w:rsidRPr="00D06354">
              <w:rPr>
                <w:rFonts w:cs="Times New Roman"/>
                <w:szCs w:val="24"/>
              </w:rPr>
              <w:t>=(4,091/18)</w:t>
            </w:r>
          </w:p>
          <w:p w:rsidR="00264EFC" w:rsidRPr="00D06354" w:rsidRDefault="005843C2" w:rsidP="00D06354">
            <w:pPr>
              <w:pStyle w:val="ListParagraph"/>
              <w:tabs>
                <w:tab w:val="left" w:pos="1302"/>
              </w:tabs>
              <w:ind w:left="0"/>
              <w:rPr>
                <w:rFonts w:cs="Times New Roman"/>
                <w:szCs w:val="24"/>
              </w:rPr>
            </w:pPr>
            <w:r w:rsidRPr="00D06354">
              <w:rPr>
                <w:rFonts w:cs="Times New Roman"/>
                <w:szCs w:val="24"/>
              </w:rPr>
              <w:t>= 227.27 times</w:t>
            </w:r>
          </w:p>
        </w:tc>
      </w:tr>
    </w:tbl>
    <w:p w:rsidR="00D06354" w:rsidRPr="005843C2" w:rsidRDefault="000532B0" w:rsidP="000532B0">
      <w:pPr>
        <w:tabs>
          <w:tab w:val="left" w:pos="1302"/>
        </w:tabs>
        <w:spacing w:before="240"/>
        <w:jc w:val="center"/>
        <w:rPr>
          <w:rFonts w:cs="Times New Roman"/>
          <w:szCs w:val="24"/>
        </w:rPr>
      </w:pPr>
      <w:r>
        <w:rPr>
          <w:rFonts w:cs="Times New Roman"/>
          <w:szCs w:val="24"/>
        </w:rPr>
        <w:t>Table 3: Gearing Ratios of Jurys Inn</w:t>
      </w:r>
    </w:p>
    <w:p w:rsidR="009865A6" w:rsidRDefault="005843C2" w:rsidP="00D06354">
      <w:pPr>
        <w:pStyle w:val="ListParagraph"/>
        <w:tabs>
          <w:tab w:val="left" w:pos="1302"/>
        </w:tabs>
        <w:jc w:val="center"/>
        <w:rPr>
          <w:rFonts w:cs="Times New Roman"/>
          <w:szCs w:val="24"/>
        </w:rPr>
      </w:pPr>
      <w:r w:rsidRPr="00D06354">
        <w:rPr>
          <w:rFonts w:cs="Times New Roman"/>
          <w:noProof/>
          <w:szCs w:val="24"/>
          <w:lang w:val="en-GB" w:eastAsia="en-GB"/>
        </w:rPr>
        <w:drawing>
          <wp:inline distT="0" distB="0" distL="0" distR="0">
            <wp:extent cx="4572000" cy="2743200"/>
            <wp:effectExtent l="0" t="0" r="19050" b="1905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96401D" w:rsidRPr="00D06354" w:rsidRDefault="0096401D" w:rsidP="0096401D">
      <w:pPr>
        <w:pStyle w:val="ListParagraph"/>
        <w:tabs>
          <w:tab w:val="left" w:pos="1302"/>
        </w:tabs>
        <w:jc w:val="center"/>
        <w:rPr>
          <w:rFonts w:cs="Times New Roman"/>
          <w:szCs w:val="24"/>
        </w:rPr>
      </w:pPr>
      <w:r>
        <w:rPr>
          <w:rFonts w:cs="Times New Roman"/>
          <w:szCs w:val="24"/>
        </w:rPr>
        <w:t>Figure 3: Gearing Ratios Graphs</w:t>
      </w:r>
      <w:r w:rsidR="007A0B73">
        <w:rPr>
          <w:rFonts w:cs="Times New Roman"/>
          <w:szCs w:val="24"/>
        </w:rPr>
        <w:t xml:space="preserve"> (Self-creation)</w:t>
      </w:r>
    </w:p>
    <w:p w:rsidR="009865A6" w:rsidRPr="0096401D" w:rsidRDefault="005843C2" w:rsidP="0096401D">
      <w:pPr>
        <w:tabs>
          <w:tab w:val="left" w:pos="1302"/>
        </w:tabs>
        <w:rPr>
          <w:rFonts w:cs="Times New Roman"/>
          <w:szCs w:val="24"/>
        </w:rPr>
      </w:pPr>
      <w:r w:rsidRPr="0096401D">
        <w:rPr>
          <w:rFonts w:cs="Times New Roman"/>
          <w:szCs w:val="24"/>
        </w:rPr>
        <w:t>The gearing ratios of the Jurys Inn are explained below:</w:t>
      </w:r>
    </w:p>
    <w:p w:rsidR="009865A6" w:rsidRPr="00D06354" w:rsidRDefault="005843C2" w:rsidP="002B34A4">
      <w:pPr>
        <w:pStyle w:val="ListParagraph"/>
        <w:numPr>
          <w:ilvl w:val="0"/>
          <w:numId w:val="10"/>
        </w:numPr>
        <w:tabs>
          <w:tab w:val="left" w:pos="1302"/>
        </w:tabs>
        <w:rPr>
          <w:rFonts w:cs="Times New Roman"/>
          <w:szCs w:val="24"/>
        </w:rPr>
      </w:pPr>
      <w:r w:rsidRPr="00D06354">
        <w:rPr>
          <w:rFonts w:cs="Times New Roman"/>
          <w:szCs w:val="24"/>
        </w:rPr>
        <w:t>Gearing Ratio: The gearing ratio measures the extent to which the company has taken debt compared to equity</w:t>
      </w:r>
      <w:r w:rsidR="002B34A4">
        <w:rPr>
          <w:rFonts w:cs="Times New Roman"/>
          <w:szCs w:val="24"/>
        </w:rPr>
        <w:t xml:space="preserve"> </w:t>
      </w:r>
      <w:r w:rsidR="002B34A4" w:rsidRPr="002B34A4">
        <w:rPr>
          <w:rFonts w:cs="Times New Roman"/>
          <w:szCs w:val="24"/>
        </w:rPr>
        <w:t>(Moyer et al., 2014)</w:t>
      </w:r>
      <w:r w:rsidRPr="00D06354">
        <w:rPr>
          <w:rFonts w:cs="Times New Roman"/>
          <w:szCs w:val="24"/>
        </w:rPr>
        <w:t>. The gearing ratio has fallen from 2.41 in 2019 to 2.31 in 2020. This means the company has debt compared to its total capital. A reduced gearing ratio is good for Jurys Inn.</w:t>
      </w:r>
    </w:p>
    <w:p w:rsidR="009865A6" w:rsidRPr="00D06354" w:rsidRDefault="005843C2" w:rsidP="00D06354">
      <w:pPr>
        <w:pStyle w:val="ListParagraph"/>
        <w:numPr>
          <w:ilvl w:val="0"/>
          <w:numId w:val="10"/>
        </w:numPr>
        <w:tabs>
          <w:tab w:val="left" w:pos="1302"/>
        </w:tabs>
        <w:rPr>
          <w:rFonts w:cs="Times New Roman"/>
          <w:szCs w:val="24"/>
        </w:rPr>
      </w:pPr>
      <w:r w:rsidRPr="00D06354">
        <w:rPr>
          <w:rFonts w:cs="Times New Roman"/>
          <w:szCs w:val="24"/>
        </w:rPr>
        <w:t xml:space="preserve">Debt to Equity Ratio: The debt to equity ratio is used to measure financial leverage. A lower debt to equity ratio is good for a firm because there will be less possibility of bankruptcy. The Jurys Inn has shown an increase in its debt-equity structure. But the debt of the company is much less compared to its shareholder’s equity. So the company is in a good position at present. </w:t>
      </w:r>
    </w:p>
    <w:p w:rsidR="001D1EDF" w:rsidRPr="0096401D" w:rsidRDefault="005843C2" w:rsidP="002B34A4">
      <w:pPr>
        <w:pStyle w:val="ListParagraph"/>
        <w:numPr>
          <w:ilvl w:val="0"/>
          <w:numId w:val="10"/>
        </w:numPr>
        <w:tabs>
          <w:tab w:val="left" w:pos="1302"/>
        </w:tabs>
        <w:rPr>
          <w:rFonts w:cs="Times New Roman"/>
          <w:szCs w:val="24"/>
        </w:rPr>
      </w:pPr>
      <w:r w:rsidRPr="00D06354">
        <w:rPr>
          <w:rFonts w:cs="Times New Roman"/>
          <w:szCs w:val="24"/>
        </w:rPr>
        <w:t xml:space="preserve">Interest Coverage Ratio: </w:t>
      </w:r>
      <w:r w:rsidR="002B34A4">
        <w:rPr>
          <w:rFonts w:cs="Times New Roman"/>
          <w:szCs w:val="24"/>
        </w:rPr>
        <w:t>The interest c</w:t>
      </w:r>
      <w:r w:rsidR="001D1EDF" w:rsidRPr="00D06354">
        <w:rPr>
          <w:rFonts w:cs="Times New Roman"/>
          <w:szCs w:val="24"/>
        </w:rPr>
        <w:t xml:space="preserve">overage </w:t>
      </w:r>
      <w:r w:rsidR="000A3750">
        <w:rPr>
          <w:rFonts w:cs="Times New Roman"/>
          <w:szCs w:val="24"/>
        </w:rPr>
        <w:t>r</w:t>
      </w:r>
      <w:r w:rsidR="001D1EDF" w:rsidRPr="00D06354">
        <w:rPr>
          <w:rFonts w:cs="Times New Roman"/>
          <w:szCs w:val="24"/>
        </w:rPr>
        <w:t>atio is used to determine how many times the operating income can be used to pay the interest expenses of the firm</w:t>
      </w:r>
      <w:r w:rsidR="002B34A4">
        <w:rPr>
          <w:rFonts w:cs="Times New Roman"/>
          <w:szCs w:val="24"/>
        </w:rPr>
        <w:t xml:space="preserve"> </w:t>
      </w:r>
      <w:r w:rsidR="002B34A4" w:rsidRPr="002B34A4">
        <w:rPr>
          <w:rFonts w:cs="Times New Roman"/>
          <w:szCs w:val="24"/>
        </w:rPr>
        <w:t>(</w:t>
      </w:r>
      <w:proofErr w:type="spellStart"/>
      <w:r w:rsidR="002B34A4" w:rsidRPr="002B34A4">
        <w:rPr>
          <w:rFonts w:cs="Times New Roman"/>
          <w:szCs w:val="24"/>
        </w:rPr>
        <w:t>Delen</w:t>
      </w:r>
      <w:proofErr w:type="spellEnd"/>
      <w:r w:rsidR="002B34A4" w:rsidRPr="002B34A4">
        <w:rPr>
          <w:rFonts w:cs="Times New Roman"/>
          <w:szCs w:val="24"/>
        </w:rPr>
        <w:t xml:space="preserve"> et al., 2013)</w:t>
      </w:r>
      <w:r w:rsidR="001D1EDF" w:rsidRPr="00D06354">
        <w:rPr>
          <w:rFonts w:cs="Times New Roman"/>
          <w:szCs w:val="24"/>
        </w:rPr>
        <w:t>. The operating profit of Jurys Inn is much higher than the interest expense. The Interest coverage ratios are 201.40 and 227.28 times respectively in 2019 and 2020. Thus the company has enough operating profits to meet the interest expen</w:t>
      </w:r>
      <w:r w:rsidR="0096401D">
        <w:rPr>
          <w:rFonts w:cs="Times New Roman"/>
          <w:szCs w:val="24"/>
        </w:rPr>
        <w:t>ses.</w:t>
      </w:r>
    </w:p>
    <w:p w:rsidR="00D06354" w:rsidRPr="0096401D" w:rsidRDefault="0096401D" w:rsidP="0096401D">
      <w:pPr>
        <w:pStyle w:val="Heading1"/>
      </w:pPr>
      <w:bookmarkStart w:id="10" w:name="_Toc95048629"/>
      <w:bookmarkStart w:id="11" w:name="_Toc95051850"/>
      <w:r>
        <w:t xml:space="preserve">B) </w:t>
      </w:r>
      <w:r w:rsidR="005843C2" w:rsidRPr="00D06354">
        <w:t>Importance of Ratio Analysis in the Hospitality Sector:</w:t>
      </w:r>
      <w:bookmarkEnd w:id="10"/>
      <w:bookmarkEnd w:id="11"/>
    </w:p>
    <w:p w:rsidR="00920542" w:rsidRPr="005843C2" w:rsidRDefault="005843C2" w:rsidP="002B34A4">
      <w:pPr>
        <w:rPr>
          <w:rFonts w:cs="Times New Roman"/>
          <w:szCs w:val="24"/>
        </w:rPr>
      </w:pPr>
      <w:r w:rsidRPr="005843C2">
        <w:rPr>
          <w:rFonts w:cs="Times New Roman"/>
          <w:szCs w:val="24"/>
        </w:rPr>
        <w:t>The hospitality sector is one of the largest sectors in any country. There should be a set of financial ratios which will help the companies in the sector identify their performance patterns</w:t>
      </w:r>
      <w:r w:rsidR="002B34A4">
        <w:rPr>
          <w:rFonts w:cs="Times New Roman"/>
          <w:szCs w:val="24"/>
        </w:rPr>
        <w:t xml:space="preserve"> (</w:t>
      </w:r>
      <w:proofErr w:type="spellStart"/>
      <w:r w:rsidR="002B34A4">
        <w:rPr>
          <w:rFonts w:cs="Times New Roman"/>
          <w:szCs w:val="24"/>
        </w:rPr>
        <w:t>Delen</w:t>
      </w:r>
      <w:proofErr w:type="spellEnd"/>
      <w:r w:rsidR="002B34A4">
        <w:rPr>
          <w:rFonts w:cs="Times New Roman"/>
          <w:szCs w:val="24"/>
        </w:rPr>
        <w:t xml:space="preserve"> et al., 2013)</w:t>
      </w:r>
      <w:r w:rsidRPr="005843C2">
        <w:rPr>
          <w:rFonts w:cs="Times New Roman"/>
          <w:szCs w:val="24"/>
        </w:rPr>
        <w:t xml:space="preserve">. The hospitality sector has a heavy investment in fixed and tangible assets. Thus the companies in this sector should prepare the financial ratios to understand whether their assets are properly managed to generate revenues. </w:t>
      </w:r>
    </w:p>
    <w:p w:rsidR="003D7DFE" w:rsidRPr="005843C2" w:rsidRDefault="005843C2" w:rsidP="005843C2">
      <w:pPr>
        <w:tabs>
          <w:tab w:val="left" w:pos="1302"/>
        </w:tabs>
        <w:rPr>
          <w:rFonts w:cs="Times New Roman"/>
          <w:szCs w:val="24"/>
        </w:rPr>
      </w:pPr>
      <w:r w:rsidRPr="005843C2">
        <w:rPr>
          <w:rFonts w:cs="Times New Roman"/>
          <w:szCs w:val="24"/>
        </w:rPr>
        <w:t>The liquidity of a hospitality company is very important. A hospitality company has many different short-term obligations and day-to-day working capital needs. The company needs to be careful about its ability to meet the working capital and short-term debt obligations. The company will have a lot of current liabilities. The current liabilities of a hospitality firm come from salaries and wages, short-term equipment leasing, and other short-term liabilities. The company should have enough current assets to cover these current liabilities. Even in a time of recession, the company will need to have enough liquid assets to meet the short-term debt obligations.</w:t>
      </w:r>
    </w:p>
    <w:p w:rsidR="001D1EDF" w:rsidRPr="002B34A4" w:rsidRDefault="005843C2" w:rsidP="002B34A4">
      <w:r w:rsidRPr="005843C2">
        <w:rPr>
          <w:rFonts w:cs="Times New Roman"/>
          <w:szCs w:val="24"/>
        </w:rPr>
        <w:t xml:space="preserve">Financial leverage ratios are also important for hospitality firms. Hospitality companies generally have a great number of long-term liabilities along with short-term liabilities and debts. The long-term debts are mostly used to purchase fixed assets, buses, </w:t>
      </w:r>
      <w:r w:rsidR="006B4FD8" w:rsidRPr="005843C2">
        <w:rPr>
          <w:rFonts w:cs="Times New Roman"/>
          <w:szCs w:val="24"/>
        </w:rPr>
        <w:t>equipment</w:t>
      </w:r>
      <w:r w:rsidRPr="005843C2">
        <w:rPr>
          <w:rFonts w:cs="Times New Roman"/>
          <w:szCs w:val="24"/>
        </w:rPr>
        <w:t>, etc. for the company</w:t>
      </w:r>
      <w:r w:rsidR="002B34A4">
        <w:rPr>
          <w:rFonts w:cs="Times New Roman"/>
          <w:szCs w:val="24"/>
        </w:rPr>
        <w:t xml:space="preserve"> </w:t>
      </w:r>
      <w:r w:rsidR="002B34A4">
        <w:t>(Brigham and Houston, 2021)</w:t>
      </w:r>
      <w:r w:rsidRPr="005843C2">
        <w:rPr>
          <w:rFonts w:cs="Times New Roman"/>
          <w:szCs w:val="24"/>
        </w:rPr>
        <w:t xml:space="preserve">. </w:t>
      </w:r>
      <w:r w:rsidR="006B4FD8" w:rsidRPr="005843C2">
        <w:rPr>
          <w:rFonts w:cs="Times New Roman"/>
          <w:szCs w:val="24"/>
        </w:rPr>
        <w:t xml:space="preserve">The long-term debts are also used to maintain large costly hotels and private transportation systems. Thus the debt to equity ratio, gearing ratio </w:t>
      </w:r>
      <w:r w:rsidR="000A3750">
        <w:rPr>
          <w:rFonts w:cs="Times New Roman"/>
          <w:szCs w:val="24"/>
        </w:rPr>
        <w:t>is</w:t>
      </w:r>
      <w:r w:rsidR="006B4FD8" w:rsidRPr="005843C2">
        <w:rPr>
          <w:rFonts w:cs="Times New Roman"/>
          <w:szCs w:val="24"/>
        </w:rPr>
        <w:t xml:space="preserve"> very important and should be calculated by the company on a regular period. The long-term or fixed assets should be large enough compared to the long-term debts. Otherwise, the companies may experience financial difficulties and bankruptcy.</w:t>
      </w:r>
    </w:p>
    <w:p w:rsidR="00F740B9" w:rsidRPr="005843C2" w:rsidRDefault="005843C2" w:rsidP="002B34A4">
      <w:pPr>
        <w:rPr>
          <w:rFonts w:cs="Times New Roman"/>
          <w:szCs w:val="24"/>
        </w:rPr>
      </w:pPr>
      <w:r w:rsidRPr="005843C2">
        <w:rPr>
          <w:rFonts w:cs="Times New Roman"/>
          <w:szCs w:val="24"/>
        </w:rPr>
        <w:t>Profitability ratios for hospitality companies are significant because they will help the company understand whether they can manage their operating costs. The hospitality companies have a higher generation of money in general. The gross margins are generally very high and the companies have a lower cost of goods sold. The operating expenses of the companies are very high. So the companies should be efficient in managing their operating expenses. The company should manage the operating expenses properly and should try to increase its net profits. The hospitality company can manage the net profit and compare the ratios with the sector average</w:t>
      </w:r>
      <w:r w:rsidR="002B34A4">
        <w:rPr>
          <w:rFonts w:cs="Times New Roman"/>
          <w:szCs w:val="24"/>
        </w:rPr>
        <w:t xml:space="preserve"> (</w:t>
      </w:r>
      <w:proofErr w:type="spellStart"/>
      <w:r w:rsidR="002B34A4">
        <w:rPr>
          <w:rFonts w:cs="Times New Roman"/>
          <w:szCs w:val="24"/>
        </w:rPr>
        <w:t>Delen</w:t>
      </w:r>
      <w:proofErr w:type="spellEnd"/>
      <w:r w:rsidR="002B34A4">
        <w:rPr>
          <w:rFonts w:cs="Times New Roman"/>
          <w:szCs w:val="24"/>
        </w:rPr>
        <w:t xml:space="preserve"> et al., 2013)</w:t>
      </w:r>
      <w:r w:rsidRPr="005843C2">
        <w:rPr>
          <w:rFonts w:cs="Times New Roman"/>
          <w:szCs w:val="24"/>
        </w:rPr>
        <w:t>. This will help the company to keep up with required sector performances.</w:t>
      </w:r>
    </w:p>
    <w:p w:rsidR="00D3211B" w:rsidRPr="005843C2" w:rsidRDefault="005843C2" w:rsidP="005843C2">
      <w:pPr>
        <w:tabs>
          <w:tab w:val="left" w:pos="1302"/>
        </w:tabs>
        <w:rPr>
          <w:rFonts w:cs="Times New Roman"/>
          <w:szCs w:val="24"/>
        </w:rPr>
      </w:pPr>
      <w:r w:rsidRPr="005843C2">
        <w:rPr>
          <w:rFonts w:cs="Times New Roman"/>
          <w:szCs w:val="24"/>
        </w:rPr>
        <w:t xml:space="preserve">The fluctuations in these ratios can be carefully considered by the hospitality companies so that they can evaluate their performance, profitability, efficiency, leverage, liquidity compared to the total sector and the other firms operating in the hospitality sector. </w:t>
      </w:r>
    </w:p>
    <w:p w:rsidR="000532B0" w:rsidRDefault="000532B0">
      <w:pPr>
        <w:spacing w:line="276" w:lineRule="auto"/>
        <w:jc w:val="left"/>
        <w:rPr>
          <w:rFonts w:eastAsiaTheme="majorEastAsia" w:cstheme="majorBidi"/>
          <w:b/>
          <w:color w:val="000000" w:themeColor="text1"/>
          <w:sz w:val="32"/>
          <w:szCs w:val="32"/>
        </w:rPr>
      </w:pPr>
      <w:r>
        <w:br w:type="page"/>
      </w:r>
    </w:p>
    <w:p w:rsidR="00D06354" w:rsidRPr="00D06354" w:rsidRDefault="0096401D" w:rsidP="0096401D">
      <w:pPr>
        <w:pStyle w:val="Heading1"/>
      </w:pPr>
      <w:bookmarkStart w:id="12" w:name="_Toc95048630"/>
      <w:bookmarkStart w:id="13" w:name="_Toc95051851"/>
      <w:r>
        <w:t>C</w:t>
      </w:r>
      <w:r w:rsidR="005843C2" w:rsidRPr="00D06354">
        <w:t>) Benefits and Limitations of Ratio Analysis:</w:t>
      </w:r>
      <w:bookmarkEnd w:id="12"/>
      <w:bookmarkEnd w:id="13"/>
    </w:p>
    <w:p w:rsidR="00D06354" w:rsidRPr="00D06354" w:rsidRDefault="005843C2" w:rsidP="002B34A4">
      <w:pPr>
        <w:rPr>
          <w:rFonts w:cs="Times New Roman"/>
          <w:szCs w:val="24"/>
        </w:rPr>
      </w:pPr>
      <w:r w:rsidRPr="00D06354">
        <w:rPr>
          <w:rFonts w:cs="Times New Roman"/>
          <w:szCs w:val="24"/>
        </w:rPr>
        <w:t>The benefits of the ratio analysis in the hospitality sector are that they help the companies evaluate their financial statements, improvements, or loss. The information and analysis are important for the internal and external stakeholders</w:t>
      </w:r>
      <w:r w:rsidR="002B34A4">
        <w:rPr>
          <w:rFonts w:cs="Times New Roman"/>
          <w:szCs w:val="24"/>
        </w:rPr>
        <w:t xml:space="preserve"> (Drake and </w:t>
      </w:r>
      <w:proofErr w:type="spellStart"/>
      <w:r w:rsidR="002B34A4">
        <w:rPr>
          <w:rFonts w:cs="Times New Roman"/>
          <w:szCs w:val="24"/>
        </w:rPr>
        <w:t>Fabozzi</w:t>
      </w:r>
      <w:proofErr w:type="spellEnd"/>
      <w:r w:rsidR="002B34A4">
        <w:rPr>
          <w:rFonts w:cs="Times New Roman"/>
          <w:szCs w:val="24"/>
        </w:rPr>
        <w:t>,</w:t>
      </w:r>
      <w:r w:rsidR="002B34A4" w:rsidRPr="00CA2BA2">
        <w:rPr>
          <w:rFonts w:cs="Times New Roman"/>
          <w:szCs w:val="24"/>
        </w:rPr>
        <w:t xml:space="preserve"> 2012</w:t>
      </w:r>
      <w:r w:rsidR="002B34A4">
        <w:rPr>
          <w:rFonts w:cs="Times New Roman"/>
          <w:szCs w:val="24"/>
        </w:rPr>
        <w:t>)</w:t>
      </w:r>
      <w:r w:rsidRPr="00D06354">
        <w:rPr>
          <w:rFonts w:cs="Times New Roman"/>
          <w:szCs w:val="24"/>
        </w:rPr>
        <w:t xml:space="preserve">. The profitability of hospitality companies depends vastly on operating expenses. This sector is very prone to higher operating costs. The hospitality companies need to calculate the profitability ratios so that they don't fall behind the other companies in the sector. The companies can also manage their leverage and limit debt usage to avoid any bankruptcy and financial difficulties. </w:t>
      </w:r>
    </w:p>
    <w:p w:rsidR="00D06354" w:rsidRPr="00D06354" w:rsidRDefault="005843C2" w:rsidP="002B34A4">
      <w:pPr>
        <w:rPr>
          <w:rFonts w:cs="Times New Roman"/>
          <w:szCs w:val="24"/>
        </w:rPr>
      </w:pPr>
      <w:r w:rsidRPr="00D06354">
        <w:rPr>
          <w:rFonts w:cs="Times New Roman"/>
          <w:szCs w:val="24"/>
        </w:rPr>
        <w:t xml:space="preserve">There are a few limitations of ratio analysis in the hospitality sector. The ratio analysis does not consider different things which makes it less </w:t>
      </w:r>
      <w:r w:rsidR="002B34A4">
        <w:rPr>
          <w:rFonts w:cs="Times New Roman"/>
          <w:szCs w:val="24"/>
        </w:rPr>
        <w:t>valid for comparison among the organisation (Martin et al., 2020)</w:t>
      </w:r>
      <w:r w:rsidRPr="00D06354">
        <w:rPr>
          <w:rFonts w:cs="Times New Roman"/>
          <w:szCs w:val="24"/>
        </w:rPr>
        <w:t xml:space="preserve">. The hospitality companies are of different sizes. Some are more established, some are less. Ratio analysis does not consider the size of different businesses. Then, there are many issues and transactions which are contingent on the hospitality business. Ratio analysis does not consider these contingent liabilities. Ratio analysis does not manage the company's accounting policies. For example, depreciation can be calculated in different ways like the straight-line method, declining balance method, etc. Ratio analysis does not consider these differences. Ratio analysis does not consider inflation and market values. This makes the ratio analysis less reliable. Ratio analysis does not consider the seasonality of the business. Some firms can experience more profit in a particular season than others. But ratio analysis does not consider this. </w:t>
      </w:r>
    </w:p>
    <w:p w:rsidR="0096401D" w:rsidRDefault="0096401D">
      <w:pPr>
        <w:spacing w:line="276" w:lineRule="auto"/>
        <w:jc w:val="left"/>
        <w:rPr>
          <w:rFonts w:cs="Times New Roman"/>
          <w:b/>
          <w:sz w:val="28"/>
          <w:szCs w:val="24"/>
        </w:rPr>
      </w:pPr>
      <w:r>
        <w:rPr>
          <w:rFonts w:cs="Times New Roman"/>
          <w:b/>
          <w:sz w:val="28"/>
          <w:szCs w:val="24"/>
        </w:rPr>
        <w:br w:type="page"/>
      </w:r>
    </w:p>
    <w:p w:rsidR="000532B0" w:rsidRDefault="00CB2D35" w:rsidP="005713EA">
      <w:pPr>
        <w:pStyle w:val="Heading1"/>
      </w:pPr>
      <w:bookmarkStart w:id="14" w:name="_Toc95051852"/>
      <w:r>
        <w:t>Conclusion</w:t>
      </w:r>
      <w:bookmarkEnd w:id="14"/>
    </w:p>
    <w:p w:rsidR="00CB2D35" w:rsidRPr="002B34A4" w:rsidRDefault="000532B0" w:rsidP="006A5688">
      <w:pPr>
        <w:tabs>
          <w:tab w:val="left" w:pos="1302"/>
        </w:tabs>
        <w:rPr>
          <w:rFonts w:cs="Times New Roman"/>
          <w:szCs w:val="24"/>
        </w:rPr>
      </w:pPr>
      <w:r w:rsidRPr="00D06354">
        <w:rPr>
          <w:rFonts w:cs="Times New Roman"/>
          <w:szCs w:val="24"/>
        </w:rPr>
        <w:t xml:space="preserve">The hospitality sector of the United Kingdom is an important field for the country. Many firms are currently operating in this sector. To make </w:t>
      </w:r>
      <w:r w:rsidR="005713EA">
        <w:rPr>
          <w:rFonts w:cs="Times New Roman"/>
          <w:szCs w:val="24"/>
        </w:rPr>
        <w:t>ensure profitability</w:t>
      </w:r>
      <w:r w:rsidRPr="00D06354">
        <w:rPr>
          <w:rFonts w:cs="Times New Roman"/>
          <w:szCs w:val="24"/>
        </w:rPr>
        <w:t xml:space="preserve"> and </w:t>
      </w:r>
      <w:r w:rsidR="005713EA">
        <w:rPr>
          <w:rFonts w:cs="Times New Roman"/>
          <w:szCs w:val="24"/>
        </w:rPr>
        <w:t>growth, Jurys Inn</w:t>
      </w:r>
      <w:r w:rsidRPr="00D06354">
        <w:rPr>
          <w:rFonts w:cs="Times New Roman"/>
          <w:szCs w:val="24"/>
        </w:rPr>
        <w:t xml:space="preserve"> should prepare financial ratios every year and compare them with the sector average to evaluate their positions. </w:t>
      </w:r>
      <w:r w:rsidR="006A5688">
        <w:rPr>
          <w:rFonts w:cs="Times New Roman"/>
          <w:szCs w:val="24"/>
        </w:rPr>
        <w:t xml:space="preserve">The overall analysis of the profitability, liquidity, and leverage of the company indicates that the overall performance of the company in terms of liquidity, profitability, and leverage has deteriorated in 2020 as compared to that of 2019. </w:t>
      </w:r>
      <w:r w:rsidR="002B34A4">
        <w:rPr>
          <w:rFonts w:cs="Times New Roman"/>
          <w:szCs w:val="24"/>
        </w:rPr>
        <w:t xml:space="preserve">Specifically, </w:t>
      </w:r>
      <w:r w:rsidR="002B34A4" w:rsidRPr="002B34A4">
        <w:rPr>
          <w:rFonts w:cs="Times New Roman"/>
          <w:szCs w:val="24"/>
        </w:rPr>
        <w:t>Jurys Inn is operating in the hospitality sector of the UK. The gross margin of the company is high for the company in 2019 and 2020. The company has experienced a decline in the gross margin and operating profit margin from 2019 to 2020. The company has experienced an increase in ROCE and ROE from 2019 and 2020. The company has sufficient liquid assets and the liquidity ratios are acceptable. The debt to equity ratio is also good which means the company does not have excessive debt. The ratio analysis is important for the company. The liquidity, profitability, and leverage of the company can be managed by the ratio analysis.</w:t>
      </w:r>
      <w:r w:rsidR="002B34A4">
        <w:rPr>
          <w:rFonts w:cs="Times New Roman"/>
          <w:szCs w:val="24"/>
        </w:rPr>
        <w:t xml:space="preserve"> </w:t>
      </w:r>
      <w:r w:rsidR="006A5688">
        <w:rPr>
          <w:rFonts w:cs="Times New Roman"/>
          <w:szCs w:val="24"/>
        </w:rPr>
        <w:t>So, the company should take appropriate steps and measures to improve its performance in the coming period.</w:t>
      </w:r>
    </w:p>
    <w:p w:rsidR="006A5688" w:rsidRDefault="006A5688">
      <w:pPr>
        <w:spacing w:line="276" w:lineRule="auto"/>
        <w:jc w:val="left"/>
        <w:rPr>
          <w:rFonts w:eastAsiaTheme="majorEastAsia" w:cstheme="majorBidi"/>
          <w:b/>
          <w:color w:val="000000" w:themeColor="text1"/>
          <w:sz w:val="32"/>
          <w:szCs w:val="32"/>
        </w:rPr>
      </w:pPr>
      <w:bookmarkStart w:id="15" w:name="_Toc95048631"/>
      <w:r>
        <w:br w:type="page"/>
      </w:r>
    </w:p>
    <w:p w:rsidR="002544E2" w:rsidRDefault="005843C2" w:rsidP="000532B0">
      <w:pPr>
        <w:pStyle w:val="Heading1"/>
      </w:pPr>
      <w:bookmarkStart w:id="16" w:name="_Toc95051853"/>
      <w:r w:rsidRPr="005843C2">
        <w:t>References</w:t>
      </w:r>
      <w:bookmarkEnd w:id="15"/>
      <w:bookmarkEnd w:id="16"/>
    </w:p>
    <w:p w:rsidR="00CA2BA2" w:rsidRDefault="00CA2BA2" w:rsidP="00CA2BA2">
      <w:r w:rsidRPr="00CA2BA2">
        <w:t>Banerjee, B., 2015. Fundamentals of financial man</w:t>
      </w:r>
      <w:r>
        <w:t>agement. PHI Learning Pvt. Ltd.</w:t>
      </w:r>
    </w:p>
    <w:p w:rsidR="005444FF" w:rsidRDefault="005444FF" w:rsidP="00CA2BA2">
      <w:proofErr w:type="spellStart"/>
      <w:r w:rsidRPr="005444FF">
        <w:t>Berk</w:t>
      </w:r>
      <w:proofErr w:type="spellEnd"/>
      <w:r w:rsidRPr="005444FF">
        <w:t xml:space="preserve">, J., </w:t>
      </w:r>
      <w:proofErr w:type="spellStart"/>
      <w:r w:rsidRPr="005444FF">
        <w:t>DeMarzo</w:t>
      </w:r>
      <w:proofErr w:type="spellEnd"/>
      <w:r w:rsidRPr="005444FF">
        <w:t xml:space="preserve">, P., Harford, J., Ford, G., </w:t>
      </w:r>
      <w:proofErr w:type="spellStart"/>
      <w:r w:rsidRPr="005444FF">
        <w:t>Mollica</w:t>
      </w:r>
      <w:proofErr w:type="spellEnd"/>
      <w:r w:rsidRPr="005444FF">
        <w:t>, V. and Finch, N., 2013. Fundamentals of corporate finance. Pearson Higher Education AU.</w:t>
      </w:r>
    </w:p>
    <w:p w:rsidR="005444FF" w:rsidRPr="00CA2BA2" w:rsidRDefault="005444FF" w:rsidP="00CA2BA2">
      <w:proofErr w:type="spellStart"/>
      <w:r w:rsidRPr="005444FF">
        <w:t>Besley</w:t>
      </w:r>
      <w:proofErr w:type="spellEnd"/>
      <w:r w:rsidRPr="005444FF">
        <w:t>, S. and Brigham, E.F., 2014. Principles of finance. Cengage Learning.</w:t>
      </w:r>
    </w:p>
    <w:p w:rsidR="00CA2BA2" w:rsidRPr="00CA2BA2" w:rsidRDefault="00CA2BA2" w:rsidP="00CA2BA2">
      <w:r w:rsidRPr="00CA2BA2">
        <w:t>Brigham, E.F. and Houston, J.F., 2021. Fundamentals of financial management: Concise. Cengage Learning.</w:t>
      </w:r>
    </w:p>
    <w:p w:rsidR="002544E2" w:rsidRDefault="00CA2BA2" w:rsidP="002544E2">
      <w:pPr>
        <w:rPr>
          <w:rFonts w:cs="Times New Roman"/>
          <w:szCs w:val="24"/>
        </w:rPr>
      </w:pPr>
      <w:r w:rsidRPr="00CA2BA2">
        <w:rPr>
          <w:rFonts w:cs="Times New Roman"/>
          <w:szCs w:val="24"/>
        </w:rPr>
        <w:t>Chandra, P., 2011. Financial management. Tata McGraw-Hill Education.</w:t>
      </w:r>
    </w:p>
    <w:p w:rsidR="00CA2BA2" w:rsidRDefault="00CA2BA2" w:rsidP="002544E2">
      <w:pPr>
        <w:rPr>
          <w:rFonts w:cs="Times New Roman"/>
          <w:szCs w:val="24"/>
        </w:rPr>
      </w:pPr>
      <w:proofErr w:type="spellStart"/>
      <w:r w:rsidRPr="00CA2BA2">
        <w:rPr>
          <w:rFonts w:cs="Times New Roman"/>
          <w:szCs w:val="24"/>
        </w:rPr>
        <w:t>Delen</w:t>
      </w:r>
      <w:proofErr w:type="spellEnd"/>
      <w:r w:rsidRPr="00CA2BA2">
        <w:rPr>
          <w:rFonts w:cs="Times New Roman"/>
          <w:szCs w:val="24"/>
        </w:rPr>
        <w:t xml:space="preserve">, D., </w:t>
      </w:r>
      <w:proofErr w:type="spellStart"/>
      <w:r w:rsidRPr="00CA2BA2">
        <w:rPr>
          <w:rFonts w:cs="Times New Roman"/>
          <w:szCs w:val="24"/>
        </w:rPr>
        <w:t>Kuzey</w:t>
      </w:r>
      <w:proofErr w:type="spellEnd"/>
      <w:r w:rsidRPr="00CA2BA2">
        <w:rPr>
          <w:rFonts w:cs="Times New Roman"/>
          <w:szCs w:val="24"/>
        </w:rPr>
        <w:t xml:space="preserve">, C. and </w:t>
      </w:r>
      <w:proofErr w:type="spellStart"/>
      <w:r w:rsidRPr="00CA2BA2">
        <w:rPr>
          <w:rFonts w:cs="Times New Roman"/>
          <w:szCs w:val="24"/>
        </w:rPr>
        <w:t>Uyar</w:t>
      </w:r>
      <w:proofErr w:type="spellEnd"/>
      <w:r w:rsidRPr="00CA2BA2">
        <w:rPr>
          <w:rFonts w:cs="Times New Roman"/>
          <w:szCs w:val="24"/>
        </w:rPr>
        <w:t>, A., 2013. Measuring firm performance using financial ratios: A decision tree approach. Expert systems with applications, 40(10), pp.3970-3983.</w:t>
      </w:r>
    </w:p>
    <w:p w:rsidR="00CA2BA2" w:rsidRDefault="00CA2BA2" w:rsidP="002544E2">
      <w:pPr>
        <w:rPr>
          <w:rFonts w:cs="Times New Roman"/>
          <w:szCs w:val="24"/>
        </w:rPr>
      </w:pPr>
      <w:r w:rsidRPr="00CA2BA2">
        <w:rPr>
          <w:rFonts w:cs="Times New Roman"/>
          <w:szCs w:val="24"/>
        </w:rPr>
        <w:t xml:space="preserve">Drake, P.P. and </w:t>
      </w:r>
      <w:proofErr w:type="spellStart"/>
      <w:r w:rsidRPr="00CA2BA2">
        <w:rPr>
          <w:rFonts w:cs="Times New Roman"/>
          <w:szCs w:val="24"/>
        </w:rPr>
        <w:t>Fabozzi</w:t>
      </w:r>
      <w:proofErr w:type="spellEnd"/>
      <w:r w:rsidRPr="00CA2BA2">
        <w:rPr>
          <w:rFonts w:cs="Times New Roman"/>
          <w:szCs w:val="24"/>
        </w:rPr>
        <w:t>, F.J., 2012. Financial ratio analysis. Encyclopedia of Financial Models.</w:t>
      </w:r>
    </w:p>
    <w:p w:rsidR="00CA2BA2" w:rsidRDefault="00CA2BA2" w:rsidP="002544E2">
      <w:pPr>
        <w:rPr>
          <w:rFonts w:cs="Times New Roman"/>
          <w:szCs w:val="24"/>
        </w:rPr>
      </w:pPr>
      <w:r w:rsidRPr="00CA2BA2">
        <w:rPr>
          <w:rFonts w:cs="Times New Roman"/>
          <w:szCs w:val="24"/>
        </w:rPr>
        <w:t xml:space="preserve">Martin, J.D., </w:t>
      </w:r>
      <w:proofErr w:type="spellStart"/>
      <w:r w:rsidRPr="00CA2BA2">
        <w:rPr>
          <w:rFonts w:cs="Times New Roman"/>
          <w:szCs w:val="24"/>
        </w:rPr>
        <w:t>Keown</w:t>
      </w:r>
      <w:proofErr w:type="spellEnd"/>
      <w:r w:rsidRPr="00CA2BA2">
        <w:rPr>
          <w:rFonts w:cs="Times New Roman"/>
          <w:szCs w:val="24"/>
        </w:rPr>
        <w:t>, A.J. and Titman, S., 2020. Financial management: principles and applications. Prentice</w:t>
      </w:r>
      <w:r w:rsidR="000A3750">
        <w:rPr>
          <w:rFonts w:cs="Times New Roman"/>
          <w:szCs w:val="24"/>
        </w:rPr>
        <w:t>-</w:t>
      </w:r>
      <w:r w:rsidRPr="00CA2BA2">
        <w:rPr>
          <w:rFonts w:cs="Times New Roman"/>
          <w:szCs w:val="24"/>
        </w:rPr>
        <w:t>Hall.</w:t>
      </w:r>
    </w:p>
    <w:p w:rsidR="00CA2BA2" w:rsidRDefault="00CA2BA2" w:rsidP="002544E2">
      <w:pPr>
        <w:rPr>
          <w:rFonts w:cs="Times New Roman"/>
          <w:szCs w:val="24"/>
        </w:rPr>
      </w:pPr>
      <w:r w:rsidRPr="00CA2BA2">
        <w:rPr>
          <w:rFonts w:cs="Times New Roman"/>
          <w:szCs w:val="24"/>
        </w:rPr>
        <w:t xml:space="preserve">Moyer, R.C., </w:t>
      </w:r>
      <w:proofErr w:type="spellStart"/>
      <w:r w:rsidRPr="00CA2BA2">
        <w:rPr>
          <w:rFonts w:cs="Times New Roman"/>
          <w:szCs w:val="24"/>
        </w:rPr>
        <w:t>McGuigan</w:t>
      </w:r>
      <w:proofErr w:type="spellEnd"/>
      <w:r w:rsidRPr="00CA2BA2">
        <w:rPr>
          <w:rFonts w:cs="Times New Roman"/>
          <w:szCs w:val="24"/>
        </w:rPr>
        <w:t>, J.R. and Rao, R.P., 2014. Contemporary financial management. Cengage Learning.</w:t>
      </w:r>
    </w:p>
    <w:p w:rsidR="005444FF" w:rsidRDefault="005444FF" w:rsidP="002544E2">
      <w:pPr>
        <w:rPr>
          <w:rFonts w:cs="Times New Roman"/>
          <w:szCs w:val="24"/>
        </w:rPr>
      </w:pPr>
      <w:r w:rsidRPr="005444FF">
        <w:rPr>
          <w:rFonts w:cs="Times New Roman"/>
          <w:szCs w:val="24"/>
        </w:rPr>
        <w:t xml:space="preserve">Needles, B.E., Powers, M. and </w:t>
      </w:r>
      <w:proofErr w:type="spellStart"/>
      <w:r w:rsidRPr="005444FF">
        <w:rPr>
          <w:rFonts w:cs="Times New Roman"/>
          <w:szCs w:val="24"/>
        </w:rPr>
        <w:t>Crosson</w:t>
      </w:r>
      <w:proofErr w:type="spellEnd"/>
      <w:r w:rsidRPr="005444FF">
        <w:rPr>
          <w:rFonts w:cs="Times New Roman"/>
          <w:szCs w:val="24"/>
        </w:rPr>
        <w:t>, S.V., 2013. Principles of accounting. Cengage Learning.</w:t>
      </w:r>
    </w:p>
    <w:p w:rsidR="005444FF" w:rsidRPr="002544E2" w:rsidRDefault="005444FF" w:rsidP="002544E2">
      <w:pPr>
        <w:rPr>
          <w:rFonts w:cs="Times New Roman"/>
          <w:szCs w:val="24"/>
        </w:rPr>
      </w:pPr>
      <w:r w:rsidRPr="005444FF">
        <w:rPr>
          <w:rFonts w:cs="Times New Roman"/>
          <w:szCs w:val="24"/>
        </w:rPr>
        <w:t xml:space="preserve">Titman, S. and </w:t>
      </w:r>
      <w:proofErr w:type="spellStart"/>
      <w:r w:rsidRPr="005444FF">
        <w:rPr>
          <w:rFonts w:cs="Times New Roman"/>
          <w:szCs w:val="24"/>
        </w:rPr>
        <w:t>Keown</w:t>
      </w:r>
      <w:proofErr w:type="spellEnd"/>
      <w:r w:rsidRPr="005444FF">
        <w:rPr>
          <w:rFonts w:cs="Times New Roman"/>
          <w:szCs w:val="24"/>
        </w:rPr>
        <w:t>, A.J., 2018. Financial management: Principles and applic</w:t>
      </w:r>
      <w:r>
        <w:rPr>
          <w:rFonts w:cs="Times New Roman"/>
          <w:szCs w:val="24"/>
        </w:rPr>
        <w:t>ations. Pearson Education, Inc.</w:t>
      </w:r>
    </w:p>
    <w:sectPr w:rsidR="005444FF" w:rsidRPr="002544E2" w:rsidSect="003C4E25">
      <w:footerReference w:type="default" r:id="rId12"/>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B595E" w:rsidRDefault="008B595E" w:rsidP="00BF1FA9">
      <w:pPr>
        <w:spacing w:after="0" w:line="240" w:lineRule="auto"/>
      </w:pPr>
      <w:r>
        <w:separator/>
      </w:r>
    </w:p>
  </w:endnote>
  <w:endnote w:type="continuationSeparator" w:id="0">
    <w:p w:rsidR="008B595E" w:rsidRDefault="008B595E" w:rsidP="00BF1F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C4E25" w:rsidRDefault="003C4E25">
    <w:pPr>
      <w:pStyle w:val="Footer"/>
      <w:jc w:val="center"/>
    </w:pPr>
  </w:p>
  <w:p w:rsidR="00BF1FA9" w:rsidRDefault="00BF1FA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3039104"/>
      <w:docPartObj>
        <w:docPartGallery w:val="Page Numbers (Bottom of Page)"/>
        <w:docPartUnique/>
      </w:docPartObj>
    </w:sdtPr>
    <w:sdtEndPr>
      <w:rPr>
        <w:noProof/>
      </w:rPr>
    </w:sdtEndPr>
    <w:sdtContent>
      <w:p w:rsidR="003C4E25" w:rsidRDefault="003C4E25">
        <w:pPr>
          <w:pStyle w:val="Footer"/>
          <w:jc w:val="center"/>
        </w:pPr>
        <w:r>
          <w:fldChar w:fldCharType="begin"/>
        </w:r>
        <w:r>
          <w:instrText xml:space="preserve"> PAGE   \* MERGEFORMAT </w:instrText>
        </w:r>
        <w:r>
          <w:fldChar w:fldCharType="separate"/>
        </w:r>
        <w:r w:rsidR="007A0B73">
          <w:rPr>
            <w:noProof/>
          </w:rPr>
          <w:t>10</w:t>
        </w:r>
        <w:r>
          <w:rPr>
            <w:noProof/>
          </w:rPr>
          <w:fldChar w:fldCharType="end"/>
        </w:r>
      </w:p>
    </w:sdtContent>
  </w:sdt>
  <w:p w:rsidR="003C4E25" w:rsidRDefault="003C4E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B595E" w:rsidRDefault="008B595E" w:rsidP="00BF1FA9">
      <w:pPr>
        <w:spacing w:after="0" w:line="240" w:lineRule="auto"/>
      </w:pPr>
      <w:r>
        <w:separator/>
      </w:r>
    </w:p>
  </w:footnote>
  <w:footnote w:type="continuationSeparator" w:id="0">
    <w:p w:rsidR="008B595E" w:rsidRDefault="008B595E" w:rsidP="00BF1F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571E2"/>
    <w:multiLevelType w:val="hybridMultilevel"/>
    <w:tmpl w:val="648A8A50"/>
    <w:lvl w:ilvl="0" w:tplc="5D70EDBA">
      <w:start w:val="1"/>
      <w:numFmt w:val="lowerLetter"/>
      <w:lvlText w:val="(%1)"/>
      <w:lvlJc w:val="left"/>
      <w:pPr>
        <w:ind w:left="720" w:hanging="360"/>
      </w:pPr>
      <w:rPr>
        <w:rFonts w:hint="default"/>
      </w:rPr>
    </w:lvl>
    <w:lvl w:ilvl="1" w:tplc="9BE29AA6" w:tentative="1">
      <w:start w:val="1"/>
      <w:numFmt w:val="lowerLetter"/>
      <w:lvlText w:val="%2."/>
      <w:lvlJc w:val="left"/>
      <w:pPr>
        <w:ind w:left="1440" w:hanging="360"/>
      </w:pPr>
    </w:lvl>
    <w:lvl w:ilvl="2" w:tplc="6C5679DE" w:tentative="1">
      <w:start w:val="1"/>
      <w:numFmt w:val="lowerRoman"/>
      <w:lvlText w:val="%3."/>
      <w:lvlJc w:val="right"/>
      <w:pPr>
        <w:ind w:left="2160" w:hanging="180"/>
      </w:pPr>
    </w:lvl>
    <w:lvl w:ilvl="3" w:tplc="A63863E8" w:tentative="1">
      <w:start w:val="1"/>
      <w:numFmt w:val="decimal"/>
      <w:lvlText w:val="%4."/>
      <w:lvlJc w:val="left"/>
      <w:pPr>
        <w:ind w:left="2880" w:hanging="360"/>
      </w:pPr>
    </w:lvl>
    <w:lvl w:ilvl="4" w:tplc="438E16B0" w:tentative="1">
      <w:start w:val="1"/>
      <w:numFmt w:val="lowerLetter"/>
      <w:lvlText w:val="%5."/>
      <w:lvlJc w:val="left"/>
      <w:pPr>
        <w:ind w:left="3600" w:hanging="360"/>
      </w:pPr>
    </w:lvl>
    <w:lvl w:ilvl="5" w:tplc="CC60F906" w:tentative="1">
      <w:start w:val="1"/>
      <w:numFmt w:val="lowerRoman"/>
      <w:lvlText w:val="%6."/>
      <w:lvlJc w:val="right"/>
      <w:pPr>
        <w:ind w:left="4320" w:hanging="180"/>
      </w:pPr>
    </w:lvl>
    <w:lvl w:ilvl="6" w:tplc="F5600898" w:tentative="1">
      <w:start w:val="1"/>
      <w:numFmt w:val="decimal"/>
      <w:lvlText w:val="%7."/>
      <w:lvlJc w:val="left"/>
      <w:pPr>
        <w:ind w:left="5040" w:hanging="360"/>
      </w:pPr>
    </w:lvl>
    <w:lvl w:ilvl="7" w:tplc="228A80D8" w:tentative="1">
      <w:start w:val="1"/>
      <w:numFmt w:val="lowerLetter"/>
      <w:lvlText w:val="%8."/>
      <w:lvlJc w:val="left"/>
      <w:pPr>
        <w:ind w:left="5760" w:hanging="360"/>
      </w:pPr>
    </w:lvl>
    <w:lvl w:ilvl="8" w:tplc="4B6E2448" w:tentative="1">
      <w:start w:val="1"/>
      <w:numFmt w:val="lowerRoman"/>
      <w:lvlText w:val="%9."/>
      <w:lvlJc w:val="right"/>
      <w:pPr>
        <w:ind w:left="6480" w:hanging="180"/>
      </w:pPr>
    </w:lvl>
  </w:abstractNum>
  <w:abstractNum w:abstractNumId="1" w15:restartNumberingAfterBreak="0">
    <w:nsid w:val="08BA7F09"/>
    <w:multiLevelType w:val="hybridMultilevel"/>
    <w:tmpl w:val="C1DA6A90"/>
    <w:lvl w:ilvl="0" w:tplc="6FB62C4A">
      <w:start w:val="1"/>
      <w:numFmt w:val="lowerLetter"/>
      <w:lvlText w:val="%1."/>
      <w:lvlJc w:val="left"/>
      <w:pPr>
        <w:ind w:left="720" w:hanging="360"/>
      </w:pPr>
      <w:rPr>
        <w:rFonts w:hint="default"/>
      </w:rPr>
    </w:lvl>
    <w:lvl w:ilvl="1" w:tplc="7050487E" w:tentative="1">
      <w:start w:val="1"/>
      <w:numFmt w:val="lowerLetter"/>
      <w:lvlText w:val="%2."/>
      <w:lvlJc w:val="left"/>
      <w:pPr>
        <w:ind w:left="1440" w:hanging="360"/>
      </w:pPr>
    </w:lvl>
    <w:lvl w:ilvl="2" w:tplc="99DAED8A" w:tentative="1">
      <w:start w:val="1"/>
      <w:numFmt w:val="lowerRoman"/>
      <w:lvlText w:val="%3."/>
      <w:lvlJc w:val="right"/>
      <w:pPr>
        <w:ind w:left="2160" w:hanging="180"/>
      </w:pPr>
    </w:lvl>
    <w:lvl w:ilvl="3" w:tplc="8E667D2A" w:tentative="1">
      <w:start w:val="1"/>
      <w:numFmt w:val="decimal"/>
      <w:lvlText w:val="%4."/>
      <w:lvlJc w:val="left"/>
      <w:pPr>
        <w:ind w:left="2880" w:hanging="360"/>
      </w:pPr>
    </w:lvl>
    <w:lvl w:ilvl="4" w:tplc="14E4F022" w:tentative="1">
      <w:start w:val="1"/>
      <w:numFmt w:val="lowerLetter"/>
      <w:lvlText w:val="%5."/>
      <w:lvlJc w:val="left"/>
      <w:pPr>
        <w:ind w:left="3600" w:hanging="360"/>
      </w:pPr>
    </w:lvl>
    <w:lvl w:ilvl="5" w:tplc="02FCD636" w:tentative="1">
      <w:start w:val="1"/>
      <w:numFmt w:val="lowerRoman"/>
      <w:lvlText w:val="%6."/>
      <w:lvlJc w:val="right"/>
      <w:pPr>
        <w:ind w:left="4320" w:hanging="180"/>
      </w:pPr>
    </w:lvl>
    <w:lvl w:ilvl="6" w:tplc="52BC8960" w:tentative="1">
      <w:start w:val="1"/>
      <w:numFmt w:val="decimal"/>
      <w:lvlText w:val="%7."/>
      <w:lvlJc w:val="left"/>
      <w:pPr>
        <w:ind w:left="5040" w:hanging="360"/>
      </w:pPr>
    </w:lvl>
    <w:lvl w:ilvl="7" w:tplc="A28C7E08" w:tentative="1">
      <w:start w:val="1"/>
      <w:numFmt w:val="lowerLetter"/>
      <w:lvlText w:val="%8."/>
      <w:lvlJc w:val="left"/>
      <w:pPr>
        <w:ind w:left="5760" w:hanging="360"/>
      </w:pPr>
    </w:lvl>
    <w:lvl w:ilvl="8" w:tplc="8280DBF0" w:tentative="1">
      <w:start w:val="1"/>
      <w:numFmt w:val="lowerRoman"/>
      <w:lvlText w:val="%9."/>
      <w:lvlJc w:val="right"/>
      <w:pPr>
        <w:ind w:left="6480" w:hanging="180"/>
      </w:pPr>
    </w:lvl>
  </w:abstractNum>
  <w:abstractNum w:abstractNumId="2" w15:restartNumberingAfterBreak="0">
    <w:nsid w:val="12236B77"/>
    <w:multiLevelType w:val="multilevel"/>
    <w:tmpl w:val="8BCEF8E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14606741"/>
    <w:multiLevelType w:val="hybridMultilevel"/>
    <w:tmpl w:val="F96428BE"/>
    <w:lvl w:ilvl="0" w:tplc="EC3C62C2">
      <w:start w:val="1"/>
      <w:numFmt w:val="lowerLetter"/>
      <w:lvlText w:val="%1."/>
      <w:lvlJc w:val="left"/>
      <w:pPr>
        <w:ind w:left="720" w:hanging="360"/>
      </w:pPr>
      <w:rPr>
        <w:rFonts w:hint="default"/>
      </w:rPr>
    </w:lvl>
    <w:lvl w:ilvl="1" w:tplc="1E5650B0" w:tentative="1">
      <w:start w:val="1"/>
      <w:numFmt w:val="lowerLetter"/>
      <w:lvlText w:val="%2."/>
      <w:lvlJc w:val="left"/>
      <w:pPr>
        <w:ind w:left="1440" w:hanging="360"/>
      </w:pPr>
    </w:lvl>
    <w:lvl w:ilvl="2" w:tplc="FDDA4CA6" w:tentative="1">
      <w:start w:val="1"/>
      <w:numFmt w:val="lowerRoman"/>
      <w:lvlText w:val="%3."/>
      <w:lvlJc w:val="right"/>
      <w:pPr>
        <w:ind w:left="2160" w:hanging="180"/>
      </w:pPr>
    </w:lvl>
    <w:lvl w:ilvl="3" w:tplc="EB6AC24A" w:tentative="1">
      <w:start w:val="1"/>
      <w:numFmt w:val="decimal"/>
      <w:lvlText w:val="%4."/>
      <w:lvlJc w:val="left"/>
      <w:pPr>
        <w:ind w:left="2880" w:hanging="360"/>
      </w:pPr>
    </w:lvl>
    <w:lvl w:ilvl="4" w:tplc="2E2A8DE6" w:tentative="1">
      <w:start w:val="1"/>
      <w:numFmt w:val="lowerLetter"/>
      <w:lvlText w:val="%5."/>
      <w:lvlJc w:val="left"/>
      <w:pPr>
        <w:ind w:left="3600" w:hanging="360"/>
      </w:pPr>
    </w:lvl>
    <w:lvl w:ilvl="5" w:tplc="2F3A0DC0" w:tentative="1">
      <w:start w:val="1"/>
      <w:numFmt w:val="lowerRoman"/>
      <w:lvlText w:val="%6."/>
      <w:lvlJc w:val="right"/>
      <w:pPr>
        <w:ind w:left="4320" w:hanging="180"/>
      </w:pPr>
    </w:lvl>
    <w:lvl w:ilvl="6" w:tplc="E6DC0A2A" w:tentative="1">
      <w:start w:val="1"/>
      <w:numFmt w:val="decimal"/>
      <w:lvlText w:val="%7."/>
      <w:lvlJc w:val="left"/>
      <w:pPr>
        <w:ind w:left="5040" w:hanging="360"/>
      </w:pPr>
    </w:lvl>
    <w:lvl w:ilvl="7" w:tplc="5D96A1BE" w:tentative="1">
      <w:start w:val="1"/>
      <w:numFmt w:val="lowerLetter"/>
      <w:lvlText w:val="%8."/>
      <w:lvlJc w:val="left"/>
      <w:pPr>
        <w:ind w:left="5760" w:hanging="360"/>
      </w:pPr>
    </w:lvl>
    <w:lvl w:ilvl="8" w:tplc="94F4FD04" w:tentative="1">
      <w:start w:val="1"/>
      <w:numFmt w:val="lowerRoman"/>
      <w:lvlText w:val="%9."/>
      <w:lvlJc w:val="right"/>
      <w:pPr>
        <w:ind w:left="6480" w:hanging="180"/>
      </w:pPr>
    </w:lvl>
  </w:abstractNum>
  <w:abstractNum w:abstractNumId="4" w15:restartNumberingAfterBreak="0">
    <w:nsid w:val="2EF10383"/>
    <w:multiLevelType w:val="hybridMultilevel"/>
    <w:tmpl w:val="CF00B33C"/>
    <w:lvl w:ilvl="0" w:tplc="C80E393E">
      <w:start w:val="1"/>
      <w:numFmt w:val="lowerLetter"/>
      <w:lvlText w:val="%1."/>
      <w:lvlJc w:val="left"/>
      <w:pPr>
        <w:ind w:left="1080" w:hanging="360"/>
      </w:pPr>
      <w:rPr>
        <w:rFonts w:hint="default"/>
      </w:rPr>
    </w:lvl>
    <w:lvl w:ilvl="1" w:tplc="4D704752" w:tentative="1">
      <w:start w:val="1"/>
      <w:numFmt w:val="lowerLetter"/>
      <w:lvlText w:val="%2."/>
      <w:lvlJc w:val="left"/>
      <w:pPr>
        <w:ind w:left="1800" w:hanging="360"/>
      </w:pPr>
    </w:lvl>
    <w:lvl w:ilvl="2" w:tplc="8D3E2BC4" w:tentative="1">
      <w:start w:val="1"/>
      <w:numFmt w:val="lowerRoman"/>
      <w:lvlText w:val="%3."/>
      <w:lvlJc w:val="right"/>
      <w:pPr>
        <w:ind w:left="2520" w:hanging="180"/>
      </w:pPr>
    </w:lvl>
    <w:lvl w:ilvl="3" w:tplc="710EB898" w:tentative="1">
      <w:start w:val="1"/>
      <w:numFmt w:val="decimal"/>
      <w:lvlText w:val="%4."/>
      <w:lvlJc w:val="left"/>
      <w:pPr>
        <w:ind w:left="3240" w:hanging="360"/>
      </w:pPr>
    </w:lvl>
    <w:lvl w:ilvl="4" w:tplc="4DBA281C" w:tentative="1">
      <w:start w:val="1"/>
      <w:numFmt w:val="lowerLetter"/>
      <w:lvlText w:val="%5."/>
      <w:lvlJc w:val="left"/>
      <w:pPr>
        <w:ind w:left="3960" w:hanging="360"/>
      </w:pPr>
    </w:lvl>
    <w:lvl w:ilvl="5" w:tplc="46A23DC2" w:tentative="1">
      <w:start w:val="1"/>
      <w:numFmt w:val="lowerRoman"/>
      <w:lvlText w:val="%6."/>
      <w:lvlJc w:val="right"/>
      <w:pPr>
        <w:ind w:left="4680" w:hanging="180"/>
      </w:pPr>
    </w:lvl>
    <w:lvl w:ilvl="6" w:tplc="95DA4CE6" w:tentative="1">
      <w:start w:val="1"/>
      <w:numFmt w:val="decimal"/>
      <w:lvlText w:val="%7."/>
      <w:lvlJc w:val="left"/>
      <w:pPr>
        <w:ind w:left="5400" w:hanging="360"/>
      </w:pPr>
    </w:lvl>
    <w:lvl w:ilvl="7" w:tplc="8436B60A" w:tentative="1">
      <w:start w:val="1"/>
      <w:numFmt w:val="lowerLetter"/>
      <w:lvlText w:val="%8."/>
      <w:lvlJc w:val="left"/>
      <w:pPr>
        <w:ind w:left="6120" w:hanging="360"/>
      </w:pPr>
    </w:lvl>
    <w:lvl w:ilvl="8" w:tplc="233AE960" w:tentative="1">
      <w:start w:val="1"/>
      <w:numFmt w:val="lowerRoman"/>
      <w:lvlText w:val="%9."/>
      <w:lvlJc w:val="right"/>
      <w:pPr>
        <w:ind w:left="6840" w:hanging="180"/>
      </w:pPr>
    </w:lvl>
  </w:abstractNum>
  <w:abstractNum w:abstractNumId="5" w15:restartNumberingAfterBreak="0">
    <w:nsid w:val="3C6B1A64"/>
    <w:multiLevelType w:val="hybridMultilevel"/>
    <w:tmpl w:val="F94A16CA"/>
    <w:lvl w:ilvl="0" w:tplc="703AFFA2">
      <w:start w:val="1"/>
      <w:numFmt w:val="lowerLetter"/>
      <w:lvlText w:val="(%1)"/>
      <w:lvlJc w:val="left"/>
      <w:pPr>
        <w:ind w:left="1080" w:hanging="360"/>
      </w:pPr>
      <w:rPr>
        <w:rFonts w:hint="default"/>
      </w:rPr>
    </w:lvl>
    <w:lvl w:ilvl="1" w:tplc="9B384DAC" w:tentative="1">
      <w:start w:val="1"/>
      <w:numFmt w:val="lowerLetter"/>
      <w:lvlText w:val="%2."/>
      <w:lvlJc w:val="left"/>
      <w:pPr>
        <w:ind w:left="1800" w:hanging="360"/>
      </w:pPr>
    </w:lvl>
    <w:lvl w:ilvl="2" w:tplc="40B2530A" w:tentative="1">
      <w:start w:val="1"/>
      <w:numFmt w:val="lowerRoman"/>
      <w:lvlText w:val="%3."/>
      <w:lvlJc w:val="right"/>
      <w:pPr>
        <w:ind w:left="2520" w:hanging="180"/>
      </w:pPr>
    </w:lvl>
    <w:lvl w:ilvl="3" w:tplc="244E1396" w:tentative="1">
      <w:start w:val="1"/>
      <w:numFmt w:val="decimal"/>
      <w:lvlText w:val="%4."/>
      <w:lvlJc w:val="left"/>
      <w:pPr>
        <w:ind w:left="3240" w:hanging="360"/>
      </w:pPr>
    </w:lvl>
    <w:lvl w:ilvl="4" w:tplc="9DA6924C" w:tentative="1">
      <w:start w:val="1"/>
      <w:numFmt w:val="lowerLetter"/>
      <w:lvlText w:val="%5."/>
      <w:lvlJc w:val="left"/>
      <w:pPr>
        <w:ind w:left="3960" w:hanging="360"/>
      </w:pPr>
    </w:lvl>
    <w:lvl w:ilvl="5" w:tplc="F0F44E0C" w:tentative="1">
      <w:start w:val="1"/>
      <w:numFmt w:val="lowerRoman"/>
      <w:lvlText w:val="%6."/>
      <w:lvlJc w:val="right"/>
      <w:pPr>
        <w:ind w:left="4680" w:hanging="180"/>
      </w:pPr>
    </w:lvl>
    <w:lvl w:ilvl="6" w:tplc="AD7866FE" w:tentative="1">
      <w:start w:val="1"/>
      <w:numFmt w:val="decimal"/>
      <w:lvlText w:val="%7."/>
      <w:lvlJc w:val="left"/>
      <w:pPr>
        <w:ind w:left="5400" w:hanging="360"/>
      </w:pPr>
    </w:lvl>
    <w:lvl w:ilvl="7" w:tplc="9FACF052" w:tentative="1">
      <w:start w:val="1"/>
      <w:numFmt w:val="lowerLetter"/>
      <w:lvlText w:val="%8."/>
      <w:lvlJc w:val="left"/>
      <w:pPr>
        <w:ind w:left="6120" w:hanging="360"/>
      </w:pPr>
    </w:lvl>
    <w:lvl w:ilvl="8" w:tplc="0618130E" w:tentative="1">
      <w:start w:val="1"/>
      <w:numFmt w:val="lowerRoman"/>
      <w:lvlText w:val="%9."/>
      <w:lvlJc w:val="right"/>
      <w:pPr>
        <w:ind w:left="6840" w:hanging="180"/>
      </w:pPr>
    </w:lvl>
  </w:abstractNum>
  <w:abstractNum w:abstractNumId="6" w15:restartNumberingAfterBreak="0">
    <w:nsid w:val="46A85975"/>
    <w:multiLevelType w:val="hybridMultilevel"/>
    <w:tmpl w:val="81DE82FA"/>
    <w:lvl w:ilvl="0" w:tplc="729A179E">
      <w:start w:val="2"/>
      <w:numFmt w:val="lowerLetter"/>
      <w:lvlText w:val="%1)"/>
      <w:lvlJc w:val="left"/>
      <w:pPr>
        <w:ind w:left="450" w:hanging="360"/>
      </w:pPr>
      <w:rPr>
        <w:rFonts w:hint="default"/>
      </w:rPr>
    </w:lvl>
    <w:lvl w:ilvl="1" w:tplc="57281298" w:tentative="1">
      <w:start w:val="1"/>
      <w:numFmt w:val="lowerLetter"/>
      <w:lvlText w:val="%2."/>
      <w:lvlJc w:val="left"/>
      <w:pPr>
        <w:ind w:left="1170" w:hanging="360"/>
      </w:pPr>
    </w:lvl>
    <w:lvl w:ilvl="2" w:tplc="B6848902" w:tentative="1">
      <w:start w:val="1"/>
      <w:numFmt w:val="lowerRoman"/>
      <w:lvlText w:val="%3."/>
      <w:lvlJc w:val="right"/>
      <w:pPr>
        <w:ind w:left="1890" w:hanging="180"/>
      </w:pPr>
    </w:lvl>
    <w:lvl w:ilvl="3" w:tplc="8EB8CB4A" w:tentative="1">
      <w:start w:val="1"/>
      <w:numFmt w:val="decimal"/>
      <w:lvlText w:val="%4."/>
      <w:lvlJc w:val="left"/>
      <w:pPr>
        <w:ind w:left="2610" w:hanging="360"/>
      </w:pPr>
    </w:lvl>
    <w:lvl w:ilvl="4" w:tplc="91C6F884" w:tentative="1">
      <w:start w:val="1"/>
      <w:numFmt w:val="lowerLetter"/>
      <w:lvlText w:val="%5."/>
      <w:lvlJc w:val="left"/>
      <w:pPr>
        <w:ind w:left="3330" w:hanging="360"/>
      </w:pPr>
    </w:lvl>
    <w:lvl w:ilvl="5" w:tplc="8E805206" w:tentative="1">
      <w:start w:val="1"/>
      <w:numFmt w:val="lowerRoman"/>
      <w:lvlText w:val="%6."/>
      <w:lvlJc w:val="right"/>
      <w:pPr>
        <w:ind w:left="4050" w:hanging="180"/>
      </w:pPr>
    </w:lvl>
    <w:lvl w:ilvl="6" w:tplc="1E088654" w:tentative="1">
      <w:start w:val="1"/>
      <w:numFmt w:val="decimal"/>
      <w:lvlText w:val="%7."/>
      <w:lvlJc w:val="left"/>
      <w:pPr>
        <w:ind w:left="4770" w:hanging="360"/>
      </w:pPr>
    </w:lvl>
    <w:lvl w:ilvl="7" w:tplc="A41AF51A" w:tentative="1">
      <w:start w:val="1"/>
      <w:numFmt w:val="lowerLetter"/>
      <w:lvlText w:val="%8."/>
      <w:lvlJc w:val="left"/>
      <w:pPr>
        <w:ind w:left="5490" w:hanging="360"/>
      </w:pPr>
    </w:lvl>
    <w:lvl w:ilvl="8" w:tplc="9A343FB2" w:tentative="1">
      <w:start w:val="1"/>
      <w:numFmt w:val="lowerRoman"/>
      <w:lvlText w:val="%9."/>
      <w:lvlJc w:val="right"/>
      <w:pPr>
        <w:ind w:left="6210" w:hanging="180"/>
      </w:pPr>
    </w:lvl>
  </w:abstractNum>
  <w:abstractNum w:abstractNumId="7" w15:restartNumberingAfterBreak="0">
    <w:nsid w:val="4CBE6C57"/>
    <w:multiLevelType w:val="hybridMultilevel"/>
    <w:tmpl w:val="04F46C04"/>
    <w:lvl w:ilvl="0" w:tplc="D8F6FA9C">
      <w:start w:val="1"/>
      <w:numFmt w:val="decimal"/>
      <w:lvlText w:val="%1."/>
      <w:lvlJc w:val="left"/>
      <w:pPr>
        <w:ind w:left="720" w:hanging="360"/>
      </w:pPr>
      <w:rPr>
        <w:rFonts w:hint="default"/>
      </w:rPr>
    </w:lvl>
    <w:lvl w:ilvl="1" w:tplc="EA30BB68" w:tentative="1">
      <w:start w:val="1"/>
      <w:numFmt w:val="lowerLetter"/>
      <w:lvlText w:val="%2."/>
      <w:lvlJc w:val="left"/>
      <w:pPr>
        <w:ind w:left="1440" w:hanging="360"/>
      </w:pPr>
    </w:lvl>
    <w:lvl w:ilvl="2" w:tplc="13CCF4DE" w:tentative="1">
      <w:start w:val="1"/>
      <w:numFmt w:val="lowerRoman"/>
      <w:lvlText w:val="%3."/>
      <w:lvlJc w:val="right"/>
      <w:pPr>
        <w:ind w:left="2160" w:hanging="180"/>
      </w:pPr>
    </w:lvl>
    <w:lvl w:ilvl="3" w:tplc="6AF0FFD0" w:tentative="1">
      <w:start w:val="1"/>
      <w:numFmt w:val="decimal"/>
      <w:lvlText w:val="%4."/>
      <w:lvlJc w:val="left"/>
      <w:pPr>
        <w:ind w:left="2880" w:hanging="360"/>
      </w:pPr>
    </w:lvl>
    <w:lvl w:ilvl="4" w:tplc="5C882DE4" w:tentative="1">
      <w:start w:val="1"/>
      <w:numFmt w:val="lowerLetter"/>
      <w:lvlText w:val="%5."/>
      <w:lvlJc w:val="left"/>
      <w:pPr>
        <w:ind w:left="3600" w:hanging="360"/>
      </w:pPr>
    </w:lvl>
    <w:lvl w:ilvl="5" w:tplc="F49EE8C4" w:tentative="1">
      <w:start w:val="1"/>
      <w:numFmt w:val="lowerRoman"/>
      <w:lvlText w:val="%6."/>
      <w:lvlJc w:val="right"/>
      <w:pPr>
        <w:ind w:left="4320" w:hanging="180"/>
      </w:pPr>
    </w:lvl>
    <w:lvl w:ilvl="6" w:tplc="6CFC818A" w:tentative="1">
      <w:start w:val="1"/>
      <w:numFmt w:val="decimal"/>
      <w:lvlText w:val="%7."/>
      <w:lvlJc w:val="left"/>
      <w:pPr>
        <w:ind w:left="5040" w:hanging="360"/>
      </w:pPr>
    </w:lvl>
    <w:lvl w:ilvl="7" w:tplc="0472C1FE" w:tentative="1">
      <w:start w:val="1"/>
      <w:numFmt w:val="lowerLetter"/>
      <w:lvlText w:val="%8."/>
      <w:lvlJc w:val="left"/>
      <w:pPr>
        <w:ind w:left="5760" w:hanging="360"/>
      </w:pPr>
    </w:lvl>
    <w:lvl w:ilvl="8" w:tplc="E55A5A94" w:tentative="1">
      <w:start w:val="1"/>
      <w:numFmt w:val="lowerRoman"/>
      <w:lvlText w:val="%9."/>
      <w:lvlJc w:val="right"/>
      <w:pPr>
        <w:ind w:left="6480" w:hanging="180"/>
      </w:pPr>
    </w:lvl>
  </w:abstractNum>
  <w:abstractNum w:abstractNumId="8" w15:restartNumberingAfterBreak="0">
    <w:nsid w:val="5B1625E7"/>
    <w:multiLevelType w:val="hybridMultilevel"/>
    <w:tmpl w:val="86981AD6"/>
    <w:lvl w:ilvl="0" w:tplc="9AEAAD42">
      <w:start w:val="1"/>
      <w:numFmt w:val="lowerLetter"/>
      <w:lvlText w:val="(%1)"/>
      <w:lvlJc w:val="left"/>
      <w:pPr>
        <w:ind w:left="720" w:hanging="360"/>
      </w:pPr>
      <w:rPr>
        <w:rFonts w:hint="default"/>
      </w:rPr>
    </w:lvl>
    <w:lvl w:ilvl="1" w:tplc="688883D0" w:tentative="1">
      <w:start w:val="1"/>
      <w:numFmt w:val="lowerLetter"/>
      <w:lvlText w:val="%2."/>
      <w:lvlJc w:val="left"/>
      <w:pPr>
        <w:ind w:left="1440" w:hanging="360"/>
      </w:pPr>
    </w:lvl>
    <w:lvl w:ilvl="2" w:tplc="536232D2" w:tentative="1">
      <w:start w:val="1"/>
      <w:numFmt w:val="lowerRoman"/>
      <w:lvlText w:val="%3."/>
      <w:lvlJc w:val="right"/>
      <w:pPr>
        <w:ind w:left="2160" w:hanging="180"/>
      </w:pPr>
    </w:lvl>
    <w:lvl w:ilvl="3" w:tplc="EB64FF12" w:tentative="1">
      <w:start w:val="1"/>
      <w:numFmt w:val="decimal"/>
      <w:lvlText w:val="%4."/>
      <w:lvlJc w:val="left"/>
      <w:pPr>
        <w:ind w:left="2880" w:hanging="360"/>
      </w:pPr>
    </w:lvl>
    <w:lvl w:ilvl="4" w:tplc="DA54662E" w:tentative="1">
      <w:start w:val="1"/>
      <w:numFmt w:val="lowerLetter"/>
      <w:lvlText w:val="%5."/>
      <w:lvlJc w:val="left"/>
      <w:pPr>
        <w:ind w:left="3600" w:hanging="360"/>
      </w:pPr>
    </w:lvl>
    <w:lvl w:ilvl="5" w:tplc="7A06940C" w:tentative="1">
      <w:start w:val="1"/>
      <w:numFmt w:val="lowerRoman"/>
      <w:lvlText w:val="%6."/>
      <w:lvlJc w:val="right"/>
      <w:pPr>
        <w:ind w:left="4320" w:hanging="180"/>
      </w:pPr>
    </w:lvl>
    <w:lvl w:ilvl="6" w:tplc="16647B7C" w:tentative="1">
      <w:start w:val="1"/>
      <w:numFmt w:val="decimal"/>
      <w:lvlText w:val="%7."/>
      <w:lvlJc w:val="left"/>
      <w:pPr>
        <w:ind w:left="5040" w:hanging="360"/>
      </w:pPr>
    </w:lvl>
    <w:lvl w:ilvl="7" w:tplc="C81C8ACA" w:tentative="1">
      <w:start w:val="1"/>
      <w:numFmt w:val="lowerLetter"/>
      <w:lvlText w:val="%8."/>
      <w:lvlJc w:val="left"/>
      <w:pPr>
        <w:ind w:left="5760" w:hanging="360"/>
      </w:pPr>
    </w:lvl>
    <w:lvl w:ilvl="8" w:tplc="CF4E90FE" w:tentative="1">
      <w:start w:val="1"/>
      <w:numFmt w:val="lowerRoman"/>
      <w:lvlText w:val="%9."/>
      <w:lvlJc w:val="right"/>
      <w:pPr>
        <w:ind w:left="6480" w:hanging="180"/>
      </w:pPr>
    </w:lvl>
  </w:abstractNum>
  <w:abstractNum w:abstractNumId="9" w15:restartNumberingAfterBreak="0">
    <w:nsid w:val="6BAE3AEA"/>
    <w:multiLevelType w:val="hybridMultilevel"/>
    <w:tmpl w:val="5B541D90"/>
    <w:lvl w:ilvl="0" w:tplc="4ECC816E">
      <w:start w:val="1"/>
      <w:numFmt w:val="lowerLetter"/>
      <w:lvlText w:val="%1)"/>
      <w:lvlJc w:val="left"/>
      <w:pPr>
        <w:ind w:left="360" w:hanging="360"/>
      </w:pPr>
      <w:rPr>
        <w:rFonts w:hint="default"/>
      </w:rPr>
    </w:lvl>
    <w:lvl w:ilvl="1" w:tplc="C8866A0C" w:tentative="1">
      <w:start w:val="1"/>
      <w:numFmt w:val="lowerLetter"/>
      <w:lvlText w:val="%2."/>
      <w:lvlJc w:val="left"/>
      <w:pPr>
        <w:ind w:left="1080" w:hanging="360"/>
      </w:pPr>
    </w:lvl>
    <w:lvl w:ilvl="2" w:tplc="BCCA34E4" w:tentative="1">
      <w:start w:val="1"/>
      <w:numFmt w:val="lowerRoman"/>
      <w:lvlText w:val="%3."/>
      <w:lvlJc w:val="right"/>
      <w:pPr>
        <w:ind w:left="1800" w:hanging="180"/>
      </w:pPr>
    </w:lvl>
    <w:lvl w:ilvl="3" w:tplc="8FC285B0" w:tentative="1">
      <w:start w:val="1"/>
      <w:numFmt w:val="decimal"/>
      <w:lvlText w:val="%4."/>
      <w:lvlJc w:val="left"/>
      <w:pPr>
        <w:ind w:left="2520" w:hanging="360"/>
      </w:pPr>
    </w:lvl>
    <w:lvl w:ilvl="4" w:tplc="4F90D168" w:tentative="1">
      <w:start w:val="1"/>
      <w:numFmt w:val="lowerLetter"/>
      <w:lvlText w:val="%5."/>
      <w:lvlJc w:val="left"/>
      <w:pPr>
        <w:ind w:left="3240" w:hanging="360"/>
      </w:pPr>
    </w:lvl>
    <w:lvl w:ilvl="5" w:tplc="22E87526" w:tentative="1">
      <w:start w:val="1"/>
      <w:numFmt w:val="lowerRoman"/>
      <w:lvlText w:val="%6."/>
      <w:lvlJc w:val="right"/>
      <w:pPr>
        <w:ind w:left="3960" w:hanging="180"/>
      </w:pPr>
    </w:lvl>
    <w:lvl w:ilvl="6" w:tplc="AD6EF44E" w:tentative="1">
      <w:start w:val="1"/>
      <w:numFmt w:val="decimal"/>
      <w:lvlText w:val="%7."/>
      <w:lvlJc w:val="left"/>
      <w:pPr>
        <w:ind w:left="4680" w:hanging="360"/>
      </w:pPr>
    </w:lvl>
    <w:lvl w:ilvl="7" w:tplc="13CA8A00" w:tentative="1">
      <w:start w:val="1"/>
      <w:numFmt w:val="lowerLetter"/>
      <w:lvlText w:val="%8."/>
      <w:lvlJc w:val="left"/>
      <w:pPr>
        <w:ind w:left="5400" w:hanging="360"/>
      </w:pPr>
    </w:lvl>
    <w:lvl w:ilvl="8" w:tplc="A4DAD92C" w:tentative="1">
      <w:start w:val="1"/>
      <w:numFmt w:val="lowerRoman"/>
      <w:lvlText w:val="%9."/>
      <w:lvlJc w:val="right"/>
      <w:pPr>
        <w:ind w:left="6120" w:hanging="180"/>
      </w:pPr>
    </w:lvl>
  </w:abstractNum>
  <w:abstractNum w:abstractNumId="10" w15:restartNumberingAfterBreak="0">
    <w:nsid w:val="71A04468"/>
    <w:multiLevelType w:val="hybridMultilevel"/>
    <w:tmpl w:val="FD8466D4"/>
    <w:lvl w:ilvl="0" w:tplc="143C7E0C">
      <w:start w:val="1"/>
      <w:numFmt w:val="lowerLetter"/>
      <w:lvlText w:val="(%1)"/>
      <w:lvlJc w:val="left"/>
      <w:pPr>
        <w:ind w:left="720" w:hanging="360"/>
      </w:pPr>
      <w:rPr>
        <w:rFonts w:hint="default"/>
      </w:rPr>
    </w:lvl>
    <w:lvl w:ilvl="1" w:tplc="0EFAE300" w:tentative="1">
      <w:start w:val="1"/>
      <w:numFmt w:val="lowerLetter"/>
      <w:lvlText w:val="%2."/>
      <w:lvlJc w:val="left"/>
      <w:pPr>
        <w:ind w:left="1440" w:hanging="360"/>
      </w:pPr>
    </w:lvl>
    <w:lvl w:ilvl="2" w:tplc="1AFEEE60" w:tentative="1">
      <w:start w:val="1"/>
      <w:numFmt w:val="lowerRoman"/>
      <w:lvlText w:val="%3."/>
      <w:lvlJc w:val="right"/>
      <w:pPr>
        <w:ind w:left="2160" w:hanging="180"/>
      </w:pPr>
    </w:lvl>
    <w:lvl w:ilvl="3" w:tplc="8F5C2404" w:tentative="1">
      <w:start w:val="1"/>
      <w:numFmt w:val="decimal"/>
      <w:lvlText w:val="%4."/>
      <w:lvlJc w:val="left"/>
      <w:pPr>
        <w:ind w:left="2880" w:hanging="360"/>
      </w:pPr>
    </w:lvl>
    <w:lvl w:ilvl="4" w:tplc="244E1EF2" w:tentative="1">
      <w:start w:val="1"/>
      <w:numFmt w:val="lowerLetter"/>
      <w:lvlText w:val="%5."/>
      <w:lvlJc w:val="left"/>
      <w:pPr>
        <w:ind w:left="3600" w:hanging="360"/>
      </w:pPr>
    </w:lvl>
    <w:lvl w:ilvl="5" w:tplc="A28E9448" w:tentative="1">
      <w:start w:val="1"/>
      <w:numFmt w:val="lowerRoman"/>
      <w:lvlText w:val="%6."/>
      <w:lvlJc w:val="right"/>
      <w:pPr>
        <w:ind w:left="4320" w:hanging="180"/>
      </w:pPr>
    </w:lvl>
    <w:lvl w:ilvl="6" w:tplc="035E7FE6" w:tentative="1">
      <w:start w:val="1"/>
      <w:numFmt w:val="decimal"/>
      <w:lvlText w:val="%7."/>
      <w:lvlJc w:val="left"/>
      <w:pPr>
        <w:ind w:left="5040" w:hanging="360"/>
      </w:pPr>
    </w:lvl>
    <w:lvl w:ilvl="7" w:tplc="1D9E8BB4" w:tentative="1">
      <w:start w:val="1"/>
      <w:numFmt w:val="lowerLetter"/>
      <w:lvlText w:val="%8."/>
      <w:lvlJc w:val="left"/>
      <w:pPr>
        <w:ind w:left="5760" w:hanging="360"/>
      </w:pPr>
    </w:lvl>
    <w:lvl w:ilvl="8" w:tplc="DC34402A" w:tentative="1">
      <w:start w:val="1"/>
      <w:numFmt w:val="lowerRoman"/>
      <w:lvlText w:val="%9."/>
      <w:lvlJc w:val="right"/>
      <w:pPr>
        <w:ind w:left="6480" w:hanging="180"/>
      </w:pPr>
    </w:lvl>
  </w:abstractNum>
  <w:abstractNum w:abstractNumId="11" w15:restartNumberingAfterBreak="0">
    <w:nsid w:val="730E2F1C"/>
    <w:multiLevelType w:val="hybridMultilevel"/>
    <w:tmpl w:val="BDB0B9FE"/>
    <w:lvl w:ilvl="0" w:tplc="59103B0C">
      <w:start w:val="1"/>
      <w:numFmt w:val="lowerLetter"/>
      <w:lvlText w:val="(%1)"/>
      <w:lvlJc w:val="left"/>
      <w:pPr>
        <w:ind w:left="720" w:hanging="360"/>
      </w:pPr>
      <w:rPr>
        <w:rFonts w:hint="default"/>
      </w:rPr>
    </w:lvl>
    <w:lvl w:ilvl="1" w:tplc="BEB48E26" w:tentative="1">
      <w:start w:val="1"/>
      <w:numFmt w:val="lowerLetter"/>
      <w:lvlText w:val="%2."/>
      <w:lvlJc w:val="left"/>
      <w:pPr>
        <w:ind w:left="1440" w:hanging="360"/>
      </w:pPr>
    </w:lvl>
    <w:lvl w:ilvl="2" w:tplc="AA3AF77C" w:tentative="1">
      <w:start w:val="1"/>
      <w:numFmt w:val="lowerRoman"/>
      <w:lvlText w:val="%3."/>
      <w:lvlJc w:val="right"/>
      <w:pPr>
        <w:ind w:left="2160" w:hanging="180"/>
      </w:pPr>
    </w:lvl>
    <w:lvl w:ilvl="3" w:tplc="1844546A" w:tentative="1">
      <w:start w:val="1"/>
      <w:numFmt w:val="decimal"/>
      <w:lvlText w:val="%4."/>
      <w:lvlJc w:val="left"/>
      <w:pPr>
        <w:ind w:left="2880" w:hanging="360"/>
      </w:pPr>
    </w:lvl>
    <w:lvl w:ilvl="4" w:tplc="C24ED25A" w:tentative="1">
      <w:start w:val="1"/>
      <w:numFmt w:val="lowerLetter"/>
      <w:lvlText w:val="%5."/>
      <w:lvlJc w:val="left"/>
      <w:pPr>
        <w:ind w:left="3600" w:hanging="360"/>
      </w:pPr>
    </w:lvl>
    <w:lvl w:ilvl="5" w:tplc="5C860154" w:tentative="1">
      <w:start w:val="1"/>
      <w:numFmt w:val="lowerRoman"/>
      <w:lvlText w:val="%6."/>
      <w:lvlJc w:val="right"/>
      <w:pPr>
        <w:ind w:left="4320" w:hanging="180"/>
      </w:pPr>
    </w:lvl>
    <w:lvl w:ilvl="6" w:tplc="3836E5F0" w:tentative="1">
      <w:start w:val="1"/>
      <w:numFmt w:val="decimal"/>
      <w:lvlText w:val="%7."/>
      <w:lvlJc w:val="left"/>
      <w:pPr>
        <w:ind w:left="5040" w:hanging="360"/>
      </w:pPr>
    </w:lvl>
    <w:lvl w:ilvl="7" w:tplc="DBA25180" w:tentative="1">
      <w:start w:val="1"/>
      <w:numFmt w:val="lowerLetter"/>
      <w:lvlText w:val="%8."/>
      <w:lvlJc w:val="left"/>
      <w:pPr>
        <w:ind w:left="5760" w:hanging="360"/>
      </w:pPr>
    </w:lvl>
    <w:lvl w:ilvl="8" w:tplc="14205D3A" w:tentative="1">
      <w:start w:val="1"/>
      <w:numFmt w:val="lowerRoman"/>
      <w:lvlText w:val="%9."/>
      <w:lvlJc w:val="right"/>
      <w:pPr>
        <w:ind w:left="6480" w:hanging="180"/>
      </w:pPr>
    </w:lvl>
  </w:abstractNum>
  <w:abstractNum w:abstractNumId="12" w15:restartNumberingAfterBreak="0">
    <w:nsid w:val="7462194B"/>
    <w:multiLevelType w:val="hybridMultilevel"/>
    <w:tmpl w:val="E9A269D2"/>
    <w:lvl w:ilvl="0" w:tplc="D10E90C2">
      <w:start w:val="1"/>
      <w:numFmt w:val="lowerLetter"/>
      <w:lvlText w:val="(%1)"/>
      <w:lvlJc w:val="left"/>
      <w:pPr>
        <w:ind w:left="1080" w:hanging="360"/>
      </w:pPr>
      <w:rPr>
        <w:rFonts w:hint="default"/>
      </w:rPr>
    </w:lvl>
    <w:lvl w:ilvl="1" w:tplc="DF6AA17A" w:tentative="1">
      <w:start w:val="1"/>
      <w:numFmt w:val="lowerLetter"/>
      <w:lvlText w:val="%2."/>
      <w:lvlJc w:val="left"/>
      <w:pPr>
        <w:ind w:left="1800" w:hanging="360"/>
      </w:pPr>
    </w:lvl>
    <w:lvl w:ilvl="2" w:tplc="351A96E4" w:tentative="1">
      <w:start w:val="1"/>
      <w:numFmt w:val="lowerRoman"/>
      <w:lvlText w:val="%3."/>
      <w:lvlJc w:val="right"/>
      <w:pPr>
        <w:ind w:left="2520" w:hanging="180"/>
      </w:pPr>
    </w:lvl>
    <w:lvl w:ilvl="3" w:tplc="1A883C72" w:tentative="1">
      <w:start w:val="1"/>
      <w:numFmt w:val="decimal"/>
      <w:lvlText w:val="%4."/>
      <w:lvlJc w:val="left"/>
      <w:pPr>
        <w:ind w:left="3240" w:hanging="360"/>
      </w:pPr>
    </w:lvl>
    <w:lvl w:ilvl="4" w:tplc="6BCCFBC6" w:tentative="1">
      <w:start w:val="1"/>
      <w:numFmt w:val="lowerLetter"/>
      <w:lvlText w:val="%5."/>
      <w:lvlJc w:val="left"/>
      <w:pPr>
        <w:ind w:left="3960" w:hanging="360"/>
      </w:pPr>
    </w:lvl>
    <w:lvl w:ilvl="5" w:tplc="9160A04C" w:tentative="1">
      <w:start w:val="1"/>
      <w:numFmt w:val="lowerRoman"/>
      <w:lvlText w:val="%6."/>
      <w:lvlJc w:val="right"/>
      <w:pPr>
        <w:ind w:left="4680" w:hanging="180"/>
      </w:pPr>
    </w:lvl>
    <w:lvl w:ilvl="6" w:tplc="EDE4E9B6" w:tentative="1">
      <w:start w:val="1"/>
      <w:numFmt w:val="decimal"/>
      <w:lvlText w:val="%7."/>
      <w:lvlJc w:val="left"/>
      <w:pPr>
        <w:ind w:left="5400" w:hanging="360"/>
      </w:pPr>
    </w:lvl>
    <w:lvl w:ilvl="7" w:tplc="71CE828A" w:tentative="1">
      <w:start w:val="1"/>
      <w:numFmt w:val="lowerLetter"/>
      <w:lvlText w:val="%8."/>
      <w:lvlJc w:val="left"/>
      <w:pPr>
        <w:ind w:left="6120" w:hanging="360"/>
      </w:pPr>
    </w:lvl>
    <w:lvl w:ilvl="8" w:tplc="81D4469C" w:tentative="1">
      <w:start w:val="1"/>
      <w:numFmt w:val="lowerRoman"/>
      <w:lvlText w:val="%9."/>
      <w:lvlJc w:val="right"/>
      <w:pPr>
        <w:ind w:left="6840" w:hanging="180"/>
      </w:pPr>
    </w:lvl>
  </w:abstractNum>
  <w:num w:numId="1">
    <w:abstractNumId w:val="2"/>
  </w:num>
  <w:num w:numId="2">
    <w:abstractNumId w:val="10"/>
  </w:num>
  <w:num w:numId="3">
    <w:abstractNumId w:val="7"/>
  </w:num>
  <w:num w:numId="4">
    <w:abstractNumId w:val="0"/>
  </w:num>
  <w:num w:numId="5">
    <w:abstractNumId w:val="11"/>
  </w:num>
  <w:num w:numId="6">
    <w:abstractNumId w:val="12"/>
  </w:num>
  <w:num w:numId="7">
    <w:abstractNumId w:val="5"/>
  </w:num>
  <w:num w:numId="8">
    <w:abstractNumId w:val="1"/>
  </w:num>
  <w:num w:numId="9">
    <w:abstractNumId w:val="3"/>
  </w:num>
  <w:num w:numId="10">
    <w:abstractNumId w:val="4"/>
  </w:num>
  <w:num w:numId="11">
    <w:abstractNumId w:val="8"/>
  </w:num>
  <w:num w:numId="12">
    <w:abstractNumId w:val="6"/>
  </w:num>
  <w:num w:numId="1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movePersonalInformation/>
  <w:removeDateAndTime/>
  <w:hideSpellingErrors/>
  <w:hideGrammaticalErrors/>
  <w:proofState w:spelling="clean" w:grammar="clean"/>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sDAzNDQxNzIzMjU0MDBX0lEKTi0uzszPAykwrAUAmYrhTCwAAAA="/>
  </w:docVars>
  <w:rsids>
    <w:rsidRoot w:val="0025501B"/>
    <w:rsid w:val="000532B0"/>
    <w:rsid w:val="000812D6"/>
    <w:rsid w:val="000929FE"/>
    <w:rsid w:val="000A3750"/>
    <w:rsid w:val="000C0A70"/>
    <w:rsid w:val="0015345D"/>
    <w:rsid w:val="001D1EDF"/>
    <w:rsid w:val="002544E2"/>
    <w:rsid w:val="0025501B"/>
    <w:rsid w:val="00264EFC"/>
    <w:rsid w:val="002B34A4"/>
    <w:rsid w:val="002E6FFF"/>
    <w:rsid w:val="0038332D"/>
    <w:rsid w:val="003C4E25"/>
    <w:rsid w:val="003D7DFE"/>
    <w:rsid w:val="005251C3"/>
    <w:rsid w:val="005444FF"/>
    <w:rsid w:val="005713EA"/>
    <w:rsid w:val="005843C2"/>
    <w:rsid w:val="00591601"/>
    <w:rsid w:val="006A5688"/>
    <w:rsid w:val="006B4FD8"/>
    <w:rsid w:val="006F7282"/>
    <w:rsid w:val="00715DD9"/>
    <w:rsid w:val="0077066F"/>
    <w:rsid w:val="007A0B73"/>
    <w:rsid w:val="00825D7A"/>
    <w:rsid w:val="00856CC4"/>
    <w:rsid w:val="008B595E"/>
    <w:rsid w:val="008F5C52"/>
    <w:rsid w:val="00920542"/>
    <w:rsid w:val="00941CB6"/>
    <w:rsid w:val="0096401D"/>
    <w:rsid w:val="0097704F"/>
    <w:rsid w:val="009865A6"/>
    <w:rsid w:val="00A81ABA"/>
    <w:rsid w:val="00B16F93"/>
    <w:rsid w:val="00B959BA"/>
    <w:rsid w:val="00BB03D0"/>
    <w:rsid w:val="00BF1FA9"/>
    <w:rsid w:val="00C16710"/>
    <w:rsid w:val="00C82082"/>
    <w:rsid w:val="00C931B3"/>
    <w:rsid w:val="00CA2BA2"/>
    <w:rsid w:val="00CA79A4"/>
    <w:rsid w:val="00CB2D35"/>
    <w:rsid w:val="00D06354"/>
    <w:rsid w:val="00D3211B"/>
    <w:rsid w:val="00D673C9"/>
    <w:rsid w:val="00F740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401D"/>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6401D"/>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96401D"/>
    <w:pPr>
      <w:keepNext/>
      <w:keepLines/>
      <w:spacing w:before="40" w:after="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812D6"/>
    <w:pPr>
      <w:ind w:left="720"/>
      <w:contextualSpacing/>
    </w:pPr>
  </w:style>
  <w:style w:type="table" w:styleId="TableGrid">
    <w:name w:val="Table Grid"/>
    <w:basedOn w:val="TableNormal"/>
    <w:uiPriority w:val="59"/>
    <w:rsid w:val="00A81A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8F5C5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F5C52"/>
    <w:rPr>
      <w:rFonts w:ascii="Tahoma" w:hAnsi="Tahoma" w:cs="Tahoma"/>
      <w:sz w:val="16"/>
      <w:szCs w:val="16"/>
    </w:rPr>
  </w:style>
  <w:style w:type="paragraph" w:styleId="Header">
    <w:name w:val="header"/>
    <w:basedOn w:val="Normal"/>
    <w:link w:val="HeaderChar"/>
    <w:uiPriority w:val="99"/>
    <w:unhideWhenUsed/>
    <w:rsid w:val="00D06354"/>
    <w:pPr>
      <w:tabs>
        <w:tab w:val="center" w:pos="4680"/>
        <w:tab w:val="right" w:pos="9360"/>
      </w:tabs>
      <w:spacing w:after="0" w:line="240" w:lineRule="auto"/>
    </w:pPr>
  </w:style>
  <w:style w:type="character" w:customStyle="1" w:styleId="HeaderChar">
    <w:name w:val="Header Char"/>
    <w:basedOn w:val="DefaultParagraphFont"/>
    <w:link w:val="Header"/>
    <w:uiPriority w:val="99"/>
    <w:rsid w:val="00D06354"/>
  </w:style>
  <w:style w:type="paragraph" w:styleId="Footer">
    <w:name w:val="footer"/>
    <w:basedOn w:val="Normal"/>
    <w:link w:val="FooterChar"/>
    <w:uiPriority w:val="99"/>
    <w:unhideWhenUsed/>
    <w:rsid w:val="00D06354"/>
    <w:pPr>
      <w:tabs>
        <w:tab w:val="center" w:pos="4680"/>
        <w:tab w:val="right" w:pos="9360"/>
      </w:tabs>
      <w:spacing w:after="0" w:line="240" w:lineRule="auto"/>
    </w:pPr>
  </w:style>
  <w:style w:type="character" w:customStyle="1" w:styleId="FooterChar">
    <w:name w:val="Footer Char"/>
    <w:basedOn w:val="DefaultParagraphFont"/>
    <w:link w:val="Footer"/>
    <w:uiPriority w:val="99"/>
    <w:rsid w:val="00D06354"/>
  </w:style>
  <w:style w:type="character" w:styleId="Hyperlink">
    <w:name w:val="Hyperlink"/>
    <w:basedOn w:val="DefaultParagraphFont"/>
    <w:uiPriority w:val="99"/>
    <w:unhideWhenUsed/>
    <w:rsid w:val="002544E2"/>
    <w:rPr>
      <w:color w:val="0000FF" w:themeColor="hyperlink"/>
      <w:u w:val="single"/>
    </w:rPr>
  </w:style>
  <w:style w:type="character" w:customStyle="1" w:styleId="Heading1Char">
    <w:name w:val="Heading 1 Char"/>
    <w:basedOn w:val="DefaultParagraphFont"/>
    <w:link w:val="Heading1"/>
    <w:uiPriority w:val="9"/>
    <w:rsid w:val="0096401D"/>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96401D"/>
    <w:rPr>
      <w:rFonts w:ascii="Times New Roman" w:eastAsiaTheme="majorEastAsia" w:hAnsi="Times New Roman" w:cstheme="majorBidi"/>
      <w:b/>
      <w:color w:val="000000" w:themeColor="text1"/>
      <w:sz w:val="28"/>
      <w:szCs w:val="26"/>
    </w:rPr>
  </w:style>
  <w:style w:type="paragraph" w:styleId="TOCHeading">
    <w:name w:val="TOC Heading"/>
    <w:basedOn w:val="Heading1"/>
    <w:next w:val="Normal"/>
    <w:uiPriority w:val="39"/>
    <w:unhideWhenUsed/>
    <w:qFormat/>
    <w:rsid w:val="00CB2D35"/>
    <w:pPr>
      <w:spacing w:line="259" w:lineRule="auto"/>
      <w:jc w:val="left"/>
      <w:outlineLvl w:val="9"/>
    </w:pPr>
    <w:rPr>
      <w:rFonts w:asciiTheme="majorHAnsi" w:hAnsiTheme="majorHAnsi"/>
      <w:b w:val="0"/>
      <w:color w:val="365F91" w:themeColor="accent1" w:themeShade="BF"/>
    </w:rPr>
  </w:style>
  <w:style w:type="paragraph" w:styleId="TOC1">
    <w:name w:val="toc 1"/>
    <w:basedOn w:val="Normal"/>
    <w:next w:val="Normal"/>
    <w:autoRedefine/>
    <w:uiPriority w:val="39"/>
    <w:unhideWhenUsed/>
    <w:rsid w:val="00CB2D35"/>
    <w:pPr>
      <w:spacing w:after="100"/>
    </w:pPr>
  </w:style>
  <w:style w:type="paragraph" w:styleId="TOC2">
    <w:name w:val="toc 2"/>
    <w:basedOn w:val="Normal"/>
    <w:next w:val="Normal"/>
    <w:autoRedefine/>
    <w:uiPriority w:val="39"/>
    <w:unhideWhenUsed/>
    <w:rsid w:val="00CB2D3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2.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chart" Target="charts/chart3.xml" /><Relationship Id="rId5" Type="http://schemas.openxmlformats.org/officeDocument/2006/relationships/webSettings" Target="webSettings.xml" /><Relationship Id="rId10" Type="http://schemas.openxmlformats.org/officeDocument/2006/relationships/chart" Target="charts/chart2.xml" /><Relationship Id="rId4" Type="http://schemas.openxmlformats.org/officeDocument/2006/relationships/settings" Target="settings.xml" /><Relationship Id="rId9" Type="http://schemas.openxmlformats.org/officeDocument/2006/relationships/chart" Target="charts/chart1.xml" /><Relationship Id="rId14" Type="http://schemas.openxmlformats.org/officeDocument/2006/relationships/theme" Target="theme/theme1.xml" /></Relationships>
</file>

<file path=word/charts/_rels/chart1.xml.rels><?xml version="1.0" encoding="UTF-8" standalone="yes"?>
<Relationships xmlns="http://schemas.openxmlformats.org/package/2006/relationships"><Relationship Id="rId2" Type="http://schemas.openxmlformats.org/officeDocument/2006/relationships/package" Target="../embeddings/Microsoft_Excel_Worksheet1.xlsx" /><Relationship Id="rId1" Type="http://schemas.openxmlformats.org/officeDocument/2006/relationships/themeOverride" Target="../theme/themeOverride1.xml" /></Relationships>
</file>

<file path=word/charts/_rels/chart2.xml.rels><?xml version="1.0" encoding="UTF-8" standalone="yes"?>
<Relationships xmlns="http://schemas.openxmlformats.org/package/2006/relationships"><Relationship Id="rId2" Type="http://schemas.openxmlformats.org/officeDocument/2006/relationships/package" Target="../embeddings/Microsoft_Excel_Worksheet2.xlsx" /><Relationship Id="rId1" Type="http://schemas.openxmlformats.org/officeDocument/2006/relationships/themeOverride" Target="../theme/themeOverride2.xml" /></Relationships>
</file>

<file path=word/charts/_rels/chart3.xml.rels><?xml version="1.0" encoding="UTF-8" standalone="yes"?>
<Relationships xmlns="http://schemas.openxmlformats.org/package/2006/relationships"><Relationship Id="rId2" Type="http://schemas.openxmlformats.org/officeDocument/2006/relationships/package" Target="../embeddings/Microsoft_Excel_Worksheet3.xlsx" /><Relationship Id="rId1" Type="http://schemas.openxmlformats.org/officeDocument/2006/relationships/themeOverride" Target="../theme/themeOverride3.xml"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US"/>
              <a:t>Profitability</a:t>
            </a:r>
            <a:r>
              <a:rPr lang="en-US" baseline="0"/>
              <a:t> Ratios</a:t>
            </a:r>
            <a:endParaRPr lang="en-US"/>
          </a:p>
        </c:rich>
      </c:tx>
      <c:overlay val="0"/>
    </c:title>
    <c:autoTitleDeleted val="0"/>
    <c:plotArea>
      <c:layout/>
      <c:barChart>
        <c:barDir val="col"/>
        <c:grouping val="clustered"/>
        <c:varyColors val="0"/>
        <c:ser>
          <c:idx val="0"/>
          <c:order val="0"/>
          <c:tx>
            <c:strRef>
              <c:f>Sheet2!$B$1</c:f>
              <c:strCache>
                <c:ptCount val="1"/>
                <c:pt idx="0">
                  <c:v>2019</c:v>
                </c:pt>
              </c:strCache>
            </c:strRef>
          </c:tx>
          <c:invertIfNegative val="0"/>
          <c:cat>
            <c:strRef>
              <c:f>Sheet2!$A$2:$A$6</c:f>
              <c:strCache>
                <c:ptCount val="5"/>
                <c:pt idx="0">
                  <c:v>Gross Margin </c:v>
                </c:pt>
                <c:pt idx="1">
                  <c:v>Operating Profit (PBIT) Margin </c:v>
                </c:pt>
                <c:pt idx="2">
                  <c:v>Return on Capital Employed (ROCE)</c:v>
                </c:pt>
                <c:pt idx="3">
                  <c:v>Return on Equity (ROE)</c:v>
                </c:pt>
                <c:pt idx="4">
                  <c:v>Return on Asset (ROA)</c:v>
                </c:pt>
              </c:strCache>
            </c:strRef>
          </c:cat>
          <c:val>
            <c:numRef>
              <c:f>Sheet2!$B$2:$B$6</c:f>
              <c:numCache>
                <c:formatCode>0.00</c:formatCode>
                <c:ptCount val="5"/>
                <c:pt idx="0">
                  <c:v>91.818181818181827</c:v>
                </c:pt>
                <c:pt idx="1">
                  <c:v>73.236363636363635</c:v>
                </c:pt>
                <c:pt idx="2">
                  <c:v>64.696434307741725</c:v>
                </c:pt>
                <c:pt idx="3">
                  <c:v>65.964450296247534</c:v>
                </c:pt>
                <c:pt idx="4">
                  <c:v>52.980832782551225</c:v>
                </c:pt>
              </c:numCache>
            </c:numRef>
          </c:val>
          <c:extLst>
            <c:ext xmlns:c16="http://schemas.microsoft.com/office/drawing/2014/chart" uri="{C3380CC4-5D6E-409C-BE32-E72D297353CC}">
              <c16:uniqueId val="{00000000-4BCA-CF44-A603-C13940402C88}"/>
            </c:ext>
          </c:extLst>
        </c:ser>
        <c:ser>
          <c:idx val="1"/>
          <c:order val="1"/>
          <c:tx>
            <c:strRef>
              <c:f>Sheet2!$C$1</c:f>
              <c:strCache>
                <c:ptCount val="1"/>
                <c:pt idx="0">
                  <c:v>2020</c:v>
                </c:pt>
              </c:strCache>
            </c:strRef>
          </c:tx>
          <c:invertIfNegative val="0"/>
          <c:cat>
            <c:strRef>
              <c:f>Sheet2!$A$2:$A$6</c:f>
              <c:strCache>
                <c:ptCount val="5"/>
                <c:pt idx="0">
                  <c:v>Gross Margin </c:v>
                </c:pt>
                <c:pt idx="1">
                  <c:v>Operating Profit (PBIT) Margin </c:v>
                </c:pt>
                <c:pt idx="2">
                  <c:v>Return on Capital Employed (ROCE)</c:v>
                </c:pt>
                <c:pt idx="3">
                  <c:v>Return on Equity (ROE)</c:v>
                </c:pt>
                <c:pt idx="4">
                  <c:v>Return on Asset (ROA)</c:v>
                </c:pt>
              </c:strCache>
            </c:strRef>
          </c:cat>
          <c:val>
            <c:numRef>
              <c:f>Sheet2!$C$2:$C$6</c:f>
              <c:numCache>
                <c:formatCode>0.00</c:formatCode>
                <c:ptCount val="5"/>
                <c:pt idx="0">
                  <c:v>85.833333333333329</c:v>
                </c:pt>
                <c:pt idx="1">
                  <c:v>68.183333333333323</c:v>
                </c:pt>
                <c:pt idx="2">
                  <c:v>66.748246043400229</c:v>
                </c:pt>
                <c:pt idx="3">
                  <c:v>66.45456028715941</c:v>
                </c:pt>
                <c:pt idx="4">
                  <c:v>51.622306717363756</c:v>
                </c:pt>
              </c:numCache>
            </c:numRef>
          </c:val>
          <c:extLst>
            <c:ext xmlns:c16="http://schemas.microsoft.com/office/drawing/2014/chart" uri="{C3380CC4-5D6E-409C-BE32-E72D297353CC}">
              <c16:uniqueId val="{00000001-4BCA-CF44-A603-C13940402C88}"/>
            </c:ext>
          </c:extLst>
        </c:ser>
        <c:dLbls>
          <c:showLegendKey val="0"/>
          <c:showVal val="0"/>
          <c:showCatName val="0"/>
          <c:showSerName val="0"/>
          <c:showPercent val="0"/>
          <c:showBubbleSize val="0"/>
        </c:dLbls>
        <c:gapWidth val="150"/>
        <c:axId val="-1576031296"/>
        <c:axId val="-1576040000"/>
      </c:barChart>
      <c:catAx>
        <c:axId val="-1576031296"/>
        <c:scaling>
          <c:orientation val="minMax"/>
        </c:scaling>
        <c:delete val="0"/>
        <c:axPos val="b"/>
        <c:numFmt formatCode="General" sourceLinked="0"/>
        <c:majorTickMark val="none"/>
        <c:minorTickMark val="none"/>
        <c:tickLblPos val="nextTo"/>
        <c:crossAx val="-1576040000"/>
        <c:crosses val="autoZero"/>
        <c:auto val="1"/>
        <c:lblAlgn val="ctr"/>
        <c:lblOffset val="100"/>
        <c:noMultiLvlLbl val="0"/>
      </c:catAx>
      <c:valAx>
        <c:axId val="-1576040000"/>
        <c:scaling>
          <c:orientation val="minMax"/>
        </c:scaling>
        <c:delete val="0"/>
        <c:axPos val="l"/>
        <c:majorGridlines/>
        <c:numFmt formatCode="0.00" sourceLinked="1"/>
        <c:majorTickMark val="none"/>
        <c:minorTickMark val="none"/>
        <c:tickLblPos val="nextTo"/>
        <c:crossAx val="-1576031296"/>
        <c:crosses val="autoZero"/>
        <c:crossBetween val="between"/>
      </c:valAx>
      <c:dTable>
        <c:showHorzBorder val="1"/>
        <c:showVertBorder val="1"/>
        <c:showOutline val="1"/>
        <c:showKeys val="1"/>
      </c:dTable>
    </c:plotArea>
    <c:plotVisOnly val="1"/>
    <c:dispBlanksAs val="gap"/>
    <c:showDLblsOverMax val="0"/>
  </c:chart>
  <c:externalData r:id="rId2">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US"/>
              <a:t>Liquidity</a:t>
            </a:r>
            <a:r>
              <a:rPr lang="en-US" baseline="0"/>
              <a:t> ratios</a:t>
            </a:r>
            <a:endParaRPr lang="en-US"/>
          </a:p>
        </c:rich>
      </c:tx>
      <c:overlay val="0"/>
    </c:title>
    <c:autoTitleDeleted val="0"/>
    <c:plotArea>
      <c:layout/>
      <c:barChart>
        <c:barDir val="col"/>
        <c:grouping val="clustered"/>
        <c:varyColors val="0"/>
        <c:ser>
          <c:idx val="0"/>
          <c:order val="0"/>
          <c:tx>
            <c:strRef>
              <c:f>Sheet3!$A$2</c:f>
              <c:strCache>
                <c:ptCount val="1"/>
                <c:pt idx="0">
                  <c:v>Current Ratio </c:v>
                </c:pt>
              </c:strCache>
            </c:strRef>
          </c:tx>
          <c:invertIfNegative val="0"/>
          <c:cat>
            <c:numRef>
              <c:f>Sheet3!$B$1:$C$1</c:f>
              <c:numCache>
                <c:formatCode>General</c:formatCode>
                <c:ptCount val="2"/>
                <c:pt idx="0">
                  <c:v>2019</c:v>
                </c:pt>
                <c:pt idx="1">
                  <c:v>2020</c:v>
                </c:pt>
              </c:numCache>
            </c:numRef>
          </c:cat>
          <c:val>
            <c:numRef>
              <c:f>Sheet3!$B$2:$C$2</c:f>
              <c:numCache>
                <c:formatCode>0.00</c:formatCode>
                <c:ptCount val="2"/>
                <c:pt idx="0">
                  <c:v>2.2890216579536968</c:v>
                </c:pt>
                <c:pt idx="1">
                  <c:v>2.004950495049505</c:v>
                </c:pt>
              </c:numCache>
            </c:numRef>
          </c:val>
          <c:extLst>
            <c:ext xmlns:c16="http://schemas.microsoft.com/office/drawing/2014/chart" uri="{C3380CC4-5D6E-409C-BE32-E72D297353CC}">
              <c16:uniqueId val="{00000000-820D-154B-955A-62DF110AAB8D}"/>
            </c:ext>
          </c:extLst>
        </c:ser>
        <c:ser>
          <c:idx val="1"/>
          <c:order val="1"/>
          <c:tx>
            <c:strRef>
              <c:f>Sheet3!$A$3</c:f>
              <c:strCache>
                <c:ptCount val="1"/>
                <c:pt idx="0">
                  <c:v>Quick Ratio</c:v>
                </c:pt>
              </c:strCache>
            </c:strRef>
          </c:tx>
          <c:invertIfNegative val="0"/>
          <c:cat>
            <c:numRef>
              <c:f>Sheet3!$B$1:$C$1</c:f>
              <c:numCache>
                <c:formatCode>General</c:formatCode>
                <c:ptCount val="2"/>
                <c:pt idx="0">
                  <c:v>2019</c:v>
                </c:pt>
                <c:pt idx="1">
                  <c:v>2020</c:v>
                </c:pt>
              </c:numCache>
            </c:numRef>
          </c:cat>
          <c:val>
            <c:numRef>
              <c:f>Sheet3!$B$3:$C$3</c:f>
              <c:numCache>
                <c:formatCode>0.00</c:formatCode>
                <c:ptCount val="2"/>
                <c:pt idx="0">
                  <c:v>1.2061239731142643</c:v>
                </c:pt>
                <c:pt idx="1">
                  <c:v>1.1262376237623761</c:v>
                </c:pt>
              </c:numCache>
            </c:numRef>
          </c:val>
          <c:extLst>
            <c:ext xmlns:c16="http://schemas.microsoft.com/office/drawing/2014/chart" uri="{C3380CC4-5D6E-409C-BE32-E72D297353CC}">
              <c16:uniqueId val="{00000001-820D-154B-955A-62DF110AAB8D}"/>
            </c:ext>
          </c:extLst>
        </c:ser>
        <c:dLbls>
          <c:showLegendKey val="0"/>
          <c:showVal val="0"/>
          <c:showCatName val="0"/>
          <c:showSerName val="0"/>
          <c:showPercent val="0"/>
          <c:showBubbleSize val="0"/>
        </c:dLbls>
        <c:gapWidth val="150"/>
        <c:axId val="-1576024768"/>
        <c:axId val="-1576030752"/>
      </c:barChart>
      <c:catAx>
        <c:axId val="-1576024768"/>
        <c:scaling>
          <c:orientation val="minMax"/>
        </c:scaling>
        <c:delete val="0"/>
        <c:axPos val="b"/>
        <c:numFmt formatCode="General" sourceLinked="1"/>
        <c:majorTickMark val="none"/>
        <c:minorTickMark val="none"/>
        <c:tickLblPos val="nextTo"/>
        <c:crossAx val="-1576030752"/>
        <c:crosses val="autoZero"/>
        <c:auto val="1"/>
        <c:lblAlgn val="ctr"/>
        <c:lblOffset val="100"/>
        <c:noMultiLvlLbl val="0"/>
      </c:catAx>
      <c:valAx>
        <c:axId val="-1576030752"/>
        <c:scaling>
          <c:orientation val="minMax"/>
        </c:scaling>
        <c:delete val="0"/>
        <c:axPos val="l"/>
        <c:majorGridlines/>
        <c:numFmt formatCode="0.00" sourceLinked="1"/>
        <c:majorTickMark val="none"/>
        <c:minorTickMark val="none"/>
        <c:tickLblPos val="nextTo"/>
        <c:crossAx val="-1576024768"/>
        <c:crosses val="autoZero"/>
        <c:crossBetween val="between"/>
      </c:valAx>
      <c:dTable>
        <c:showHorzBorder val="1"/>
        <c:showVertBorder val="1"/>
        <c:showOutline val="1"/>
        <c:showKeys val="1"/>
      </c:dTable>
    </c:plotArea>
    <c:plotVisOnly val="1"/>
    <c:dispBlanksAs val="gap"/>
    <c:showDLblsOverMax val="0"/>
  </c:chart>
  <c:externalData r:id="rId2">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US"/>
              <a:t>Gearing</a:t>
            </a:r>
            <a:r>
              <a:rPr lang="en-US" baseline="0"/>
              <a:t> Ratios</a:t>
            </a:r>
            <a:endParaRPr lang="en-US"/>
          </a:p>
        </c:rich>
      </c:tx>
      <c:overlay val="0"/>
    </c:title>
    <c:autoTitleDeleted val="0"/>
    <c:plotArea>
      <c:layout/>
      <c:barChart>
        <c:barDir val="col"/>
        <c:grouping val="clustered"/>
        <c:varyColors val="0"/>
        <c:ser>
          <c:idx val="0"/>
          <c:order val="0"/>
          <c:tx>
            <c:strRef>
              <c:f>Sheet3!$C$8</c:f>
              <c:strCache>
                <c:ptCount val="1"/>
                <c:pt idx="0">
                  <c:v>2019</c:v>
                </c:pt>
              </c:strCache>
            </c:strRef>
          </c:tx>
          <c:invertIfNegative val="0"/>
          <c:cat>
            <c:strRef>
              <c:f>Sheet3!$B$9:$B$11</c:f>
              <c:strCache>
                <c:ptCount val="3"/>
                <c:pt idx="0">
                  <c:v>Gearing ratio </c:v>
                </c:pt>
                <c:pt idx="1">
                  <c:v>Debt to equity ratio </c:v>
                </c:pt>
                <c:pt idx="2">
                  <c:v>Interest Cover </c:v>
                </c:pt>
              </c:strCache>
            </c:strRef>
          </c:cat>
          <c:val>
            <c:numRef>
              <c:f>Sheet3!$C$9:$C$11</c:f>
              <c:numCache>
                <c:formatCode>0.00</c:formatCode>
                <c:ptCount val="3"/>
                <c:pt idx="0">
                  <c:v>2.4092515258592995</c:v>
                </c:pt>
                <c:pt idx="1">
                  <c:v>0.24506254114549045</c:v>
                </c:pt>
                <c:pt idx="2">
                  <c:v>201.4</c:v>
                </c:pt>
              </c:numCache>
            </c:numRef>
          </c:val>
          <c:extLst>
            <c:ext xmlns:c16="http://schemas.microsoft.com/office/drawing/2014/chart" uri="{C3380CC4-5D6E-409C-BE32-E72D297353CC}">
              <c16:uniqueId val="{00000000-A0F4-6842-816D-F7CBA5E8EE3F}"/>
            </c:ext>
          </c:extLst>
        </c:ser>
        <c:ser>
          <c:idx val="1"/>
          <c:order val="1"/>
          <c:tx>
            <c:strRef>
              <c:f>Sheet3!$D$8</c:f>
              <c:strCache>
                <c:ptCount val="1"/>
                <c:pt idx="0">
                  <c:v>2020</c:v>
                </c:pt>
              </c:strCache>
            </c:strRef>
          </c:tx>
          <c:invertIfNegative val="0"/>
          <c:cat>
            <c:strRef>
              <c:f>Sheet3!$B$9:$B$11</c:f>
              <c:strCache>
                <c:ptCount val="3"/>
                <c:pt idx="0">
                  <c:v>Gearing ratio </c:v>
                </c:pt>
                <c:pt idx="1">
                  <c:v>Debt to equity ratio </c:v>
                </c:pt>
                <c:pt idx="2">
                  <c:v>Interest Cover </c:v>
                </c:pt>
              </c:strCache>
            </c:strRef>
          </c:cat>
          <c:val>
            <c:numRef>
              <c:f>Sheet3!$D$9:$D$11</c:f>
              <c:numCache>
                <c:formatCode>0.00</c:formatCode>
                <c:ptCount val="3"/>
                <c:pt idx="0">
                  <c:v>2.311125278928913</c:v>
                </c:pt>
                <c:pt idx="1">
                  <c:v>0.28732256485560448</c:v>
                </c:pt>
                <c:pt idx="2">
                  <c:v>227.27777777777777</c:v>
                </c:pt>
              </c:numCache>
            </c:numRef>
          </c:val>
          <c:extLst>
            <c:ext xmlns:c16="http://schemas.microsoft.com/office/drawing/2014/chart" uri="{C3380CC4-5D6E-409C-BE32-E72D297353CC}">
              <c16:uniqueId val="{00000001-A0F4-6842-816D-F7CBA5E8EE3F}"/>
            </c:ext>
          </c:extLst>
        </c:ser>
        <c:dLbls>
          <c:showLegendKey val="0"/>
          <c:showVal val="0"/>
          <c:showCatName val="0"/>
          <c:showSerName val="0"/>
          <c:showPercent val="0"/>
          <c:showBubbleSize val="0"/>
        </c:dLbls>
        <c:gapWidth val="150"/>
        <c:axId val="-1576047072"/>
        <c:axId val="-1576026400"/>
      </c:barChart>
      <c:catAx>
        <c:axId val="-1576047072"/>
        <c:scaling>
          <c:orientation val="minMax"/>
        </c:scaling>
        <c:delete val="0"/>
        <c:axPos val="b"/>
        <c:numFmt formatCode="General" sourceLinked="0"/>
        <c:majorTickMark val="none"/>
        <c:minorTickMark val="none"/>
        <c:tickLblPos val="nextTo"/>
        <c:crossAx val="-1576026400"/>
        <c:crosses val="autoZero"/>
        <c:auto val="1"/>
        <c:lblAlgn val="ctr"/>
        <c:lblOffset val="100"/>
        <c:noMultiLvlLbl val="0"/>
      </c:catAx>
      <c:valAx>
        <c:axId val="-1576026400"/>
        <c:scaling>
          <c:orientation val="minMax"/>
        </c:scaling>
        <c:delete val="0"/>
        <c:axPos val="l"/>
        <c:majorGridlines/>
        <c:numFmt formatCode="0.00" sourceLinked="1"/>
        <c:majorTickMark val="none"/>
        <c:minorTickMark val="none"/>
        <c:tickLblPos val="nextTo"/>
        <c:crossAx val="-1576047072"/>
        <c:crosses val="autoZero"/>
        <c:crossBetween val="between"/>
      </c:valAx>
      <c:dTable>
        <c:showHorzBorder val="1"/>
        <c:showVertBorder val="1"/>
        <c:showOutline val="1"/>
        <c:showKeys val="1"/>
      </c:dTable>
    </c:plotArea>
    <c:plotVisOnly val="1"/>
    <c:dispBlanksAs val="gap"/>
    <c:showDLblsOverMax val="0"/>
  </c:chart>
  <c:externalData r:id="rId2">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theme/themeOverride1.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5E1057-1DA9-4618-BC99-0B880AE83B5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2495</Words>
  <Characters>14222</Characters>
  <Application>Microsoft Office Word</Application>
  <DocSecurity>0</DocSecurity>
  <Lines>118</Lines>
  <Paragraphs>33</Paragraphs>
  <ScaleCrop>false</ScaleCrop>
  <Company/>
  <LinksUpToDate>false</LinksUpToDate>
  <CharactersWithSpaces>16684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2022-02-16T09:07:00Z</dcterms:created>
  <dcterms:modified xsi:type="dcterms:W3CDTF">2022-02-16T09:07:00Z</dcterms:modified>
</cp:coreProperties>
</file>