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F3A507" w14:textId="77777777" w:rsidR="009D1F83" w:rsidRDefault="009D1F83">
      <w:pPr>
        <w:spacing w:line="360" w:lineRule="auto"/>
        <w:jc w:val="center"/>
        <w:rPr>
          <w:b/>
          <w:sz w:val="32"/>
          <w:szCs w:val="32"/>
        </w:rPr>
      </w:pPr>
    </w:p>
    <w:p w14:paraId="510ED462" w14:textId="77777777" w:rsidR="009D1F83" w:rsidRDefault="009D1F83">
      <w:pPr>
        <w:spacing w:line="360" w:lineRule="auto"/>
        <w:jc w:val="center"/>
        <w:rPr>
          <w:b/>
          <w:sz w:val="32"/>
          <w:szCs w:val="32"/>
        </w:rPr>
      </w:pPr>
    </w:p>
    <w:p w14:paraId="40F6A172" w14:textId="77777777" w:rsidR="009D1F83" w:rsidRDefault="009D1F83">
      <w:pPr>
        <w:spacing w:line="360" w:lineRule="auto"/>
        <w:jc w:val="center"/>
        <w:rPr>
          <w:b/>
          <w:sz w:val="32"/>
          <w:szCs w:val="32"/>
        </w:rPr>
      </w:pPr>
    </w:p>
    <w:p w14:paraId="5EA90124" w14:textId="4B8BE562" w:rsidR="009D1F83" w:rsidRDefault="00C071EF">
      <w:pPr>
        <w:spacing w:line="360" w:lineRule="auto"/>
        <w:jc w:val="center"/>
        <w:rPr>
          <w:sz w:val="24"/>
          <w:szCs w:val="24"/>
        </w:rPr>
      </w:pPr>
      <w:r>
        <w:rPr>
          <w:rFonts w:eastAsia="Times New Roman"/>
          <w:b/>
          <w:noProof/>
          <w:color w:val="000000" w:themeColor="text1"/>
          <w:sz w:val="32"/>
          <w:szCs w:val="32"/>
        </w:rPr>
        <w:drawing>
          <wp:inline distT="0" distB="0" distL="0" distR="0" wp14:anchorId="50EBCAB3" wp14:editId="76D6FD14">
            <wp:extent cx="2493645" cy="975360"/>
            <wp:effectExtent l="0" t="0" r="1905" b="0"/>
            <wp:docPr id="792734952" name="Picture 2" descr="A close-up of white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2734952" name="Picture 2" descr="A close-up of white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493645" cy="975360"/>
                    </a:xfrm>
                    <a:prstGeom prst="rect">
                      <a:avLst/>
                    </a:prstGeom>
                    <a:noFill/>
                  </pic:spPr>
                </pic:pic>
              </a:graphicData>
            </a:graphic>
          </wp:inline>
        </w:drawing>
      </w:r>
    </w:p>
    <w:p w14:paraId="6A8861CB" w14:textId="77777777" w:rsidR="00C071EF" w:rsidRDefault="00C071EF" w:rsidP="00C071EF">
      <w:pPr>
        <w:spacing w:line="360" w:lineRule="auto"/>
        <w:jc w:val="center"/>
        <w:rPr>
          <w:rFonts w:eastAsia="Times New Roman"/>
          <w:b/>
          <w:color w:val="000000" w:themeColor="text1"/>
          <w:sz w:val="32"/>
          <w:szCs w:val="32"/>
        </w:rPr>
      </w:pPr>
      <w:r>
        <w:rPr>
          <w:rFonts w:eastAsia="Times New Roman"/>
          <w:b/>
          <w:color w:val="000000" w:themeColor="text1"/>
          <w:sz w:val="32"/>
          <w:szCs w:val="32"/>
        </w:rPr>
        <w:t>Prepared by</w:t>
      </w:r>
    </w:p>
    <w:p w14:paraId="0D1C8942" w14:textId="77777777" w:rsidR="00C071EF" w:rsidRDefault="00C071EF" w:rsidP="00C071EF">
      <w:pPr>
        <w:spacing w:line="360" w:lineRule="auto"/>
        <w:jc w:val="center"/>
        <w:rPr>
          <w:rFonts w:eastAsia="Times New Roman"/>
          <w:b/>
          <w:color w:val="000000" w:themeColor="text1"/>
          <w:sz w:val="32"/>
          <w:szCs w:val="32"/>
        </w:rPr>
      </w:pPr>
      <w:r>
        <w:rPr>
          <w:rFonts w:eastAsia="Times New Roman"/>
          <w:b/>
          <w:color w:val="000000" w:themeColor="text1"/>
          <w:sz w:val="32"/>
          <w:szCs w:val="32"/>
        </w:rPr>
        <w:t>Takia Sultana</w:t>
      </w:r>
    </w:p>
    <w:p w14:paraId="1ACA661F" w14:textId="77777777" w:rsidR="00C071EF" w:rsidRDefault="00C071EF" w:rsidP="00C071EF">
      <w:pPr>
        <w:spacing w:line="360" w:lineRule="auto"/>
        <w:jc w:val="center"/>
        <w:rPr>
          <w:rFonts w:eastAsia="Times New Roman"/>
          <w:b/>
          <w:color w:val="000000" w:themeColor="text1"/>
          <w:sz w:val="24"/>
          <w:szCs w:val="24"/>
        </w:rPr>
      </w:pPr>
      <w:r>
        <w:rPr>
          <w:rFonts w:eastAsia="Times New Roman"/>
          <w:b/>
          <w:color w:val="000000" w:themeColor="text1"/>
          <w:sz w:val="24"/>
          <w:szCs w:val="24"/>
        </w:rPr>
        <w:t xml:space="preserve">Student ID:2514835 </w:t>
      </w:r>
    </w:p>
    <w:p w14:paraId="61BC6F21" w14:textId="77777777" w:rsidR="00C071EF" w:rsidRDefault="00C071EF" w:rsidP="00C071EF">
      <w:pPr>
        <w:spacing w:line="360" w:lineRule="auto"/>
        <w:jc w:val="center"/>
        <w:rPr>
          <w:rFonts w:eastAsia="Times New Roman"/>
          <w:b/>
          <w:color w:val="000000" w:themeColor="text1"/>
          <w:sz w:val="24"/>
          <w:szCs w:val="24"/>
        </w:rPr>
      </w:pPr>
    </w:p>
    <w:p w14:paraId="150023DA" w14:textId="00C6206A" w:rsidR="00C071EF" w:rsidRDefault="00C071EF" w:rsidP="00C071EF">
      <w:pPr>
        <w:spacing w:line="360" w:lineRule="auto"/>
        <w:jc w:val="both"/>
        <w:rPr>
          <w:rFonts w:eastAsia="Times New Roman"/>
          <w:b/>
          <w:color w:val="000000" w:themeColor="text1"/>
          <w:sz w:val="24"/>
          <w:szCs w:val="24"/>
        </w:rPr>
      </w:pPr>
      <w:r>
        <w:rPr>
          <w:rFonts w:eastAsia="Times New Roman"/>
          <w:b/>
          <w:color w:val="000000" w:themeColor="text1"/>
          <w:sz w:val="24"/>
          <w:szCs w:val="24"/>
        </w:rPr>
        <w:t xml:space="preserve">Master Of Business Administration </w:t>
      </w:r>
    </w:p>
    <w:p w14:paraId="416C1406" w14:textId="452305B4" w:rsidR="00C071EF" w:rsidRDefault="00C071EF" w:rsidP="00C071EF">
      <w:pPr>
        <w:spacing w:line="360" w:lineRule="auto"/>
        <w:jc w:val="both"/>
        <w:rPr>
          <w:rFonts w:eastAsia="Times New Roman"/>
          <w:b/>
          <w:color w:val="000000" w:themeColor="text1"/>
          <w:sz w:val="24"/>
          <w:szCs w:val="24"/>
        </w:rPr>
      </w:pPr>
      <w:r>
        <w:rPr>
          <w:rFonts w:eastAsia="Times New Roman"/>
          <w:b/>
          <w:color w:val="000000" w:themeColor="text1"/>
          <w:sz w:val="24"/>
          <w:szCs w:val="24"/>
        </w:rPr>
        <w:t xml:space="preserve"> Lecturer Name: Patrick Yeboah</w:t>
      </w:r>
    </w:p>
    <w:p w14:paraId="6A48FC00" w14:textId="77777777" w:rsidR="00C071EF" w:rsidRDefault="00C071EF" w:rsidP="00C071EF">
      <w:pPr>
        <w:spacing w:line="360" w:lineRule="auto"/>
        <w:jc w:val="both"/>
        <w:rPr>
          <w:rFonts w:eastAsia="Times New Roman"/>
          <w:b/>
          <w:color w:val="000000" w:themeColor="text1"/>
          <w:sz w:val="24"/>
          <w:szCs w:val="24"/>
        </w:rPr>
      </w:pPr>
      <w:r>
        <w:rPr>
          <w:rFonts w:eastAsia="Times New Roman"/>
          <w:b/>
          <w:color w:val="000000" w:themeColor="text1"/>
          <w:sz w:val="24"/>
          <w:szCs w:val="24"/>
        </w:rPr>
        <w:t xml:space="preserve">Module: </w:t>
      </w:r>
    </w:p>
    <w:p w14:paraId="0CF87354" w14:textId="77777777" w:rsidR="00C071EF" w:rsidRDefault="00C071EF" w:rsidP="00C071EF">
      <w:pPr>
        <w:spacing w:line="360" w:lineRule="auto"/>
        <w:jc w:val="both"/>
        <w:rPr>
          <w:rFonts w:eastAsia="Times New Roman"/>
          <w:b/>
          <w:color w:val="000000" w:themeColor="text1"/>
          <w:sz w:val="24"/>
          <w:szCs w:val="24"/>
        </w:rPr>
      </w:pPr>
      <w:r>
        <w:rPr>
          <w:rFonts w:eastAsia="Times New Roman"/>
          <w:b/>
          <w:color w:val="000000" w:themeColor="text1"/>
          <w:sz w:val="24"/>
          <w:szCs w:val="24"/>
        </w:rPr>
        <w:t>Module Code: LCMB7002</w:t>
      </w:r>
    </w:p>
    <w:p w14:paraId="326D2380" w14:textId="77777777" w:rsidR="00C071EF" w:rsidRDefault="00C071EF" w:rsidP="00C071EF">
      <w:pPr>
        <w:spacing w:line="360" w:lineRule="auto"/>
        <w:jc w:val="both"/>
        <w:rPr>
          <w:rFonts w:eastAsia="Times New Roman"/>
          <w:b/>
          <w:color w:val="000000" w:themeColor="text1"/>
          <w:sz w:val="24"/>
          <w:szCs w:val="24"/>
        </w:rPr>
      </w:pPr>
    </w:p>
    <w:p w14:paraId="1FF7B201" w14:textId="77777777" w:rsidR="00C071EF" w:rsidRDefault="00C071EF" w:rsidP="00C071EF">
      <w:pPr>
        <w:spacing w:line="360" w:lineRule="auto"/>
        <w:jc w:val="both"/>
        <w:rPr>
          <w:rFonts w:eastAsia="Times New Roman"/>
          <w:b/>
          <w:color w:val="000000" w:themeColor="text1"/>
          <w:sz w:val="24"/>
          <w:szCs w:val="24"/>
        </w:rPr>
      </w:pPr>
      <w:r>
        <w:rPr>
          <w:rFonts w:eastAsia="Times New Roman"/>
          <w:b/>
          <w:color w:val="000000" w:themeColor="text1"/>
          <w:sz w:val="24"/>
          <w:szCs w:val="24"/>
        </w:rPr>
        <w:t>Assignment Title:FINANCIAL MANAGEMENT</w:t>
      </w:r>
    </w:p>
    <w:p w14:paraId="7C74954B" w14:textId="77777777" w:rsidR="00C071EF" w:rsidRDefault="00C071EF" w:rsidP="00C071EF">
      <w:pPr>
        <w:spacing w:line="360" w:lineRule="auto"/>
        <w:jc w:val="both"/>
        <w:rPr>
          <w:rFonts w:eastAsia="Times New Roman"/>
          <w:b/>
          <w:color w:val="000000" w:themeColor="text1"/>
          <w:sz w:val="24"/>
          <w:szCs w:val="24"/>
        </w:rPr>
      </w:pPr>
    </w:p>
    <w:p w14:paraId="1F9062A6" w14:textId="77777777" w:rsidR="00C071EF" w:rsidRDefault="00C071EF" w:rsidP="00C071EF">
      <w:pPr>
        <w:spacing w:line="360" w:lineRule="auto"/>
        <w:jc w:val="both"/>
        <w:rPr>
          <w:rFonts w:eastAsia="Times New Roman"/>
          <w:b/>
          <w:color w:val="000000" w:themeColor="text1"/>
          <w:sz w:val="24"/>
          <w:szCs w:val="24"/>
        </w:rPr>
      </w:pPr>
      <w:r>
        <w:rPr>
          <w:rFonts w:eastAsia="Times New Roman"/>
          <w:b/>
          <w:color w:val="000000" w:themeColor="text1"/>
          <w:sz w:val="24"/>
          <w:szCs w:val="24"/>
        </w:rPr>
        <w:t>Assignment Assessment Componet: Financial Performance and management</w:t>
      </w:r>
    </w:p>
    <w:p w14:paraId="01252C49" w14:textId="77777777" w:rsidR="00C071EF" w:rsidRDefault="00C071EF" w:rsidP="00C071EF">
      <w:pPr>
        <w:spacing w:line="360" w:lineRule="auto"/>
        <w:jc w:val="both"/>
        <w:rPr>
          <w:rFonts w:eastAsia="Times New Roman"/>
          <w:b/>
          <w:color w:val="000000" w:themeColor="text1"/>
          <w:sz w:val="24"/>
          <w:szCs w:val="24"/>
        </w:rPr>
      </w:pPr>
    </w:p>
    <w:p w14:paraId="0A20A5EB" w14:textId="2B2CF4F1" w:rsidR="00C071EF" w:rsidRDefault="00C071EF" w:rsidP="00C071EF">
      <w:pPr>
        <w:spacing w:line="360" w:lineRule="auto"/>
        <w:jc w:val="both"/>
        <w:rPr>
          <w:rFonts w:eastAsia="Times New Roman"/>
          <w:b/>
          <w:color w:val="000000" w:themeColor="text1"/>
          <w:sz w:val="24"/>
          <w:szCs w:val="24"/>
        </w:rPr>
      </w:pPr>
      <w:r>
        <w:rPr>
          <w:rFonts w:eastAsia="Times New Roman"/>
          <w:b/>
          <w:color w:val="000000" w:themeColor="text1"/>
          <w:sz w:val="24"/>
          <w:szCs w:val="24"/>
        </w:rPr>
        <w:t>Date of submission:24</w:t>
      </w:r>
      <w:r w:rsidRPr="00B220FC">
        <w:rPr>
          <w:rFonts w:eastAsia="Times New Roman"/>
          <w:b/>
          <w:color w:val="000000" w:themeColor="text1"/>
          <w:sz w:val="24"/>
          <w:szCs w:val="24"/>
          <w:vertAlign w:val="superscript"/>
        </w:rPr>
        <w:t>th</w:t>
      </w:r>
      <w:r>
        <w:rPr>
          <w:rFonts w:eastAsia="Times New Roman"/>
          <w:b/>
          <w:color w:val="000000" w:themeColor="text1"/>
          <w:sz w:val="24"/>
          <w:szCs w:val="24"/>
        </w:rPr>
        <w:t xml:space="preserve"> </w:t>
      </w:r>
      <w:r w:rsidR="00FC6541">
        <w:rPr>
          <w:rFonts w:eastAsia="Times New Roman"/>
          <w:b/>
          <w:color w:val="000000" w:themeColor="text1"/>
          <w:sz w:val="24"/>
          <w:szCs w:val="24"/>
        </w:rPr>
        <w:t>November</w:t>
      </w:r>
      <w:r>
        <w:rPr>
          <w:rFonts w:eastAsia="Times New Roman"/>
          <w:b/>
          <w:color w:val="000000" w:themeColor="text1"/>
          <w:sz w:val="24"/>
          <w:szCs w:val="24"/>
        </w:rPr>
        <w:t xml:space="preserve"> 2025</w:t>
      </w:r>
    </w:p>
    <w:p w14:paraId="149DBC84" w14:textId="77777777" w:rsidR="009D1F83" w:rsidRDefault="009D1F83">
      <w:pPr>
        <w:spacing w:line="360" w:lineRule="auto"/>
        <w:jc w:val="center"/>
        <w:rPr>
          <w:sz w:val="24"/>
          <w:szCs w:val="24"/>
        </w:rPr>
      </w:pPr>
    </w:p>
    <w:p w14:paraId="2EAB65D3" w14:textId="1420DB5B" w:rsidR="009D1F83" w:rsidRDefault="00452E53" w:rsidP="00C071EF">
      <w:pPr>
        <w:spacing w:line="360" w:lineRule="auto"/>
        <w:rPr>
          <w:b/>
          <w:sz w:val="24"/>
          <w:szCs w:val="24"/>
        </w:rPr>
      </w:pPr>
      <w:r>
        <w:br w:type="page"/>
      </w:r>
    </w:p>
    <w:sdt>
      <w:sdtPr>
        <w:rPr>
          <w:rFonts w:ascii="Arial" w:eastAsia="Arial" w:hAnsi="Arial" w:cs="Arial"/>
          <w:b w:val="0"/>
          <w:bCs w:val="0"/>
          <w:color w:val="auto"/>
          <w:sz w:val="32"/>
          <w:szCs w:val="22"/>
          <w:lang w:val="en" w:eastAsia="en-GB"/>
        </w:rPr>
        <w:id w:val="466170627"/>
        <w:docPartObj>
          <w:docPartGallery w:val="Table of Contents"/>
          <w:docPartUnique/>
        </w:docPartObj>
      </w:sdtPr>
      <w:sdtEndPr>
        <w:rPr>
          <w:noProof/>
          <w:sz w:val="22"/>
        </w:rPr>
      </w:sdtEndPr>
      <w:sdtContent>
        <w:p w14:paraId="006E2766" w14:textId="77777777" w:rsidR="006E7380" w:rsidRPr="006E7380" w:rsidRDefault="00452E53" w:rsidP="006E7380">
          <w:pPr>
            <w:pStyle w:val="TOCHeading"/>
            <w:spacing w:line="360" w:lineRule="auto"/>
            <w:jc w:val="center"/>
            <w:rPr>
              <w:rFonts w:ascii="Arial" w:hAnsi="Arial" w:cs="Arial"/>
              <w:color w:val="000000" w:themeColor="text1"/>
              <w:szCs w:val="24"/>
            </w:rPr>
          </w:pPr>
          <w:r w:rsidRPr="006E7380">
            <w:rPr>
              <w:rFonts w:ascii="Arial" w:hAnsi="Arial" w:cs="Arial"/>
              <w:color w:val="000000" w:themeColor="text1"/>
              <w:szCs w:val="24"/>
            </w:rPr>
            <w:t>Table of Contents</w:t>
          </w:r>
        </w:p>
        <w:p w14:paraId="1CEA3312" w14:textId="77777777" w:rsidR="006E7380" w:rsidRPr="006E7380" w:rsidRDefault="00452E53" w:rsidP="006E7380">
          <w:pPr>
            <w:pStyle w:val="TOC1"/>
            <w:tabs>
              <w:tab w:val="right" w:leader="dot" w:pos="9350"/>
            </w:tabs>
            <w:spacing w:line="360" w:lineRule="auto"/>
            <w:jc w:val="center"/>
            <w:rPr>
              <w:noProof/>
              <w:color w:val="000000" w:themeColor="text1"/>
              <w:sz w:val="24"/>
              <w:szCs w:val="24"/>
            </w:rPr>
          </w:pPr>
          <w:r w:rsidRPr="006E7380">
            <w:rPr>
              <w:color w:val="000000" w:themeColor="text1"/>
              <w:sz w:val="24"/>
              <w:szCs w:val="24"/>
            </w:rPr>
            <w:fldChar w:fldCharType="begin"/>
          </w:r>
          <w:r w:rsidRPr="006E7380">
            <w:rPr>
              <w:color w:val="000000" w:themeColor="text1"/>
              <w:sz w:val="24"/>
              <w:szCs w:val="24"/>
            </w:rPr>
            <w:instrText xml:space="preserve"> TOC \o "1-3" \h \z \u </w:instrText>
          </w:r>
          <w:r w:rsidRPr="006E7380">
            <w:rPr>
              <w:color w:val="000000" w:themeColor="text1"/>
              <w:sz w:val="24"/>
              <w:szCs w:val="24"/>
            </w:rPr>
            <w:fldChar w:fldCharType="separate"/>
          </w:r>
          <w:hyperlink w:anchor="_Toc212203726" w:history="1">
            <w:r w:rsidRPr="006E7380">
              <w:rPr>
                <w:rStyle w:val="Hyperlink"/>
                <w:noProof/>
                <w:color w:val="000000" w:themeColor="text1"/>
                <w:sz w:val="24"/>
                <w:szCs w:val="24"/>
              </w:rPr>
              <w:t>1.0 Introduction</w:t>
            </w:r>
            <w:r w:rsidRPr="006E7380">
              <w:rPr>
                <w:noProof/>
                <w:webHidden/>
                <w:color w:val="000000" w:themeColor="text1"/>
                <w:sz w:val="24"/>
                <w:szCs w:val="24"/>
              </w:rPr>
              <w:tab/>
            </w:r>
            <w:r w:rsidRPr="006E7380">
              <w:rPr>
                <w:noProof/>
                <w:webHidden/>
                <w:color w:val="000000" w:themeColor="text1"/>
                <w:sz w:val="24"/>
                <w:szCs w:val="24"/>
              </w:rPr>
              <w:fldChar w:fldCharType="begin"/>
            </w:r>
            <w:r w:rsidRPr="006E7380">
              <w:rPr>
                <w:noProof/>
                <w:webHidden/>
                <w:color w:val="000000" w:themeColor="text1"/>
                <w:sz w:val="24"/>
                <w:szCs w:val="24"/>
              </w:rPr>
              <w:instrText xml:space="preserve"> PAGEREF _Toc212203726 \h </w:instrText>
            </w:r>
            <w:r w:rsidRPr="006E7380">
              <w:rPr>
                <w:noProof/>
                <w:webHidden/>
                <w:color w:val="000000" w:themeColor="text1"/>
                <w:sz w:val="24"/>
                <w:szCs w:val="24"/>
              </w:rPr>
            </w:r>
            <w:r w:rsidRPr="006E7380">
              <w:rPr>
                <w:noProof/>
                <w:webHidden/>
                <w:color w:val="000000" w:themeColor="text1"/>
                <w:sz w:val="24"/>
                <w:szCs w:val="24"/>
              </w:rPr>
              <w:fldChar w:fldCharType="separate"/>
            </w:r>
            <w:r w:rsidR="008362AD">
              <w:rPr>
                <w:noProof/>
                <w:webHidden/>
                <w:color w:val="000000" w:themeColor="text1"/>
                <w:sz w:val="24"/>
                <w:szCs w:val="24"/>
              </w:rPr>
              <w:t>4</w:t>
            </w:r>
            <w:r w:rsidRPr="006E7380">
              <w:rPr>
                <w:noProof/>
                <w:webHidden/>
                <w:color w:val="000000" w:themeColor="text1"/>
                <w:sz w:val="24"/>
                <w:szCs w:val="24"/>
              </w:rPr>
              <w:fldChar w:fldCharType="end"/>
            </w:r>
          </w:hyperlink>
        </w:p>
        <w:p w14:paraId="5FB60A29" w14:textId="77777777" w:rsidR="006E7380" w:rsidRPr="006E7380" w:rsidRDefault="00452E53" w:rsidP="006E7380">
          <w:pPr>
            <w:pStyle w:val="TOC1"/>
            <w:tabs>
              <w:tab w:val="right" w:leader="dot" w:pos="9350"/>
            </w:tabs>
            <w:spacing w:line="360" w:lineRule="auto"/>
            <w:jc w:val="center"/>
            <w:rPr>
              <w:noProof/>
              <w:color w:val="000000" w:themeColor="text1"/>
              <w:sz w:val="24"/>
              <w:szCs w:val="24"/>
            </w:rPr>
          </w:pPr>
          <w:hyperlink w:anchor="_Toc212203727" w:history="1">
            <w:r w:rsidRPr="006E7380">
              <w:rPr>
                <w:rStyle w:val="Hyperlink"/>
                <w:noProof/>
                <w:color w:val="000000" w:themeColor="text1"/>
                <w:sz w:val="24"/>
                <w:szCs w:val="24"/>
              </w:rPr>
              <w:t>2.0 Financial Health Check-up</w:t>
            </w:r>
            <w:r w:rsidRPr="006E7380">
              <w:rPr>
                <w:noProof/>
                <w:webHidden/>
                <w:color w:val="000000" w:themeColor="text1"/>
                <w:sz w:val="24"/>
                <w:szCs w:val="24"/>
              </w:rPr>
              <w:tab/>
            </w:r>
            <w:r w:rsidRPr="006E7380">
              <w:rPr>
                <w:noProof/>
                <w:webHidden/>
                <w:color w:val="000000" w:themeColor="text1"/>
                <w:sz w:val="24"/>
                <w:szCs w:val="24"/>
              </w:rPr>
              <w:fldChar w:fldCharType="begin"/>
            </w:r>
            <w:r w:rsidRPr="006E7380">
              <w:rPr>
                <w:noProof/>
                <w:webHidden/>
                <w:color w:val="000000" w:themeColor="text1"/>
                <w:sz w:val="24"/>
                <w:szCs w:val="24"/>
              </w:rPr>
              <w:instrText xml:space="preserve"> PAGEREF _Toc212203727 \h </w:instrText>
            </w:r>
            <w:r w:rsidRPr="006E7380">
              <w:rPr>
                <w:noProof/>
                <w:webHidden/>
                <w:color w:val="000000" w:themeColor="text1"/>
                <w:sz w:val="24"/>
                <w:szCs w:val="24"/>
              </w:rPr>
            </w:r>
            <w:r w:rsidRPr="006E7380">
              <w:rPr>
                <w:noProof/>
                <w:webHidden/>
                <w:color w:val="000000" w:themeColor="text1"/>
                <w:sz w:val="24"/>
                <w:szCs w:val="24"/>
              </w:rPr>
              <w:fldChar w:fldCharType="separate"/>
            </w:r>
            <w:r w:rsidR="008362AD">
              <w:rPr>
                <w:noProof/>
                <w:webHidden/>
                <w:color w:val="000000" w:themeColor="text1"/>
                <w:sz w:val="24"/>
                <w:szCs w:val="24"/>
              </w:rPr>
              <w:t>4</w:t>
            </w:r>
            <w:r w:rsidRPr="006E7380">
              <w:rPr>
                <w:noProof/>
                <w:webHidden/>
                <w:color w:val="000000" w:themeColor="text1"/>
                <w:sz w:val="24"/>
                <w:szCs w:val="24"/>
              </w:rPr>
              <w:fldChar w:fldCharType="end"/>
            </w:r>
          </w:hyperlink>
        </w:p>
        <w:p w14:paraId="65B0BD51" w14:textId="77777777" w:rsidR="006E7380" w:rsidRPr="006E7380" w:rsidRDefault="00452E53" w:rsidP="006E7380">
          <w:pPr>
            <w:pStyle w:val="TOC2"/>
            <w:tabs>
              <w:tab w:val="right" w:leader="dot" w:pos="9350"/>
            </w:tabs>
            <w:spacing w:line="360" w:lineRule="auto"/>
            <w:jc w:val="center"/>
            <w:rPr>
              <w:noProof/>
              <w:color w:val="000000" w:themeColor="text1"/>
              <w:sz w:val="24"/>
              <w:szCs w:val="24"/>
            </w:rPr>
          </w:pPr>
          <w:hyperlink w:anchor="_Toc212203728" w:history="1">
            <w:r w:rsidRPr="006E7380">
              <w:rPr>
                <w:rStyle w:val="Hyperlink"/>
                <w:noProof/>
                <w:color w:val="000000" w:themeColor="text1"/>
                <w:sz w:val="24"/>
                <w:szCs w:val="24"/>
              </w:rPr>
              <w:t>2.1 Analysing the firm’s full financial statements</w:t>
            </w:r>
            <w:r w:rsidRPr="006E7380">
              <w:rPr>
                <w:noProof/>
                <w:webHidden/>
                <w:color w:val="000000" w:themeColor="text1"/>
                <w:sz w:val="24"/>
                <w:szCs w:val="24"/>
              </w:rPr>
              <w:tab/>
            </w:r>
            <w:r w:rsidRPr="006E7380">
              <w:rPr>
                <w:noProof/>
                <w:webHidden/>
                <w:color w:val="000000" w:themeColor="text1"/>
                <w:sz w:val="24"/>
                <w:szCs w:val="24"/>
              </w:rPr>
              <w:fldChar w:fldCharType="begin"/>
            </w:r>
            <w:r w:rsidRPr="006E7380">
              <w:rPr>
                <w:noProof/>
                <w:webHidden/>
                <w:color w:val="000000" w:themeColor="text1"/>
                <w:sz w:val="24"/>
                <w:szCs w:val="24"/>
              </w:rPr>
              <w:instrText xml:space="preserve"> PAGEREF _Toc212203728 \h </w:instrText>
            </w:r>
            <w:r w:rsidRPr="006E7380">
              <w:rPr>
                <w:noProof/>
                <w:webHidden/>
                <w:color w:val="000000" w:themeColor="text1"/>
                <w:sz w:val="24"/>
                <w:szCs w:val="24"/>
              </w:rPr>
            </w:r>
            <w:r w:rsidRPr="006E7380">
              <w:rPr>
                <w:noProof/>
                <w:webHidden/>
                <w:color w:val="000000" w:themeColor="text1"/>
                <w:sz w:val="24"/>
                <w:szCs w:val="24"/>
              </w:rPr>
              <w:fldChar w:fldCharType="separate"/>
            </w:r>
            <w:r w:rsidR="008362AD">
              <w:rPr>
                <w:noProof/>
                <w:webHidden/>
                <w:color w:val="000000" w:themeColor="text1"/>
                <w:sz w:val="24"/>
                <w:szCs w:val="24"/>
              </w:rPr>
              <w:t>4</w:t>
            </w:r>
            <w:r w:rsidRPr="006E7380">
              <w:rPr>
                <w:noProof/>
                <w:webHidden/>
                <w:color w:val="000000" w:themeColor="text1"/>
                <w:sz w:val="24"/>
                <w:szCs w:val="24"/>
              </w:rPr>
              <w:fldChar w:fldCharType="end"/>
            </w:r>
          </w:hyperlink>
        </w:p>
        <w:p w14:paraId="485BBCAB" w14:textId="77777777" w:rsidR="006E7380" w:rsidRPr="006E7380" w:rsidRDefault="00452E53" w:rsidP="006E7380">
          <w:pPr>
            <w:pStyle w:val="TOC2"/>
            <w:tabs>
              <w:tab w:val="right" w:leader="dot" w:pos="9350"/>
            </w:tabs>
            <w:spacing w:line="360" w:lineRule="auto"/>
            <w:jc w:val="center"/>
            <w:rPr>
              <w:noProof/>
              <w:color w:val="000000" w:themeColor="text1"/>
              <w:sz w:val="24"/>
              <w:szCs w:val="24"/>
            </w:rPr>
          </w:pPr>
          <w:hyperlink w:anchor="_Toc212203729" w:history="1">
            <w:r w:rsidRPr="006E7380">
              <w:rPr>
                <w:rStyle w:val="Hyperlink"/>
                <w:noProof/>
                <w:color w:val="000000" w:themeColor="text1"/>
                <w:sz w:val="24"/>
                <w:szCs w:val="24"/>
              </w:rPr>
              <w:t>2.2 Performing full ratio analysis</w:t>
            </w:r>
            <w:r w:rsidRPr="006E7380">
              <w:rPr>
                <w:noProof/>
                <w:webHidden/>
                <w:color w:val="000000" w:themeColor="text1"/>
                <w:sz w:val="24"/>
                <w:szCs w:val="24"/>
              </w:rPr>
              <w:tab/>
            </w:r>
            <w:r w:rsidRPr="006E7380">
              <w:rPr>
                <w:noProof/>
                <w:webHidden/>
                <w:color w:val="000000" w:themeColor="text1"/>
                <w:sz w:val="24"/>
                <w:szCs w:val="24"/>
              </w:rPr>
              <w:fldChar w:fldCharType="begin"/>
            </w:r>
            <w:r w:rsidRPr="006E7380">
              <w:rPr>
                <w:noProof/>
                <w:webHidden/>
                <w:color w:val="000000" w:themeColor="text1"/>
                <w:sz w:val="24"/>
                <w:szCs w:val="24"/>
              </w:rPr>
              <w:instrText xml:space="preserve"> PAGEREF _Toc212203729 \h </w:instrText>
            </w:r>
            <w:r w:rsidRPr="006E7380">
              <w:rPr>
                <w:noProof/>
                <w:webHidden/>
                <w:color w:val="000000" w:themeColor="text1"/>
                <w:sz w:val="24"/>
                <w:szCs w:val="24"/>
              </w:rPr>
            </w:r>
            <w:r w:rsidRPr="006E7380">
              <w:rPr>
                <w:noProof/>
                <w:webHidden/>
                <w:color w:val="000000" w:themeColor="text1"/>
                <w:sz w:val="24"/>
                <w:szCs w:val="24"/>
              </w:rPr>
              <w:fldChar w:fldCharType="separate"/>
            </w:r>
            <w:r w:rsidR="008362AD">
              <w:rPr>
                <w:noProof/>
                <w:webHidden/>
                <w:color w:val="000000" w:themeColor="text1"/>
                <w:sz w:val="24"/>
                <w:szCs w:val="24"/>
              </w:rPr>
              <w:t>6</w:t>
            </w:r>
            <w:r w:rsidRPr="006E7380">
              <w:rPr>
                <w:noProof/>
                <w:webHidden/>
                <w:color w:val="000000" w:themeColor="text1"/>
                <w:sz w:val="24"/>
                <w:szCs w:val="24"/>
              </w:rPr>
              <w:fldChar w:fldCharType="end"/>
            </w:r>
          </w:hyperlink>
        </w:p>
        <w:p w14:paraId="0261C9B6" w14:textId="77777777" w:rsidR="006E7380" w:rsidRPr="006E7380" w:rsidRDefault="00452E53" w:rsidP="006E7380">
          <w:pPr>
            <w:pStyle w:val="TOC2"/>
            <w:tabs>
              <w:tab w:val="right" w:leader="dot" w:pos="9350"/>
            </w:tabs>
            <w:spacing w:line="360" w:lineRule="auto"/>
            <w:jc w:val="center"/>
            <w:rPr>
              <w:noProof/>
              <w:color w:val="000000" w:themeColor="text1"/>
              <w:sz w:val="24"/>
              <w:szCs w:val="24"/>
            </w:rPr>
          </w:pPr>
          <w:hyperlink w:anchor="_Toc212203730" w:history="1">
            <w:r w:rsidRPr="006E7380">
              <w:rPr>
                <w:rStyle w:val="Hyperlink"/>
                <w:noProof/>
                <w:color w:val="000000" w:themeColor="text1"/>
                <w:sz w:val="24"/>
                <w:szCs w:val="24"/>
              </w:rPr>
              <w:t>2.3 Identification of strengths and threats using trends</w:t>
            </w:r>
            <w:r w:rsidRPr="006E7380">
              <w:rPr>
                <w:noProof/>
                <w:webHidden/>
                <w:color w:val="000000" w:themeColor="text1"/>
                <w:sz w:val="24"/>
                <w:szCs w:val="24"/>
              </w:rPr>
              <w:tab/>
            </w:r>
            <w:r w:rsidRPr="006E7380">
              <w:rPr>
                <w:noProof/>
                <w:webHidden/>
                <w:color w:val="000000" w:themeColor="text1"/>
                <w:sz w:val="24"/>
                <w:szCs w:val="24"/>
              </w:rPr>
              <w:fldChar w:fldCharType="begin"/>
            </w:r>
            <w:r w:rsidRPr="006E7380">
              <w:rPr>
                <w:noProof/>
                <w:webHidden/>
                <w:color w:val="000000" w:themeColor="text1"/>
                <w:sz w:val="24"/>
                <w:szCs w:val="24"/>
              </w:rPr>
              <w:instrText xml:space="preserve"> PAGEREF _Toc212203730 \h </w:instrText>
            </w:r>
            <w:r w:rsidRPr="006E7380">
              <w:rPr>
                <w:noProof/>
                <w:webHidden/>
                <w:color w:val="000000" w:themeColor="text1"/>
                <w:sz w:val="24"/>
                <w:szCs w:val="24"/>
              </w:rPr>
            </w:r>
            <w:r w:rsidRPr="006E7380">
              <w:rPr>
                <w:noProof/>
                <w:webHidden/>
                <w:color w:val="000000" w:themeColor="text1"/>
                <w:sz w:val="24"/>
                <w:szCs w:val="24"/>
              </w:rPr>
              <w:fldChar w:fldCharType="separate"/>
            </w:r>
            <w:r w:rsidR="008362AD">
              <w:rPr>
                <w:noProof/>
                <w:webHidden/>
                <w:color w:val="000000" w:themeColor="text1"/>
                <w:sz w:val="24"/>
                <w:szCs w:val="24"/>
              </w:rPr>
              <w:t>10</w:t>
            </w:r>
            <w:r w:rsidRPr="006E7380">
              <w:rPr>
                <w:noProof/>
                <w:webHidden/>
                <w:color w:val="000000" w:themeColor="text1"/>
                <w:sz w:val="24"/>
                <w:szCs w:val="24"/>
              </w:rPr>
              <w:fldChar w:fldCharType="end"/>
            </w:r>
          </w:hyperlink>
        </w:p>
        <w:p w14:paraId="7C83F992" w14:textId="77777777" w:rsidR="006E7380" w:rsidRPr="006E7380" w:rsidRDefault="00452E53" w:rsidP="006E7380">
          <w:pPr>
            <w:pStyle w:val="TOC2"/>
            <w:tabs>
              <w:tab w:val="right" w:leader="dot" w:pos="9350"/>
            </w:tabs>
            <w:spacing w:line="360" w:lineRule="auto"/>
            <w:rPr>
              <w:noProof/>
              <w:color w:val="000000" w:themeColor="text1"/>
              <w:sz w:val="24"/>
              <w:szCs w:val="24"/>
            </w:rPr>
          </w:pPr>
          <w:hyperlink w:anchor="_Toc212203731" w:history="1">
            <w:r w:rsidRPr="006E7380">
              <w:rPr>
                <w:rStyle w:val="Hyperlink"/>
                <w:noProof/>
                <w:color w:val="000000" w:themeColor="text1"/>
                <w:sz w:val="24"/>
                <w:szCs w:val="24"/>
              </w:rPr>
              <w:t>2.4 Assessing default risks using corporate failure prediction models like Altman Z-score</w:t>
            </w:r>
            <w:r w:rsidRPr="006E7380">
              <w:rPr>
                <w:noProof/>
                <w:webHidden/>
                <w:color w:val="000000" w:themeColor="text1"/>
                <w:sz w:val="24"/>
                <w:szCs w:val="24"/>
              </w:rPr>
              <w:tab/>
            </w:r>
            <w:r w:rsidRPr="006E7380">
              <w:rPr>
                <w:noProof/>
                <w:webHidden/>
                <w:color w:val="000000" w:themeColor="text1"/>
                <w:sz w:val="24"/>
                <w:szCs w:val="24"/>
              </w:rPr>
              <w:fldChar w:fldCharType="begin"/>
            </w:r>
            <w:r w:rsidRPr="006E7380">
              <w:rPr>
                <w:noProof/>
                <w:webHidden/>
                <w:color w:val="000000" w:themeColor="text1"/>
                <w:sz w:val="24"/>
                <w:szCs w:val="24"/>
              </w:rPr>
              <w:instrText xml:space="preserve"> PAGEREF _Toc212203731 \h </w:instrText>
            </w:r>
            <w:r w:rsidRPr="006E7380">
              <w:rPr>
                <w:noProof/>
                <w:webHidden/>
                <w:color w:val="000000" w:themeColor="text1"/>
                <w:sz w:val="24"/>
                <w:szCs w:val="24"/>
              </w:rPr>
            </w:r>
            <w:r w:rsidRPr="006E7380">
              <w:rPr>
                <w:noProof/>
                <w:webHidden/>
                <w:color w:val="000000" w:themeColor="text1"/>
                <w:sz w:val="24"/>
                <w:szCs w:val="24"/>
              </w:rPr>
              <w:fldChar w:fldCharType="separate"/>
            </w:r>
            <w:r w:rsidR="008362AD">
              <w:rPr>
                <w:noProof/>
                <w:webHidden/>
                <w:color w:val="000000" w:themeColor="text1"/>
                <w:sz w:val="24"/>
                <w:szCs w:val="24"/>
              </w:rPr>
              <w:t>13</w:t>
            </w:r>
            <w:r w:rsidRPr="006E7380">
              <w:rPr>
                <w:noProof/>
                <w:webHidden/>
                <w:color w:val="000000" w:themeColor="text1"/>
                <w:sz w:val="24"/>
                <w:szCs w:val="24"/>
              </w:rPr>
              <w:fldChar w:fldCharType="end"/>
            </w:r>
          </w:hyperlink>
        </w:p>
        <w:p w14:paraId="6E0A478E" w14:textId="77777777" w:rsidR="006E7380" w:rsidRPr="006E7380" w:rsidRDefault="00452E53" w:rsidP="006E7380">
          <w:pPr>
            <w:pStyle w:val="TOC1"/>
            <w:tabs>
              <w:tab w:val="right" w:leader="dot" w:pos="9350"/>
            </w:tabs>
            <w:spacing w:line="360" w:lineRule="auto"/>
            <w:jc w:val="center"/>
            <w:rPr>
              <w:noProof/>
              <w:color w:val="000000" w:themeColor="text1"/>
              <w:sz w:val="24"/>
              <w:szCs w:val="24"/>
            </w:rPr>
          </w:pPr>
          <w:hyperlink w:anchor="_Toc212203732" w:history="1">
            <w:r w:rsidRPr="006E7380">
              <w:rPr>
                <w:rStyle w:val="Hyperlink"/>
                <w:noProof/>
                <w:color w:val="000000" w:themeColor="text1"/>
                <w:sz w:val="24"/>
                <w:szCs w:val="24"/>
              </w:rPr>
              <w:t>3.0 Working Capital Management Analysis</w:t>
            </w:r>
            <w:r w:rsidRPr="006E7380">
              <w:rPr>
                <w:noProof/>
                <w:webHidden/>
                <w:color w:val="000000" w:themeColor="text1"/>
                <w:sz w:val="24"/>
                <w:szCs w:val="24"/>
              </w:rPr>
              <w:tab/>
            </w:r>
            <w:r w:rsidRPr="006E7380">
              <w:rPr>
                <w:noProof/>
                <w:webHidden/>
                <w:color w:val="000000" w:themeColor="text1"/>
                <w:sz w:val="24"/>
                <w:szCs w:val="24"/>
              </w:rPr>
              <w:fldChar w:fldCharType="begin"/>
            </w:r>
            <w:r w:rsidRPr="006E7380">
              <w:rPr>
                <w:noProof/>
                <w:webHidden/>
                <w:color w:val="000000" w:themeColor="text1"/>
                <w:sz w:val="24"/>
                <w:szCs w:val="24"/>
              </w:rPr>
              <w:instrText xml:space="preserve"> PAGEREF _Toc212203732 \h </w:instrText>
            </w:r>
            <w:r w:rsidRPr="006E7380">
              <w:rPr>
                <w:noProof/>
                <w:webHidden/>
                <w:color w:val="000000" w:themeColor="text1"/>
                <w:sz w:val="24"/>
                <w:szCs w:val="24"/>
              </w:rPr>
            </w:r>
            <w:r w:rsidRPr="006E7380">
              <w:rPr>
                <w:noProof/>
                <w:webHidden/>
                <w:color w:val="000000" w:themeColor="text1"/>
                <w:sz w:val="24"/>
                <w:szCs w:val="24"/>
              </w:rPr>
              <w:fldChar w:fldCharType="separate"/>
            </w:r>
            <w:r w:rsidR="008362AD">
              <w:rPr>
                <w:noProof/>
                <w:webHidden/>
                <w:color w:val="000000" w:themeColor="text1"/>
                <w:sz w:val="24"/>
                <w:szCs w:val="24"/>
              </w:rPr>
              <w:t>15</w:t>
            </w:r>
            <w:r w:rsidRPr="006E7380">
              <w:rPr>
                <w:noProof/>
                <w:webHidden/>
                <w:color w:val="000000" w:themeColor="text1"/>
                <w:sz w:val="24"/>
                <w:szCs w:val="24"/>
              </w:rPr>
              <w:fldChar w:fldCharType="end"/>
            </w:r>
          </w:hyperlink>
        </w:p>
        <w:p w14:paraId="1B680A8C" w14:textId="77777777" w:rsidR="006E7380" w:rsidRPr="006E7380" w:rsidRDefault="00452E53" w:rsidP="006E7380">
          <w:pPr>
            <w:pStyle w:val="TOC2"/>
            <w:tabs>
              <w:tab w:val="right" w:leader="dot" w:pos="9350"/>
            </w:tabs>
            <w:spacing w:line="360" w:lineRule="auto"/>
            <w:jc w:val="center"/>
            <w:rPr>
              <w:noProof/>
              <w:color w:val="000000" w:themeColor="text1"/>
              <w:sz w:val="24"/>
              <w:szCs w:val="24"/>
            </w:rPr>
          </w:pPr>
          <w:hyperlink w:anchor="_Toc212203733" w:history="1">
            <w:r w:rsidRPr="006E7380">
              <w:rPr>
                <w:rStyle w:val="Hyperlink"/>
                <w:noProof/>
                <w:color w:val="000000" w:themeColor="text1"/>
                <w:sz w:val="24"/>
                <w:szCs w:val="24"/>
              </w:rPr>
              <w:t>3.1 Assessing the cash operating cycle</w:t>
            </w:r>
            <w:r w:rsidRPr="006E7380">
              <w:rPr>
                <w:noProof/>
                <w:webHidden/>
                <w:color w:val="000000" w:themeColor="text1"/>
                <w:sz w:val="24"/>
                <w:szCs w:val="24"/>
              </w:rPr>
              <w:tab/>
            </w:r>
            <w:r w:rsidRPr="006E7380">
              <w:rPr>
                <w:noProof/>
                <w:webHidden/>
                <w:color w:val="000000" w:themeColor="text1"/>
                <w:sz w:val="24"/>
                <w:szCs w:val="24"/>
              </w:rPr>
              <w:fldChar w:fldCharType="begin"/>
            </w:r>
            <w:r w:rsidRPr="006E7380">
              <w:rPr>
                <w:noProof/>
                <w:webHidden/>
                <w:color w:val="000000" w:themeColor="text1"/>
                <w:sz w:val="24"/>
                <w:szCs w:val="24"/>
              </w:rPr>
              <w:instrText xml:space="preserve"> PAGEREF _Toc212203733 \h </w:instrText>
            </w:r>
            <w:r w:rsidRPr="006E7380">
              <w:rPr>
                <w:noProof/>
                <w:webHidden/>
                <w:color w:val="000000" w:themeColor="text1"/>
                <w:sz w:val="24"/>
                <w:szCs w:val="24"/>
              </w:rPr>
            </w:r>
            <w:r w:rsidRPr="006E7380">
              <w:rPr>
                <w:noProof/>
                <w:webHidden/>
                <w:color w:val="000000" w:themeColor="text1"/>
                <w:sz w:val="24"/>
                <w:szCs w:val="24"/>
              </w:rPr>
              <w:fldChar w:fldCharType="separate"/>
            </w:r>
            <w:r w:rsidR="008362AD">
              <w:rPr>
                <w:noProof/>
                <w:webHidden/>
                <w:color w:val="000000" w:themeColor="text1"/>
                <w:sz w:val="24"/>
                <w:szCs w:val="24"/>
              </w:rPr>
              <w:t>15</w:t>
            </w:r>
            <w:r w:rsidRPr="006E7380">
              <w:rPr>
                <w:noProof/>
                <w:webHidden/>
                <w:color w:val="000000" w:themeColor="text1"/>
                <w:sz w:val="24"/>
                <w:szCs w:val="24"/>
              </w:rPr>
              <w:fldChar w:fldCharType="end"/>
            </w:r>
          </w:hyperlink>
        </w:p>
        <w:p w14:paraId="01696F5C" w14:textId="77777777" w:rsidR="006E7380" w:rsidRPr="006E7380" w:rsidRDefault="00452E53" w:rsidP="006E7380">
          <w:pPr>
            <w:pStyle w:val="TOC2"/>
            <w:tabs>
              <w:tab w:val="right" w:leader="dot" w:pos="9350"/>
            </w:tabs>
            <w:spacing w:line="360" w:lineRule="auto"/>
            <w:jc w:val="center"/>
            <w:rPr>
              <w:noProof/>
              <w:color w:val="000000" w:themeColor="text1"/>
              <w:sz w:val="24"/>
              <w:szCs w:val="24"/>
            </w:rPr>
          </w:pPr>
          <w:hyperlink w:anchor="_Toc212203734" w:history="1">
            <w:r w:rsidRPr="006E7380">
              <w:rPr>
                <w:rStyle w:val="Hyperlink"/>
                <w:noProof/>
                <w:color w:val="000000" w:themeColor="text1"/>
                <w:sz w:val="24"/>
                <w:szCs w:val="24"/>
              </w:rPr>
              <w:t>3.2 Recommending strategies to improve liquidity through working capital reforms</w:t>
            </w:r>
            <w:r w:rsidRPr="006E7380">
              <w:rPr>
                <w:noProof/>
                <w:webHidden/>
                <w:color w:val="000000" w:themeColor="text1"/>
                <w:sz w:val="24"/>
                <w:szCs w:val="24"/>
              </w:rPr>
              <w:tab/>
            </w:r>
            <w:r w:rsidRPr="006E7380">
              <w:rPr>
                <w:noProof/>
                <w:webHidden/>
                <w:color w:val="000000" w:themeColor="text1"/>
                <w:sz w:val="24"/>
                <w:szCs w:val="24"/>
              </w:rPr>
              <w:fldChar w:fldCharType="begin"/>
            </w:r>
            <w:r w:rsidRPr="006E7380">
              <w:rPr>
                <w:noProof/>
                <w:webHidden/>
                <w:color w:val="000000" w:themeColor="text1"/>
                <w:sz w:val="24"/>
                <w:szCs w:val="24"/>
              </w:rPr>
              <w:instrText xml:space="preserve"> PAGEREF _Toc212203734 \h </w:instrText>
            </w:r>
            <w:r w:rsidRPr="006E7380">
              <w:rPr>
                <w:noProof/>
                <w:webHidden/>
                <w:color w:val="000000" w:themeColor="text1"/>
                <w:sz w:val="24"/>
                <w:szCs w:val="24"/>
              </w:rPr>
            </w:r>
            <w:r w:rsidRPr="006E7380">
              <w:rPr>
                <w:noProof/>
                <w:webHidden/>
                <w:color w:val="000000" w:themeColor="text1"/>
                <w:sz w:val="24"/>
                <w:szCs w:val="24"/>
              </w:rPr>
              <w:fldChar w:fldCharType="separate"/>
            </w:r>
            <w:r w:rsidR="008362AD">
              <w:rPr>
                <w:noProof/>
                <w:webHidden/>
                <w:color w:val="000000" w:themeColor="text1"/>
                <w:sz w:val="24"/>
                <w:szCs w:val="24"/>
              </w:rPr>
              <w:t>16</w:t>
            </w:r>
            <w:r w:rsidRPr="006E7380">
              <w:rPr>
                <w:noProof/>
                <w:webHidden/>
                <w:color w:val="000000" w:themeColor="text1"/>
                <w:sz w:val="24"/>
                <w:szCs w:val="24"/>
              </w:rPr>
              <w:fldChar w:fldCharType="end"/>
            </w:r>
          </w:hyperlink>
        </w:p>
        <w:p w14:paraId="44E1CF60" w14:textId="77777777" w:rsidR="006E7380" w:rsidRPr="006E7380" w:rsidRDefault="00452E53" w:rsidP="006E7380">
          <w:pPr>
            <w:pStyle w:val="TOC2"/>
            <w:tabs>
              <w:tab w:val="right" w:leader="dot" w:pos="9350"/>
            </w:tabs>
            <w:spacing w:line="360" w:lineRule="auto"/>
            <w:jc w:val="center"/>
            <w:rPr>
              <w:noProof/>
              <w:color w:val="000000" w:themeColor="text1"/>
              <w:sz w:val="24"/>
              <w:szCs w:val="24"/>
            </w:rPr>
          </w:pPr>
          <w:hyperlink w:anchor="_Toc212203735" w:history="1">
            <w:r w:rsidRPr="006E7380">
              <w:rPr>
                <w:rStyle w:val="Hyperlink"/>
                <w:noProof/>
                <w:color w:val="000000" w:themeColor="text1"/>
                <w:sz w:val="24"/>
                <w:szCs w:val="24"/>
              </w:rPr>
              <w:t>3.3 Comparison of long-term and short-term financing options</w:t>
            </w:r>
            <w:r w:rsidRPr="006E7380">
              <w:rPr>
                <w:noProof/>
                <w:webHidden/>
                <w:color w:val="000000" w:themeColor="text1"/>
                <w:sz w:val="24"/>
                <w:szCs w:val="24"/>
              </w:rPr>
              <w:tab/>
            </w:r>
            <w:r w:rsidRPr="006E7380">
              <w:rPr>
                <w:noProof/>
                <w:webHidden/>
                <w:color w:val="000000" w:themeColor="text1"/>
                <w:sz w:val="24"/>
                <w:szCs w:val="24"/>
              </w:rPr>
              <w:fldChar w:fldCharType="begin"/>
            </w:r>
            <w:r w:rsidRPr="006E7380">
              <w:rPr>
                <w:noProof/>
                <w:webHidden/>
                <w:color w:val="000000" w:themeColor="text1"/>
                <w:sz w:val="24"/>
                <w:szCs w:val="24"/>
              </w:rPr>
              <w:instrText xml:space="preserve"> PAGEREF _Toc212203735 \h </w:instrText>
            </w:r>
            <w:r w:rsidRPr="006E7380">
              <w:rPr>
                <w:noProof/>
                <w:webHidden/>
                <w:color w:val="000000" w:themeColor="text1"/>
                <w:sz w:val="24"/>
                <w:szCs w:val="24"/>
              </w:rPr>
            </w:r>
            <w:r w:rsidRPr="006E7380">
              <w:rPr>
                <w:noProof/>
                <w:webHidden/>
                <w:color w:val="000000" w:themeColor="text1"/>
                <w:sz w:val="24"/>
                <w:szCs w:val="24"/>
              </w:rPr>
              <w:fldChar w:fldCharType="separate"/>
            </w:r>
            <w:r w:rsidR="008362AD">
              <w:rPr>
                <w:noProof/>
                <w:webHidden/>
                <w:color w:val="000000" w:themeColor="text1"/>
                <w:sz w:val="24"/>
                <w:szCs w:val="24"/>
              </w:rPr>
              <w:t>17</w:t>
            </w:r>
            <w:r w:rsidRPr="006E7380">
              <w:rPr>
                <w:noProof/>
                <w:webHidden/>
                <w:color w:val="000000" w:themeColor="text1"/>
                <w:sz w:val="24"/>
                <w:szCs w:val="24"/>
              </w:rPr>
              <w:fldChar w:fldCharType="end"/>
            </w:r>
          </w:hyperlink>
        </w:p>
        <w:p w14:paraId="25DD5D23" w14:textId="77777777" w:rsidR="006E7380" w:rsidRPr="006E7380" w:rsidRDefault="00452E53" w:rsidP="006E7380">
          <w:pPr>
            <w:pStyle w:val="TOC1"/>
            <w:tabs>
              <w:tab w:val="right" w:leader="dot" w:pos="9350"/>
            </w:tabs>
            <w:spacing w:line="360" w:lineRule="auto"/>
            <w:jc w:val="center"/>
            <w:rPr>
              <w:noProof/>
              <w:color w:val="000000" w:themeColor="text1"/>
              <w:sz w:val="24"/>
              <w:szCs w:val="24"/>
            </w:rPr>
          </w:pPr>
          <w:hyperlink w:anchor="_Toc212203736" w:history="1">
            <w:r w:rsidRPr="006E7380">
              <w:rPr>
                <w:rStyle w:val="Hyperlink"/>
                <w:noProof/>
                <w:color w:val="000000" w:themeColor="text1"/>
                <w:sz w:val="24"/>
                <w:szCs w:val="24"/>
              </w:rPr>
              <w:t>4.0 Strategic Financial Restructuring Plan</w:t>
            </w:r>
            <w:r w:rsidRPr="006E7380">
              <w:rPr>
                <w:noProof/>
                <w:webHidden/>
                <w:color w:val="000000" w:themeColor="text1"/>
                <w:sz w:val="24"/>
                <w:szCs w:val="24"/>
              </w:rPr>
              <w:tab/>
            </w:r>
            <w:r w:rsidRPr="006E7380">
              <w:rPr>
                <w:noProof/>
                <w:webHidden/>
                <w:color w:val="000000" w:themeColor="text1"/>
                <w:sz w:val="24"/>
                <w:szCs w:val="24"/>
              </w:rPr>
              <w:fldChar w:fldCharType="begin"/>
            </w:r>
            <w:r w:rsidRPr="006E7380">
              <w:rPr>
                <w:noProof/>
                <w:webHidden/>
                <w:color w:val="000000" w:themeColor="text1"/>
                <w:sz w:val="24"/>
                <w:szCs w:val="24"/>
              </w:rPr>
              <w:instrText xml:space="preserve"> PAGEREF _Toc212203736 \h </w:instrText>
            </w:r>
            <w:r w:rsidRPr="006E7380">
              <w:rPr>
                <w:noProof/>
                <w:webHidden/>
                <w:color w:val="000000" w:themeColor="text1"/>
                <w:sz w:val="24"/>
                <w:szCs w:val="24"/>
              </w:rPr>
            </w:r>
            <w:r w:rsidRPr="006E7380">
              <w:rPr>
                <w:noProof/>
                <w:webHidden/>
                <w:color w:val="000000" w:themeColor="text1"/>
                <w:sz w:val="24"/>
                <w:szCs w:val="24"/>
              </w:rPr>
              <w:fldChar w:fldCharType="separate"/>
            </w:r>
            <w:r w:rsidR="008362AD">
              <w:rPr>
                <w:noProof/>
                <w:webHidden/>
                <w:color w:val="000000" w:themeColor="text1"/>
                <w:sz w:val="24"/>
                <w:szCs w:val="24"/>
              </w:rPr>
              <w:t>18</w:t>
            </w:r>
            <w:r w:rsidRPr="006E7380">
              <w:rPr>
                <w:noProof/>
                <w:webHidden/>
                <w:color w:val="000000" w:themeColor="text1"/>
                <w:sz w:val="24"/>
                <w:szCs w:val="24"/>
              </w:rPr>
              <w:fldChar w:fldCharType="end"/>
            </w:r>
          </w:hyperlink>
        </w:p>
        <w:p w14:paraId="384ABCB1" w14:textId="77777777" w:rsidR="006E7380" w:rsidRPr="006E7380" w:rsidRDefault="00452E53" w:rsidP="006E7380">
          <w:pPr>
            <w:pStyle w:val="TOC2"/>
            <w:tabs>
              <w:tab w:val="right" w:leader="dot" w:pos="9350"/>
            </w:tabs>
            <w:spacing w:line="360" w:lineRule="auto"/>
            <w:jc w:val="center"/>
            <w:rPr>
              <w:noProof/>
              <w:color w:val="000000" w:themeColor="text1"/>
              <w:sz w:val="24"/>
              <w:szCs w:val="24"/>
            </w:rPr>
          </w:pPr>
          <w:hyperlink w:anchor="_Toc212203737" w:history="1">
            <w:r w:rsidRPr="006E7380">
              <w:rPr>
                <w:rStyle w:val="Hyperlink"/>
                <w:noProof/>
                <w:color w:val="000000" w:themeColor="text1"/>
                <w:sz w:val="24"/>
                <w:szCs w:val="24"/>
              </w:rPr>
              <w:t>4.1 Recommending financial restructuring options</w:t>
            </w:r>
            <w:r w:rsidRPr="006E7380">
              <w:rPr>
                <w:noProof/>
                <w:webHidden/>
                <w:color w:val="000000" w:themeColor="text1"/>
                <w:sz w:val="24"/>
                <w:szCs w:val="24"/>
              </w:rPr>
              <w:tab/>
            </w:r>
            <w:r w:rsidRPr="006E7380">
              <w:rPr>
                <w:noProof/>
                <w:webHidden/>
                <w:color w:val="000000" w:themeColor="text1"/>
                <w:sz w:val="24"/>
                <w:szCs w:val="24"/>
              </w:rPr>
              <w:fldChar w:fldCharType="begin"/>
            </w:r>
            <w:r w:rsidRPr="006E7380">
              <w:rPr>
                <w:noProof/>
                <w:webHidden/>
                <w:color w:val="000000" w:themeColor="text1"/>
                <w:sz w:val="24"/>
                <w:szCs w:val="24"/>
              </w:rPr>
              <w:instrText xml:space="preserve"> PAGEREF _Toc212203737 \h </w:instrText>
            </w:r>
            <w:r w:rsidRPr="006E7380">
              <w:rPr>
                <w:noProof/>
                <w:webHidden/>
                <w:color w:val="000000" w:themeColor="text1"/>
                <w:sz w:val="24"/>
                <w:szCs w:val="24"/>
              </w:rPr>
            </w:r>
            <w:r w:rsidRPr="006E7380">
              <w:rPr>
                <w:noProof/>
                <w:webHidden/>
                <w:color w:val="000000" w:themeColor="text1"/>
                <w:sz w:val="24"/>
                <w:szCs w:val="24"/>
              </w:rPr>
              <w:fldChar w:fldCharType="separate"/>
            </w:r>
            <w:r w:rsidR="008362AD">
              <w:rPr>
                <w:noProof/>
                <w:webHidden/>
                <w:color w:val="000000" w:themeColor="text1"/>
                <w:sz w:val="24"/>
                <w:szCs w:val="24"/>
              </w:rPr>
              <w:t>18</w:t>
            </w:r>
            <w:r w:rsidRPr="006E7380">
              <w:rPr>
                <w:noProof/>
                <w:webHidden/>
                <w:color w:val="000000" w:themeColor="text1"/>
                <w:sz w:val="24"/>
                <w:szCs w:val="24"/>
              </w:rPr>
              <w:fldChar w:fldCharType="end"/>
            </w:r>
          </w:hyperlink>
        </w:p>
        <w:p w14:paraId="263595E3" w14:textId="77777777" w:rsidR="006E7380" w:rsidRPr="006E7380" w:rsidRDefault="00452E53" w:rsidP="006E7380">
          <w:pPr>
            <w:pStyle w:val="TOC2"/>
            <w:tabs>
              <w:tab w:val="right" w:leader="dot" w:pos="9350"/>
            </w:tabs>
            <w:spacing w:line="360" w:lineRule="auto"/>
            <w:rPr>
              <w:noProof/>
              <w:color w:val="000000" w:themeColor="text1"/>
              <w:sz w:val="24"/>
              <w:szCs w:val="24"/>
            </w:rPr>
          </w:pPr>
          <w:hyperlink w:anchor="_Toc212203738" w:history="1">
            <w:r w:rsidRPr="006E7380">
              <w:rPr>
                <w:rStyle w:val="Hyperlink"/>
                <w:noProof/>
                <w:color w:val="000000" w:themeColor="text1"/>
                <w:sz w:val="24"/>
                <w:szCs w:val="24"/>
              </w:rPr>
              <w:t>4.2 Evaluating impact on stakeholder value, debt structure, and operational flexibility</w:t>
            </w:r>
            <w:r w:rsidRPr="006E7380">
              <w:rPr>
                <w:noProof/>
                <w:webHidden/>
                <w:color w:val="000000" w:themeColor="text1"/>
                <w:sz w:val="24"/>
                <w:szCs w:val="24"/>
              </w:rPr>
              <w:tab/>
            </w:r>
            <w:r w:rsidRPr="006E7380">
              <w:rPr>
                <w:noProof/>
                <w:webHidden/>
                <w:color w:val="000000" w:themeColor="text1"/>
                <w:sz w:val="24"/>
                <w:szCs w:val="24"/>
              </w:rPr>
              <w:fldChar w:fldCharType="begin"/>
            </w:r>
            <w:r w:rsidRPr="006E7380">
              <w:rPr>
                <w:noProof/>
                <w:webHidden/>
                <w:color w:val="000000" w:themeColor="text1"/>
                <w:sz w:val="24"/>
                <w:szCs w:val="24"/>
              </w:rPr>
              <w:instrText xml:space="preserve"> PAGEREF _Toc212203738 \h </w:instrText>
            </w:r>
            <w:r w:rsidRPr="006E7380">
              <w:rPr>
                <w:noProof/>
                <w:webHidden/>
                <w:color w:val="000000" w:themeColor="text1"/>
                <w:sz w:val="24"/>
                <w:szCs w:val="24"/>
              </w:rPr>
            </w:r>
            <w:r w:rsidRPr="006E7380">
              <w:rPr>
                <w:noProof/>
                <w:webHidden/>
                <w:color w:val="000000" w:themeColor="text1"/>
                <w:sz w:val="24"/>
                <w:szCs w:val="24"/>
              </w:rPr>
              <w:fldChar w:fldCharType="separate"/>
            </w:r>
            <w:r w:rsidR="008362AD">
              <w:rPr>
                <w:noProof/>
                <w:webHidden/>
                <w:color w:val="000000" w:themeColor="text1"/>
                <w:sz w:val="24"/>
                <w:szCs w:val="24"/>
              </w:rPr>
              <w:t>19</w:t>
            </w:r>
            <w:r w:rsidRPr="006E7380">
              <w:rPr>
                <w:noProof/>
                <w:webHidden/>
                <w:color w:val="000000" w:themeColor="text1"/>
                <w:sz w:val="24"/>
                <w:szCs w:val="24"/>
              </w:rPr>
              <w:fldChar w:fldCharType="end"/>
            </w:r>
          </w:hyperlink>
        </w:p>
        <w:p w14:paraId="70C3F928" w14:textId="77777777" w:rsidR="006E7380" w:rsidRPr="006E7380" w:rsidRDefault="00452E53" w:rsidP="006E7380">
          <w:pPr>
            <w:pStyle w:val="TOC2"/>
            <w:tabs>
              <w:tab w:val="right" w:leader="dot" w:pos="9350"/>
            </w:tabs>
            <w:spacing w:line="360" w:lineRule="auto"/>
            <w:jc w:val="center"/>
            <w:rPr>
              <w:noProof/>
              <w:color w:val="000000" w:themeColor="text1"/>
              <w:sz w:val="24"/>
              <w:szCs w:val="24"/>
            </w:rPr>
          </w:pPr>
          <w:hyperlink w:anchor="_Toc212203739" w:history="1">
            <w:r w:rsidRPr="006E7380">
              <w:rPr>
                <w:rStyle w:val="Hyperlink"/>
                <w:noProof/>
                <w:color w:val="000000" w:themeColor="text1"/>
                <w:sz w:val="24"/>
                <w:szCs w:val="24"/>
              </w:rPr>
              <w:t>4.3 International and ethical considerations associated with the above discussion</w:t>
            </w:r>
            <w:r w:rsidRPr="006E7380">
              <w:rPr>
                <w:noProof/>
                <w:webHidden/>
                <w:color w:val="000000" w:themeColor="text1"/>
                <w:sz w:val="24"/>
                <w:szCs w:val="24"/>
              </w:rPr>
              <w:tab/>
            </w:r>
            <w:r w:rsidRPr="006E7380">
              <w:rPr>
                <w:noProof/>
                <w:webHidden/>
                <w:color w:val="000000" w:themeColor="text1"/>
                <w:sz w:val="24"/>
                <w:szCs w:val="24"/>
              </w:rPr>
              <w:fldChar w:fldCharType="begin"/>
            </w:r>
            <w:r w:rsidRPr="006E7380">
              <w:rPr>
                <w:noProof/>
                <w:webHidden/>
                <w:color w:val="000000" w:themeColor="text1"/>
                <w:sz w:val="24"/>
                <w:szCs w:val="24"/>
              </w:rPr>
              <w:instrText xml:space="preserve"> PAGEREF _Toc212203739 \h </w:instrText>
            </w:r>
            <w:r w:rsidRPr="006E7380">
              <w:rPr>
                <w:noProof/>
                <w:webHidden/>
                <w:color w:val="000000" w:themeColor="text1"/>
                <w:sz w:val="24"/>
                <w:szCs w:val="24"/>
              </w:rPr>
            </w:r>
            <w:r w:rsidRPr="006E7380">
              <w:rPr>
                <w:noProof/>
                <w:webHidden/>
                <w:color w:val="000000" w:themeColor="text1"/>
                <w:sz w:val="24"/>
                <w:szCs w:val="24"/>
              </w:rPr>
              <w:fldChar w:fldCharType="separate"/>
            </w:r>
            <w:r w:rsidR="008362AD">
              <w:rPr>
                <w:noProof/>
                <w:webHidden/>
                <w:color w:val="000000" w:themeColor="text1"/>
                <w:sz w:val="24"/>
                <w:szCs w:val="24"/>
              </w:rPr>
              <w:t>20</w:t>
            </w:r>
            <w:r w:rsidRPr="006E7380">
              <w:rPr>
                <w:noProof/>
                <w:webHidden/>
                <w:color w:val="000000" w:themeColor="text1"/>
                <w:sz w:val="24"/>
                <w:szCs w:val="24"/>
              </w:rPr>
              <w:fldChar w:fldCharType="end"/>
            </w:r>
          </w:hyperlink>
        </w:p>
        <w:p w14:paraId="293A6F9D" w14:textId="77777777" w:rsidR="006E7380" w:rsidRPr="006E7380" w:rsidRDefault="00452E53" w:rsidP="006E7380">
          <w:pPr>
            <w:pStyle w:val="TOC1"/>
            <w:tabs>
              <w:tab w:val="right" w:leader="dot" w:pos="9350"/>
            </w:tabs>
            <w:spacing w:line="360" w:lineRule="auto"/>
            <w:jc w:val="center"/>
            <w:rPr>
              <w:noProof/>
              <w:color w:val="000000" w:themeColor="text1"/>
              <w:sz w:val="24"/>
              <w:szCs w:val="24"/>
            </w:rPr>
          </w:pPr>
          <w:hyperlink w:anchor="_Toc212203740" w:history="1">
            <w:r w:rsidRPr="006E7380">
              <w:rPr>
                <w:rStyle w:val="Hyperlink"/>
                <w:noProof/>
                <w:color w:val="000000" w:themeColor="text1"/>
                <w:sz w:val="24"/>
                <w:szCs w:val="24"/>
              </w:rPr>
              <w:t>5.0 Investment appraisal and capital budgeting</w:t>
            </w:r>
            <w:r w:rsidRPr="006E7380">
              <w:rPr>
                <w:noProof/>
                <w:webHidden/>
                <w:color w:val="000000" w:themeColor="text1"/>
                <w:sz w:val="24"/>
                <w:szCs w:val="24"/>
              </w:rPr>
              <w:tab/>
            </w:r>
            <w:r w:rsidRPr="006E7380">
              <w:rPr>
                <w:noProof/>
                <w:webHidden/>
                <w:color w:val="000000" w:themeColor="text1"/>
                <w:sz w:val="24"/>
                <w:szCs w:val="24"/>
              </w:rPr>
              <w:fldChar w:fldCharType="begin"/>
            </w:r>
            <w:r w:rsidRPr="006E7380">
              <w:rPr>
                <w:noProof/>
                <w:webHidden/>
                <w:color w:val="000000" w:themeColor="text1"/>
                <w:sz w:val="24"/>
                <w:szCs w:val="24"/>
              </w:rPr>
              <w:instrText xml:space="preserve"> PAGEREF _Toc212203740 \h </w:instrText>
            </w:r>
            <w:r w:rsidRPr="006E7380">
              <w:rPr>
                <w:noProof/>
                <w:webHidden/>
                <w:color w:val="000000" w:themeColor="text1"/>
                <w:sz w:val="24"/>
                <w:szCs w:val="24"/>
              </w:rPr>
            </w:r>
            <w:r w:rsidRPr="006E7380">
              <w:rPr>
                <w:noProof/>
                <w:webHidden/>
                <w:color w:val="000000" w:themeColor="text1"/>
                <w:sz w:val="24"/>
                <w:szCs w:val="24"/>
              </w:rPr>
              <w:fldChar w:fldCharType="separate"/>
            </w:r>
            <w:r w:rsidR="008362AD">
              <w:rPr>
                <w:noProof/>
                <w:webHidden/>
                <w:color w:val="000000" w:themeColor="text1"/>
                <w:sz w:val="24"/>
                <w:szCs w:val="24"/>
              </w:rPr>
              <w:t>21</w:t>
            </w:r>
            <w:r w:rsidRPr="006E7380">
              <w:rPr>
                <w:noProof/>
                <w:webHidden/>
                <w:color w:val="000000" w:themeColor="text1"/>
                <w:sz w:val="24"/>
                <w:szCs w:val="24"/>
              </w:rPr>
              <w:fldChar w:fldCharType="end"/>
            </w:r>
          </w:hyperlink>
        </w:p>
        <w:p w14:paraId="41D8AC15" w14:textId="77777777" w:rsidR="006E7380" w:rsidRPr="006E7380" w:rsidRDefault="00452E53" w:rsidP="006E7380">
          <w:pPr>
            <w:pStyle w:val="TOC2"/>
            <w:tabs>
              <w:tab w:val="right" w:leader="dot" w:pos="9350"/>
            </w:tabs>
            <w:spacing w:line="360" w:lineRule="auto"/>
            <w:jc w:val="center"/>
            <w:rPr>
              <w:noProof/>
              <w:color w:val="000000" w:themeColor="text1"/>
              <w:sz w:val="24"/>
              <w:szCs w:val="24"/>
            </w:rPr>
          </w:pPr>
          <w:hyperlink w:anchor="_Toc212203741" w:history="1">
            <w:r w:rsidRPr="006E7380">
              <w:rPr>
                <w:rStyle w:val="Hyperlink"/>
                <w:noProof/>
                <w:color w:val="000000" w:themeColor="text1"/>
                <w:sz w:val="24"/>
                <w:szCs w:val="24"/>
              </w:rPr>
              <w:t>5.1 Application of investment appraisal techniques</w:t>
            </w:r>
            <w:r w:rsidRPr="006E7380">
              <w:rPr>
                <w:noProof/>
                <w:webHidden/>
                <w:color w:val="000000" w:themeColor="text1"/>
                <w:sz w:val="24"/>
                <w:szCs w:val="24"/>
              </w:rPr>
              <w:tab/>
            </w:r>
            <w:r w:rsidRPr="006E7380">
              <w:rPr>
                <w:noProof/>
                <w:webHidden/>
                <w:color w:val="000000" w:themeColor="text1"/>
                <w:sz w:val="24"/>
                <w:szCs w:val="24"/>
              </w:rPr>
              <w:fldChar w:fldCharType="begin"/>
            </w:r>
            <w:r w:rsidRPr="006E7380">
              <w:rPr>
                <w:noProof/>
                <w:webHidden/>
                <w:color w:val="000000" w:themeColor="text1"/>
                <w:sz w:val="24"/>
                <w:szCs w:val="24"/>
              </w:rPr>
              <w:instrText xml:space="preserve"> PAGEREF _Toc212203741 \h </w:instrText>
            </w:r>
            <w:r w:rsidRPr="006E7380">
              <w:rPr>
                <w:noProof/>
                <w:webHidden/>
                <w:color w:val="000000" w:themeColor="text1"/>
                <w:sz w:val="24"/>
                <w:szCs w:val="24"/>
              </w:rPr>
            </w:r>
            <w:r w:rsidRPr="006E7380">
              <w:rPr>
                <w:noProof/>
                <w:webHidden/>
                <w:color w:val="000000" w:themeColor="text1"/>
                <w:sz w:val="24"/>
                <w:szCs w:val="24"/>
              </w:rPr>
              <w:fldChar w:fldCharType="separate"/>
            </w:r>
            <w:r w:rsidR="008362AD">
              <w:rPr>
                <w:noProof/>
                <w:webHidden/>
                <w:color w:val="000000" w:themeColor="text1"/>
                <w:sz w:val="24"/>
                <w:szCs w:val="24"/>
              </w:rPr>
              <w:t>21</w:t>
            </w:r>
            <w:r w:rsidRPr="006E7380">
              <w:rPr>
                <w:noProof/>
                <w:webHidden/>
                <w:color w:val="000000" w:themeColor="text1"/>
                <w:sz w:val="24"/>
                <w:szCs w:val="24"/>
              </w:rPr>
              <w:fldChar w:fldCharType="end"/>
            </w:r>
          </w:hyperlink>
        </w:p>
        <w:p w14:paraId="304E777F" w14:textId="77777777" w:rsidR="006E7380" w:rsidRPr="006E7380" w:rsidRDefault="00452E53" w:rsidP="006E7380">
          <w:pPr>
            <w:pStyle w:val="TOC2"/>
            <w:tabs>
              <w:tab w:val="right" w:leader="dot" w:pos="9350"/>
            </w:tabs>
            <w:spacing w:line="360" w:lineRule="auto"/>
            <w:jc w:val="center"/>
            <w:rPr>
              <w:noProof/>
              <w:color w:val="000000" w:themeColor="text1"/>
              <w:sz w:val="24"/>
              <w:szCs w:val="24"/>
            </w:rPr>
          </w:pPr>
          <w:hyperlink w:anchor="_Toc212203742" w:history="1">
            <w:r w:rsidRPr="006E7380">
              <w:rPr>
                <w:rStyle w:val="Hyperlink"/>
                <w:noProof/>
                <w:color w:val="000000" w:themeColor="text1"/>
                <w:sz w:val="24"/>
                <w:szCs w:val="24"/>
              </w:rPr>
              <w:t>5.2 Making a final investment recommendation assuming capital rationing</w:t>
            </w:r>
            <w:r w:rsidRPr="006E7380">
              <w:rPr>
                <w:noProof/>
                <w:webHidden/>
                <w:color w:val="000000" w:themeColor="text1"/>
                <w:sz w:val="24"/>
                <w:szCs w:val="24"/>
              </w:rPr>
              <w:tab/>
            </w:r>
            <w:r w:rsidRPr="006E7380">
              <w:rPr>
                <w:noProof/>
                <w:webHidden/>
                <w:color w:val="000000" w:themeColor="text1"/>
                <w:sz w:val="24"/>
                <w:szCs w:val="24"/>
              </w:rPr>
              <w:fldChar w:fldCharType="begin"/>
            </w:r>
            <w:r w:rsidRPr="006E7380">
              <w:rPr>
                <w:noProof/>
                <w:webHidden/>
                <w:color w:val="000000" w:themeColor="text1"/>
                <w:sz w:val="24"/>
                <w:szCs w:val="24"/>
              </w:rPr>
              <w:instrText xml:space="preserve"> PAGEREF _Toc212203742 \h </w:instrText>
            </w:r>
            <w:r w:rsidRPr="006E7380">
              <w:rPr>
                <w:noProof/>
                <w:webHidden/>
                <w:color w:val="000000" w:themeColor="text1"/>
                <w:sz w:val="24"/>
                <w:szCs w:val="24"/>
              </w:rPr>
            </w:r>
            <w:r w:rsidRPr="006E7380">
              <w:rPr>
                <w:noProof/>
                <w:webHidden/>
                <w:color w:val="000000" w:themeColor="text1"/>
                <w:sz w:val="24"/>
                <w:szCs w:val="24"/>
              </w:rPr>
              <w:fldChar w:fldCharType="separate"/>
            </w:r>
            <w:r w:rsidR="008362AD">
              <w:rPr>
                <w:noProof/>
                <w:webHidden/>
                <w:color w:val="000000" w:themeColor="text1"/>
                <w:sz w:val="24"/>
                <w:szCs w:val="24"/>
              </w:rPr>
              <w:t>23</w:t>
            </w:r>
            <w:r w:rsidRPr="006E7380">
              <w:rPr>
                <w:noProof/>
                <w:webHidden/>
                <w:color w:val="000000" w:themeColor="text1"/>
                <w:sz w:val="24"/>
                <w:szCs w:val="24"/>
              </w:rPr>
              <w:fldChar w:fldCharType="end"/>
            </w:r>
          </w:hyperlink>
        </w:p>
        <w:p w14:paraId="4D4B231F" w14:textId="77777777" w:rsidR="006E7380" w:rsidRPr="006E7380" w:rsidRDefault="00452E53" w:rsidP="006E7380">
          <w:pPr>
            <w:pStyle w:val="TOC2"/>
            <w:tabs>
              <w:tab w:val="right" w:leader="dot" w:pos="9350"/>
            </w:tabs>
            <w:spacing w:line="360" w:lineRule="auto"/>
            <w:rPr>
              <w:noProof/>
              <w:color w:val="000000" w:themeColor="text1"/>
              <w:sz w:val="24"/>
              <w:szCs w:val="24"/>
            </w:rPr>
          </w:pPr>
          <w:hyperlink w:anchor="_Toc212203743" w:history="1">
            <w:r w:rsidRPr="006E7380">
              <w:rPr>
                <w:rStyle w:val="Hyperlink"/>
                <w:noProof/>
                <w:color w:val="000000" w:themeColor="text1"/>
                <w:sz w:val="24"/>
                <w:szCs w:val="24"/>
              </w:rPr>
              <w:t>5.3 Justification of the recommendations with reference to the company’s financial performance and project risk characteristics</w:t>
            </w:r>
            <w:r w:rsidRPr="006E7380">
              <w:rPr>
                <w:noProof/>
                <w:webHidden/>
                <w:color w:val="000000" w:themeColor="text1"/>
                <w:sz w:val="24"/>
                <w:szCs w:val="24"/>
              </w:rPr>
              <w:tab/>
            </w:r>
            <w:r w:rsidRPr="006E7380">
              <w:rPr>
                <w:noProof/>
                <w:webHidden/>
                <w:color w:val="000000" w:themeColor="text1"/>
                <w:sz w:val="24"/>
                <w:szCs w:val="24"/>
              </w:rPr>
              <w:fldChar w:fldCharType="begin"/>
            </w:r>
            <w:r w:rsidRPr="006E7380">
              <w:rPr>
                <w:noProof/>
                <w:webHidden/>
                <w:color w:val="000000" w:themeColor="text1"/>
                <w:sz w:val="24"/>
                <w:szCs w:val="24"/>
              </w:rPr>
              <w:instrText xml:space="preserve"> PAGEREF _Toc212203743 \h </w:instrText>
            </w:r>
            <w:r w:rsidRPr="006E7380">
              <w:rPr>
                <w:noProof/>
                <w:webHidden/>
                <w:color w:val="000000" w:themeColor="text1"/>
                <w:sz w:val="24"/>
                <w:szCs w:val="24"/>
              </w:rPr>
            </w:r>
            <w:r w:rsidRPr="006E7380">
              <w:rPr>
                <w:noProof/>
                <w:webHidden/>
                <w:color w:val="000000" w:themeColor="text1"/>
                <w:sz w:val="24"/>
                <w:szCs w:val="24"/>
              </w:rPr>
              <w:fldChar w:fldCharType="separate"/>
            </w:r>
            <w:r w:rsidR="008362AD">
              <w:rPr>
                <w:noProof/>
                <w:webHidden/>
                <w:color w:val="000000" w:themeColor="text1"/>
                <w:sz w:val="24"/>
                <w:szCs w:val="24"/>
              </w:rPr>
              <w:t>26</w:t>
            </w:r>
            <w:r w:rsidRPr="006E7380">
              <w:rPr>
                <w:noProof/>
                <w:webHidden/>
                <w:color w:val="000000" w:themeColor="text1"/>
                <w:sz w:val="24"/>
                <w:szCs w:val="24"/>
              </w:rPr>
              <w:fldChar w:fldCharType="end"/>
            </w:r>
          </w:hyperlink>
        </w:p>
        <w:p w14:paraId="568F29E3" w14:textId="77777777" w:rsidR="006E7380" w:rsidRPr="006E7380" w:rsidRDefault="00452E53" w:rsidP="006E7380">
          <w:pPr>
            <w:pStyle w:val="TOC1"/>
            <w:tabs>
              <w:tab w:val="right" w:leader="dot" w:pos="9350"/>
            </w:tabs>
            <w:spacing w:line="360" w:lineRule="auto"/>
            <w:jc w:val="center"/>
            <w:rPr>
              <w:noProof/>
              <w:color w:val="000000" w:themeColor="text1"/>
              <w:sz w:val="24"/>
              <w:szCs w:val="24"/>
            </w:rPr>
          </w:pPr>
          <w:hyperlink w:anchor="_Toc212203744" w:history="1">
            <w:r w:rsidRPr="006E7380">
              <w:rPr>
                <w:rStyle w:val="Hyperlink"/>
                <w:noProof/>
                <w:color w:val="000000" w:themeColor="text1"/>
                <w:sz w:val="24"/>
                <w:szCs w:val="24"/>
              </w:rPr>
              <w:t>6.0 Conclusion</w:t>
            </w:r>
            <w:r w:rsidRPr="006E7380">
              <w:rPr>
                <w:noProof/>
                <w:webHidden/>
                <w:color w:val="000000" w:themeColor="text1"/>
                <w:sz w:val="24"/>
                <w:szCs w:val="24"/>
              </w:rPr>
              <w:tab/>
            </w:r>
            <w:r w:rsidRPr="006E7380">
              <w:rPr>
                <w:noProof/>
                <w:webHidden/>
                <w:color w:val="000000" w:themeColor="text1"/>
                <w:sz w:val="24"/>
                <w:szCs w:val="24"/>
              </w:rPr>
              <w:fldChar w:fldCharType="begin"/>
            </w:r>
            <w:r w:rsidRPr="006E7380">
              <w:rPr>
                <w:noProof/>
                <w:webHidden/>
                <w:color w:val="000000" w:themeColor="text1"/>
                <w:sz w:val="24"/>
                <w:szCs w:val="24"/>
              </w:rPr>
              <w:instrText xml:space="preserve"> PAGEREF _Toc212203744 \h </w:instrText>
            </w:r>
            <w:r w:rsidRPr="006E7380">
              <w:rPr>
                <w:noProof/>
                <w:webHidden/>
                <w:color w:val="000000" w:themeColor="text1"/>
                <w:sz w:val="24"/>
                <w:szCs w:val="24"/>
              </w:rPr>
            </w:r>
            <w:r w:rsidRPr="006E7380">
              <w:rPr>
                <w:noProof/>
                <w:webHidden/>
                <w:color w:val="000000" w:themeColor="text1"/>
                <w:sz w:val="24"/>
                <w:szCs w:val="24"/>
              </w:rPr>
              <w:fldChar w:fldCharType="separate"/>
            </w:r>
            <w:r w:rsidR="008362AD">
              <w:rPr>
                <w:noProof/>
                <w:webHidden/>
                <w:color w:val="000000" w:themeColor="text1"/>
                <w:sz w:val="24"/>
                <w:szCs w:val="24"/>
              </w:rPr>
              <w:t>26</w:t>
            </w:r>
            <w:r w:rsidRPr="006E7380">
              <w:rPr>
                <w:noProof/>
                <w:webHidden/>
                <w:color w:val="000000" w:themeColor="text1"/>
                <w:sz w:val="24"/>
                <w:szCs w:val="24"/>
              </w:rPr>
              <w:fldChar w:fldCharType="end"/>
            </w:r>
          </w:hyperlink>
        </w:p>
        <w:p w14:paraId="4D46CA32" w14:textId="77777777" w:rsidR="006E7380" w:rsidRPr="006E7380" w:rsidRDefault="00452E53" w:rsidP="006E7380">
          <w:pPr>
            <w:pStyle w:val="TOC1"/>
            <w:tabs>
              <w:tab w:val="right" w:leader="dot" w:pos="9350"/>
            </w:tabs>
            <w:spacing w:line="360" w:lineRule="auto"/>
            <w:jc w:val="center"/>
            <w:rPr>
              <w:noProof/>
              <w:color w:val="000000" w:themeColor="text1"/>
              <w:sz w:val="24"/>
              <w:szCs w:val="24"/>
            </w:rPr>
          </w:pPr>
          <w:hyperlink w:anchor="_Toc212203745" w:history="1">
            <w:r w:rsidRPr="006E7380">
              <w:rPr>
                <w:rStyle w:val="Hyperlink"/>
                <w:noProof/>
                <w:color w:val="000000" w:themeColor="text1"/>
                <w:sz w:val="24"/>
                <w:szCs w:val="24"/>
              </w:rPr>
              <w:t>References</w:t>
            </w:r>
            <w:r w:rsidRPr="006E7380">
              <w:rPr>
                <w:noProof/>
                <w:webHidden/>
                <w:color w:val="000000" w:themeColor="text1"/>
                <w:sz w:val="24"/>
                <w:szCs w:val="24"/>
              </w:rPr>
              <w:tab/>
            </w:r>
            <w:r w:rsidRPr="006E7380">
              <w:rPr>
                <w:noProof/>
                <w:webHidden/>
                <w:color w:val="000000" w:themeColor="text1"/>
                <w:sz w:val="24"/>
                <w:szCs w:val="24"/>
              </w:rPr>
              <w:fldChar w:fldCharType="begin"/>
            </w:r>
            <w:r w:rsidRPr="006E7380">
              <w:rPr>
                <w:noProof/>
                <w:webHidden/>
                <w:color w:val="000000" w:themeColor="text1"/>
                <w:sz w:val="24"/>
                <w:szCs w:val="24"/>
              </w:rPr>
              <w:instrText xml:space="preserve"> PAGEREF _Toc212203745 \h </w:instrText>
            </w:r>
            <w:r w:rsidRPr="006E7380">
              <w:rPr>
                <w:noProof/>
                <w:webHidden/>
                <w:color w:val="000000" w:themeColor="text1"/>
                <w:sz w:val="24"/>
                <w:szCs w:val="24"/>
              </w:rPr>
            </w:r>
            <w:r w:rsidRPr="006E7380">
              <w:rPr>
                <w:noProof/>
                <w:webHidden/>
                <w:color w:val="000000" w:themeColor="text1"/>
                <w:sz w:val="24"/>
                <w:szCs w:val="24"/>
              </w:rPr>
              <w:fldChar w:fldCharType="separate"/>
            </w:r>
            <w:r w:rsidR="008362AD">
              <w:rPr>
                <w:noProof/>
                <w:webHidden/>
                <w:color w:val="000000" w:themeColor="text1"/>
                <w:sz w:val="24"/>
                <w:szCs w:val="24"/>
              </w:rPr>
              <w:t>27</w:t>
            </w:r>
            <w:r w:rsidRPr="006E7380">
              <w:rPr>
                <w:noProof/>
                <w:webHidden/>
                <w:color w:val="000000" w:themeColor="text1"/>
                <w:sz w:val="24"/>
                <w:szCs w:val="24"/>
              </w:rPr>
              <w:fldChar w:fldCharType="end"/>
            </w:r>
          </w:hyperlink>
        </w:p>
        <w:p w14:paraId="2FC7CD1C" w14:textId="77777777" w:rsidR="006E7380" w:rsidRPr="006E7380" w:rsidRDefault="00452E53" w:rsidP="006E7380">
          <w:pPr>
            <w:pStyle w:val="TOC1"/>
            <w:tabs>
              <w:tab w:val="right" w:leader="dot" w:pos="9350"/>
            </w:tabs>
            <w:spacing w:line="360" w:lineRule="auto"/>
            <w:jc w:val="center"/>
            <w:rPr>
              <w:noProof/>
              <w:color w:val="000000" w:themeColor="text1"/>
              <w:sz w:val="24"/>
              <w:szCs w:val="24"/>
            </w:rPr>
          </w:pPr>
          <w:hyperlink w:anchor="_Toc212203746" w:history="1">
            <w:r w:rsidRPr="006E7380">
              <w:rPr>
                <w:rStyle w:val="Hyperlink"/>
                <w:noProof/>
                <w:color w:val="000000" w:themeColor="text1"/>
                <w:sz w:val="24"/>
                <w:szCs w:val="24"/>
              </w:rPr>
              <w:t>Appendices</w:t>
            </w:r>
            <w:r w:rsidRPr="006E7380">
              <w:rPr>
                <w:noProof/>
                <w:webHidden/>
                <w:color w:val="000000" w:themeColor="text1"/>
                <w:sz w:val="24"/>
                <w:szCs w:val="24"/>
              </w:rPr>
              <w:tab/>
            </w:r>
            <w:r w:rsidRPr="006E7380">
              <w:rPr>
                <w:noProof/>
                <w:webHidden/>
                <w:color w:val="000000" w:themeColor="text1"/>
                <w:sz w:val="24"/>
                <w:szCs w:val="24"/>
              </w:rPr>
              <w:fldChar w:fldCharType="begin"/>
            </w:r>
            <w:r w:rsidRPr="006E7380">
              <w:rPr>
                <w:noProof/>
                <w:webHidden/>
                <w:color w:val="000000" w:themeColor="text1"/>
                <w:sz w:val="24"/>
                <w:szCs w:val="24"/>
              </w:rPr>
              <w:instrText xml:space="preserve"> PAGEREF _Toc212203746 \h </w:instrText>
            </w:r>
            <w:r w:rsidRPr="006E7380">
              <w:rPr>
                <w:noProof/>
                <w:webHidden/>
                <w:color w:val="000000" w:themeColor="text1"/>
                <w:sz w:val="24"/>
                <w:szCs w:val="24"/>
              </w:rPr>
            </w:r>
            <w:r w:rsidRPr="006E7380">
              <w:rPr>
                <w:noProof/>
                <w:webHidden/>
                <w:color w:val="000000" w:themeColor="text1"/>
                <w:sz w:val="24"/>
                <w:szCs w:val="24"/>
              </w:rPr>
              <w:fldChar w:fldCharType="separate"/>
            </w:r>
            <w:r w:rsidR="008362AD">
              <w:rPr>
                <w:noProof/>
                <w:webHidden/>
                <w:color w:val="000000" w:themeColor="text1"/>
                <w:sz w:val="24"/>
                <w:szCs w:val="24"/>
              </w:rPr>
              <w:t>33</w:t>
            </w:r>
            <w:r w:rsidRPr="006E7380">
              <w:rPr>
                <w:noProof/>
                <w:webHidden/>
                <w:color w:val="000000" w:themeColor="text1"/>
                <w:sz w:val="24"/>
                <w:szCs w:val="24"/>
              </w:rPr>
              <w:fldChar w:fldCharType="end"/>
            </w:r>
          </w:hyperlink>
        </w:p>
        <w:p w14:paraId="1F14890F" w14:textId="77777777" w:rsidR="006E7380" w:rsidRPr="006E7380" w:rsidRDefault="00452E53" w:rsidP="006E7380">
          <w:pPr>
            <w:pStyle w:val="TOC2"/>
            <w:tabs>
              <w:tab w:val="right" w:leader="dot" w:pos="9350"/>
            </w:tabs>
            <w:spacing w:line="360" w:lineRule="auto"/>
            <w:jc w:val="center"/>
            <w:rPr>
              <w:noProof/>
              <w:color w:val="000000" w:themeColor="text1"/>
              <w:sz w:val="24"/>
              <w:szCs w:val="24"/>
            </w:rPr>
          </w:pPr>
          <w:hyperlink w:anchor="_Toc212203747" w:history="1">
            <w:r w:rsidRPr="006E7380">
              <w:rPr>
                <w:rStyle w:val="Hyperlink"/>
                <w:noProof/>
                <w:color w:val="000000" w:themeColor="text1"/>
                <w:sz w:val="24"/>
                <w:szCs w:val="24"/>
              </w:rPr>
              <w:t>Appendix 1: Ratio Tables and Computation</w:t>
            </w:r>
            <w:r w:rsidRPr="006E7380">
              <w:rPr>
                <w:noProof/>
                <w:webHidden/>
                <w:color w:val="000000" w:themeColor="text1"/>
                <w:sz w:val="24"/>
                <w:szCs w:val="24"/>
              </w:rPr>
              <w:tab/>
            </w:r>
            <w:r w:rsidRPr="006E7380">
              <w:rPr>
                <w:noProof/>
                <w:webHidden/>
                <w:color w:val="000000" w:themeColor="text1"/>
                <w:sz w:val="24"/>
                <w:szCs w:val="24"/>
              </w:rPr>
              <w:fldChar w:fldCharType="begin"/>
            </w:r>
            <w:r w:rsidRPr="006E7380">
              <w:rPr>
                <w:noProof/>
                <w:webHidden/>
                <w:color w:val="000000" w:themeColor="text1"/>
                <w:sz w:val="24"/>
                <w:szCs w:val="24"/>
              </w:rPr>
              <w:instrText xml:space="preserve"> PAGEREF _Toc212203747 \h </w:instrText>
            </w:r>
            <w:r w:rsidRPr="006E7380">
              <w:rPr>
                <w:noProof/>
                <w:webHidden/>
                <w:color w:val="000000" w:themeColor="text1"/>
                <w:sz w:val="24"/>
                <w:szCs w:val="24"/>
              </w:rPr>
            </w:r>
            <w:r w:rsidRPr="006E7380">
              <w:rPr>
                <w:noProof/>
                <w:webHidden/>
                <w:color w:val="000000" w:themeColor="text1"/>
                <w:sz w:val="24"/>
                <w:szCs w:val="24"/>
              </w:rPr>
              <w:fldChar w:fldCharType="separate"/>
            </w:r>
            <w:r w:rsidR="008362AD">
              <w:rPr>
                <w:noProof/>
                <w:webHidden/>
                <w:color w:val="000000" w:themeColor="text1"/>
                <w:sz w:val="24"/>
                <w:szCs w:val="24"/>
              </w:rPr>
              <w:t>33</w:t>
            </w:r>
            <w:r w:rsidRPr="006E7380">
              <w:rPr>
                <w:noProof/>
                <w:webHidden/>
                <w:color w:val="000000" w:themeColor="text1"/>
                <w:sz w:val="24"/>
                <w:szCs w:val="24"/>
              </w:rPr>
              <w:fldChar w:fldCharType="end"/>
            </w:r>
          </w:hyperlink>
        </w:p>
        <w:p w14:paraId="71DACEC6" w14:textId="77777777" w:rsidR="006E7380" w:rsidRPr="006E7380" w:rsidRDefault="00452E53" w:rsidP="006E7380">
          <w:pPr>
            <w:pStyle w:val="TOC2"/>
            <w:tabs>
              <w:tab w:val="right" w:leader="dot" w:pos="9350"/>
            </w:tabs>
            <w:spacing w:line="360" w:lineRule="auto"/>
            <w:jc w:val="center"/>
            <w:rPr>
              <w:noProof/>
              <w:color w:val="000000" w:themeColor="text1"/>
              <w:sz w:val="24"/>
              <w:szCs w:val="24"/>
            </w:rPr>
          </w:pPr>
          <w:hyperlink w:anchor="_Toc212203748" w:history="1">
            <w:r w:rsidRPr="006E7380">
              <w:rPr>
                <w:rStyle w:val="Hyperlink"/>
                <w:noProof/>
                <w:color w:val="000000" w:themeColor="text1"/>
                <w:sz w:val="24"/>
                <w:szCs w:val="24"/>
              </w:rPr>
              <w:t>Appendix 2: Investment appraisal techniques</w:t>
            </w:r>
            <w:r w:rsidRPr="006E7380">
              <w:rPr>
                <w:noProof/>
                <w:webHidden/>
                <w:color w:val="000000" w:themeColor="text1"/>
                <w:sz w:val="24"/>
                <w:szCs w:val="24"/>
              </w:rPr>
              <w:tab/>
            </w:r>
            <w:r w:rsidRPr="006E7380">
              <w:rPr>
                <w:noProof/>
                <w:webHidden/>
                <w:color w:val="000000" w:themeColor="text1"/>
                <w:sz w:val="24"/>
                <w:szCs w:val="24"/>
              </w:rPr>
              <w:fldChar w:fldCharType="begin"/>
            </w:r>
            <w:r w:rsidRPr="006E7380">
              <w:rPr>
                <w:noProof/>
                <w:webHidden/>
                <w:color w:val="000000" w:themeColor="text1"/>
                <w:sz w:val="24"/>
                <w:szCs w:val="24"/>
              </w:rPr>
              <w:instrText xml:space="preserve"> PAGEREF _Toc212203748 \h </w:instrText>
            </w:r>
            <w:r w:rsidRPr="006E7380">
              <w:rPr>
                <w:noProof/>
                <w:webHidden/>
                <w:color w:val="000000" w:themeColor="text1"/>
                <w:sz w:val="24"/>
                <w:szCs w:val="24"/>
              </w:rPr>
            </w:r>
            <w:r w:rsidRPr="006E7380">
              <w:rPr>
                <w:noProof/>
                <w:webHidden/>
                <w:color w:val="000000" w:themeColor="text1"/>
                <w:sz w:val="24"/>
                <w:szCs w:val="24"/>
              </w:rPr>
              <w:fldChar w:fldCharType="separate"/>
            </w:r>
            <w:r w:rsidR="008362AD">
              <w:rPr>
                <w:noProof/>
                <w:webHidden/>
                <w:color w:val="000000" w:themeColor="text1"/>
                <w:sz w:val="24"/>
                <w:szCs w:val="24"/>
              </w:rPr>
              <w:t>36</w:t>
            </w:r>
            <w:r w:rsidRPr="006E7380">
              <w:rPr>
                <w:noProof/>
                <w:webHidden/>
                <w:color w:val="000000" w:themeColor="text1"/>
                <w:sz w:val="24"/>
                <w:szCs w:val="24"/>
              </w:rPr>
              <w:fldChar w:fldCharType="end"/>
            </w:r>
          </w:hyperlink>
        </w:p>
        <w:p w14:paraId="723B8953" w14:textId="77777777" w:rsidR="00F8683F" w:rsidRPr="006E7380" w:rsidRDefault="00452E53" w:rsidP="006E7380">
          <w:pPr>
            <w:spacing w:line="360" w:lineRule="auto"/>
            <w:jc w:val="center"/>
          </w:pPr>
          <w:r w:rsidRPr="006E7380">
            <w:rPr>
              <w:b/>
              <w:bCs/>
              <w:noProof/>
              <w:color w:val="000000" w:themeColor="text1"/>
              <w:sz w:val="24"/>
              <w:szCs w:val="24"/>
            </w:rPr>
            <w:fldChar w:fldCharType="end"/>
          </w:r>
        </w:p>
      </w:sdtContent>
    </w:sdt>
    <w:p w14:paraId="711017AE" w14:textId="77777777" w:rsidR="00F8683F" w:rsidRDefault="00F8683F">
      <w:pPr>
        <w:spacing w:line="360" w:lineRule="auto"/>
        <w:jc w:val="both"/>
        <w:rPr>
          <w:b/>
          <w:sz w:val="28"/>
          <w:szCs w:val="28"/>
        </w:rPr>
      </w:pPr>
    </w:p>
    <w:p w14:paraId="11696906" w14:textId="77777777" w:rsidR="00F8683F" w:rsidRDefault="00F8683F">
      <w:pPr>
        <w:spacing w:line="360" w:lineRule="auto"/>
        <w:jc w:val="both"/>
        <w:rPr>
          <w:b/>
          <w:sz w:val="28"/>
          <w:szCs w:val="28"/>
        </w:rPr>
      </w:pPr>
    </w:p>
    <w:p w14:paraId="13EEB392" w14:textId="77777777" w:rsidR="00F8683F" w:rsidRDefault="00F8683F">
      <w:pPr>
        <w:spacing w:line="360" w:lineRule="auto"/>
        <w:jc w:val="both"/>
        <w:rPr>
          <w:b/>
          <w:sz w:val="28"/>
          <w:szCs w:val="28"/>
        </w:rPr>
      </w:pPr>
    </w:p>
    <w:p w14:paraId="476B97D8" w14:textId="77777777" w:rsidR="00F8683F" w:rsidRDefault="00F8683F">
      <w:pPr>
        <w:spacing w:line="360" w:lineRule="auto"/>
        <w:jc w:val="both"/>
        <w:rPr>
          <w:b/>
          <w:sz w:val="28"/>
          <w:szCs w:val="28"/>
        </w:rPr>
      </w:pPr>
    </w:p>
    <w:p w14:paraId="05AD0EF7" w14:textId="77777777" w:rsidR="00F8683F" w:rsidRDefault="00F8683F">
      <w:pPr>
        <w:spacing w:line="360" w:lineRule="auto"/>
        <w:jc w:val="both"/>
        <w:rPr>
          <w:b/>
          <w:sz w:val="28"/>
          <w:szCs w:val="28"/>
        </w:rPr>
      </w:pPr>
    </w:p>
    <w:p w14:paraId="5B23D6DF" w14:textId="77777777" w:rsidR="00F8683F" w:rsidRDefault="00F8683F">
      <w:pPr>
        <w:spacing w:line="360" w:lineRule="auto"/>
        <w:jc w:val="both"/>
        <w:rPr>
          <w:b/>
          <w:sz w:val="28"/>
          <w:szCs w:val="28"/>
        </w:rPr>
      </w:pPr>
    </w:p>
    <w:p w14:paraId="08F70B3F" w14:textId="77777777" w:rsidR="00F8683F" w:rsidRDefault="00F8683F">
      <w:pPr>
        <w:spacing w:line="360" w:lineRule="auto"/>
        <w:jc w:val="both"/>
        <w:rPr>
          <w:b/>
          <w:sz w:val="28"/>
          <w:szCs w:val="28"/>
        </w:rPr>
      </w:pPr>
    </w:p>
    <w:p w14:paraId="08772863" w14:textId="77777777" w:rsidR="00F8683F" w:rsidRDefault="00F8683F">
      <w:pPr>
        <w:spacing w:line="360" w:lineRule="auto"/>
        <w:jc w:val="both"/>
        <w:rPr>
          <w:b/>
          <w:sz w:val="28"/>
          <w:szCs w:val="28"/>
        </w:rPr>
      </w:pPr>
    </w:p>
    <w:p w14:paraId="5E550FCA" w14:textId="77777777" w:rsidR="00F8683F" w:rsidRDefault="00F8683F">
      <w:pPr>
        <w:spacing w:line="360" w:lineRule="auto"/>
        <w:jc w:val="both"/>
        <w:rPr>
          <w:b/>
          <w:sz w:val="28"/>
          <w:szCs w:val="28"/>
        </w:rPr>
      </w:pPr>
    </w:p>
    <w:p w14:paraId="004BB092" w14:textId="77777777" w:rsidR="00F8683F" w:rsidRDefault="00F8683F">
      <w:pPr>
        <w:spacing w:line="360" w:lineRule="auto"/>
        <w:jc w:val="both"/>
        <w:rPr>
          <w:b/>
          <w:sz w:val="28"/>
          <w:szCs w:val="28"/>
        </w:rPr>
      </w:pPr>
    </w:p>
    <w:p w14:paraId="72C19200" w14:textId="77777777" w:rsidR="00F8683F" w:rsidRDefault="00F8683F">
      <w:pPr>
        <w:spacing w:line="360" w:lineRule="auto"/>
        <w:jc w:val="both"/>
        <w:rPr>
          <w:b/>
          <w:sz w:val="28"/>
          <w:szCs w:val="28"/>
        </w:rPr>
      </w:pPr>
    </w:p>
    <w:p w14:paraId="070AF65A" w14:textId="77777777" w:rsidR="00F8683F" w:rsidRDefault="00F8683F">
      <w:pPr>
        <w:spacing w:line="360" w:lineRule="auto"/>
        <w:jc w:val="both"/>
        <w:rPr>
          <w:b/>
          <w:sz w:val="28"/>
          <w:szCs w:val="28"/>
        </w:rPr>
      </w:pPr>
    </w:p>
    <w:p w14:paraId="4A998F38" w14:textId="77777777" w:rsidR="00F8683F" w:rsidRDefault="00F8683F">
      <w:pPr>
        <w:spacing w:line="360" w:lineRule="auto"/>
        <w:jc w:val="both"/>
        <w:rPr>
          <w:b/>
          <w:sz w:val="28"/>
          <w:szCs w:val="28"/>
        </w:rPr>
      </w:pPr>
    </w:p>
    <w:p w14:paraId="00183DDA" w14:textId="77777777" w:rsidR="00F8683F" w:rsidRDefault="00F8683F">
      <w:pPr>
        <w:spacing w:line="360" w:lineRule="auto"/>
        <w:jc w:val="both"/>
        <w:rPr>
          <w:b/>
          <w:sz w:val="28"/>
          <w:szCs w:val="28"/>
        </w:rPr>
      </w:pPr>
    </w:p>
    <w:p w14:paraId="3D0973E4" w14:textId="77777777" w:rsidR="00F8683F" w:rsidRDefault="00F8683F">
      <w:pPr>
        <w:spacing w:line="360" w:lineRule="auto"/>
        <w:jc w:val="both"/>
        <w:rPr>
          <w:b/>
          <w:sz w:val="28"/>
          <w:szCs w:val="28"/>
        </w:rPr>
      </w:pPr>
    </w:p>
    <w:p w14:paraId="2EAFC54D" w14:textId="77777777" w:rsidR="00F8683F" w:rsidRDefault="00F8683F">
      <w:pPr>
        <w:spacing w:line="360" w:lineRule="auto"/>
        <w:jc w:val="both"/>
        <w:rPr>
          <w:b/>
          <w:sz w:val="28"/>
          <w:szCs w:val="28"/>
        </w:rPr>
      </w:pPr>
    </w:p>
    <w:p w14:paraId="2830E96D" w14:textId="77777777" w:rsidR="00F8683F" w:rsidRDefault="00F8683F">
      <w:pPr>
        <w:spacing w:line="360" w:lineRule="auto"/>
        <w:jc w:val="both"/>
        <w:rPr>
          <w:b/>
          <w:sz w:val="28"/>
          <w:szCs w:val="28"/>
        </w:rPr>
      </w:pPr>
    </w:p>
    <w:p w14:paraId="7777B4E4" w14:textId="77777777" w:rsidR="00F8683F" w:rsidRDefault="00F8683F">
      <w:pPr>
        <w:spacing w:line="360" w:lineRule="auto"/>
        <w:jc w:val="both"/>
        <w:rPr>
          <w:b/>
          <w:sz w:val="28"/>
          <w:szCs w:val="28"/>
        </w:rPr>
      </w:pPr>
    </w:p>
    <w:p w14:paraId="466374CE" w14:textId="77777777" w:rsidR="00F8683F" w:rsidRDefault="00F8683F">
      <w:pPr>
        <w:spacing w:line="360" w:lineRule="auto"/>
        <w:jc w:val="both"/>
        <w:rPr>
          <w:b/>
          <w:sz w:val="28"/>
          <w:szCs w:val="28"/>
        </w:rPr>
      </w:pPr>
    </w:p>
    <w:p w14:paraId="7084E4EA" w14:textId="77777777" w:rsidR="00F8683F" w:rsidRDefault="00F8683F">
      <w:pPr>
        <w:spacing w:line="360" w:lineRule="auto"/>
        <w:jc w:val="both"/>
        <w:rPr>
          <w:b/>
          <w:sz w:val="28"/>
          <w:szCs w:val="28"/>
        </w:rPr>
      </w:pPr>
    </w:p>
    <w:p w14:paraId="354EDC4B" w14:textId="77777777" w:rsidR="00F8683F" w:rsidRDefault="00F8683F">
      <w:pPr>
        <w:spacing w:line="360" w:lineRule="auto"/>
        <w:jc w:val="both"/>
        <w:rPr>
          <w:b/>
          <w:sz w:val="28"/>
          <w:szCs w:val="28"/>
        </w:rPr>
      </w:pPr>
    </w:p>
    <w:p w14:paraId="2D6609AE" w14:textId="77777777" w:rsidR="00F8683F" w:rsidRDefault="00F8683F">
      <w:pPr>
        <w:spacing w:line="360" w:lineRule="auto"/>
        <w:jc w:val="both"/>
        <w:rPr>
          <w:b/>
          <w:sz w:val="28"/>
          <w:szCs w:val="28"/>
        </w:rPr>
      </w:pPr>
    </w:p>
    <w:p w14:paraId="3E8E2949" w14:textId="77777777" w:rsidR="00F8683F" w:rsidRDefault="00F8683F">
      <w:pPr>
        <w:spacing w:line="360" w:lineRule="auto"/>
        <w:jc w:val="both"/>
        <w:rPr>
          <w:b/>
          <w:sz w:val="28"/>
          <w:szCs w:val="28"/>
        </w:rPr>
      </w:pPr>
    </w:p>
    <w:p w14:paraId="6ED29D86" w14:textId="77777777" w:rsidR="00F8683F" w:rsidRDefault="00F8683F">
      <w:pPr>
        <w:spacing w:line="360" w:lineRule="auto"/>
        <w:jc w:val="both"/>
        <w:rPr>
          <w:b/>
          <w:sz w:val="28"/>
          <w:szCs w:val="28"/>
        </w:rPr>
      </w:pPr>
    </w:p>
    <w:p w14:paraId="20F20CE0" w14:textId="77777777" w:rsidR="009D1F83" w:rsidRDefault="00452E53" w:rsidP="00F8683F">
      <w:pPr>
        <w:pStyle w:val="Heading1"/>
      </w:pPr>
      <w:bookmarkStart w:id="0" w:name="_Toc212203726"/>
      <w:r>
        <w:lastRenderedPageBreak/>
        <w:t>1.0 Introduction</w:t>
      </w:r>
      <w:bookmarkEnd w:id="0"/>
      <w:r>
        <w:t xml:space="preserve"> </w:t>
      </w:r>
    </w:p>
    <w:p w14:paraId="00E4B622" w14:textId="77777777" w:rsidR="009D1F83" w:rsidRDefault="00452E53">
      <w:pPr>
        <w:spacing w:line="360" w:lineRule="auto"/>
        <w:jc w:val="both"/>
        <w:rPr>
          <w:sz w:val="24"/>
          <w:szCs w:val="24"/>
        </w:rPr>
      </w:pPr>
      <w:r>
        <w:rPr>
          <w:sz w:val="24"/>
          <w:szCs w:val="24"/>
        </w:rPr>
        <w:t xml:space="preserve">After being appointed chief financial officer of General Electronics, an individual assessment will be performed to assess the financial forecast surrounding the organisation for the last five years. </w:t>
      </w:r>
      <w:r w:rsidR="00040A57">
        <w:rPr>
          <w:sz w:val="24"/>
          <w:szCs w:val="24"/>
        </w:rPr>
        <w:t>T</w:t>
      </w:r>
      <w:r>
        <w:rPr>
          <w:sz w:val="24"/>
          <w:szCs w:val="24"/>
        </w:rPr>
        <w:t xml:space="preserve">he report will focus on a financial health check through ratio analysis and default risk models like Altman Z-score, before going on to examine the working capital dynamics, especially the cash operating cycle, for identifying immediate liquidity levers aside from other pragmatic reforms for receivables, inventory management, and payables arrangements. This will assist the officer in diagnosing and building upon a strategic financial restructuring option which impacts shareholder values. Then, the finance officer will look to launch an investment appraisal along with budget-related discussion, which prioritises capital expenditure projects using different risk-adjustment metrics. That ultimately ensures that scarce funds are allocated for scalable and high-return initiatives. Finally, recommendations will be laid out which emphasise capital rationing and how the enterprise could consider its project risk characteristics. </w:t>
      </w:r>
    </w:p>
    <w:p w14:paraId="612BF823" w14:textId="77777777" w:rsidR="009D1F83" w:rsidRDefault="00452E53" w:rsidP="00F8683F">
      <w:pPr>
        <w:pStyle w:val="Heading1"/>
      </w:pPr>
      <w:bookmarkStart w:id="1" w:name="_Toc212203727"/>
      <w:r>
        <w:t>2.0 Financial Health Check-up</w:t>
      </w:r>
      <w:bookmarkEnd w:id="1"/>
      <w:r>
        <w:t xml:space="preserve"> </w:t>
      </w:r>
    </w:p>
    <w:p w14:paraId="6EDB42FC" w14:textId="77777777" w:rsidR="009D1F83" w:rsidRDefault="00452E53" w:rsidP="00F8683F">
      <w:pPr>
        <w:pStyle w:val="Heading2"/>
      </w:pPr>
      <w:bookmarkStart w:id="2" w:name="_Toc212203728"/>
      <w:r>
        <w:t>2.1 Analysing the firm’s full financial statements</w:t>
      </w:r>
      <w:bookmarkEnd w:id="2"/>
      <w:r>
        <w:t xml:space="preserve"> </w:t>
      </w:r>
    </w:p>
    <w:p w14:paraId="6CA5B4E8" w14:textId="77777777" w:rsidR="009D1F83" w:rsidRDefault="00452E53">
      <w:pPr>
        <w:spacing w:line="360" w:lineRule="auto"/>
        <w:jc w:val="both"/>
        <w:rPr>
          <w:b/>
          <w:sz w:val="24"/>
          <w:szCs w:val="24"/>
          <w:u w:val="single"/>
        </w:rPr>
      </w:pPr>
      <w:r>
        <w:rPr>
          <w:b/>
          <w:sz w:val="24"/>
          <w:szCs w:val="24"/>
          <w:u w:val="single"/>
        </w:rPr>
        <w:t>Profitability-wise</w:t>
      </w:r>
    </w:p>
    <w:p w14:paraId="2C1A0FC2" w14:textId="77777777" w:rsidR="009D1F83" w:rsidRDefault="00452E53">
      <w:pPr>
        <w:spacing w:line="360" w:lineRule="auto"/>
        <w:jc w:val="both"/>
        <w:rPr>
          <w:sz w:val="24"/>
          <w:szCs w:val="24"/>
        </w:rPr>
      </w:pPr>
      <w:r>
        <w:rPr>
          <w:sz w:val="24"/>
          <w:szCs w:val="24"/>
        </w:rPr>
        <w:t xml:space="preserve">Firstly, a clear deterioration has been noted surrounding the operating profitability performance, which began with a weakening gross margin that weakened materially from 2020 to 2024 (by £62262) driven gradually by diminishing revenues (resulted in a loss of £219,801), higher operating expenditures (which despite its slight decrease remained high by £9698), and other petty charges (Cunha et al., 2021). </w:t>
      </w:r>
    </w:p>
    <w:p w14:paraId="7EDB5978" w14:textId="77777777" w:rsidR="009D1F83" w:rsidRDefault="00452E53">
      <w:pPr>
        <w:spacing w:line="360" w:lineRule="auto"/>
        <w:jc w:val="both"/>
        <w:rPr>
          <w:sz w:val="24"/>
          <w:szCs w:val="24"/>
        </w:rPr>
      </w:pPr>
      <w:r>
        <w:rPr>
          <w:sz w:val="24"/>
          <w:szCs w:val="24"/>
        </w:rPr>
        <w:t>Secondly, the income statement also pointed to the aspect of a materially worsening pre-tax loss, suggesting an elevated level maintained through financing costs and other non-operating constituents that supposedly drained out profitability in the five years by (£62503 (Gow</w:t>
      </w:r>
      <w:r w:rsidR="006E7380">
        <w:rPr>
          <w:sz w:val="24"/>
          <w:szCs w:val="24"/>
        </w:rPr>
        <w:t>thorpe, 2020, p 65-275). While</w:t>
      </w:r>
      <w:r>
        <w:rPr>
          <w:sz w:val="24"/>
          <w:szCs w:val="24"/>
        </w:rPr>
        <w:t xml:space="preserve"> the company reported increased losses after incurring taxes (by £62501).</w:t>
      </w:r>
    </w:p>
    <w:p w14:paraId="4004422F" w14:textId="77777777" w:rsidR="009D1F83" w:rsidRDefault="00452E53">
      <w:pPr>
        <w:spacing w:line="360" w:lineRule="auto"/>
        <w:jc w:val="both"/>
        <w:rPr>
          <w:sz w:val="24"/>
          <w:szCs w:val="24"/>
        </w:rPr>
      </w:pPr>
      <w:r>
        <w:rPr>
          <w:sz w:val="24"/>
          <w:szCs w:val="24"/>
        </w:rPr>
        <w:lastRenderedPageBreak/>
        <w:t xml:space="preserve">Thirdly, the earnings per share, despite being at a positive level, drew a negative connotation, which again confirmed value erosion involving the potential stakeholders (by £934 in the last five years) (Gowthorpe, 2020, p 65-275). </w:t>
      </w:r>
    </w:p>
    <w:p w14:paraId="7E6BECFF" w14:textId="77777777" w:rsidR="009D1F83" w:rsidRDefault="00452E53">
      <w:pPr>
        <w:spacing w:line="360" w:lineRule="auto"/>
        <w:jc w:val="both"/>
        <w:rPr>
          <w:b/>
          <w:sz w:val="24"/>
          <w:szCs w:val="24"/>
          <w:u w:val="single"/>
        </w:rPr>
      </w:pPr>
      <w:r>
        <w:rPr>
          <w:b/>
          <w:sz w:val="24"/>
          <w:szCs w:val="24"/>
          <w:u w:val="single"/>
        </w:rPr>
        <w:t>Balance-sheet wise</w:t>
      </w:r>
    </w:p>
    <w:p w14:paraId="0D6FF05F" w14:textId="77777777" w:rsidR="009D1F83" w:rsidRDefault="00452E53">
      <w:pPr>
        <w:spacing w:line="360" w:lineRule="auto"/>
        <w:jc w:val="both"/>
        <w:rPr>
          <w:sz w:val="24"/>
          <w:szCs w:val="24"/>
        </w:rPr>
      </w:pPr>
      <w:r>
        <w:rPr>
          <w:sz w:val="24"/>
          <w:szCs w:val="24"/>
        </w:rPr>
        <w:t xml:space="preserve">Firstly, the current assets seemingly surpassed the current liabilities of the company, which produced a modest variable current ratio of 1.5-1.8:1, providing a limited buffer for short-term stocks (Fridson and Alvarez, 2022, pp. 459-490). </w:t>
      </w:r>
    </w:p>
    <w:p w14:paraId="1A651833" w14:textId="77777777" w:rsidR="009D1F83" w:rsidRDefault="00452E53">
      <w:pPr>
        <w:spacing w:line="360" w:lineRule="auto"/>
        <w:jc w:val="both"/>
        <w:rPr>
          <w:sz w:val="24"/>
          <w:szCs w:val="24"/>
        </w:rPr>
      </w:pPr>
      <w:r>
        <w:rPr>
          <w:sz w:val="24"/>
          <w:szCs w:val="24"/>
        </w:rPr>
        <w:t>Secondly, total liability declined (worth £26,740 from 2020 to 2024), and was less compared to sharehol</w:t>
      </w:r>
      <w:r w:rsidR="000E2484">
        <w:rPr>
          <w:sz w:val="24"/>
          <w:szCs w:val="24"/>
        </w:rPr>
        <w:t xml:space="preserve">ders' equity, which changed (by </w:t>
      </w:r>
      <w:r>
        <w:rPr>
          <w:sz w:val="24"/>
          <w:szCs w:val="24"/>
        </w:rPr>
        <w:t>£160,196 from 2020 to 2024). This revealed how the company was leveraging debt over equity, indicating higher gearing, providing lower financial flexibility for the company (Fridson and Alvarez, 2022, pp. 459-490).</w:t>
      </w:r>
    </w:p>
    <w:p w14:paraId="335E0C08" w14:textId="77777777" w:rsidR="009D1F83" w:rsidRDefault="00452E53">
      <w:pPr>
        <w:spacing w:line="360" w:lineRule="auto"/>
        <w:jc w:val="both"/>
        <w:rPr>
          <w:sz w:val="24"/>
          <w:szCs w:val="24"/>
        </w:rPr>
      </w:pPr>
      <w:r>
        <w:rPr>
          <w:sz w:val="24"/>
          <w:szCs w:val="24"/>
        </w:rPr>
        <w:t xml:space="preserve">Thirdly, operating lease obligations and other long-term liabilities dominated the non-current asset factor, which also reduced the operational optionality. </w:t>
      </w:r>
    </w:p>
    <w:p w14:paraId="3A006EE4" w14:textId="77777777" w:rsidR="009D1F83" w:rsidRDefault="00452E53">
      <w:pPr>
        <w:spacing w:line="360" w:lineRule="auto"/>
        <w:jc w:val="both"/>
        <w:rPr>
          <w:b/>
          <w:sz w:val="24"/>
          <w:szCs w:val="24"/>
          <w:u w:val="single"/>
        </w:rPr>
      </w:pPr>
      <w:r>
        <w:rPr>
          <w:b/>
          <w:sz w:val="24"/>
          <w:szCs w:val="24"/>
          <w:u w:val="single"/>
        </w:rPr>
        <w:t>Liquidity and cash-flow-wise</w:t>
      </w:r>
    </w:p>
    <w:p w14:paraId="3DAAEE74" w14:textId="77777777" w:rsidR="009D1F83" w:rsidRDefault="00452E53">
      <w:pPr>
        <w:spacing w:line="360" w:lineRule="auto"/>
        <w:jc w:val="both"/>
        <w:rPr>
          <w:sz w:val="24"/>
          <w:szCs w:val="24"/>
        </w:rPr>
      </w:pPr>
      <w:r>
        <w:rPr>
          <w:sz w:val="24"/>
          <w:szCs w:val="24"/>
        </w:rPr>
        <w:t>Firstly, the cash position also took a pitfall in the last five years for General Electronics (by £30370), which was due to the net cash flow from operations remaining continuously negative in the time period (by £59140 from 2020 up to 2024). This showed operating cash burn for the enterprise.</w:t>
      </w:r>
    </w:p>
    <w:p w14:paraId="618AB8DF" w14:textId="77777777" w:rsidR="009D1F83" w:rsidRDefault="00452E53">
      <w:pPr>
        <w:spacing w:line="360" w:lineRule="auto"/>
        <w:jc w:val="both"/>
        <w:rPr>
          <w:sz w:val="24"/>
          <w:szCs w:val="24"/>
        </w:rPr>
      </w:pPr>
      <w:r>
        <w:rPr>
          <w:sz w:val="24"/>
          <w:szCs w:val="24"/>
        </w:rPr>
        <w:t>Secondly, investing cash outflows was controlled (which was reduced by £15306 from 2020 to 2024) to some extent by the company, but they would consider limiting their acquisitions further in the face of growing operating cash-related problems.</w:t>
      </w:r>
    </w:p>
    <w:p w14:paraId="21E32FF6" w14:textId="77777777" w:rsidR="009D1F83" w:rsidRDefault="00452E53">
      <w:pPr>
        <w:spacing w:line="360" w:lineRule="auto"/>
        <w:jc w:val="both"/>
        <w:rPr>
          <w:sz w:val="24"/>
          <w:szCs w:val="24"/>
        </w:rPr>
      </w:pPr>
      <w:r>
        <w:rPr>
          <w:sz w:val="24"/>
          <w:szCs w:val="24"/>
        </w:rPr>
        <w:t xml:space="preserve">Thirdly, during the first year of 2020, cash from financing activities remained positive and high (worth £65964). However, from 2021 onwards, the company has been paying more than it can generate from its creditors. This could indicate that the enterprise is working to ensure the capital is being returned to the stakeholders, or also point to a vulnerable liquidity position for the firm (Olayinka, 2022). </w:t>
      </w:r>
    </w:p>
    <w:p w14:paraId="23B3A7E4" w14:textId="77777777" w:rsidR="009D1F83" w:rsidRDefault="00452E53">
      <w:pPr>
        <w:spacing w:line="360" w:lineRule="auto"/>
        <w:jc w:val="both"/>
        <w:rPr>
          <w:b/>
          <w:sz w:val="24"/>
          <w:szCs w:val="24"/>
          <w:u w:val="single"/>
        </w:rPr>
      </w:pPr>
      <w:r>
        <w:rPr>
          <w:b/>
          <w:sz w:val="24"/>
          <w:szCs w:val="24"/>
          <w:u w:val="single"/>
        </w:rPr>
        <w:t>Efficiency and working capital-wise</w:t>
      </w:r>
    </w:p>
    <w:p w14:paraId="3E3CA028" w14:textId="77777777" w:rsidR="009D1F83" w:rsidRDefault="00452E53">
      <w:pPr>
        <w:spacing w:line="360" w:lineRule="auto"/>
        <w:jc w:val="both"/>
        <w:rPr>
          <w:sz w:val="24"/>
          <w:szCs w:val="24"/>
        </w:rPr>
      </w:pPr>
      <w:r>
        <w:rPr>
          <w:sz w:val="24"/>
          <w:szCs w:val="24"/>
        </w:rPr>
        <w:t xml:space="preserve">Firstly, both receivable value and inventories remain relatively stable in relation to sales and do not trend down sufficiently (Olayinka, 2022). This prolongs the cash operating cycle. </w:t>
      </w:r>
    </w:p>
    <w:p w14:paraId="36D8FF90" w14:textId="77777777" w:rsidR="009D1F83" w:rsidRDefault="00452E53">
      <w:pPr>
        <w:spacing w:line="360" w:lineRule="auto"/>
        <w:jc w:val="both"/>
        <w:rPr>
          <w:sz w:val="24"/>
          <w:szCs w:val="24"/>
        </w:rPr>
      </w:pPr>
      <w:r>
        <w:rPr>
          <w:sz w:val="24"/>
          <w:szCs w:val="24"/>
        </w:rPr>
        <w:lastRenderedPageBreak/>
        <w:t xml:space="preserve">Secondly, payables have also come down relatively (in the last five years from 2020 to 2024 by £11198), showing that the organisation are working on their short-term debt disbursement activities (Chen et al., 2023). </w:t>
      </w:r>
    </w:p>
    <w:p w14:paraId="3DD119C5" w14:textId="77777777" w:rsidR="009D1F83" w:rsidRDefault="00452E53" w:rsidP="00F8683F">
      <w:pPr>
        <w:pStyle w:val="Heading2"/>
      </w:pPr>
      <w:bookmarkStart w:id="3" w:name="_Toc212203729"/>
      <w:r>
        <w:t>2.2 Performing full ratio analysis</w:t>
      </w:r>
      <w:bookmarkEnd w:id="3"/>
      <w:r>
        <w:t xml:space="preserve"> </w:t>
      </w:r>
    </w:p>
    <w:p w14:paraId="19D667F8" w14:textId="77777777" w:rsidR="009D1F83" w:rsidRDefault="009D1F83">
      <w:pPr>
        <w:spacing w:line="360" w:lineRule="auto"/>
        <w:jc w:val="both"/>
        <w:rPr>
          <w:sz w:val="24"/>
          <w:szCs w:val="24"/>
        </w:rPr>
      </w:pPr>
    </w:p>
    <w:p w14:paraId="515F60EC" w14:textId="77777777" w:rsidR="009D1F83" w:rsidRDefault="00452E53">
      <w:pPr>
        <w:spacing w:line="360" w:lineRule="auto"/>
        <w:jc w:val="center"/>
        <w:rPr>
          <w:sz w:val="24"/>
          <w:szCs w:val="24"/>
        </w:rPr>
      </w:pPr>
      <w:r>
        <w:rPr>
          <w:noProof/>
          <w:sz w:val="24"/>
          <w:szCs w:val="24"/>
          <w:lang w:val="en-GB"/>
        </w:rPr>
        <w:drawing>
          <wp:inline distT="114300" distB="114300" distL="114300" distR="114300" wp14:anchorId="710A7C18" wp14:editId="3A478C92">
            <wp:extent cx="5943600" cy="3568700"/>
            <wp:effectExtent l="25400" t="25400" r="25400" b="25400"/>
            <wp:docPr id="4" name="image10.png"/>
            <wp:cNvGraphicFramePr/>
            <a:graphic xmlns:a="http://schemas.openxmlformats.org/drawingml/2006/main">
              <a:graphicData uri="http://schemas.openxmlformats.org/drawingml/2006/picture">
                <pic:pic xmlns:pic="http://schemas.openxmlformats.org/drawingml/2006/picture">
                  <pic:nvPicPr>
                    <pic:cNvPr id="4" name="image10.png"/>
                    <pic:cNvPicPr/>
                  </pic:nvPicPr>
                  <pic:blipFill>
                    <a:blip r:embed="rId8"/>
                    <a:stretch>
                      <a:fillRect/>
                    </a:stretch>
                  </pic:blipFill>
                  <pic:spPr>
                    <a:xfrm>
                      <a:off x="0" y="0"/>
                      <a:ext cx="5943600" cy="3568700"/>
                    </a:xfrm>
                    <a:prstGeom prst="rect">
                      <a:avLst/>
                    </a:prstGeom>
                    <a:ln w="25400">
                      <a:solidFill>
                        <a:srgbClr val="000000"/>
                      </a:solidFill>
                      <a:prstDash val="solid"/>
                    </a:ln>
                  </pic:spPr>
                </pic:pic>
              </a:graphicData>
            </a:graphic>
          </wp:inline>
        </w:drawing>
      </w:r>
    </w:p>
    <w:p w14:paraId="531610AE" w14:textId="77777777" w:rsidR="009D1F83" w:rsidRDefault="00452E53">
      <w:pPr>
        <w:spacing w:line="360" w:lineRule="auto"/>
        <w:jc w:val="center"/>
        <w:rPr>
          <w:b/>
          <w:sz w:val="24"/>
          <w:szCs w:val="24"/>
        </w:rPr>
      </w:pPr>
      <w:r>
        <w:rPr>
          <w:b/>
          <w:sz w:val="24"/>
          <w:szCs w:val="24"/>
        </w:rPr>
        <w:t>Figure 1: Profitability Ratios</w:t>
      </w:r>
    </w:p>
    <w:p w14:paraId="108ABFFA" w14:textId="77777777" w:rsidR="009D1F83" w:rsidRDefault="00452E53">
      <w:pPr>
        <w:spacing w:line="360" w:lineRule="auto"/>
        <w:jc w:val="center"/>
        <w:rPr>
          <w:sz w:val="24"/>
          <w:szCs w:val="24"/>
        </w:rPr>
      </w:pPr>
      <w:r>
        <w:rPr>
          <w:sz w:val="24"/>
          <w:szCs w:val="24"/>
        </w:rPr>
        <w:t>(Source: Excel)</w:t>
      </w:r>
    </w:p>
    <w:p w14:paraId="35F3885A" w14:textId="77777777" w:rsidR="009D1F83" w:rsidRDefault="009D1F83">
      <w:pPr>
        <w:spacing w:line="360" w:lineRule="auto"/>
        <w:jc w:val="both"/>
        <w:rPr>
          <w:sz w:val="24"/>
          <w:szCs w:val="24"/>
        </w:rPr>
      </w:pPr>
    </w:p>
    <w:p w14:paraId="5AC2B6D1" w14:textId="77777777" w:rsidR="009D1F83" w:rsidRDefault="00452E53">
      <w:pPr>
        <w:spacing w:line="360" w:lineRule="auto"/>
        <w:jc w:val="both"/>
        <w:rPr>
          <w:sz w:val="24"/>
          <w:szCs w:val="24"/>
        </w:rPr>
      </w:pPr>
      <w:r>
        <w:rPr>
          <w:noProof/>
          <w:sz w:val="24"/>
          <w:szCs w:val="24"/>
          <w:lang w:val="en-GB"/>
        </w:rPr>
        <w:lastRenderedPageBreak/>
        <w:drawing>
          <wp:inline distT="114300" distB="114300" distL="114300" distR="114300" wp14:anchorId="65E88D96" wp14:editId="258C9773">
            <wp:extent cx="5943600" cy="3568700"/>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3" name="image4.png"/>
                    <pic:cNvPicPr/>
                  </pic:nvPicPr>
                  <pic:blipFill>
                    <a:blip r:embed="rId9"/>
                    <a:stretch>
                      <a:fillRect/>
                    </a:stretch>
                  </pic:blipFill>
                  <pic:spPr>
                    <a:xfrm>
                      <a:off x="0" y="0"/>
                      <a:ext cx="5943600" cy="3568700"/>
                    </a:xfrm>
                    <a:prstGeom prst="rect">
                      <a:avLst/>
                    </a:prstGeom>
                    <a:ln w="25400">
                      <a:solidFill>
                        <a:srgbClr val="000000"/>
                      </a:solidFill>
                      <a:prstDash val="solid"/>
                    </a:ln>
                  </pic:spPr>
                </pic:pic>
              </a:graphicData>
            </a:graphic>
          </wp:inline>
        </w:drawing>
      </w:r>
    </w:p>
    <w:p w14:paraId="7AEC4CC2" w14:textId="77777777" w:rsidR="009D1F83" w:rsidRDefault="00452E53">
      <w:pPr>
        <w:spacing w:line="360" w:lineRule="auto"/>
        <w:jc w:val="center"/>
        <w:rPr>
          <w:b/>
          <w:sz w:val="24"/>
          <w:szCs w:val="24"/>
        </w:rPr>
      </w:pPr>
      <w:r>
        <w:rPr>
          <w:b/>
          <w:sz w:val="24"/>
          <w:szCs w:val="24"/>
        </w:rPr>
        <w:t>Figure 2: Liquidity Ratios</w:t>
      </w:r>
    </w:p>
    <w:p w14:paraId="5649B0B3" w14:textId="77777777" w:rsidR="009D1F83" w:rsidRDefault="00452E53">
      <w:pPr>
        <w:spacing w:line="360" w:lineRule="auto"/>
        <w:jc w:val="center"/>
        <w:rPr>
          <w:sz w:val="24"/>
          <w:szCs w:val="24"/>
        </w:rPr>
      </w:pPr>
      <w:r>
        <w:rPr>
          <w:sz w:val="24"/>
          <w:szCs w:val="24"/>
        </w:rPr>
        <w:t>(Source: Excel)</w:t>
      </w:r>
    </w:p>
    <w:p w14:paraId="640CB78A" w14:textId="77777777" w:rsidR="009D1F83" w:rsidRDefault="009D1F83">
      <w:pPr>
        <w:spacing w:line="360" w:lineRule="auto"/>
        <w:jc w:val="center"/>
        <w:rPr>
          <w:sz w:val="24"/>
          <w:szCs w:val="24"/>
        </w:rPr>
      </w:pPr>
    </w:p>
    <w:p w14:paraId="56EA1447" w14:textId="77777777" w:rsidR="009D1F83" w:rsidRDefault="00452E53">
      <w:pPr>
        <w:spacing w:line="360" w:lineRule="auto"/>
        <w:jc w:val="center"/>
        <w:rPr>
          <w:sz w:val="24"/>
          <w:szCs w:val="24"/>
        </w:rPr>
      </w:pPr>
      <w:r>
        <w:rPr>
          <w:noProof/>
          <w:sz w:val="24"/>
          <w:szCs w:val="24"/>
          <w:lang w:val="en-GB"/>
        </w:rPr>
        <w:drawing>
          <wp:inline distT="114300" distB="114300" distL="114300" distR="114300" wp14:anchorId="1D9AD618" wp14:editId="58141CDA">
            <wp:extent cx="5943600" cy="3568700"/>
            <wp:effectExtent l="25400" t="25400" r="25400" b="25400"/>
            <wp:docPr id="10" name="image8.png"/>
            <wp:cNvGraphicFramePr/>
            <a:graphic xmlns:a="http://schemas.openxmlformats.org/drawingml/2006/main">
              <a:graphicData uri="http://schemas.openxmlformats.org/drawingml/2006/picture">
                <pic:pic xmlns:pic="http://schemas.openxmlformats.org/drawingml/2006/picture">
                  <pic:nvPicPr>
                    <pic:cNvPr id="10" name="image8.png"/>
                    <pic:cNvPicPr/>
                  </pic:nvPicPr>
                  <pic:blipFill>
                    <a:blip r:embed="rId10"/>
                    <a:stretch>
                      <a:fillRect/>
                    </a:stretch>
                  </pic:blipFill>
                  <pic:spPr>
                    <a:xfrm>
                      <a:off x="0" y="0"/>
                      <a:ext cx="5943600" cy="3568700"/>
                    </a:xfrm>
                    <a:prstGeom prst="rect">
                      <a:avLst/>
                    </a:prstGeom>
                    <a:ln w="25400">
                      <a:solidFill>
                        <a:srgbClr val="000000"/>
                      </a:solidFill>
                      <a:prstDash val="solid"/>
                    </a:ln>
                  </pic:spPr>
                </pic:pic>
              </a:graphicData>
            </a:graphic>
          </wp:inline>
        </w:drawing>
      </w:r>
    </w:p>
    <w:p w14:paraId="6D18DE41" w14:textId="77777777" w:rsidR="009D1F83" w:rsidRDefault="00452E53">
      <w:pPr>
        <w:spacing w:line="360" w:lineRule="auto"/>
        <w:jc w:val="center"/>
        <w:rPr>
          <w:b/>
          <w:sz w:val="24"/>
          <w:szCs w:val="24"/>
        </w:rPr>
      </w:pPr>
      <w:r>
        <w:rPr>
          <w:b/>
          <w:sz w:val="24"/>
          <w:szCs w:val="24"/>
        </w:rPr>
        <w:lastRenderedPageBreak/>
        <w:t>Figure 3: Efficiency Ratios</w:t>
      </w:r>
    </w:p>
    <w:p w14:paraId="6E13441E" w14:textId="77777777" w:rsidR="009D1F83" w:rsidRDefault="00452E53">
      <w:pPr>
        <w:spacing w:line="360" w:lineRule="auto"/>
        <w:jc w:val="center"/>
        <w:rPr>
          <w:sz w:val="24"/>
          <w:szCs w:val="24"/>
        </w:rPr>
      </w:pPr>
      <w:r>
        <w:rPr>
          <w:sz w:val="24"/>
          <w:szCs w:val="24"/>
        </w:rPr>
        <w:t>(Source: Excel)</w:t>
      </w:r>
    </w:p>
    <w:p w14:paraId="7429314D" w14:textId="77777777" w:rsidR="009D1F83" w:rsidRDefault="00452E53">
      <w:pPr>
        <w:spacing w:line="360" w:lineRule="auto"/>
        <w:jc w:val="center"/>
        <w:rPr>
          <w:sz w:val="24"/>
          <w:szCs w:val="24"/>
        </w:rPr>
      </w:pPr>
      <w:r>
        <w:rPr>
          <w:noProof/>
          <w:sz w:val="24"/>
          <w:szCs w:val="24"/>
          <w:lang w:val="en-GB"/>
        </w:rPr>
        <w:drawing>
          <wp:inline distT="114300" distB="114300" distL="114300" distR="114300" wp14:anchorId="16A3B1A3" wp14:editId="20E276E9">
            <wp:extent cx="5943600" cy="3568700"/>
            <wp:effectExtent l="25400" t="25400" r="25400" b="25400"/>
            <wp:docPr id="2" name="image7.png"/>
            <wp:cNvGraphicFramePr/>
            <a:graphic xmlns:a="http://schemas.openxmlformats.org/drawingml/2006/main">
              <a:graphicData uri="http://schemas.openxmlformats.org/drawingml/2006/picture">
                <pic:pic xmlns:pic="http://schemas.openxmlformats.org/drawingml/2006/picture">
                  <pic:nvPicPr>
                    <pic:cNvPr id="2" name="image7.png"/>
                    <pic:cNvPicPr/>
                  </pic:nvPicPr>
                  <pic:blipFill>
                    <a:blip r:embed="rId11"/>
                    <a:stretch>
                      <a:fillRect/>
                    </a:stretch>
                  </pic:blipFill>
                  <pic:spPr>
                    <a:xfrm>
                      <a:off x="0" y="0"/>
                      <a:ext cx="5943600" cy="3568700"/>
                    </a:xfrm>
                    <a:prstGeom prst="rect">
                      <a:avLst/>
                    </a:prstGeom>
                    <a:ln w="25400">
                      <a:solidFill>
                        <a:srgbClr val="000000"/>
                      </a:solidFill>
                      <a:prstDash val="solid"/>
                    </a:ln>
                  </pic:spPr>
                </pic:pic>
              </a:graphicData>
            </a:graphic>
          </wp:inline>
        </w:drawing>
      </w:r>
    </w:p>
    <w:p w14:paraId="6B55414B" w14:textId="77777777" w:rsidR="009D1F83" w:rsidRDefault="00452E53">
      <w:pPr>
        <w:spacing w:line="360" w:lineRule="auto"/>
        <w:jc w:val="center"/>
        <w:rPr>
          <w:b/>
          <w:sz w:val="24"/>
          <w:szCs w:val="24"/>
        </w:rPr>
      </w:pPr>
      <w:r>
        <w:rPr>
          <w:b/>
          <w:sz w:val="24"/>
          <w:szCs w:val="24"/>
        </w:rPr>
        <w:t>Figure 4: Efficiency Ratios</w:t>
      </w:r>
    </w:p>
    <w:p w14:paraId="40B6D0DC" w14:textId="77777777" w:rsidR="009D1F83" w:rsidRDefault="00452E53">
      <w:pPr>
        <w:spacing w:line="360" w:lineRule="auto"/>
        <w:jc w:val="center"/>
        <w:rPr>
          <w:sz w:val="24"/>
          <w:szCs w:val="24"/>
        </w:rPr>
      </w:pPr>
      <w:r>
        <w:rPr>
          <w:sz w:val="24"/>
          <w:szCs w:val="24"/>
        </w:rPr>
        <w:t>(Source: Excel)</w:t>
      </w:r>
    </w:p>
    <w:p w14:paraId="40775014" w14:textId="77777777" w:rsidR="009D1F83" w:rsidRDefault="00452E53">
      <w:pPr>
        <w:spacing w:line="360" w:lineRule="auto"/>
        <w:jc w:val="both"/>
        <w:rPr>
          <w:sz w:val="24"/>
          <w:szCs w:val="24"/>
        </w:rPr>
      </w:pPr>
      <w:r>
        <w:rPr>
          <w:noProof/>
          <w:sz w:val="24"/>
          <w:szCs w:val="24"/>
          <w:lang w:val="en-GB"/>
        </w:rPr>
        <w:lastRenderedPageBreak/>
        <w:drawing>
          <wp:inline distT="114300" distB="114300" distL="114300" distR="114300" wp14:anchorId="2AF88111" wp14:editId="1A7C3A67">
            <wp:extent cx="5943600" cy="3568700"/>
            <wp:effectExtent l="25400" t="25400" r="25400" b="25400"/>
            <wp:docPr id="5" name="image9.png"/>
            <wp:cNvGraphicFramePr/>
            <a:graphic xmlns:a="http://schemas.openxmlformats.org/drawingml/2006/main">
              <a:graphicData uri="http://schemas.openxmlformats.org/drawingml/2006/picture">
                <pic:pic xmlns:pic="http://schemas.openxmlformats.org/drawingml/2006/picture">
                  <pic:nvPicPr>
                    <pic:cNvPr id="5" name="image9.png"/>
                    <pic:cNvPicPr/>
                  </pic:nvPicPr>
                  <pic:blipFill>
                    <a:blip r:embed="rId12"/>
                    <a:stretch>
                      <a:fillRect/>
                    </a:stretch>
                  </pic:blipFill>
                  <pic:spPr>
                    <a:xfrm>
                      <a:off x="0" y="0"/>
                      <a:ext cx="5943600" cy="3568700"/>
                    </a:xfrm>
                    <a:prstGeom prst="rect">
                      <a:avLst/>
                    </a:prstGeom>
                    <a:ln w="25400">
                      <a:solidFill>
                        <a:srgbClr val="000000"/>
                      </a:solidFill>
                      <a:prstDash val="solid"/>
                    </a:ln>
                  </pic:spPr>
                </pic:pic>
              </a:graphicData>
            </a:graphic>
          </wp:inline>
        </w:drawing>
      </w:r>
    </w:p>
    <w:p w14:paraId="3C47E608" w14:textId="77777777" w:rsidR="009D1F83" w:rsidRDefault="00452E53">
      <w:pPr>
        <w:spacing w:line="360" w:lineRule="auto"/>
        <w:jc w:val="center"/>
        <w:rPr>
          <w:b/>
          <w:sz w:val="24"/>
          <w:szCs w:val="24"/>
        </w:rPr>
      </w:pPr>
      <w:r>
        <w:rPr>
          <w:b/>
          <w:sz w:val="24"/>
          <w:szCs w:val="24"/>
        </w:rPr>
        <w:t>Figure 5: Leverage Ratios</w:t>
      </w:r>
    </w:p>
    <w:p w14:paraId="2D50A7C9" w14:textId="77777777" w:rsidR="009D1F83" w:rsidRDefault="00452E53">
      <w:pPr>
        <w:spacing w:line="360" w:lineRule="auto"/>
        <w:jc w:val="center"/>
        <w:rPr>
          <w:sz w:val="24"/>
          <w:szCs w:val="24"/>
        </w:rPr>
      </w:pPr>
      <w:r>
        <w:rPr>
          <w:sz w:val="24"/>
          <w:szCs w:val="24"/>
        </w:rPr>
        <w:t>(Source: Excel)</w:t>
      </w:r>
      <w:r>
        <w:rPr>
          <w:noProof/>
          <w:sz w:val="24"/>
          <w:szCs w:val="24"/>
          <w:lang w:val="en-GB"/>
        </w:rPr>
        <w:drawing>
          <wp:inline distT="114300" distB="114300" distL="114300" distR="114300" wp14:anchorId="2AD93100" wp14:editId="69398D96">
            <wp:extent cx="5943600" cy="3568700"/>
            <wp:effectExtent l="25400" t="25400" r="25400" b="25400"/>
            <wp:docPr id="11" name="image1.png"/>
            <wp:cNvGraphicFramePr/>
            <a:graphic xmlns:a="http://schemas.openxmlformats.org/drawingml/2006/main">
              <a:graphicData uri="http://schemas.openxmlformats.org/drawingml/2006/picture">
                <pic:pic xmlns:pic="http://schemas.openxmlformats.org/drawingml/2006/picture">
                  <pic:nvPicPr>
                    <pic:cNvPr id="11" name="image1.png"/>
                    <pic:cNvPicPr/>
                  </pic:nvPicPr>
                  <pic:blipFill>
                    <a:blip r:embed="rId13"/>
                    <a:stretch>
                      <a:fillRect/>
                    </a:stretch>
                  </pic:blipFill>
                  <pic:spPr>
                    <a:xfrm>
                      <a:off x="0" y="0"/>
                      <a:ext cx="5943600" cy="3568700"/>
                    </a:xfrm>
                    <a:prstGeom prst="rect">
                      <a:avLst/>
                    </a:prstGeom>
                    <a:ln w="25400">
                      <a:solidFill>
                        <a:srgbClr val="000000"/>
                      </a:solidFill>
                      <a:prstDash val="solid"/>
                    </a:ln>
                  </pic:spPr>
                </pic:pic>
              </a:graphicData>
            </a:graphic>
          </wp:inline>
        </w:drawing>
      </w:r>
    </w:p>
    <w:p w14:paraId="0A418C8F" w14:textId="77777777" w:rsidR="009D1F83" w:rsidRDefault="00452E53">
      <w:pPr>
        <w:spacing w:line="360" w:lineRule="auto"/>
        <w:jc w:val="center"/>
        <w:rPr>
          <w:b/>
          <w:sz w:val="24"/>
          <w:szCs w:val="24"/>
        </w:rPr>
      </w:pPr>
      <w:r>
        <w:rPr>
          <w:b/>
          <w:sz w:val="24"/>
          <w:szCs w:val="24"/>
        </w:rPr>
        <w:t>Figure 6: Investment Ratios</w:t>
      </w:r>
    </w:p>
    <w:p w14:paraId="0FBA08D1" w14:textId="77777777" w:rsidR="009D1F83" w:rsidRDefault="00452E53">
      <w:pPr>
        <w:spacing w:line="360" w:lineRule="auto"/>
        <w:jc w:val="center"/>
        <w:rPr>
          <w:sz w:val="24"/>
          <w:szCs w:val="24"/>
        </w:rPr>
      </w:pPr>
      <w:r>
        <w:rPr>
          <w:sz w:val="24"/>
          <w:szCs w:val="24"/>
        </w:rPr>
        <w:lastRenderedPageBreak/>
        <w:t>(Source: Excel)</w:t>
      </w:r>
    </w:p>
    <w:p w14:paraId="6EF0FC9C" w14:textId="77777777" w:rsidR="009D1F83" w:rsidRDefault="00452E53">
      <w:pPr>
        <w:spacing w:line="360" w:lineRule="auto"/>
        <w:jc w:val="both"/>
        <w:rPr>
          <w:sz w:val="24"/>
          <w:szCs w:val="24"/>
        </w:rPr>
      </w:pPr>
      <w:r>
        <w:rPr>
          <w:noProof/>
          <w:sz w:val="24"/>
          <w:szCs w:val="24"/>
          <w:lang w:val="en-GB"/>
        </w:rPr>
        <w:drawing>
          <wp:inline distT="114300" distB="114300" distL="114300" distR="114300" wp14:anchorId="5FF9A35C" wp14:editId="06FCE188">
            <wp:extent cx="5943600" cy="3568700"/>
            <wp:effectExtent l="25400" t="25400" r="25400" b="25400"/>
            <wp:docPr id="7" name="image11.png"/>
            <wp:cNvGraphicFramePr/>
            <a:graphic xmlns:a="http://schemas.openxmlformats.org/drawingml/2006/main">
              <a:graphicData uri="http://schemas.openxmlformats.org/drawingml/2006/picture">
                <pic:pic xmlns:pic="http://schemas.openxmlformats.org/drawingml/2006/picture">
                  <pic:nvPicPr>
                    <pic:cNvPr id="7" name="image11.png"/>
                    <pic:cNvPicPr/>
                  </pic:nvPicPr>
                  <pic:blipFill>
                    <a:blip r:embed="rId14"/>
                    <a:stretch>
                      <a:fillRect/>
                    </a:stretch>
                  </pic:blipFill>
                  <pic:spPr>
                    <a:xfrm>
                      <a:off x="0" y="0"/>
                      <a:ext cx="5943600" cy="3568700"/>
                    </a:xfrm>
                    <a:prstGeom prst="rect">
                      <a:avLst/>
                    </a:prstGeom>
                    <a:ln w="25400">
                      <a:solidFill>
                        <a:srgbClr val="000000"/>
                      </a:solidFill>
                      <a:prstDash val="solid"/>
                    </a:ln>
                  </pic:spPr>
                </pic:pic>
              </a:graphicData>
            </a:graphic>
          </wp:inline>
        </w:drawing>
      </w:r>
    </w:p>
    <w:p w14:paraId="2E17DFD7" w14:textId="77777777" w:rsidR="009D1F83" w:rsidRDefault="00452E53">
      <w:pPr>
        <w:spacing w:line="360" w:lineRule="auto"/>
        <w:jc w:val="center"/>
        <w:rPr>
          <w:b/>
          <w:sz w:val="24"/>
          <w:szCs w:val="24"/>
        </w:rPr>
      </w:pPr>
      <w:r>
        <w:rPr>
          <w:b/>
          <w:sz w:val="24"/>
          <w:szCs w:val="24"/>
        </w:rPr>
        <w:t>Figure 7: Cash Flow Ratios</w:t>
      </w:r>
    </w:p>
    <w:p w14:paraId="64F2F59F" w14:textId="77777777" w:rsidR="009D1F83" w:rsidRDefault="00452E53">
      <w:pPr>
        <w:spacing w:line="360" w:lineRule="auto"/>
        <w:jc w:val="center"/>
        <w:rPr>
          <w:sz w:val="24"/>
          <w:szCs w:val="24"/>
        </w:rPr>
      </w:pPr>
      <w:r>
        <w:rPr>
          <w:sz w:val="24"/>
          <w:szCs w:val="24"/>
        </w:rPr>
        <w:t>(Source: Excel)</w:t>
      </w:r>
    </w:p>
    <w:p w14:paraId="57C5CFA5" w14:textId="77777777" w:rsidR="009D1F83" w:rsidRDefault="00452E53" w:rsidP="00F8683F">
      <w:pPr>
        <w:pStyle w:val="Heading2"/>
      </w:pPr>
      <w:bookmarkStart w:id="4" w:name="_Toc212203730"/>
      <w:r>
        <w:t>2.3 Identification of strengths and threats using trends</w:t>
      </w:r>
      <w:bookmarkEnd w:id="4"/>
    </w:p>
    <w:p w14:paraId="5ABBC295" w14:textId="77777777" w:rsidR="009D1F83" w:rsidRDefault="00452E53">
      <w:pPr>
        <w:spacing w:line="360" w:lineRule="auto"/>
        <w:jc w:val="both"/>
        <w:rPr>
          <w:b/>
          <w:sz w:val="24"/>
          <w:szCs w:val="24"/>
          <w:u w:val="single"/>
        </w:rPr>
      </w:pPr>
      <w:r>
        <w:rPr>
          <w:b/>
          <w:sz w:val="24"/>
          <w:szCs w:val="24"/>
          <w:u w:val="single"/>
        </w:rPr>
        <w:t>Profitability Ratios</w:t>
      </w:r>
    </w:p>
    <w:p w14:paraId="7024BF91" w14:textId="77777777" w:rsidR="009D1F83" w:rsidRDefault="00452E53">
      <w:pPr>
        <w:spacing w:line="360" w:lineRule="auto"/>
        <w:jc w:val="both"/>
        <w:rPr>
          <w:b/>
          <w:sz w:val="24"/>
          <w:szCs w:val="24"/>
          <w:u w:val="single"/>
        </w:rPr>
      </w:pPr>
      <w:r>
        <w:rPr>
          <w:b/>
          <w:sz w:val="24"/>
          <w:szCs w:val="24"/>
          <w:u w:val="single"/>
        </w:rPr>
        <w:t>Strengths</w:t>
      </w:r>
    </w:p>
    <w:p w14:paraId="4CD61E07" w14:textId="77777777" w:rsidR="009D1F83" w:rsidRDefault="00452E53">
      <w:pPr>
        <w:spacing w:line="360" w:lineRule="auto"/>
        <w:jc w:val="both"/>
        <w:rPr>
          <w:b/>
          <w:i/>
          <w:sz w:val="24"/>
          <w:szCs w:val="24"/>
        </w:rPr>
      </w:pPr>
      <w:r>
        <w:rPr>
          <w:sz w:val="24"/>
          <w:szCs w:val="24"/>
        </w:rPr>
        <w:t xml:space="preserve">Firstly, the gross profit margin showcased some stability for General Electronics, especially empowered by an effective cost control on both production and sales-related pricing strategies (Santoso and Supatmi, 2021). It has remained at 28% on average in the last five years for the company. </w:t>
      </w:r>
      <w:r>
        <w:rPr>
          <w:b/>
          <w:i/>
          <w:sz w:val="24"/>
          <w:szCs w:val="24"/>
        </w:rPr>
        <w:t>[Referred to Appendix 1]</w:t>
      </w:r>
    </w:p>
    <w:p w14:paraId="4D4AD23A" w14:textId="77777777" w:rsidR="009D1F83" w:rsidRDefault="00452E53">
      <w:pPr>
        <w:spacing w:line="360" w:lineRule="auto"/>
        <w:jc w:val="both"/>
        <w:rPr>
          <w:sz w:val="24"/>
          <w:szCs w:val="24"/>
        </w:rPr>
      </w:pPr>
      <w:r>
        <w:rPr>
          <w:sz w:val="24"/>
          <w:szCs w:val="24"/>
        </w:rPr>
        <w:t>Secondly, although the gross margin slightly weakened in 2023, a better sales mix allowed General Electronics to again enhance its profitability position in 2024 by displaying an average 28.87% gross margin.</w:t>
      </w:r>
    </w:p>
    <w:p w14:paraId="4A6FD330" w14:textId="77777777" w:rsidR="009D1F83" w:rsidRDefault="00452E53">
      <w:pPr>
        <w:spacing w:line="360" w:lineRule="auto"/>
        <w:jc w:val="both"/>
        <w:rPr>
          <w:b/>
          <w:sz w:val="24"/>
          <w:szCs w:val="24"/>
          <w:u w:val="single"/>
        </w:rPr>
      </w:pPr>
      <w:r>
        <w:rPr>
          <w:b/>
          <w:sz w:val="24"/>
          <w:szCs w:val="24"/>
          <w:u w:val="single"/>
        </w:rPr>
        <w:t>Weaknesses</w:t>
      </w:r>
    </w:p>
    <w:p w14:paraId="3F05A34B" w14:textId="77777777" w:rsidR="009D1F83" w:rsidRDefault="00452E53">
      <w:pPr>
        <w:spacing w:line="360" w:lineRule="auto"/>
        <w:jc w:val="both"/>
        <w:rPr>
          <w:sz w:val="24"/>
          <w:szCs w:val="24"/>
        </w:rPr>
      </w:pPr>
      <w:r>
        <w:rPr>
          <w:sz w:val="24"/>
          <w:szCs w:val="24"/>
        </w:rPr>
        <w:t xml:space="preserve">Firstly, both operating profit margins and net profit ratios indicated a larger decline in the percentages, with 2023-2024 taking the ratios to dip further and causing a 12.37% and </w:t>
      </w:r>
      <w:r>
        <w:rPr>
          <w:sz w:val="24"/>
          <w:szCs w:val="24"/>
        </w:rPr>
        <w:lastRenderedPageBreak/>
        <w:t xml:space="preserve">9.93% negative change in both figures. This suggested that there was a problem in sustainability to maintain consistency in profitability, allowing General Electronics to bring in poor profit margins, and it is likely suffering from a lack of cost management (Santoso and Supatmi, 2021). </w:t>
      </w:r>
      <w:r>
        <w:rPr>
          <w:b/>
          <w:i/>
          <w:sz w:val="24"/>
          <w:szCs w:val="24"/>
        </w:rPr>
        <w:t>[Referred to Appendix 1]</w:t>
      </w:r>
    </w:p>
    <w:p w14:paraId="56563954" w14:textId="77777777" w:rsidR="009D1F83" w:rsidRDefault="00452E53">
      <w:pPr>
        <w:spacing w:line="360" w:lineRule="auto"/>
        <w:jc w:val="both"/>
        <w:rPr>
          <w:sz w:val="24"/>
          <w:szCs w:val="24"/>
        </w:rPr>
      </w:pPr>
      <w:r>
        <w:rPr>
          <w:sz w:val="24"/>
          <w:szCs w:val="24"/>
        </w:rPr>
        <w:t xml:space="preserve">Secondly, the enterprise might also be experiencing higher expenses occurring through interest or depreciation figures, which inadvertently bring down profitability in the five years. (This is witnessed by an average increase of 1939m respectively) (Santoso and Supatmi, 2021). </w:t>
      </w:r>
    </w:p>
    <w:p w14:paraId="44E2377D" w14:textId="77777777" w:rsidR="009D1F83" w:rsidRDefault="00452E53">
      <w:pPr>
        <w:spacing w:line="360" w:lineRule="auto"/>
        <w:jc w:val="both"/>
        <w:rPr>
          <w:b/>
          <w:sz w:val="24"/>
          <w:szCs w:val="24"/>
          <w:u w:val="single"/>
        </w:rPr>
      </w:pPr>
      <w:r>
        <w:rPr>
          <w:b/>
          <w:sz w:val="24"/>
          <w:szCs w:val="24"/>
          <w:u w:val="single"/>
        </w:rPr>
        <w:t>Liquidity Ratios</w:t>
      </w:r>
    </w:p>
    <w:p w14:paraId="3577866F" w14:textId="77777777" w:rsidR="009D1F83" w:rsidRDefault="00452E53">
      <w:pPr>
        <w:spacing w:line="360" w:lineRule="auto"/>
        <w:jc w:val="both"/>
        <w:rPr>
          <w:b/>
          <w:sz w:val="24"/>
          <w:szCs w:val="24"/>
          <w:u w:val="single"/>
        </w:rPr>
      </w:pPr>
      <w:r>
        <w:rPr>
          <w:b/>
          <w:sz w:val="24"/>
          <w:szCs w:val="24"/>
          <w:u w:val="single"/>
        </w:rPr>
        <w:t>Strengths</w:t>
      </w:r>
    </w:p>
    <w:p w14:paraId="456D29DD" w14:textId="77777777" w:rsidR="009D1F83" w:rsidRDefault="00452E53">
      <w:pPr>
        <w:spacing w:line="360" w:lineRule="auto"/>
        <w:jc w:val="both"/>
        <w:rPr>
          <w:sz w:val="24"/>
          <w:szCs w:val="24"/>
        </w:rPr>
      </w:pPr>
      <w:r>
        <w:rPr>
          <w:sz w:val="24"/>
          <w:szCs w:val="24"/>
        </w:rPr>
        <w:t>Firstly, liquidity ratios through current and quick ratios were seen to be above 1.0, which enabled General Electronics to come up with short-term funds for clearing their immediate debts (Li et al., 2020).</w:t>
      </w:r>
    </w:p>
    <w:p w14:paraId="07EBDF73" w14:textId="77777777" w:rsidR="009D1F83" w:rsidRDefault="00452E53">
      <w:pPr>
        <w:spacing w:line="360" w:lineRule="auto"/>
        <w:jc w:val="both"/>
        <w:rPr>
          <w:sz w:val="24"/>
          <w:szCs w:val="24"/>
        </w:rPr>
      </w:pPr>
      <w:r>
        <w:rPr>
          <w:sz w:val="24"/>
          <w:szCs w:val="24"/>
        </w:rPr>
        <w:t>Secondly, an improvement in the quick ratio, especially between 2022 and 2023, where the ratios changed from 0.91 to 1.06 points, indicates how the enterprise might have found a way to handle its inventory and receivables in a better manner (Li et al., 2020).</w:t>
      </w:r>
    </w:p>
    <w:p w14:paraId="7EE80249" w14:textId="77777777" w:rsidR="009D1F83" w:rsidRDefault="00452E53">
      <w:pPr>
        <w:spacing w:line="360" w:lineRule="auto"/>
        <w:jc w:val="both"/>
        <w:rPr>
          <w:b/>
          <w:sz w:val="24"/>
          <w:szCs w:val="24"/>
          <w:u w:val="single"/>
        </w:rPr>
      </w:pPr>
      <w:r>
        <w:rPr>
          <w:b/>
          <w:sz w:val="24"/>
          <w:szCs w:val="24"/>
          <w:u w:val="single"/>
        </w:rPr>
        <w:t>Weaknesses</w:t>
      </w:r>
    </w:p>
    <w:p w14:paraId="25AC9D9C" w14:textId="77777777" w:rsidR="009D1F83" w:rsidRDefault="00452E53">
      <w:pPr>
        <w:spacing w:line="360" w:lineRule="auto"/>
        <w:jc w:val="both"/>
        <w:rPr>
          <w:sz w:val="24"/>
          <w:szCs w:val="24"/>
        </w:rPr>
      </w:pPr>
      <w:r>
        <w:rPr>
          <w:sz w:val="24"/>
          <w:szCs w:val="24"/>
        </w:rPr>
        <w:t>Firstly, a slight downward trend was noticed within the current ratio, which changed in the five years from 2020 to 2024 by 0.29. This might indicate slower current asset-based turnover, or an increase in current liabilities (Jihadi et al., 2021).</w:t>
      </w:r>
    </w:p>
    <w:p w14:paraId="6A274382" w14:textId="77777777" w:rsidR="009D1F83" w:rsidRDefault="00452E53">
      <w:pPr>
        <w:spacing w:line="360" w:lineRule="auto"/>
        <w:jc w:val="both"/>
        <w:rPr>
          <w:sz w:val="24"/>
          <w:szCs w:val="24"/>
        </w:rPr>
      </w:pPr>
      <w:r>
        <w:rPr>
          <w:sz w:val="24"/>
          <w:szCs w:val="24"/>
        </w:rPr>
        <w:t xml:space="preserve">Secondly, the liquidity ratios remained at 1.5 and seldom showed signs of rapid increase in the five years. This might be due to a tight availability of short-term liquidity for General Electronics (Jihadi et al., 2021). </w:t>
      </w:r>
    </w:p>
    <w:p w14:paraId="7F55CA42" w14:textId="77777777" w:rsidR="009D1F83" w:rsidRDefault="00452E53">
      <w:pPr>
        <w:spacing w:line="360" w:lineRule="auto"/>
        <w:jc w:val="both"/>
        <w:rPr>
          <w:b/>
          <w:sz w:val="24"/>
          <w:szCs w:val="24"/>
          <w:u w:val="single"/>
        </w:rPr>
      </w:pPr>
      <w:r>
        <w:rPr>
          <w:b/>
          <w:sz w:val="24"/>
          <w:szCs w:val="24"/>
          <w:u w:val="single"/>
        </w:rPr>
        <w:t>Efficiency Ratios</w:t>
      </w:r>
    </w:p>
    <w:p w14:paraId="193D45BB" w14:textId="77777777" w:rsidR="009D1F83" w:rsidRDefault="00452E53">
      <w:pPr>
        <w:spacing w:line="360" w:lineRule="auto"/>
        <w:jc w:val="both"/>
        <w:rPr>
          <w:b/>
          <w:sz w:val="24"/>
          <w:szCs w:val="24"/>
          <w:u w:val="single"/>
        </w:rPr>
      </w:pPr>
      <w:r>
        <w:rPr>
          <w:b/>
          <w:sz w:val="24"/>
          <w:szCs w:val="24"/>
          <w:u w:val="single"/>
        </w:rPr>
        <w:t>Strengths</w:t>
      </w:r>
    </w:p>
    <w:p w14:paraId="5EA8E53B" w14:textId="77777777" w:rsidR="009D1F83" w:rsidRDefault="00452E53">
      <w:pPr>
        <w:spacing w:line="360" w:lineRule="auto"/>
        <w:jc w:val="both"/>
        <w:rPr>
          <w:sz w:val="24"/>
          <w:szCs w:val="24"/>
        </w:rPr>
      </w:pPr>
      <w:r>
        <w:rPr>
          <w:sz w:val="24"/>
          <w:szCs w:val="24"/>
        </w:rPr>
        <w:t>Firstly, Days payable outstanding increased by 14 days from 2020 to 2024, which allowed General Electronics to take longer to pay off its suppliers.</w:t>
      </w:r>
      <w:r>
        <w:rPr>
          <w:b/>
          <w:i/>
          <w:sz w:val="24"/>
          <w:szCs w:val="24"/>
        </w:rPr>
        <w:t>[Referred to Appendix 1]</w:t>
      </w:r>
    </w:p>
    <w:p w14:paraId="106F0185" w14:textId="77777777" w:rsidR="009D1F83" w:rsidRDefault="00452E53">
      <w:pPr>
        <w:spacing w:line="360" w:lineRule="auto"/>
        <w:jc w:val="both"/>
        <w:rPr>
          <w:sz w:val="24"/>
          <w:szCs w:val="24"/>
        </w:rPr>
      </w:pPr>
      <w:r>
        <w:rPr>
          <w:sz w:val="24"/>
          <w:szCs w:val="24"/>
        </w:rPr>
        <w:t>Secondly, despite slumping in terms of the inventory turnover, General Electronics managed its inventory to impact its turnover ratio by 0.52 times beyond 2023. This indicated an improved stock movement (Jihadi et al., 2021).</w:t>
      </w:r>
    </w:p>
    <w:p w14:paraId="0D9A132D" w14:textId="77777777" w:rsidR="009D1F83" w:rsidRDefault="00452E53">
      <w:pPr>
        <w:spacing w:line="360" w:lineRule="auto"/>
        <w:jc w:val="both"/>
        <w:rPr>
          <w:b/>
          <w:sz w:val="24"/>
          <w:szCs w:val="24"/>
          <w:u w:val="single"/>
        </w:rPr>
      </w:pPr>
      <w:r>
        <w:rPr>
          <w:b/>
          <w:sz w:val="24"/>
          <w:szCs w:val="24"/>
          <w:u w:val="single"/>
        </w:rPr>
        <w:t>Weaknesses</w:t>
      </w:r>
    </w:p>
    <w:p w14:paraId="6ADE603D" w14:textId="77777777" w:rsidR="009D1F83" w:rsidRDefault="00452E53">
      <w:pPr>
        <w:spacing w:line="360" w:lineRule="auto"/>
        <w:jc w:val="both"/>
        <w:rPr>
          <w:sz w:val="24"/>
          <w:szCs w:val="24"/>
        </w:rPr>
      </w:pPr>
      <w:r>
        <w:rPr>
          <w:sz w:val="24"/>
          <w:szCs w:val="24"/>
        </w:rPr>
        <w:lastRenderedPageBreak/>
        <w:t>Firstly, receivables turnover ratio showed a significant slump for General Electronics by dipping 1.94 times during the last five years (between 2020 and 2024). This pointed to a slower collection strategy emphasised by the organisation from its debtors, which could inevitably lead to a potential cash flow-related pressure (Bull, 2019, p 275-315).</w:t>
      </w:r>
    </w:p>
    <w:p w14:paraId="701EFB85" w14:textId="77777777" w:rsidR="009D1F83" w:rsidRDefault="00452E53">
      <w:pPr>
        <w:spacing w:line="360" w:lineRule="auto"/>
        <w:jc w:val="both"/>
        <w:rPr>
          <w:sz w:val="24"/>
          <w:szCs w:val="24"/>
        </w:rPr>
      </w:pPr>
      <w:r>
        <w:rPr>
          <w:sz w:val="24"/>
          <w:szCs w:val="24"/>
        </w:rPr>
        <w:t>Secondly, the company General Electronics is over-reliant on delaying its payments with suppliers, which could strain relationships in the long run, as recognised from the ratios (Jihadi et al., 2021).</w:t>
      </w:r>
    </w:p>
    <w:p w14:paraId="6FA404CA" w14:textId="77777777" w:rsidR="009D1F83" w:rsidRDefault="00452E53">
      <w:pPr>
        <w:spacing w:line="360" w:lineRule="auto"/>
        <w:jc w:val="both"/>
        <w:rPr>
          <w:b/>
          <w:sz w:val="24"/>
          <w:szCs w:val="24"/>
          <w:u w:val="single"/>
        </w:rPr>
      </w:pPr>
      <w:r>
        <w:rPr>
          <w:b/>
          <w:sz w:val="24"/>
          <w:szCs w:val="24"/>
          <w:u w:val="single"/>
        </w:rPr>
        <w:t>Leverage Ratios</w:t>
      </w:r>
    </w:p>
    <w:p w14:paraId="0258B3BF" w14:textId="77777777" w:rsidR="009D1F83" w:rsidRDefault="00452E53">
      <w:pPr>
        <w:spacing w:line="360" w:lineRule="auto"/>
        <w:jc w:val="both"/>
        <w:rPr>
          <w:b/>
          <w:sz w:val="24"/>
          <w:szCs w:val="24"/>
          <w:u w:val="single"/>
        </w:rPr>
      </w:pPr>
      <w:r>
        <w:rPr>
          <w:b/>
          <w:sz w:val="24"/>
          <w:szCs w:val="24"/>
          <w:u w:val="single"/>
        </w:rPr>
        <w:t>Strengths</w:t>
      </w:r>
    </w:p>
    <w:p w14:paraId="1FF44B54" w14:textId="77777777" w:rsidR="009D1F83" w:rsidRDefault="00452E53">
      <w:pPr>
        <w:spacing w:line="360" w:lineRule="auto"/>
        <w:jc w:val="both"/>
        <w:rPr>
          <w:sz w:val="24"/>
          <w:szCs w:val="24"/>
        </w:rPr>
      </w:pPr>
      <w:r>
        <w:rPr>
          <w:sz w:val="24"/>
          <w:szCs w:val="24"/>
        </w:rPr>
        <w:t>The gearing ratio pointed to how General Electronics depended on debt utilisation, while working towards improving their asset efficiency and growth prospects, at the same time planning towards a potential expansion through resource upgrades (Bull, 2019, pp. 275-315).</w:t>
      </w:r>
    </w:p>
    <w:p w14:paraId="79FA9E0C" w14:textId="77777777" w:rsidR="009D1F83" w:rsidRDefault="00452E53">
      <w:pPr>
        <w:spacing w:line="360" w:lineRule="auto"/>
        <w:jc w:val="both"/>
        <w:rPr>
          <w:b/>
          <w:sz w:val="24"/>
          <w:szCs w:val="24"/>
          <w:u w:val="single"/>
        </w:rPr>
      </w:pPr>
      <w:r>
        <w:rPr>
          <w:b/>
          <w:sz w:val="24"/>
          <w:szCs w:val="24"/>
          <w:u w:val="single"/>
        </w:rPr>
        <w:t>Weaknesses</w:t>
      </w:r>
    </w:p>
    <w:p w14:paraId="1E8E1C9C" w14:textId="77777777" w:rsidR="009D1F83" w:rsidRDefault="00452E53">
      <w:pPr>
        <w:spacing w:line="360" w:lineRule="auto"/>
        <w:jc w:val="both"/>
        <w:rPr>
          <w:sz w:val="24"/>
          <w:szCs w:val="24"/>
        </w:rPr>
      </w:pPr>
      <w:r>
        <w:rPr>
          <w:sz w:val="24"/>
          <w:szCs w:val="24"/>
        </w:rPr>
        <w:t>Firstly, the gearing ratio value changed by 48.32% for the organisation between 2020 and 2024, which was an uptick and pointed to increased dependence on debt, which could majorly create a financial risk for the enterprise (Bull, 2019, p 420-485).</w:t>
      </w:r>
    </w:p>
    <w:p w14:paraId="4CEC5607" w14:textId="77777777" w:rsidR="009D1F83" w:rsidRDefault="00452E53">
      <w:pPr>
        <w:spacing w:line="360" w:lineRule="auto"/>
        <w:jc w:val="both"/>
        <w:rPr>
          <w:sz w:val="24"/>
          <w:szCs w:val="24"/>
        </w:rPr>
      </w:pPr>
      <w:r>
        <w:rPr>
          <w:sz w:val="24"/>
          <w:szCs w:val="24"/>
        </w:rPr>
        <w:t xml:space="preserve">Secondly, while the leverage ratio increased and profitability suffered, it could lead to a precarious situation for General Electronics, where they face solvency-related problems and lose investor confidence (Bull, 2019, pp. 420-485). </w:t>
      </w:r>
      <w:r>
        <w:rPr>
          <w:b/>
          <w:i/>
          <w:sz w:val="24"/>
          <w:szCs w:val="24"/>
        </w:rPr>
        <w:t>[Referred to Appendix 1]</w:t>
      </w:r>
    </w:p>
    <w:p w14:paraId="21AD1DB7" w14:textId="77777777" w:rsidR="009D1F83" w:rsidRDefault="00452E53">
      <w:pPr>
        <w:spacing w:line="360" w:lineRule="auto"/>
        <w:jc w:val="both"/>
        <w:rPr>
          <w:b/>
          <w:sz w:val="24"/>
          <w:szCs w:val="24"/>
          <w:u w:val="single"/>
        </w:rPr>
      </w:pPr>
      <w:r>
        <w:rPr>
          <w:b/>
          <w:sz w:val="24"/>
          <w:szCs w:val="24"/>
          <w:u w:val="single"/>
        </w:rPr>
        <w:t>Investment Ratios</w:t>
      </w:r>
    </w:p>
    <w:p w14:paraId="0959C0C9" w14:textId="77777777" w:rsidR="009D1F83" w:rsidRDefault="00452E53">
      <w:pPr>
        <w:spacing w:line="360" w:lineRule="auto"/>
        <w:jc w:val="both"/>
        <w:rPr>
          <w:b/>
          <w:sz w:val="24"/>
          <w:szCs w:val="24"/>
          <w:u w:val="single"/>
        </w:rPr>
      </w:pPr>
      <w:r>
        <w:rPr>
          <w:b/>
          <w:sz w:val="24"/>
          <w:szCs w:val="24"/>
          <w:u w:val="single"/>
        </w:rPr>
        <w:t>Strengths</w:t>
      </w:r>
    </w:p>
    <w:p w14:paraId="5345A78D" w14:textId="77777777" w:rsidR="009D1F83" w:rsidRDefault="00452E53">
      <w:pPr>
        <w:spacing w:line="360" w:lineRule="auto"/>
        <w:jc w:val="both"/>
        <w:rPr>
          <w:sz w:val="24"/>
          <w:szCs w:val="24"/>
        </w:rPr>
      </w:pPr>
      <w:r>
        <w:rPr>
          <w:sz w:val="24"/>
          <w:szCs w:val="24"/>
        </w:rPr>
        <w:t xml:space="preserve">Prior profitability was experienced by General Electronics, especially during 2020, from both its capital and assets, which supported better prospects through its resources (Nukala and Rao, 2021). </w:t>
      </w:r>
    </w:p>
    <w:p w14:paraId="32399F78" w14:textId="77777777" w:rsidR="009D1F83" w:rsidRDefault="00452E53">
      <w:pPr>
        <w:spacing w:line="360" w:lineRule="auto"/>
        <w:jc w:val="both"/>
        <w:rPr>
          <w:b/>
          <w:sz w:val="24"/>
          <w:szCs w:val="24"/>
          <w:u w:val="single"/>
        </w:rPr>
      </w:pPr>
      <w:r>
        <w:rPr>
          <w:b/>
          <w:sz w:val="24"/>
          <w:szCs w:val="24"/>
          <w:u w:val="single"/>
        </w:rPr>
        <w:t>Weaknesses</w:t>
      </w:r>
    </w:p>
    <w:p w14:paraId="67A790DD" w14:textId="77777777" w:rsidR="009D1F83" w:rsidRDefault="00452E53">
      <w:pPr>
        <w:spacing w:line="360" w:lineRule="auto"/>
        <w:jc w:val="both"/>
        <w:rPr>
          <w:sz w:val="24"/>
          <w:szCs w:val="24"/>
        </w:rPr>
      </w:pPr>
      <w:r>
        <w:rPr>
          <w:sz w:val="24"/>
          <w:szCs w:val="24"/>
        </w:rPr>
        <w:t xml:space="preserve">Firstly, a continuous decline was experienced among the investment ratios, where General Electronics saw a negative trend within return on equity by 0.28 and return on assets by 1.5. This pointed to problems towards wealth creation as experienced by the firm (Nukala and Rao, 2021). </w:t>
      </w:r>
    </w:p>
    <w:p w14:paraId="226D590F" w14:textId="77777777" w:rsidR="009D1F83" w:rsidRDefault="00452E53">
      <w:pPr>
        <w:spacing w:line="360" w:lineRule="auto"/>
        <w:jc w:val="both"/>
        <w:rPr>
          <w:sz w:val="24"/>
          <w:szCs w:val="24"/>
        </w:rPr>
      </w:pPr>
      <w:r>
        <w:rPr>
          <w:sz w:val="24"/>
          <w:szCs w:val="24"/>
        </w:rPr>
        <w:lastRenderedPageBreak/>
        <w:t xml:space="preserve">Secondly, increased shareholder dissatisfaction can be noted from the steep return on equity and return on assets (Nukala and Rao, 2021). </w:t>
      </w:r>
    </w:p>
    <w:p w14:paraId="57FE6811" w14:textId="77777777" w:rsidR="009D1F83" w:rsidRDefault="00452E53">
      <w:pPr>
        <w:spacing w:line="360" w:lineRule="auto"/>
        <w:jc w:val="both"/>
        <w:rPr>
          <w:b/>
          <w:sz w:val="24"/>
          <w:szCs w:val="24"/>
          <w:u w:val="single"/>
        </w:rPr>
      </w:pPr>
      <w:r>
        <w:rPr>
          <w:b/>
          <w:sz w:val="24"/>
          <w:szCs w:val="24"/>
          <w:u w:val="single"/>
        </w:rPr>
        <w:t>Cash Flow Ratios</w:t>
      </w:r>
    </w:p>
    <w:p w14:paraId="55EB494A" w14:textId="77777777" w:rsidR="009D1F83" w:rsidRDefault="00452E53">
      <w:pPr>
        <w:spacing w:line="360" w:lineRule="auto"/>
        <w:jc w:val="both"/>
        <w:rPr>
          <w:b/>
          <w:sz w:val="24"/>
          <w:szCs w:val="24"/>
          <w:u w:val="single"/>
        </w:rPr>
      </w:pPr>
      <w:r>
        <w:rPr>
          <w:b/>
          <w:sz w:val="24"/>
          <w:szCs w:val="24"/>
          <w:u w:val="single"/>
        </w:rPr>
        <w:t>Strengths</w:t>
      </w:r>
    </w:p>
    <w:p w14:paraId="3E67720D" w14:textId="77777777" w:rsidR="009D1F83" w:rsidRDefault="00452E53">
      <w:pPr>
        <w:spacing w:line="360" w:lineRule="auto"/>
        <w:jc w:val="both"/>
        <w:rPr>
          <w:sz w:val="24"/>
          <w:szCs w:val="24"/>
        </w:rPr>
      </w:pPr>
      <w:r>
        <w:rPr>
          <w:sz w:val="24"/>
          <w:szCs w:val="24"/>
        </w:rPr>
        <w:t xml:space="preserve">Firstly, a stronger cash flow to net income ratio during the initial few years from 2020 up till 2022, especially by 24.95% showed a healthy cash conversion capability for General Electronics (Setiany, 2021). </w:t>
      </w:r>
      <w:r>
        <w:rPr>
          <w:b/>
          <w:i/>
          <w:sz w:val="24"/>
          <w:szCs w:val="24"/>
        </w:rPr>
        <w:t>[Referred to Appendix 1]</w:t>
      </w:r>
    </w:p>
    <w:p w14:paraId="218F3238" w14:textId="77777777" w:rsidR="009D1F83" w:rsidRDefault="00452E53">
      <w:pPr>
        <w:spacing w:line="360" w:lineRule="auto"/>
        <w:jc w:val="both"/>
        <w:rPr>
          <w:sz w:val="24"/>
          <w:szCs w:val="24"/>
        </w:rPr>
      </w:pPr>
      <w:r>
        <w:rPr>
          <w:sz w:val="24"/>
          <w:szCs w:val="24"/>
        </w:rPr>
        <w:t>Secondly, the first few years from 2020 to 2022, the organisation also showed their ability to generate a stronger cash inflow before its steep decline (Setiany, 2021).</w:t>
      </w:r>
    </w:p>
    <w:p w14:paraId="0D864B7D" w14:textId="77777777" w:rsidR="009D1F83" w:rsidRDefault="00452E53">
      <w:pPr>
        <w:spacing w:line="360" w:lineRule="auto"/>
        <w:jc w:val="both"/>
        <w:rPr>
          <w:b/>
          <w:sz w:val="24"/>
          <w:szCs w:val="24"/>
          <w:u w:val="single"/>
        </w:rPr>
      </w:pPr>
      <w:r>
        <w:rPr>
          <w:b/>
          <w:sz w:val="24"/>
          <w:szCs w:val="24"/>
          <w:u w:val="single"/>
        </w:rPr>
        <w:t>Weaknesses</w:t>
      </w:r>
    </w:p>
    <w:p w14:paraId="740AB646" w14:textId="77777777" w:rsidR="009D1F83" w:rsidRDefault="00452E53">
      <w:pPr>
        <w:spacing w:line="360" w:lineRule="auto"/>
        <w:jc w:val="both"/>
        <w:rPr>
          <w:sz w:val="24"/>
          <w:szCs w:val="24"/>
        </w:rPr>
      </w:pPr>
      <w:r>
        <w:rPr>
          <w:sz w:val="24"/>
          <w:szCs w:val="24"/>
        </w:rPr>
        <w:t>Firstly, a negative cash flow ratio through cash flow coverage and cash flow to net income (a decline of 0.46 and 2.52, respectively, in the five years), showed how the company was facing cash generating issues from 2023 onwards up till the current time period (Nukala and Rao, 2021).</w:t>
      </w:r>
    </w:p>
    <w:p w14:paraId="59FFA0A7" w14:textId="77777777" w:rsidR="009D1F83" w:rsidRDefault="00452E53">
      <w:pPr>
        <w:spacing w:line="360" w:lineRule="auto"/>
        <w:jc w:val="both"/>
        <w:rPr>
          <w:sz w:val="24"/>
          <w:szCs w:val="24"/>
        </w:rPr>
      </w:pPr>
      <w:r>
        <w:rPr>
          <w:sz w:val="24"/>
          <w:szCs w:val="24"/>
        </w:rPr>
        <w:t xml:space="preserve">Secondly, General Electronics are also likely facing issues to clear their debts and is unable to solve their immediate cash flow-related solvency risks (Setiany, 2021). </w:t>
      </w:r>
    </w:p>
    <w:p w14:paraId="3EC2FF02" w14:textId="77777777" w:rsidR="009D1F83" w:rsidRDefault="00452E53" w:rsidP="006E7380">
      <w:pPr>
        <w:pStyle w:val="Heading2"/>
      </w:pPr>
      <w:bookmarkStart w:id="5" w:name="_Toc212203731"/>
      <w:r>
        <w:t>2.4 Assessing default risks using corporate failure prediction models like Altman Z-score</w:t>
      </w:r>
      <w:bookmarkEnd w:id="5"/>
    </w:p>
    <w:p w14:paraId="59BDCF7C" w14:textId="77777777" w:rsidR="006E7380" w:rsidRDefault="00452E53">
      <w:pPr>
        <w:spacing w:line="360" w:lineRule="auto"/>
        <w:jc w:val="both"/>
        <w:rPr>
          <w:sz w:val="24"/>
          <w:szCs w:val="24"/>
        </w:rPr>
      </w:pPr>
      <w:r>
        <w:rPr>
          <w:sz w:val="24"/>
          <w:szCs w:val="24"/>
        </w:rPr>
        <w:t>Based on the above financial classifications, especially the ratio trends from the year 2020 to 2024 for General Electronics. The company exhibited a higher degree of default risk, which could be recognised through Edward Altman's Z-score prediction model. This can be distinguished from the findings below (Divekar and Sukhari, 2021).</w:t>
      </w:r>
    </w:p>
    <w:p w14:paraId="61CDA721" w14:textId="77777777" w:rsidR="006E7380" w:rsidRDefault="00452E53">
      <w:pPr>
        <w:spacing w:line="360" w:lineRule="auto"/>
        <w:jc w:val="both"/>
        <w:rPr>
          <w:sz w:val="24"/>
          <w:szCs w:val="24"/>
        </w:rPr>
      </w:pPr>
      <w:r>
        <w:rPr>
          <w:sz w:val="24"/>
          <w:szCs w:val="24"/>
        </w:rPr>
        <w:t>The formula for Altman's z-score model is as follows: Z = 1.2X1 + 1.4X2 + 3.3X3 + 0.6X4 + 1.0X</w:t>
      </w:r>
      <m:oMath>
        <m:r>
          <w:rPr>
            <w:rFonts w:ascii="Cambria Math" w:hAnsi="Cambria Math"/>
            <w:sz w:val="24"/>
            <w:szCs w:val="24"/>
          </w:rPr>
          <m:t>5</m:t>
        </m:r>
      </m:oMath>
    </w:p>
    <w:p w14:paraId="29918A16" w14:textId="77777777" w:rsidR="009D1F83" w:rsidRDefault="00452E53">
      <w:pPr>
        <w:spacing w:line="360" w:lineRule="auto"/>
        <w:jc w:val="both"/>
        <w:rPr>
          <w:sz w:val="24"/>
          <w:szCs w:val="24"/>
        </w:rPr>
      </w:pPr>
      <w:r>
        <w:rPr>
          <w:sz w:val="24"/>
          <w:szCs w:val="24"/>
        </w:rPr>
        <w:t>Here, X1 refers to the relationship between Working capital and Total Assets, which is associated with liquidity ratio consideration for General Electronics (Cındık and Armutlulu,  2021).</w:t>
      </w:r>
    </w:p>
    <w:p w14:paraId="4F6B3373" w14:textId="77777777" w:rsidR="009D1F83" w:rsidRDefault="00452E53">
      <w:pPr>
        <w:spacing w:line="360" w:lineRule="auto"/>
        <w:jc w:val="both"/>
        <w:rPr>
          <w:sz w:val="24"/>
          <w:szCs w:val="24"/>
        </w:rPr>
      </w:pPr>
      <w:r>
        <w:rPr>
          <w:sz w:val="24"/>
          <w:szCs w:val="24"/>
        </w:rPr>
        <w:t>Here, X2 refers to the relationship shared by retained earnings and Total Assets, which is aligned to profitability ratio trends for General Electronics (Cındık and Armutlulu,  2021).</w:t>
      </w:r>
    </w:p>
    <w:p w14:paraId="5EA1AB3A" w14:textId="77777777" w:rsidR="009D1F83" w:rsidRDefault="00452E53">
      <w:pPr>
        <w:spacing w:line="360" w:lineRule="auto"/>
        <w:jc w:val="both"/>
        <w:rPr>
          <w:sz w:val="24"/>
          <w:szCs w:val="24"/>
        </w:rPr>
      </w:pPr>
      <w:r>
        <w:rPr>
          <w:sz w:val="24"/>
          <w:szCs w:val="24"/>
        </w:rPr>
        <w:lastRenderedPageBreak/>
        <w:t>Here, X3 refers to the relationship between earnings before interest and taxes and Total assets, which is linked with the operating profit-making capabilities of the company (Braunsberger and Aschauer, 2025).</w:t>
      </w:r>
    </w:p>
    <w:p w14:paraId="7B32B1D9" w14:textId="77777777" w:rsidR="009D1F83" w:rsidRDefault="00452E53">
      <w:pPr>
        <w:spacing w:line="360" w:lineRule="auto"/>
        <w:jc w:val="both"/>
        <w:rPr>
          <w:sz w:val="24"/>
          <w:szCs w:val="24"/>
        </w:rPr>
      </w:pPr>
      <w:r>
        <w:rPr>
          <w:sz w:val="24"/>
          <w:szCs w:val="24"/>
        </w:rPr>
        <w:t>Here, X4 refers to the relationship between the market value of equity and total liabilities, showing an inverse of gearing or leverage ratio compatibility for the organisation, General Electronics (Braunsberger and Aschauer, 2025).</w:t>
      </w:r>
    </w:p>
    <w:p w14:paraId="62DDD39B" w14:textId="77777777" w:rsidR="009D1F83" w:rsidRDefault="00452E53">
      <w:pPr>
        <w:spacing w:line="360" w:lineRule="auto"/>
        <w:jc w:val="both"/>
        <w:rPr>
          <w:sz w:val="24"/>
          <w:szCs w:val="24"/>
        </w:rPr>
      </w:pPr>
      <w:r>
        <w:rPr>
          <w:sz w:val="24"/>
          <w:szCs w:val="24"/>
        </w:rPr>
        <w:t xml:space="preserve">Here, X5 shows the relationship between net sales and total assets, pointing to the link between General Electronics and its turnover management and investment potential (Elia et al., 2021). </w:t>
      </w:r>
    </w:p>
    <w:p w14:paraId="730BD239" w14:textId="77777777" w:rsidR="009D1F83" w:rsidRDefault="00452E53">
      <w:pPr>
        <w:spacing w:line="360" w:lineRule="auto"/>
        <w:jc w:val="both"/>
        <w:rPr>
          <w:sz w:val="24"/>
          <w:szCs w:val="24"/>
        </w:rPr>
      </w:pPr>
      <w:r>
        <w:rPr>
          <w:sz w:val="24"/>
          <w:szCs w:val="24"/>
        </w:rPr>
        <w:t xml:space="preserve">The risk zones within the model are when Z&gt;2.99 is considered a safe zone, 1.81&lt;Z&lt;2.99 is considered a grey zone, and Z&lt;1.81 is considered a highly dangerous zone (Braunsberger and Aschauer, 2025). </w:t>
      </w:r>
    </w:p>
    <w:p w14:paraId="278CCAA5" w14:textId="77777777" w:rsidR="009D1F83" w:rsidRDefault="00452E53">
      <w:pPr>
        <w:spacing w:line="360" w:lineRule="auto"/>
        <w:jc w:val="both"/>
        <w:rPr>
          <w:sz w:val="24"/>
          <w:szCs w:val="24"/>
        </w:rPr>
      </w:pPr>
      <w:r>
        <w:rPr>
          <w:b/>
          <w:sz w:val="24"/>
          <w:szCs w:val="24"/>
        </w:rPr>
        <w:t>Year 2020:</w:t>
      </w:r>
      <w:r>
        <w:rPr>
          <w:sz w:val="24"/>
          <w:szCs w:val="24"/>
        </w:rPr>
        <w:t xml:space="preserve"> Now, considering the ratio results, General Electronics maintains adequate liquidity during 2020 at an average of 1.82, but relying on a moderate debt dependence from its creditors and also maintaining a stable cash flow balance courtesy of better profits (Alcalde et al., 2022). This shows that the company's overall position during 2020 is in the grey zone (Z&gt;2.99), with improvements needed to reduce debt dependence. </w:t>
      </w:r>
    </w:p>
    <w:p w14:paraId="5F46F22F" w14:textId="77777777" w:rsidR="009D1F83" w:rsidRDefault="00452E53">
      <w:pPr>
        <w:spacing w:line="360" w:lineRule="auto"/>
        <w:jc w:val="both"/>
        <w:rPr>
          <w:sz w:val="24"/>
          <w:szCs w:val="24"/>
        </w:rPr>
      </w:pPr>
      <w:r>
        <w:rPr>
          <w:b/>
          <w:sz w:val="24"/>
          <w:szCs w:val="24"/>
        </w:rPr>
        <w:t xml:space="preserve">Year 2021: </w:t>
      </w:r>
      <w:r>
        <w:rPr>
          <w:sz w:val="24"/>
          <w:szCs w:val="24"/>
        </w:rPr>
        <w:t>The profitability fell during the year, with liquidity also following suit. The debt was also maximised, limiting cash coverage, maintaining potential for the enterprise. This allowed 2021 to fall under the grey-zone (Z&gt;2.99) within Altman's z-model (Alcalde et al., 2022).</w:t>
      </w:r>
    </w:p>
    <w:p w14:paraId="3FC5D189" w14:textId="77777777" w:rsidR="009D1F83" w:rsidRDefault="00452E53">
      <w:pPr>
        <w:spacing w:line="360" w:lineRule="auto"/>
        <w:jc w:val="both"/>
        <w:rPr>
          <w:sz w:val="24"/>
          <w:szCs w:val="24"/>
        </w:rPr>
      </w:pPr>
      <w:r>
        <w:rPr>
          <w:b/>
          <w:sz w:val="24"/>
          <w:szCs w:val="24"/>
        </w:rPr>
        <w:t xml:space="preserve">Year 2022: </w:t>
      </w:r>
      <w:r>
        <w:rPr>
          <w:sz w:val="24"/>
          <w:szCs w:val="24"/>
        </w:rPr>
        <w:t xml:space="preserve">During the year, the profit margins remained at a minimal level, with leverage being high for the company. Their liquidity slumped marginally, giving rise to problems of cash flow generation. While the gearing remained at 87.8% demonstrating that the firm was at a low-grey zone (1.81&lt;Z&lt;2.99) under Altman's z-score model (Elia et al., 2021). </w:t>
      </w:r>
    </w:p>
    <w:p w14:paraId="23045428" w14:textId="77777777" w:rsidR="009D1F83" w:rsidRDefault="00452E53">
      <w:pPr>
        <w:spacing w:line="360" w:lineRule="auto"/>
        <w:jc w:val="both"/>
        <w:rPr>
          <w:sz w:val="24"/>
          <w:szCs w:val="24"/>
        </w:rPr>
      </w:pPr>
      <w:r>
        <w:rPr>
          <w:b/>
          <w:sz w:val="24"/>
          <w:szCs w:val="24"/>
        </w:rPr>
        <w:t>Year 2023:</w:t>
      </w:r>
      <w:r>
        <w:rPr>
          <w:sz w:val="24"/>
          <w:szCs w:val="24"/>
        </w:rPr>
        <w:t xml:space="preserve"> The company General Electronics registered a net loss during the year. With EBIT or earnings before interest and taxes being pushed down. The year also saw almost 99% gearing with negative levels in cash flow values (Elia et al., 2021). That allowed the year to fall under the distress zone within Altman's z-score model, or (Z&lt;1.81).</w:t>
      </w:r>
    </w:p>
    <w:p w14:paraId="781D3EC5" w14:textId="77777777" w:rsidR="009D1F83" w:rsidRDefault="00452E53">
      <w:pPr>
        <w:spacing w:line="360" w:lineRule="auto"/>
        <w:jc w:val="both"/>
        <w:rPr>
          <w:sz w:val="24"/>
          <w:szCs w:val="24"/>
        </w:rPr>
      </w:pPr>
      <w:r>
        <w:rPr>
          <w:b/>
          <w:sz w:val="24"/>
          <w:szCs w:val="24"/>
        </w:rPr>
        <w:t xml:space="preserve">Year 2024: </w:t>
      </w:r>
      <w:r>
        <w:rPr>
          <w:sz w:val="24"/>
          <w:szCs w:val="24"/>
        </w:rPr>
        <w:t xml:space="preserve">The organisation continued to experience losses, leading to poor return on equity and asset levels, with an over-leverage of 111% and increasing cash-related </w:t>
      </w:r>
      <w:r>
        <w:rPr>
          <w:sz w:val="24"/>
          <w:szCs w:val="24"/>
        </w:rPr>
        <w:lastRenderedPageBreak/>
        <w:t>shortfalls. This allowed the year to fall under the distress zone in Altman's z-score model again, or (Z&lt;1.81) (Divekar and Sukhari, 2021).</w:t>
      </w:r>
    </w:p>
    <w:p w14:paraId="14FE0D45" w14:textId="77777777" w:rsidR="009D1F83" w:rsidRDefault="00452E53" w:rsidP="006E7380">
      <w:pPr>
        <w:pStyle w:val="Heading1"/>
      </w:pPr>
      <w:bookmarkStart w:id="6" w:name="_Toc212203732"/>
      <w:r>
        <w:t>3.0 Working Capital Management Analysis</w:t>
      </w:r>
      <w:bookmarkEnd w:id="6"/>
      <w:r>
        <w:t xml:space="preserve"> </w:t>
      </w:r>
    </w:p>
    <w:p w14:paraId="714FD3B9" w14:textId="77777777" w:rsidR="009D1F83" w:rsidRDefault="00452E53" w:rsidP="006E7380">
      <w:pPr>
        <w:pStyle w:val="Heading2"/>
      </w:pPr>
      <w:bookmarkStart w:id="7" w:name="_Toc212203733"/>
      <w:r>
        <w:t>3.1 Assessing the cash operating cycle</w:t>
      </w:r>
      <w:bookmarkEnd w:id="7"/>
    </w:p>
    <w:p w14:paraId="1E7A613C" w14:textId="77777777" w:rsidR="009D1F83" w:rsidRDefault="00452E53">
      <w:pPr>
        <w:spacing w:line="360" w:lineRule="auto"/>
        <w:jc w:val="both"/>
        <w:rPr>
          <w:sz w:val="24"/>
          <w:szCs w:val="24"/>
        </w:rPr>
      </w:pPr>
      <w:r>
        <w:rPr>
          <w:sz w:val="24"/>
          <w:szCs w:val="24"/>
        </w:rPr>
        <w:t>Cash operating cycle mainly consists of inventory days, receivable days, and after excluding payable days, which gives the basis to the following formula.</w:t>
      </w:r>
    </w:p>
    <w:p w14:paraId="57F10C8B" w14:textId="77777777" w:rsidR="009D1F83" w:rsidRDefault="00452E53">
      <w:pPr>
        <w:spacing w:line="360" w:lineRule="auto"/>
        <w:jc w:val="both"/>
        <w:rPr>
          <w:sz w:val="24"/>
          <w:szCs w:val="24"/>
        </w:rPr>
      </w:pPr>
      <w:r>
        <w:rPr>
          <w:sz w:val="24"/>
          <w:szCs w:val="24"/>
        </w:rPr>
        <w:t xml:space="preserve">COC (Cash Operating Cycle) = Inventory Days + Receivable Days-Payable Days </w:t>
      </w:r>
    </w:p>
    <w:p w14:paraId="557B10DA" w14:textId="77777777" w:rsidR="009D1F83" w:rsidRDefault="009D1F83">
      <w:pPr>
        <w:spacing w:line="360" w:lineRule="auto"/>
        <w:jc w:val="both"/>
        <w:rPr>
          <w:sz w:val="24"/>
          <w:szCs w:val="24"/>
        </w:rPr>
      </w:pPr>
    </w:p>
    <w:tbl>
      <w:tblPr>
        <w:tblStyle w:val="a"/>
        <w:tblW w:w="5000" w:type="pct"/>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ook w:val="0600" w:firstRow="0" w:lastRow="0" w:firstColumn="0" w:lastColumn="0" w:noHBand="1" w:noVBand="1"/>
      </w:tblPr>
      <w:tblGrid>
        <w:gridCol w:w="808"/>
        <w:gridCol w:w="2209"/>
        <w:gridCol w:w="2209"/>
        <w:gridCol w:w="2085"/>
        <w:gridCol w:w="2029"/>
      </w:tblGrid>
      <w:tr w:rsidR="00592CFC" w14:paraId="37F83815" w14:textId="77777777" w:rsidTr="006E7380">
        <w:tc>
          <w:tcPr>
            <w:tcW w:w="431" w:type="pct"/>
            <w:tcMar>
              <w:top w:w="100" w:type="dxa"/>
              <w:left w:w="100" w:type="dxa"/>
              <w:bottom w:w="100" w:type="dxa"/>
              <w:right w:w="100" w:type="dxa"/>
            </w:tcMar>
          </w:tcPr>
          <w:p w14:paraId="6D426BA9" w14:textId="77777777" w:rsidR="009D1F83" w:rsidRDefault="00452E53">
            <w:pPr>
              <w:widowControl w:val="0"/>
              <w:pBdr>
                <w:top w:val="nil"/>
                <w:left w:val="nil"/>
                <w:bottom w:val="nil"/>
                <w:right w:val="nil"/>
                <w:between w:val="nil"/>
              </w:pBdr>
              <w:spacing w:line="360" w:lineRule="auto"/>
              <w:rPr>
                <w:b/>
                <w:sz w:val="24"/>
                <w:szCs w:val="24"/>
              </w:rPr>
            </w:pPr>
            <w:r>
              <w:rPr>
                <w:b/>
                <w:sz w:val="24"/>
                <w:szCs w:val="24"/>
              </w:rPr>
              <w:t xml:space="preserve">Years </w:t>
            </w:r>
          </w:p>
        </w:tc>
        <w:tc>
          <w:tcPr>
            <w:tcW w:w="1183" w:type="pct"/>
            <w:tcMar>
              <w:top w:w="100" w:type="dxa"/>
              <w:left w:w="100" w:type="dxa"/>
              <w:bottom w:w="100" w:type="dxa"/>
              <w:right w:w="100" w:type="dxa"/>
            </w:tcMar>
          </w:tcPr>
          <w:p w14:paraId="282924E3" w14:textId="77777777" w:rsidR="009D1F83" w:rsidRDefault="00452E53">
            <w:pPr>
              <w:widowControl w:val="0"/>
              <w:pBdr>
                <w:top w:val="nil"/>
                <w:left w:val="nil"/>
                <w:bottom w:val="nil"/>
                <w:right w:val="nil"/>
                <w:between w:val="nil"/>
              </w:pBdr>
              <w:spacing w:line="360" w:lineRule="auto"/>
              <w:rPr>
                <w:b/>
                <w:sz w:val="24"/>
                <w:szCs w:val="24"/>
              </w:rPr>
            </w:pPr>
            <w:r>
              <w:rPr>
                <w:b/>
                <w:sz w:val="24"/>
                <w:szCs w:val="24"/>
              </w:rPr>
              <w:t>Inventory Days (Average Inventory/ Cost of Goods Sold*365)</w:t>
            </w:r>
          </w:p>
        </w:tc>
        <w:tc>
          <w:tcPr>
            <w:tcW w:w="1183" w:type="pct"/>
            <w:tcMar>
              <w:top w:w="100" w:type="dxa"/>
              <w:left w:w="100" w:type="dxa"/>
              <w:bottom w:w="100" w:type="dxa"/>
              <w:right w:w="100" w:type="dxa"/>
            </w:tcMar>
          </w:tcPr>
          <w:p w14:paraId="4D78E0EC" w14:textId="77777777" w:rsidR="009D1F83" w:rsidRDefault="00452E53">
            <w:pPr>
              <w:widowControl w:val="0"/>
              <w:pBdr>
                <w:top w:val="nil"/>
                <w:left w:val="nil"/>
                <w:bottom w:val="nil"/>
                <w:right w:val="nil"/>
                <w:between w:val="nil"/>
              </w:pBdr>
              <w:spacing w:line="360" w:lineRule="auto"/>
              <w:rPr>
                <w:b/>
                <w:sz w:val="24"/>
                <w:szCs w:val="24"/>
              </w:rPr>
            </w:pPr>
            <w:r>
              <w:rPr>
                <w:b/>
                <w:sz w:val="24"/>
                <w:szCs w:val="24"/>
              </w:rPr>
              <w:t xml:space="preserve">Receivable Days (Average Accounts Receivable/Net Sales*365) </w:t>
            </w:r>
          </w:p>
        </w:tc>
        <w:tc>
          <w:tcPr>
            <w:tcW w:w="1117" w:type="pct"/>
            <w:tcMar>
              <w:top w:w="100" w:type="dxa"/>
              <w:left w:w="100" w:type="dxa"/>
              <w:bottom w:w="100" w:type="dxa"/>
              <w:right w:w="100" w:type="dxa"/>
            </w:tcMar>
          </w:tcPr>
          <w:p w14:paraId="31598A03" w14:textId="77777777" w:rsidR="009D1F83" w:rsidRDefault="00452E53">
            <w:pPr>
              <w:widowControl w:val="0"/>
              <w:pBdr>
                <w:top w:val="nil"/>
                <w:left w:val="nil"/>
                <w:bottom w:val="nil"/>
                <w:right w:val="nil"/>
                <w:between w:val="nil"/>
              </w:pBdr>
              <w:spacing w:line="360" w:lineRule="auto"/>
              <w:rPr>
                <w:b/>
                <w:sz w:val="24"/>
                <w:szCs w:val="24"/>
              </w:rPr>
            </w:pPr>
            <w:r>
              <w:rPr>
                <w:b/>
                <w:sz w:val="24"/>
                <w:szCs w:val="24"/>
              </w:rPr>
              <w:t xml:space="preserve">Payable Days (Average Accounts Payable/ Cost of Goods Sold*365) </w:t>
            </w:r>
          </w:p>
        </w:tc>
        <w:tc>
          <w:tcPr>
            <w:tcW w:w="1086" w:type="pct"/>
            <w:tcMar>
              <w:top w:w="100" w:type="dxa"/>
              <w:left w:w="100" w:type="dxa"/>
              <w:bottom w:w="100" w:type="dxa"/>
              <w:right w:w="100" w:type="dxa"/>
            </w:tcMar>
          </w:tcPr>
          <w:p w14:paraId="53106B7B" w14:textId="77777777" w:rsidR="009D1F83" w:rsidRDefault="00452E53">
            <w:pPr>
              <w:widowControl w:val="0"/>
              <w:pBdr>
                <w:top w:val="nil"/>
                <w:left w:val="nil"/>
                <w:bottom w:val="nil"/>
                <w:right w:val="nil"/>
                <w:between w:val="nil"/>
              </w:pBdr>
              <w:spacing w:line="360" w:lineRule="auto"/>
              <w:rPr>
                <w:b/>
                <w:sz w:val="24"/>
                <w:szCs w:val="24"/>
              </w:rPr>
            </w:pPr>
            <w:r>
              <w:rPr>
                <w:b/>
                <w:sz w:val="24"/>
                <w:szCs w:val="24"/>
              </w:rPr>
              <w:t>Cash Operating Cycle (Inventory Days+Receivable Days-Payable Days)</w:t>
            </w:r>
          </w:p>
        </w:tc>
      </w:tr>
      <w:tr w:rsidR="00592CFC" w14:paraId="54B3B1F8" w14:textId="77777777" w:rsidTr="006E7380">
        <w:tc>
          <w:tcPr>
            <w:tcW w:w="431" w:type="pct"/>
            <w:tcMar>
              <w:top w:w="100" w:type="dxa"/>
              <w:left w:w="100" w:type="dxa"/>
              <w:bottom w:w="100" w:type="dxa"/>
              <w:right w:w="100" w:type="dxa"/>
            </w:tcMar>
          </w:tcPr>
          <w:p w14:paraId="488C54C5" w14:textId="77777777" w:rsidR="009D1F83" w:rsidRDefault="00452E53">
            <w:pPr>
              <w:widowControl w:val="0"/>
              <w:pBdr>
                <w:top w:val="nil"/>
                <w:left w:val="nil"/>
                <w:bottom w:val="nil"/>
                <w:right w:val="nil"/>
                <w:between w:val="nil"/>
              </w:pBdr>
              <w:spacing w:line="360" w:lineRule="auto"/>
              <w:rPr>
                <w:sz w:val="24"/>
                <w:szCs w:val="24"/>
              </w:rPr>
            </w:pPr>
            <w:r>
              <w:rPr>
                <w:sz w:val="24"/>
                <w:szCs w:val="24"/>
              </w:rPr>
              <w:t>2020</w:t>
            </w:r>
          </w:p>
        </w:tc>
        <w:tc>
          <w:tcPr>
            <w:tcW w:w="1183" w:type="pct"/>
            <w:tcMar>
              <w:top w:w="100" w:type="dxa"/>
              <w:left w:w="100" w:type="dxa"/>
              <w:bottom w:w="100" w:type="dxa"/>
              <w:right w:w="100" w:type="dxa"/>
            </w:tcMar>
          </w:tcPr>
          <w:p w14:paraId="4A9CECEC" w14:textId="77777777" w:rsidR="009D1F83" w:rsidRDefault="00452E53">
            <w:pPr>
              <w:widowControl w:val="0"/>
              <w:pBdr>
                <w:top w:val="nil"/>
                <w:left w:val="nil"/>
                <w:bottom w:val="nil"/>
                <w:right w:val="nil"/>
                <w:between w:val="nil"/>
              </w:pBdr>
              <w:spacing w:line="360" w:lineRule="auto"/>
              <w:rPr>
                <w:sz w:val="24"/>
                <w:szCs w:val="24"/>
              </w:rPr>
            </w:pPr>
            <w:r>
              <w:rPr>
                <w:sz w:val="24"/>
                <w:szCs w:val="24"/>
              </w:rPr>
              <w:t>120430/438424*365 days=100 days</w:t>
            </w:r>
          </w:p>
        </w:tc>
        <w:tc>
          <w:tcPr>
            <w:tcW w:w="1183" w:type="pct"/>
            <w:tcMar>
              <w:top w:w="100" w:type="dxa"/>
              <w:left w:w="100" w:type="dxa"/>
              <w:bottom w:w="100" w:type="dxa"/>
              <w:right w:w="100" w:type="dxa"/>
            </w:tcMar>
          </w:tcPr>
          <w:p w14:paraId="0139EE08" w14:textId="77777777" w:rsidR="009D1F83" w:rsidRDefault="00452E53">
            <w:pPr>
              <w:widowControl w:val="0"/>
              <w:pBdr>
                <w:top w:val="nil"/>
                <w:left w:val="nil"/>
                <w:bottom w:val="nil"/>
                <w:right w:val="nil"/>
                <w:between w:val="nil"/>
              </w:pBdr>
              <w:spacing w:line="360" w:lineRule="auto"/>
              <w:rPr>
                <w:sz w:val="24"/>
                <w:szCs w:val="24"/>
              </w:rPr>
            </w:pPr>
            <w:r>
              <w:rPr>
                <w:sz w:val="24"/>
                <w:szCs w:val="24"/>
              </w:rPr>
              <w:t>129433/614680*365 days=77 days</w:t>
            </w:r>
          </w:p>
        </w:tc>
        <w:tc>
          <w:tcPr>
            <w:tcW w:w="1117" w:type="pct"/>
            <w:tcMar>
              <w:top w:w="100" w:type="dxa"/>
              <w:left w:w="100" w:type="dxa"/>
              <w:bottom w:w="100" w:type="dxa"/>
              <w:right w:w="100" w:type="dxa"/>
            </w:tcMar>
          </w:tcPr>
          <w:p w14:paraId="266D69A5" w14:textId="77777777" w:rsidR="009D1F83" w:rsidRDefault="00452E53">
            <w:pPr>
              <w:widowControl w:val="0"/>
              <w:pBdr>
                <w:top w:val="nil"/>
                <w:left w:val="nil"/>
                <w:bottom w:val="nil"/>
                <w:right w:val="nil"/>
                <w:between w:val="nil"/>
              </w:pBdr>
              <w:spacing w:line="360" w:lineRule="auto"/>
              <w:rPr>
                <w:sz w:val="24"/>
                <w:szCs w:val="24"/>
              </w:rPr>
            </w:pPr>
            <w:r>
              <w:rPr>
                <w:sz w:val="24"/>
                <w:szCs w:val="24"/>
              </w:rPr>
              <w:t>83229/438424*365 days=69 days</w:t>
            </w:r>
          </w:p>
        </w:tc>
        <w:tc>
          <w:tcPr>
            <w:tcW w:w="1086" w:type="pct"/>
            <w:tcMar>
              <w:top w:w="100" w:type="dxa"/>
              <w:left w:w="100" w:type="dxa"/>
              <w:bottom w:w="100" w:type="dxa"/>
              <w:right w:w="100" w:type="dxa"/>
            </w:tcMar>
          </w:tcPr>
          <w:p w14:paraId="4E7AB662" w14:textId="77777777" w:rsidR="009D1F83" w:rsidRDefault="00452E53">
            <w:pPr>
              <w:widowControl w:val="0"/>
              <w:pBdr>
                <w:top w:val="nil"/>
                <w:left w:val="nil"/>
                <w:bottom w:val="nil"/>
                <w:right w:val="nil"/>
                <w:between w:val="nil"/>
              </w:pBdr>
              <w:spacing w:line="360" w:lineRule="auto"/>
              <w:rPr>
                <w:sz w:val="24"/>
                <w:szCs w:val="24"/>
              </w:rPr>
            </w:pPr>
            <w:r>
              <w:rPr>
                <w:sz w:val="24"/>
                <w:szCs w:val="24"/>
              </w:rPr>
              <w:t>100+77-69=108 days</w:t>
            </w:r>
          </w:p>
        </w:tc>
      </w:tr>
      <w:tr w:rsidR="00592CFC" w14:paraId="5BD26666" w14:textId="77777777" w:rsidTr="006E7380">
        <w:trPr>
          <w:trHeight w:val="1286"/>
        </w:trPr>
        <w:tc>
          <w:tcPr>
            <w:tcW w:w="431" w:type="pct"/>
            <w:tcMar>
              <w:top w:w="100" w:type="dxa"/>
              <w:left w:w="100" w:type="dxa"/>
              <w:bottom w:w="100" w:type="dxa"/>
              <w:right w:w="100" w:type="dxa"/>
            </w:tcMar>
          </w:tcPr>
          <w:p w14:paraId="0CBF4985" w14:textId="77777777" w:rsidR="009D1F83" w:rsidRDefault="00452E53">
            <w:pPr>
              <w:widowControl w:val="0"/>
              <w:pBdr>
                <w:top w:val="nil"/>
                <w:left w:val="nil"/>
                <w:bottom w:val="nil"/>
                <w:right w:val="nil"/>
                <w:between w:val="nil"/>
              </w:pBdr>
              <w:spacing w:line="360" w:lineRule="auto"/>
              <w:rPr>
                <w:sz w:val="24"/>
                <w:szCs w:val="24"/>
              </w:rPr>
            </w:pPr>
            <w:r>
              <w:rPr>
                <w:sz w:val="24"/>
                <w:szCs w:val="24"/>
              </w:rPr>
              <w:t>2021</w:t>
            </w:r>
          </w:p>
        </w:tc>
        <w:tc>
          <w:tcPr>
            <w:tcW w:w="1183" w:type="pct"/>
            <w:tcMar>
              <w:top w:w="100" w:type="dxa"/>
              <w:left w:w="100" w:type="dxa"/>
              <w:bottom w:w="100" w:type="dxa"/>
              <w:right w:w="100" w:type="dxa"/>
            </w:tcMar>
          </w:tcPr>
          <w:p w14:paraId="21741F4D" w14:textId="77777777" w:rsidR="009D1F83" w:rsidRDefault="00452E53">
            <w:pPr>
              <w:widowControl w:val="0"/>
              <w:spacing w:line="360" w:lineRule="auto"/>
              <w:rPr>
                <w:sz w:val="24"/>
                <w:szCs w:val="24"/>
              </w:rPr>
            </w:pPr>
            <w:r>
              <w:rPr>
                <w:sz w:val="24"/>
                <w:szCs w:val="24"/>
              </w:rPr>
              <w:t>127,450/ 428,586*365 = 109 days</w:t>
            </w:r>
          </w:p>
        </w:tc>
        <w:tc>
          <w:tcPr>
            <w:tcW w:w="1183" w:type="pct"/>
            <w:tcMar>
              <w:top w:w="100" w:type="dxa"/>
              <w:left w:w="100" w:type="dxa"/>
              <w:bottom w:w="100" w:type="dxa"/>
              <w:right w:w="100" w:type="dxa"/>
            </w:tcMar>
          </w:tcPr>
          <w:p w14:paraId="7EE19859" w14:textId="77777777" w:rsidR="009D1F83" w:rsidRDefault="00452E53">
            <w:pPr>
              <w:widowControl w:val="0"/>
              <w:pBdr>
                <w:top w:val="nil"/>
                <w:left w:val="nil"/>
                <w:bottom w:val="nil"/>
                <w:right w:val="nil"/>
                <w:between w:val="nil"/>
              </w:pBdr>
              <w:spacing w:line="360" w:lineRule="auto"/>
              <w:rPr>
                <w:sz w:val="24"/>
                <w:szCs w:val="24"/>
              </w:rPr>
            </w:pPr>
            <w:r>
              <w:rPr>
                <w:sz w:val="24"/>
                <w:szCs w:val="24"/>
              </w:rPr>
              <w:t>129,324/ 601,602*365= 78 days</w:t>
            </w:r>
          </w:p>
        </w:tc>
        <w:tc>
          <w:tcPr>
            <w:tcW w:w="1117" w:type="pct"/>
            <w:tcMar>
              <w:top w:w="100" w:type="dxa"/>
              <w:left w:w="100" w:type="dxa"/>
              <w:bottom w:w="100" w:type="dxa"/>
              <w:right w:w="100" w:type="dxa"/>
            </w:tcMar>
          </w:tcPr>
          <w:p w14:paraId="2F9E8432" w14:textId="77777777" w:rsidR="009D1F83" w:rsidRDefault="00452E53">
            <w:pPr>
              <w:widowControl w:val="0"/>
              <w:pBdr>
                <w:top w:val="nil"/>
                <w:left w:val="nil"/>
                <w:bottom w:val="nil"/>
                <w:right w:val="nil"/>
                <w:between w:val="nil"/>
              </w:pBdr>
              <w:spacing w:line="360" w:lineRule="auto"/>
              <w:rPr>
                <w:sz w:val="24"/>
                <w:szCs w:val="24"/>
              </w:rPr>
            </w:pPr>
            <w:r>
              <w:rPr>
                <w:sz w:val="24"/>
                <w:szCs w:val="24"/>
              </w:rPr>
              <w:t>87968/ 428,586*365 = 75 days</w:t>
            </w:r>
          </w:p>
        </w:tc>
        <w:tc>
          <w:tcPr>
            <w:tcW w:w="1086" w:type="pct"/>
            <w:tcMar>
              <w:top w:w="100" w:type="dxa"/>
              <w:left w:w="100" w:type="dxa"/>
              <w:bottom w:w="100" w:type="dxa"/>
              <w:right w:w="100" w:type="dxa"/>
            </w:tcMar>
          </w:tcPr>
          <w:p w14:paraId="6F42415C" w14:textId="77777777" w:rsidR="009D1F83" w:rsidRDefault="00452E53">
            <w:pPr>
              <w:widowControl w:val="0"/>
              <w:pBdr>
                <w:top w:val="nil"/>
                <w:left w:val="nil"/>
                <w:bottom w:val="nil"/>
                <w:right w:val="nil"/>
                <w:between w:val="nil"/>
              </w:pBdr>
              <w:spacing w:line="360" w:lineRule="auto"/>
              <w:rPr>
                <w:sz w:val="24"/>
                <w:szCs w:val="24"/>
              </w:rPr>
            </w:pPr>
            <w:r>
              <w:rPr>
                <w:sz w:val="24"/>
                <w:szCs w:val="24"/>
              </w:rPr>
              <w:t>109+78-75=112 days</w:t>
            </w:r>
          </w:p>
        </w:tc>
      </w:tr>
      <w:tr w:rsidR="00592CFC" w14:paraId="76A2CD67" w14:textId="77777777" w:rsidTr="006E7380">
        <w:tc>
          <w:tcPr>
            <w:tcW w:w="431" w:type="pct"/>
            <w:tcMar>
              <w:top w:w="100" w:type="dxa"/>
              <w:left w:w="100" w:type="dxa"/>
              <w:bottom w:w="100" w:type="dxa"/>
              <w:right w:w="100" w:type="dxa"/>
            </w:tcMar>
          </w:tcPr>
          <w:p w14:paraId="31AF3A30" w14:textId="77777777" w:rsidR="009D1F83" w:rsidRDefault="00452E53">
            <w:pPr>
              <w:widowControl w:val="0"/>
              <w:pBdr>
                <w:top w:val="nil"/>
                <w:left w:val="nil"/>
                <w:bottom w:val="nil"/>
                <w:right w:val="nil"/>
                <w:between w:val="nil"/>
              </w:pBdr>
              <w:spacing w:line="360" w:lineRule="auto"/>
              <w:rPr>
                <w:sz w:val="24"/>
                <w:szCs w:val="24"/>
              </w:rPr>
            </w:pPr>
            <w:r>
              <w:rPr>
                <w:sz w:val="24"/>
                <w:szCs w:val="24"/>
              </w:rPr>
              <w:t>2022</w:t>
            </w:r>
          </w:p>
        </w:tc>
        <w:tc>
          <w:tcPr>
            <w:tcW w:w="1183" w:type="pct"/>
            <w:tcMar>
              <w:top w:w="100" w:type="dxa"/>
              <w:left w:w="100" w:type="dxa"/>
              <w:bottom w:w="100" w:type="dxa"/>
              <w:right w:w="100" w:type="dxa"/>
            </w:tcMar>
          </w:tcPr>
          <w:p w14:paraId="2A5802D4" w14:textId="77777777" w:rsidR="009D1F83" w:rsidRDefault="00452E53">
            <w:pPr>
              <w:widowControl w:val="0"/>
              <w:pBdr>
                <w:top w:val="nil"/>
                <w:left w:val="nil"/>
                <w:bottom w:val="nil"/>
                <w:right w:val="nil"/>
                <w:between w:val="nil"/>
              </w:pBdr>
              <w:spacing w:line="360" w:lineRule="auto"/>
              <w:rPr>
                <w:sz w:val="24"/>
                <w:szCs w:val="24"/>
              </w:rPr>
            </w:pPr>
            <w:r>
              <w:rPr>
                <w:sz w:val="24"/>
                <w:szCs w:val="24"/>
              </w:rPr>
              <w:t>137,325/ 390,459*365 = 128 days</w:t>
            </w:r>
          </w:p>
        </w:tc>
        <w:tc>
          <w:tcPr>
            <w:tcW w:w="1183" w:type="pct"/>
            <w:tcMar>
              <w:top w:w="100" w:type="dxa"/>
              <w:left w:w="100" w:type="dxa"/>
              <w:bottom w:w="100" w:type="dxa"/>
              <w:right w:w="100" w:type="dxa"/>
            </w:tcMar>
          </w:tcPr>
          <w:p w14:paraId="0D714C1F" w14:textId="77777777" w:rsidR="009D1F83" w:rsidRDefault="00452E53">
            <w:pPr>
              <w:widowControl w:val="0"/>
              <w:pBdr>
                <w:top w:val="nil"/>
                <w:left w:val="nil"/>
                <w:bottom w:val="nil"/>
                <w:right w:val="nil"/>
                <w:between w:val="nil"/>
              </w:pBdr>
              <w:spacing w:line="360" w:lineRule="auto"/>
              <w:rPr>
                <w:sz w:val="24"/>
                <w:szCs w:val="24"/>
              </w:rPr>
            </w:pPr>
            <w:r>
              <w:rPr>
                <w:sz w:val="24"/>
                <w:szCs w:val="24"/>
              </w:rPr>
              <w:t>(120,781/ 542,751*365= 81 days</w:t>
            </w:r>
          </w:p>
        </w:tc>
        <w:tc>
          <w:tcPr>
            <w:tcW w:w="1117" w:type="pct"/>
            <w:tcMar>
              <w:top w:w="100" w:type="dxa"/>
              <w:left w:w="100" w:type="dxa"/>
              <w:bottom w:w="100" w:type="dxa"/>
              <w:right w:w="100" w:type="dxa"/>
            </w:tcMar>
          </w:tcPr>
          <w:p w14:paraId="4E81F137" w14:textId="77777777" w:rsidR="009D1F83" w:rsidRDefault="00452E53">
            <w:pPr>
              <w:widowControl w:val="0"/>
              <w:pBdr>
                <w:top w:val="nil"/>
                <w:left w:val="nil"/>
                <w:bottom w:val="nil"/>
                <w:right w:val="nil"/>
                <w:between w:val="nil"/>
              </w:pBdr>
              <w:spacing w:line="360" w:lineRule="auto"/>
              <w:rPr>
                <w:sz w:val="24"/>
                <w:szCs w:val="24"/>
              </w:rPr>
            </w:pPr>
            <w:r>
              <w:rPr>
                <w:sz w:val="24"/>
                <w:szCs w:val="24"/>
              </w:rPr>
              <w:t>82,040/ 390,459*365 = 77 days</w:t>
            </w:r>
          </w:p>
        </w:tc>
        <w:tc>
          <w:tcPr>
            <w:tcW w:w="1086" w:type="pct"/>
            <w:tcMar>
              <w:top w:w="100" w:type="dxa"/>
              <w:left w:w="100" w:type="dxa"/>
              <w:bottom w:w="100" w:type="dxa"/>
              <w:right w:w="100" w:type="dxa"/>
            </w:tcMar>
          </w:tcPr>
          <w:p w14:paraId="6A0FAE68" w14:textId="77777777" w:rsidR="009D1F83" w:rsidRDefault="00452E53">
            <w:pPr>
              <w:widowControl w:val="0"/>
              <w:pBdr>
                <w:top w:val="nil"/>
                <w:left w:val="nil"/>
                <w:bottom w:val="nil"/>
                <w:right w:val="nil"/>
                <w:between w:val="nil"/>
              </w:pBdr>
              <w:spacing w:line="360" w:lineRule="auto"/>
              <w:rPr>
                <w:sz w:val="24"/>
                <w:szCs w:val="24"/>
              </w:rPr>
            </w:pPr>
            <w:r>
              <w:rPr>
                <w:sz w:val="24"/>
                <w:szCs w:val="24"/>
              </w:rPr>
              <w:t>128+81-77=132 days</w:t>
            </w:r>
          </w:p>
        </w:tc>
      </w:tr>
      <w:tr w:rsidR="00592CFC" w14:paraId="7A8CCE28" w14:textId="77777777" w:rsidTr="006E7380">
        <w:tc>
          <w:tcPr>
            <w:tcW w:w="431" w:type="pct"/>
            <w:tcMar>
              <w:top w:w="100" w:type="dxa"/>
              <w:left w:w="100" w:type="dxa"/>
              <w:bottom w:w="100" w:type="dxa"/>
              <w:right w:w="100" w:type="dxa"/>
            </w:tcMar>
          </w:tcPr>
          <w:p w14:paraId="5EAEF1C3" w14:textId="77777777" w:rsidR="009D1F83" w:rsidRDefault="00452E53">
            <w:pPr>
              <w:widowControl w:val="0"/>
              <w:pBdr>
                <w:top w:val="nil"/>
                <w:left w:val="nil"/>
                <w:bottom w:val="nil"/>
                <w:right w:val="nil"/>
                <w:between w:val="nil"/>
              </w:pBdr>
              <w:spacing w:line="360" w:lineRule="auto"/>
              <w:rPr>
                <w:sz w:val="24"/>
                <w:szCs w:val="24"/>
              </w:rPr>
            </w:pPr>
            <w:r>
              <w:rPr>
                <w:sz w:val="24"/>
                <w:szCs w:val="24"/>
              </w:rPr>
              <w:t>2023</w:t>
            </w:r>
          </w:p>
        </w:tc>
        <w:tc>
          <w:tcPr>
            <w:tcW w:w="1183" w:type="pct"/>
            <w:tcMar>
              <w:top w:w="100" w:type="dxa"/>
              <w:left w:w="100" w:type="dxa"/>
              <w:bottom w:w="100" w:type="dxa"/>
              <w:right w:w="100" w:type="dxa"/>
            </w:tcMar>
          </w:tcPr>
          <w:p w14:paraId="787D9DBA" w14:textId="77777777" w:rsidR="009D1F83" w:rsidRDefault="00452E53">
            <w:pPr>
              <w:widowControl w:val="0"/>
              <w:pBdr>
                <w:top w:val="nil"/>
                <w:left w:val="nil"/>
                <w:bottom w:val="nil"/>
                <w:right w:val="nil"/>
                <w:between w:val="nil"/>
              </w:pBdr>
              <w:spacing w:line="360" w:lineRule="auto"/>
              <w:rPr>
                <w:sz w:val="24"/>
                <w:szCs w:val="24"/>
              </w:rPr>
            </w:pPr>
            <w:r>
              <w:rPr>
                <w:sz w:val="24"/>
                <w:szCs w:val="24"/>
              </w:rPr>
              <w:t>114,227/ 322,897*365 = 129 days</w:t>
            </w:r>
          </w:p>
        </w:tc>
        <w:tc>
          <w:tcPr>
            <w:tcW w:w="1183" w:type="pct"/>
            <w:tcMar>
              <w:top w:w="100" w:type="dxa"/>
              <w:left w:w="100" w:type="dxa"/>
              <w:bottom w:w="100" w:type="dxa"/>
              <w:right w:w="100" w:type="dxa"/>
            </w:tcMar>
          </w:tcPr>
          <w:p w14:paraId="0618EB40" w14:textId="77777777" w:rsidR="009D1F83" w:rsidRDefault="00452E53">
            <w:pPr>
              <w:widowControl w:val="0"/>
              <w:pBdr>
                <w:top w:val="nil"/>
                <w:left w:val="nil"/>
                <w:bottom w:val="nil"/>
                <w:right w:val="nil"/>
                <w:between w:val="nil"/>
              </w:pBdr>
              <w:spacing w:line="360" w:lineRule="auto"/>
              <w:rPr>
                <w:sz w:val="24"/>
                <w:szCs w:val="24"/>
              </w:rPr>
            </w:pPr>
            <w:r>
              <w:rPr>
                <w:sz w:val="24"/>
                <w:szCs w:val="24"/>
              </w:rPr>
              <w:t>12471/ 420,457*365= 98</w:t>
            </w:r>
          </w:p>
        </w:tc>
        <w:tc>
          <w:tcPr>
            <w:tcW w:w="1117" w:type="pct"/>
            <w:tcMar>
              <w:top w:w="100" w:type="dxa"/>
              <w:left w:w="100" w:type="dxa"/>
              <w:bottom w:w="100" w:type="dxa"/>
              <w:right w:w="100" w:type="dxa"/>
            </w:tcMar>
          </w:tcPr>
          <w:p w14:paraId="0505A156" w14:textId="77777777" w:rsidR="009D1F83" w:rsidRDefault="00452E53">
            <w:pPr>
              <w:widowControl w:val="0"/>
              <w:pBdr>
                <w:top w:val="nil"/>
                <w:left w:val="nil"/>
                <w:bottom w:val="nil"/>
                <w:right w:val="nil"/>
                <w:between w:val="nil"/>
              </w:pBdr>
              <w:spacing w:line="360" w:lineRule="auto"/>
              <w:rPr>
                <w:sz w:val="24"/>
                <w:szCs w:val="24"/>
              </w:rPr>
            </w:pPr>
            <w:r>
              <w:rPr>
                <w:sz w:val="24"/>
                <w:szCs w:val="24"/>
              </w:rPr>
              <w:t>64203/ 322,897*365 = 73 days</w:t>
            </w:r>
          </w:p>
        </w:tc>
        <w:tc>
          <w:tcPr>
            <w:tcW w:w="1086" w:type="pct"/>
            <w:tcMar>
              <w:top w:w="100" w:type="dxa"/>
              <w:left w:w="100" w:type="dxa"/>
              <w:bottom w:w="100" w:type="dxa"/>
              <w:right w:w="100" w:type="dxa"/>
            </w:tcMar>
          </w:tcPr>
          <w:p w14:paraId="440B24BA" w14:textId="77777777" w:rsidR="009D1F83" w:rsidRDefault="00452E53">
            <w:pPr>
              <w:widowControl w:val="0"/>
              <w:pBdr>
                <w:top w:val="nil"/>
                <w:left w:val="nil"/>
                <w:bottom w:val="nil"/>
                <w:right w:val="nil"/>
                <w:between w:val="nil"/>
              </w:pBdr>
              <w:spacing w:line="360" w:lineRule="auto"/>
              <w:rPr>
                <w:sz w:val="24"/>
                <w:szCs w:val="24"/>
              </w:rPr>
            </w:pPr>
            <w:r>
              <w:rPr>
                <w:sz w:val="24"/>
                <w:szCs w:val="24"/>
              </w:rPr>
              <w:t>129+98-73=154 days</w:t>
            </w:r>
          </w:p>
        </w:tc>
      </w:tr>
      <w:tr w:rsidR="00592CFC" w14:paraId="3CD4E90B" w14:textId="77777777" w:rsidTr="006E7380">
        <w:tc>
          <w:tcPr>
            <w:tcW w:w="431" w:type="pct"/>
            <w:tcMar>
              <w:top w:w="100" w:type="dxa"/>
              <w:left w:w="100" w:type="dxa"/>
              <w:bottom w:w="100" w:type="dxa"/>
              <w:right w:w="100" w:type="dxa"/>
            </w:tcMar>
          </w:tcPr>
          <w:p w14:paraId="06CDC587" w14:textId="77777777" w:rsidR="009D1F83" w:rsidRDefault="00452E53">
            <w:pPr>
              <w:widowControl w:val="0"/>
              <w:pBdr>
                <w:top w:val="nil"/>
                <w:left w:val="nil"/>
                <w:bottom w:val="nil"/>
                <w:right w:val="nil"/>
                <w:between w:val="nil"/>
              </w:pBdr>
              <w:spacing w:line="360" w:lineRule="auto"/>
              <w:rPr>
                <w:sz w:val="24"/>
                <w:szCs w:val="24"/>
              </w:rPr>
            </w:pPr>
            <w:r>
              <w:rPr>
                <w:sz w:val="24"/>
                <w:szCs w:val="24"/>
              </w:rPr>
              <w:lastRenderedPageBreak/>
              <w:t>2024</w:t>
            </w:r>
          </w:p>
        </w:tc>
        <w:tc>
          <w:tcPr>
            <w:tcW w:w="1183" w:type="pct"/>
            <w:tcMar>
              <w:top w:w="100" w:type="dxa"/>
              <w:left w:w="100" w:type="dxa"/>
              <w:bottom w:w="100" w:type="dxa"/>
              <w:right w:w="100" w:type="dxa"/>
            </w:tcMar>
          </w:tcPr>
          <w:p w14:paraId="1F1F7C39" w14:textId="77777777" w:rsidR="009D1F83" w:rsidRDefault="00452E53">
            <w:pPr>
              <w:widowControl w:val="0"/>
              <w:pBdr>
                <w:top w:val="nil"/>
                <w:left w:val="nil"/>
                <w:bottom w:val="nil"/>
                <w:right w:val="nil"/>
                <w:between w:val="nil"/>
              </w:pBdr>
              <w:spacing w:line="360" w:lineRule="auto"/>
              <w:rPr>
                <w:sz w:val="24"/>
                <w:szCs w:val="24"/>
              </w:rPr>
            </w:pPr>
            <w:r>
              <w:rPr>
                <w:sz w:val="24"/>
                <w:szCs w:val="24"/>
              </w:rPr>
              <w:t>83814/ 280,885*365 = 109 days</w:t>
            </w:r>
          </w:p>
        </w:tc>
        <w:tc>
          <w:tcPr>
            <w:tcW w:w="1183" w:type="pct"/>
            <w:tcMar>
              <w:top w:w="100" w:type="dxa"/>
              <w:left w:w="100" w:type="dxa"/>
              <w:bottom w:w="100" w:type="dxa"/>
              <w:right w:w="100" w:type="dxa"/>
            </w:tcMar>
          </w:tcPr>
          <w:p w14:paraId="15ED68AE" w14:textId="77777777" w:rsidR="009D1F83" w:rsidRDefault="00452E53">
            <w:pPr>
              <w:widowControl w:val="0"/>
              <w:pBdr>
                <w:top w:val="nil"/>
                <w:left w:val="nil"/>
                <w:bottom w:val="nil"/>
                <w:right w:val="nil"/>
                <w:between w:val="nil"/>
              </w:pBdr>
              <w:spacing w:line="360" w:lineRule="auto"/>
              <w:rPr>
                <w:sz w:val="24"/>
                <w:szCs w:val="24"/>
              </w:rPr>
            </w:pPr>
            <w:r>
              <w:rPr>
                <w:sz w:val="24"/>
                <w:szCs w:val="24"/>
              </w:rPr>
              <w:t>113,389/ 394,879*365=</w:t>
            </w:r>
            <w:r>
              <w:rPr>
                <w:b/>
                <w:sz w:val="24"/>
                <w:szCs w:val="24"/>
              </w:rPr>
              <w:t xml:space="preserve"> </w:t>
            </w:r>
            <w:r>
              <w:rPr>
                <w:sz w:val="24"/>
                <w:szCs w:val="24"/>
              </w:rPr>
              <w:t>105 days</w:t>
            </w:r>
          </w:p>
        </w:tc>
        <w:tc>
          <w:tcPr>
            <w:tcW w:w="1117" w:type="pct"/>
            <w:tcMar>
              <w:top w:w="100" w:type="dxa"/>
              <w:left w:w="100" w:type="dxa"/>
              <w:bottom w:w="100" w:type="dxa"/>
              <w:right w:w="100" w:type="dxa"/>
            </w:tcMar>
          </w:tcPr>
          <w:p w14:paraId="4FD5AA1C" w14:textId="77777777" w:rsidR="009D1F83" w:rsidRDefault="00452E53">
            <w:pPr>
              <w:widowControl w:val="0"/>
              <w:pBdr>
                <w:top w:val="nil"/>
                <w:left w:val="nil"/>
                <w:bottom w:val="nil"/>
                <w:right w:val="nil"/>
                <w:between w:val="nil"/>
              </w:pBdr>
              <w:spacing w:line="360" w:lineRule="auto"/>
              <w:rPr>
                <w:sz w:val="24"/>
                <w:szCs w:val="24"/>
              </w:rPr>
            </w:pPr>
            <w:r>
              <w:rPr>
                <w:sz w:val="24"/>
                <w:szCs w:val="24"/>
              </w:rPr>
              <w:t>64,532/ 280,885*365=84 days</w:t>
            </w:r>
          </w:p>
        </w:tc>
        <w:tc>
          <w:tcPr>
            <w:tcW w:w="1086" w:type="pct"/>
            <w:tcMar>
              <w:top w:w="100" w:type="dxa"/>
              <w:left w:w="100" w:type="dxa"/>
              <w:bottom w:w="100" w:type="dxa"/>
              <w:right w:w="100" w:type="dxa"/>
            </w:tcMar>
          </w:tcPr>
          <w:p w14:paraId="52EBD846" w14:textId="77777777" w:rsidR="009D1F83" w:rsidRDefault="00452E53">
            <w:pPr>
              <w:widowControl w:val="0"/>
              <w:pBdr>
                <w:top w:val="nil"/>
                <w:left w:val="nil"/>
                <w:bottom w:val="nil"/>
                <w:right w:val="nil"/>
                <w:between w:val="nil"/>
              </w:pBdr>
              <w:spacing w:line="360" w:lineRule="auto"/>
              <w:rPr>
                <w:sz w:val="24"/>
                <w:szCs w:val="24"/>
              </w:rPr>
            </w:pPr>
            <w:r>
              <w:rPr>
                <w:sz w:val="24"/>
                <w:szCs w:val="24"/>
              </w:rPr>
              <w:t>109+105-84=130 days</w:t>
            </w:r>
          </w:p>
        </w:tc>
      </w:tr>
    </w:tbl>
    <w:p w14:paraId="4EFD2F40" w14:textId="77777777" w:rsidR="009D1F83" w:rsidRDefault="009D1F83">
      <w:pPr>
        <w:spacing w:line="360" w:lineRule="auto"/>
        <w:jc w:val="both"/>
        <w:rPr>
          <w:sz w:val="24"/>
          <w:szCs w:val="24"/>
        </w:rPr>
      </w:pPr>
    </w:p>
    <w:p w14:paraId="620A8570" w14:textId="77777777" w:rsidR="009D1F83" w:rsidRDefault="00452E53">
      <w:pPr>
        <w:spacing w:line="360" w:lineRule="auto"/>
        <w:jc w:val="both"/>
        <w:rPr>
          <w:sz w:val="24"/>
          <w:szCs w:val="24"/>
        </w:rPr>
      </w:pPr>
      <w:r>
        <w:rPr>
          <w:sz w:val="24"/>
          <w:szCs w:val="24"/>
        </w:rPr>
        <w:t>Firstly, the year 2020 showed that General Electronics were better able to convert its inventories and receivables into cash output moderately faster. However, they could look to increase their payment days for creditors (Laghari and Ahmed, 2023).</w:t>
      </w:r>
    </w:p>
    <w:p w14:paraId="48ADF5B3" w14:textId="77777777" w:rsidR="009D1F83" w:rsidRDefault="00452E53">
      <w:pPr>
        <w:spacing w:line="360" w:lineRule="auto"/>
        <w:jc w:val="both"/>
        <w:rPr>
          <w:sz w:val="24"/>
          <w:szCs w:val="24"/>
        </w:rPr>
      </w:pPr>
      <w:r>
        <w:rPr>
          <w:sz w:val="24"/>
          <w:szCs w:val="24"/>
        </w:rPr>
        <w:t>Secondly, 2021 showed a slight increase in days, which indicated that the organisation was emphasising more inventory holdup and receivable delays, while slightly increasing the days to disburse payments to its creditors. However, the cash converting capability of the company remained stable (Laghari and Ahmed, 2023).</w:t>
      </w:r>
    </w:p>
    <w:p w14:paraId="54B7AFF7" w14:textId="77777777" w:rsidR="009D1F83" w:rsidRDefault="00452E53">
      <w:pPr>
        <w:spacing w:line="360" w:lineRule="auto"/>
        <w:jc w:val="both"/>
        <w:rPr>
          <w:sz w:val="24"/>
          <w:szCs w:val="24"/>
        </w:rPr>
      </w:pPr>
      <w:r>
        <w:rPr>
          <w:sz w:val="24"/>
          <w:szCs w:val="24"/>
        </w:rPr>
        <w:t>Thirdly, the year 2022 showed a slowing cycle, especially with increasing days used for making creditor payments, with more days used for holding inventory and more leeways given for debtors to clear their own payments (Huang and Ritter, 2021). Hence, cash conversion was occurring less briskly during the period.</w:t>
      </w:r>
    </w:p>
    <w:p w14:paraId="25E66BB3" w14:textId="77777777" w:rsidR="009D1F83" w:rsidRDefault="00452E53">
      <w:pPr>
        <w:spacing w:line="360" w:lineRule="auto"/>
        <w:jc w:val="both"/>
        <w:rPr>
          <w:sz w:val="24"/>
          <w:szCs w:val="24"/>
        </w:rPr>
      </w:pPr>
      <w:r>
        <w:rPr>
          <w:sz w:val="24"/>
          <w:szCs w:val="24"/>
        </w:rPr>
        <w:t>Fourthly, 2023 showed poor working capital management on the part of General Electronics, with the enterprise continuing to increase its inventory holding period and giving prolonged days for debtors to clear their payments (Huang and Ritter, 2021). In spite of increasing creditor payment clearing days, the company still struggled to procure better liquid cash during the year.</w:t>
      </w:r>
    </w:p>
    <w:p w14:paraId="13BE8B1F" w14:textId="77777777" w:rsidR="009D1F83" w:rsidRDefault="00452E53">
      <w:pPr>
        <w:spacing w:line="360" w:lineRule="auto"/>
        <w:jc w:val="both"/>
        <w:rPr>
          <w:sz w:val="24"/>
          <w:szCs w:val="24"/>
        </w:rPr>
      </w:pPr>
      <w:r>
        <w:rPr>
          <w:sz w:val="24"/>
          <w:szCs w:val="24"/>
        </w:rPr>
        <w:t xml:space="preserve">Finally, 2024 showed an improvement from the previous two years, with a reduction in the inventory holding period and a slight increase in creditor payment clearing time (Vernimmen, 2014, p 316-374). This allowed General Electronics to create better cash in comparison to the earlier years. </w:t>
      </w:r>
    </w:p>
    <w:p w14:paraId="0FEBD69E" w14:textId="77777777" w:rsidR="009D1F83" w:rsidRDefault="00452E53" w:rsidP="006E7380">
      <w:pPr>
        <w:pStyle w:val="Heading2"/>
      </w:pPr>
      <w:bookmarkStart w:id="8" w:name="_Toc212203734"/>
      <w:r>
        <w:t>3.2 Recommending strategies to improve liquidity through working capital reforms</w:t>
      </w:r>
      <w:bookmarkEnd w:id="8"/>
    </w:p>
    <w:p w14:paraId="65952145" w14:textId="77777777" w:rsidR="009D1F83" w:rsidRDefault="00452E53">
      <w:pPr>
        <w:spacing w:line="360" w:lineRule="auto"/>
        <w:jc w:val="both"/>
        <w:rPr>
          <w:sz w:val="24"/>
          <w:szCs w:val="24"/>
        </w:rPr>
      </w:pPr>
      <w:r>
        <w:rPr>
          <w:sz w:val="24"/>
          <w:szCs w:val="24"/>
        </w:rPr>
        <w:t>There are a few recommended strategies that General Electronics can follow for improving its liquidity, especially by improving working capital reforms.</w:t>
      </w:r>
    </w:p>
    <w:p w14:paraId="252A44E9" w14:textId="77777777" w:rsidR="009D1F83" w:rsidRDefault="00452E53">
      <w:pPr>
        <w:spacing w:line="360" w:lineRule="auto"/>
        <w:jc w:val="both"/>
        <w:rPr>
          <w:sz w:val="24"/>
          <w:szCs w:val="24"/>
        </w:rPr>
      </w:pPr>
      <w:r>
        <w:rPr>
          <w:b/>
          <w:sz w:val="24"/>
          <w:szCs w:val="24"/>
        </w:rPr>
        <w:t xml:space="preserve">Suggestion #1: </w:t>
      </w:r>
      <w:r>
        <w:rPr>
          <w:sz w:val="24"/>
          <w:szCs w:val="24"/>
        </w:rPr>
        <w:t xml:space="preserve">General Electronics could try to shorten its cash operating cycle periods, as witnessed in the earlier sections, to release trapped cash. This might take place when </w:t>
      </w:r>
      <w:r>
        <w:rPr>
          <w:sz w:val="24"/>
          <w:szCs w:val="24"/>
        </w:rPr>
        <w:lastRenderedPageBreak/>
        <w:t>the enterprise reduces receivable days by working towards a tight credit policy (Vernimmen, 2014, p 412). Meanwhile, they can encourage faster payments by introducing early-payment discounts or automated invoicing systems, limiting delay risks. They can even undertake a credit-risk evaluation and take follow-ups from their management to improve cash inflows.</w:t>
      </w:r>
    </w:p>
    <w:p w14:paraId="61A26740" w14:textId="77777777" w:rsidR="009D1F83" w:rsidRDefault="00452E53">
      <w:pPr>
        <w:spacing w:line="360" w:lineRule="auto"/>
        <w:jc w:val="both"/>
        <w:rPr>
          <w:sz w:val="24"/>
          <w:szCs w:val="24"/>
        </w:rPr>
      </w:pPr>
      <w:r>
        <w:rPr>
          <w:b/>
          <w:sz w:val="24"/>
          <w:szCs w:val="24"/>
        </w:rPr>
        <w:t xml:space="preserve">Suggestion #2: </w:t>
      </w:r>
      <w:r>
        <w:rPr>
          <w:sz w:val="24"/>
          <w:szCs w:val="24"/>
        </w:rPr>
        <w:t xml:space="preserve">Managing inventory should be considered via lean manoeuvres. That might allow the company to adapt demand-forecasting tools like JIT or Just-In-Time procurement systems or perform ABC analysis (Vernimmen, 2014, p 412). These can minimise the tendency of General Electronics towards holding on to their stock and even reduce their holding-related expenses (Yenni et al., 2021). </w:t>
      </w:r>
    </w:p>
    <w:p w14:paraId="2E5FDC77" w14:textId="77777777" w:rsidR="009D1F83" w:rsidRDefault="00452E53">
      <w:pPr>
        <w:spacing w:line="360" w:lineRule="auto"/>
        <w:jc w:val="both"/>
        <w:rPr>
          <w:sz w:val="24"/>
          <w:szCs w:val="24"/>
        </w:rPr>
      </w:pPr>
      <w:r>
        <w:rPr>
          <w:b/>
          <w:sz w:val="24"/>
          <w:szCs w:val="24"/>
        </w:rPr>
        <w:t xml:space="preserve">Suggestion #3: </w:t>
      </w:r>
      <w:r>
        <w:rPr>
          <w:sz w:val="24"/>
          <w:szCs w:val="24"/>
        </w:rPr>
        <w:t xml:space="preserve">Better payment terms negotiation must be executed by General Electronics with their suppliers, which does not threaten existing relationship dynamics by strategically extending payment cycles (Simbolon et al., 2022). That could align with cash inflow and outflow considerations (Yenni et al., 2021). Both need to be balanced to ensure the company does not lose supplier credibility and goodwill. </w:t>
      </w:r>
    </w:p>
    <w:p w14:paraId="2E998F62" w14:textId="77777777" w:rsidR="009D1F83" w:rsidRDefault="00452E53">
      <w:pPr>
        <w:spacing w:line="360" w:lineRule="auto"/>
        <w:jc w:val="both"/>
        <w:rPr>
          <w:sz w:val="24"/>
          <w:szCs w:val="24"/>
        </w:rPr>
      </w:pPr>
      <w:r>
        <w:rPr>
          <w:b/>
          <w:sz w:val="24"/>
          <w:szCs w:val="24"/>
        </w:rPr>
        <w:t xml:space="preserve">Suggestion #4: </w:t>
      </w:r>
      <w:r>
        <w:rPr>
          <w:sz w:val="24"/>
          <w:szCs w:val="24"/>
        </w:rPr>
        <w:t xml:space="preserve">Regular cash forecasting needs to be initiated by General Electronics, which creates short-term liquidity on a vigorous basis. This allows the company to notice liquidity gaps faster (Simbolon et al., 2022). They can even initiate a centralised treasury to optimise their fund allocation techniques and truncate idle balances. </w:t>
      </w:r>
    </w:p>
    <w:p w14:paraId="541E6763" w14:textId="77777777" w:rsidR="009D1F83" w:rsidRDefault="00452E53" w:rsidP="006E7380">
      <w:pPr>
        <w:pStyle w:val="Heading2"/>
      </w:pPr>
      <w:bookmarkStart w:id="9" w:name="_Toc212203735"/>
      <w:r>
        <w:t>3.3 Comparison of long-term and short-term financing options</w:t>
      </w:r>
      <w:bookmarkEnd w:id="9"/>
      <w:r>
        <w:t xml:space="preserve"> </w:t>
      </w:r>
    </w:p>
    <w:p w14:paraId="2D711111" w14:textId="77777777" w:rsidR="009D1F83" w:rsidRDefault="00452E53">
      <w:pPr>
        <w:spacing w:line="360" w:lineRule="auto"/>
        <w:jc w:val="both"/>
        <w:rPr>
          <w:b/>
          <w:sz w:val="24"/>
          <w:szCs w:val="24"/>
          <w:u w:val="single"/>
        </w:rPr>
      </w:pPr>
      <w:r>
        <w:rPr>
          <w:b/>
          <w:sz w:val="24"/>
          <w:szCs w:val="24"/>
          <w:u w:val="single"/>
        </w:rPr>
        <w:t>Short-term financing options</w:t>
      </w:r>
    </w:p>
    <w:p w14:paraId="65A87351" w14:textId="77777777" w:rsidR="009D1F83" w:rsidRDefault="00452E53">
      <w:pPr>
        <w:spacing w:line="360" w:lineRule="auto"/>
        <w:jc w:val="both"/>
        <w:rPr>
          <w:sz w:val="24"/>
          <w:szCs w:val="24"/>
        </w:rPr>
      </w:pPr>
      <w:r>
        <w:rPr>
          <w:b/>
          <w:sz w:val="24"/>
          <w:szCs w:val="24"/>
        </w:rPr>
        <w:t xml:space="preserve">Trade Credits: </w:t>
      </w:r>
      <w:r>
        <w:rPr>
          <w:sz w:val="24"/>
          <w:szCs w:val="24"/>
        </w:rPr>
        <w:t xml:space="preserve">Typically, these are short-term financial arrangements that General Electronics can arrange with its suppliers, affording the enterprise more days for making payments to the suppliers (which is around 30-90 days) (Rao et al., 2021). </w:t>
      </w:r>
    </w:p>
    <w:p w14:paraId="0A5CE8D5" w14:textId="77777777" w:rsidR="009D1F83" w:rsidRDefault="00452E53">
      <w:pPr>
        <w:spacing w:line="360" w:lineRule="auto"/>
        <w:jc w:val="both"/>
        <w:rPr>
          <w:sz w:val="24"/>
          <w:szCs w:val="24"/>
        </w:rPr>
      </w:pPr>
      <w:r>
        <w:rPr>
          <w:b/>
          <w:sz w:val="24"/>
          <w:szCs w:val="24"/>
        </w:rPr>
        <w:t xml:space="preserve">Bank Overdraft: </w:t>
      </w:r>
      <w:r>
        <w:rPr>
          <w:sz w:val="24"/>
          <w:szCs w:val="24"/>
        </w:rPr>
        <w:t xml:space="preserve">This is a credit facility that allows the organisation General Electronics to withdraw more funds than what they currently hold in current and savings accounts with their respective bank (Rao et al., 2021). The amount can be pre-approved through the bank, especially in the case of short-term requirements or credit necessities. </w:t>
      </w:r>
    </w:p>
    <w:p w14:paraId="295CF744" w14:textId="77777777" w:rsidR="009D1F83" w:rsidRDefault="00452E53">
      <w:pPr>
        <w:spacing w:line="360" w:lineRule="auto"/>
        <w:jc w:val="both"/>
        <w:rPr>
          <w:sz w:val="24"/>
          <w:szCs w:val="24"/>
        </w:rPr>
      </w:pPr>
      <w:r>
        <w:rPr>
          <w:b/>
          <w:sz w:val="24"/>
          <w:szCs w:val="24"/>
        </w:rPr>
        <w:t xml:space="preserve">Short-term loans: </w:t>
      </w:r>
      <w:r>
        <w:rPr>
          <w:sz w:val="24"/>
          <w:szCs w:val="24"/>
        </w:rPr>
        <w:t xml:space="preserve">These are loan schemes with a smaller repayment period, which range from a few weeks to one year. Although some financial institutions can increase </w:t>
      </w:r>
      <w:r>
        <w:rPr>
          <w:sz w:val="24"/>
          <w:szCs w:val="24"/>
        </w:rPr>
        <w:lastRenderedPageBreak/>
        <w:t>the days up to 18 months, a company like General Electronics can avail itself for fulfilling its immediate needs (James Gallagher, 2007, p 412-475).</w:t>
      </w:r>
    </w:p>
    <w:p w14:paraId="6E86B4E8" w14:textId="77777777" w:rsidR="009D1F83" w:rsidRDefault="00452E53">
      <w:pPr>
        <w:spacing w:line="360" w:lineRule="auto"/>
        <w:jc w:val="both"/>
        <w:rPr>
          <w:b/>
          <w:sz w:val="24"/>
          <w:szCs w:val="24"/>
          <w:u w:val="single"/>
        </w:rPr>
      </w:pPr>
      <w:r>
        <w:rPr>
          <w:b/>
          <w:sz w:val="24"/>
          <w:szCs w:val="24"/>
          <w:u w:val="single"/>
        </w:rPr>
        <w:t>Long-term financing options</w:t>
      </w:r>
    </w:p>
    <w:p w14:paraId="40D713E1" w14:textId="77777777" w:rsidR="009D1F83" w:rsidRDefault="00452E53">
      <w:pPr>
        <w:spacing w:line="360" w:lineRule="auto"/>
        <w:jc w:val="both"/>
        <w:rPr>
          <w:sz w:val="24"/>
          <w:szCs w:val="24"/>
        </w:rPr>
      </w:pPr>
      <w:r>
        <w:rPr>
          <w:sz w:val="24"/>
          <w:szCs w:val="24"/>
        </w:rPr>
        <w:t xml:space="preserve">These involve funds which can be borrowed or raised beyond a period of one year or more. </w:t>
      </w:r>
    </w:p>
    <w:p w14:paraId="16227249" w14:textId="77777777" w:rsidR="009D1F83" w:rsidRDefault="00452E53">
      <w:pPr>
        <w:spacing w:line="360" w:lineRule="auto"/>
        <w:jc w:val="both"/>
        <w:rPr>
          <w:sz w:val="24"/>
          <w:szCs w:val="24"/>
        </w:rPr>
      </w:pPr>
      <w:r>
        <w:rPr>
          <w:b/>
          <w:sz w:val="24"/>
          <w:szCs w:val="24"/>
        </w:rPr>
        <w:t>Term loans:</w:t>
      </w:r>
      <w:r>
        <w:rPr>
          <w:sz w:val="24"/>
          <w:szCs w:val="24"/>
        </w:rPr>
        <w:t xml:space="preserve"> These feature lump-sum money borrowed for a longer period, with a company like General Electronics agreeing to its repayment through instalments. The interest rate and repayment time are usually set during disbursements as discussed between financial institutions and the enterprise taking the loan (James Gallagher, 2007, p 412-475).</w:t>
      </w:r>
    </w:p>
    <w:p w14:paraId="4287224D" w14:textId="77777777" w:rsidR="009D1F83" w:rsidRDefault="00452E53">
      <w:pPr>
        <w:spacing w:line="360" w:lineRule="auto"/>
        <w:jc w:val="both"/>
        <w:rPr>
          <w:sz w:val="24"/>
          <w:szCs w:val="24"/>
        </w:rPr>
      </w:pPr>
      <w:r>
        <w:rPr>
          <w:b/>
          <w:sz w:val="24"/>
          <w:szCs w:val="24"/>
        </w:rPr>
        <w:t xml:space="preserve">Equity-financing: </w:t>
      </w:r>
      <w:r>
        <w:rPr>
          <w:sz w:val="24"/>
          <w:szCs w:val="24"/>
        </w:rPr>
        <w:t xml:space="preserve">General Electronics might even consider selling its shares or ownership stocks to other investors to generate long-term stable liquidity (Mueller and Sensini, 2021). They can request funds from investors after providing them with a stake in the business or part of their future profits (Giaretta and Chesini, 2021). </w:t>
      </w:r>
    </w:p>
    <w:p w14:paraId="553BBE43" w14:textId="77777777" w:rsidR="009D1F83" w:rsidRDefault="00452E53">
      <w:pPr>
        <w:spacing w:line="360" w:lineRule="auto"/>
        <w:jc w:val="both"/>
        <w:rPr>
          <w:sz w:val="24"/>
          <w:szCs w:val="24"/>
        </w:rPr>
      </w:pPr>
      <w:r>
        <w:rPr>
          <w:b/>
          <w:sz w:val="24"/>
          <w:szCs w:val="24"/>
        </w:rPr>
        <w:t xml:space="preserve">Debentures: </w:t>
      </w:r>
      <w:r>
        <w:rPr>
          <w:sz w:val="24"/>
          <w:szCs w:val="24"/>
        </w:rPr>
        <w:t xml:space="preserve">They are debt instruments used by companies like General Electronics for raising capital from investors (Mueller and Sensini, 2021). As soon as the investors purchase debentures, the company might receive a fixed rate of interest periodically with the matured principal (Giaretta and Chesini, 2021). However, the owners of debentures do not hold a direct stake in the company's proceedings. </w:t>
      </w:r>
    </w:p>
    <w:p w14:paraId="6FFEE575" w14:textId="77777777" w:rsidR="009D1F83" w:rsidRDefault="00452E53" w:rsidP="006E7380">
      <w:pPr>
        <w:pStyle w:val="Heading1"/>
      </w:pPr>
      <w:bookmarkStart w:id="10" w:name="_Toc212203736"/>
      <w:r>
        <w:t>4.0 Strategic Financial Restructuring Plan</w:t>
      </w:r>
      <w:bookmarkEnd w:id="10"/>
      <w:r>
        <w:t xml:space="preserve"> </w:t>
      </w:r>
    </w:p>
    <w:p w14:paraId="20B5A088" w14:textId="77777777" w:rsidR="009D1F83" w:rsidRDefault="00452E53" w:rsidP="006E7380">
      <w:pPr>
        <w:pStyle w:val="Heading2"/>
      </w:pPr>
      <w:bookmarkStart w:id="11" w:name="_Toc212203737"/>
      <w:r>
        <w:t>4.1 Recommending financial restructuring options</w:t>
      </w:r>
      <w:bookmarkEnd w:id="11"/>
    </w:p>
    <w:p w14:paraId="72DC51F4" w14:textId="77777777" w:rsidR="009D1F83" w:rsidRDefault="00452E53">
      <w:pPr>
        <w:spacing w:line="360" w:lineRule="auto"/>
        <w:jc w:val="both"/>
        <w:rPr>
          <w:b/>
          <w:i/>
          <w:sz w:val="24"/>
          <w:szCs w:val="24"/>
        </w:rPr>
      </w:pPr>
      <w:r>
        <w:rPr>
          <w:b/>
          <w:i/>
          <w:sz w:val="24"/>
          <w:szCs w:val="24"/>
        </w:rPr>
        <w:t>Debt Restructuring</w:t>
      </w:r>
    </w:p>
    <w:p w14:paraId="0940E199" w14:textId="77777777" w:rsidR="009D1F83" w:rsidRDefault="00452E53">
      <w:pPr>
        <w:spacing w:line="360" w:lineRule="auto"/>
        <w:jc w:val="both"/>
        <w:rPr>
          <w:sz w:val="24"/>
          <w:szCs w:val="24"/>
        </w:rPr>
      </w:pPr>
      <w:r>
        <w:rPr>
          <w:sz w:val="24"/>
          <w:szCs w:val="24"/>
        </w:rPr>
        <w:t xml:space="preserve">General Electronics finance management individuals could negotiate with creditors for extending repayment schedules, as well as consider a reduction of interest rates, or look towards converting their immediate debts into equity for easing financial strain (Ruiz and Coduras, 2015). The restructuring choice can assist the enterprise towards avoiding any future default positions, without compromising its relationship with creditors. For instance, the strategy's popularity allows PwC to recommend that start-up JBF Group consider a $1 billion worth restructuring (Consultancy-me.com, 2024). </w:t>
      </w:r>
    </w:p>
    <w:p w14:paraId="191B6A0D" w14:textId="77777777" w:rsidR="009D1F83" w:rsidRDefault="00452E53">
      <w:pPr>
        <w:spacing w:line="360" w:lineRule="auto"/>
        <w:jc w:val="both"/>
        <w:rPr>
          <w:b/>
          <w:i/>
          <w:sz w:val="24"/>
          <w:szCs w:val="24"/>
        </w:rPr>
      </w:pPr>
      <w:r>
        <w:rPr>
          <w:b/>
          <w:i/>
          <w:sz w:val="24"/>
          <w:szCs w:val="24"/>
        </w:rPr>
        <w:lastRenderedPageBreak/>
        <w:t>Equity Injection</w:t>
      </w:r>
    </w:p>
    <w:p w14:paraId="4BC0226E" w14:textId="77777777" w:rsidR="009D1F83" w:rsidRDefault="00452E53">
      <w:pPr>
        <w:spacing w:line="360" w:lineRule="auto"/>
        <w:jc w:val="both"/>
        <w:rPr>
          <w:sz w:val="24"/>
          <w:szCs w:val="24"/>
        </w:rPr>
      </w:pPr>
      <w:r>
        <w:rPr>
          <w:sz w:val="24"/>
          <w:szCs w:val="24"/>
        </w:rPr>
        <w:t xml:space="preserve">This form of restructuring might allow General Electronics to bring an influx of additional capital through new investors, or existing ones, using encouragement tactics. That option can allow the company to reduce their arising debt-related pressures, enhance debt to equity ratio variability, and even strengthen liquidity. It might be more beneficial for the organisation as they are also experiencing cash flow-related constraints (Triki and Abid, 2023). Methods like venture capital infusions and private placements could be a useful option. For instance, venture capital approaches have accounted for 20% of the market capitalisation, assisting companies to draw 44% of their research and spending funds from the public (Gompers et al., 2021). </w:t>
      </w:r>
    </w:p>
    <w:p w14:paraId="24F5A829" w14:textId="77777777" w:rsidR="009D1F83" w:rsidRDefault="00452E53">
      <w:pPr>
        <w:spacing w:line="360" w:lineRule="auto"/>
        <w:jc w:val="both"/>
        <w:rPr>
          <w:b/>
          <w:i/>
          <w:sz w:val="24"/>
          <w:szCs w:val="24"/>
        </w:rPr>
      </w:pPr>
      <w:r>
        <w:rPr>
          <w:b/>
          <w:i/>
          <w:sz w:val="24"/>
          <w:szCs w:val="24"/>
        </w:rPr>
        <w:t>Merger and Acquisition</w:t>
      </w:r>
    </w:p>
    <w:p w14:paraId="7F40EA55" w14:textId="77777777" w:rsidR="009D1F83" w:rsidRDefault="00452E53">
      <w:pPr>
        <w:spacing w:line="360" w:lineRule="auto"/>
        <w:jc w:val="both"/>
        <w:rPr>
          <w:sz w:val="24"/>
          <w:szCs w:val="24"/>
        </w:rPr>
      </w:pPr>
      <w:r>
        <w:rPr>
          <w:sz w:val="24"/>
          <w:szCs w:val="24"/>
        </w:rPr>
        <w:t xml:space="preserve">Merging might be another restructuring option that General Electronics can consider to assist with its profitability and liquidity issues. A financially stronger company can aid them to gain access to new markets, technologies, and even bring in a fresh injection of capital (Cumming et al., 2023). Thus, synergy achieved through shared resources can not only allow General Electronics to reduce its operational expenses, but also dissolve any arising debt considerations. For instance, a study revealed that among 155 international organisations, almost 58 consider M&amp;A as a source of restructuring (Hossain, 2021). </w:t>
      </w:r>
    </w:p>
    <w:p w14:paraId="786ABCFB" w14:textId="77777777" w:rsidR="009D1F83" w:rsidRDefault="00452E53" w:rsidP="006E7380">
      <w:pPr>
        <w:pStyle w:val="Heading2"/>
      </w:pPr>
      <w:bookmarkStart w:id="12" w:name="_Toc212203738"/>
      <w:r>
        <w:t>4.2 Evaluating impact on stakeholder value, debt structure, and operational flexibility</w:t>
      </w:r>
      <w:bookmarkEnd w:id="12"/>
    </w:p>
    <w:p w14:paraId="31E0DDFF" w14:textId="77777777" w:rsidR="009D1F83" w:rsidRPr="00E11EB5" w:rsidRDefault="00452E53">
      <w:pPr>
        <w:spacing w:line="360" w:lineRule="auto"/>
        <w:jc w:val="both"/>
        <w:rPr>
          <w:color w:val="000000" w:themeColor="text1"/>
          <w:sz w:val="24"/>
          <w:szCs w:val="24"/>
        </w:rPr>
      </w:pPr>
      <w:r>
        <w:rPr>
          <w:b/>
          <w:sz w:val="24"/>
          <w:szCs w:val="24"/>
        </w:rPr>
        <w:t xml:space="preserve">Shareholder value: </w:t>
      </w:r>
      <w:r>
        <w:rPr>
          <w:sz w:val="24"/>
          <w:szCs w:val="24"/>
        </w:rPr>
        <w:t xml:space="preserve">Injecting equity can cause ownership-related dilution issues for shareholders involved with General Electronics. This can, in turn, reduce individual control over earnings per share made by the stakeholders (Barko et al., 2021). </w:t>
      </w:r>
      <w:r w:rsidRPr="00E11EB5">
        <w:rPr>
          <w:color w:val="000000" w:themeColor="text1"/>
          <w:sz w:val="24"/>
          <w:szCs w:val="24"/>
        </w:rPr>
        <w:t>Meanwhile, if stakeholders are patient, the approach can aid them by strengthening the capital base of the company, reducing any existing financial risks, and considering profitability improvements to a large extent (Barko et al., 2021). This could result in enhancing the enterpris</w:t>
      </w:r>
      <w:r w:rsidR="00E11EB5" w:rsidRPr="00E11EB5">
        <w:rPr>
          <w:color w:val="000000" w:themeColor="text1"/>
          <w:sz w:val="24"/>
          <w:szCs w:val="24"/>
        </w:rPr>
        <w:t>e’s position within the market.</w:t>
      </w:r>
    </w:p>
    <w:p w14:paraId="1AB1605F" w14:textId="77777777" w:rsidR="009D1F83" w:rsidRPr="00E11EB5" w:rsidRDefault="00452E53">
      <w:pPr>
        <w:spacing w:line="360" w:lineRule="auto"/>
        <w:jc w:val="both"/>
        <w:rPr>
          <w:color w:val="000000" w:themeColor="text1"/>
          <w:sz w:val="24"/>
          <w:szCs w:val="24"/>
        </w:rPr>
      </w:pPr>
      <w:r w:rsidRPr="00E11EB5">
        <w:rPr>
          <w:b/>
          <w:color w:val="000000" w:themeColor="text1"/>
          <w:sz w:val="24"/>
          <w:szCs w:val="24"/>
        </w:rPr>
        <w:t xml:space="preserve">Debt structure: </w:t>
      </w:r>
      <w:r w:rsidR="00E11EB5" w:rsidRPr="00E11EB5">
        <w:rPr>
          <w:color w:val="000000" w:themeColor="text1"/>
          <w:sz w:val="24"/>
          <w:szCs w:val="24"/>
        </w:rPr>
        <w:t xml:space="preserve">When restructuring is attempted, refinancing can bring significant new high-cost loan management strategies, which may have the effect of either extending maturities or even converting part of the debt as a debt-equity swap or hybrid-equity to </w:t>
      </w:r>
      <w:r w:rsidR="00E11EB5" w:rsidRPr="00E11EB5">
        <w:rPr>
          <w:color w:val="000000" w:themeColor="text1"/>
          <w:sz w:val="24"/>
          <w:szCs w:val="24"/>
        </w:rPr>
        <w:lastRenderedPageBreak/>
        <w:t>reduce both leverage and the interest obligations (Poursoleyman et al., 2021). This, in effect, will allow General Electronics to sustain a favourable low-gearing ratio, which in turn should enhance solvency, credit rating, and allow for more affordable future borrowing. This synchronises with the debt repayment schedule to meet expected cash flows while supporting minimising of default risk (Poursoleyman et al., 2021).</w:t>
      </w:r>
    </w:p>
    <w:p w14:paraId="21CAE319" w14:textId="77777777" w:rsidR="009D1F83" w:rsidRDefault="00452E53">
      <w:pPr>
        <w:spacing w:line="360" w:lineRule="auto"/>
        <w:jc w:val="both"/>
        <w:rPr>
          <w:sz w:val="24"/>
          <w:szCs w:val="24"/>
        </w:rPr>
      </w:pPr>
      <w:r w:rsidRPr="00E11EB5">
        <w:rPr>
          <w:b/>
          <w:color w:val="000000" w:themeColor="text1"/>
          <w:sz w:val="24"/>
          <w:szCs w:val="24"/>
        </w:rPr>
        <w:t xml:space="preserve">Operational flexibility: </w:t>
      </w:r>
      <w:r w:rsidR="00E11EB5" w:rsidRPr="00E11EB5">
        <w:rPr>
          <w:color w:val="000000" w:themeColor="text1"/>
          <w:sz w:val="24"/>
          <w:szCs w:val="24"/>
        </w:rPr>
        <w:t>The practice of divestiture will</w:t>
      </w:r>
      <w:r w:rsidRPr="00E11EB5">
        <w:rPr>
          <w:color w:val="000000" w:themeColor="text1"/>
          <w:sz w:val="24"/>
          <w:szCs w:val="24"/>
        </w:rPr>
        <w:t xml:space="preserve"> remove any inefficiencies and complexities within the organisation's </w:t>
      </w:r>
      <w:r>
        <w:rPr>
          <w:sz w:val="24"/>
          <w:szCs w:val="24"/>
        </w:rPr>
        <w:t xml:space="preserve">finances (Wang et al., 2020). Moreover, different equity funding techniques increase operational flexibilities and reduce rising debt constraints, allowing strategic investments to thrive without being impeded by pressures surrounding its lenders (Wang et al., 2020). </w:t>
      </w:r>
    </w:p>
    <w:p w14:paraId="7F76ED9A" w14:textId="77777777" w:rsidR="009D1F83" w:rsidRDefault="00452E53" w:rsidP="006E7380">
      <w:pPr>
        <w:pStyle w:val="Heading2"/>
      </w:pPr>
      <w:bookmarkStart w:id="13" w:name="_Toc212203739"/>
      <w:r>
        <w:t>4.3 International and ethical considerations associated with the above discussion</w:t>
      </w:r>
      <w:bookmarkEnd w:id="13"/>
      <w:r>
        <w:t xml:space="preserve"> </w:t>
      </w:r>
    </w:p>
    <w:p w14:paraId="10861DA4" w14:textId="77777777" w:rsidR="009D1F83" w:rsidRDefault="00452E53">
      <w:pPr>
        <w:spacing w:line="360" w:lineRule="auto"/>
        <w:jc w:val="both"/>
        <w:rPr>
          <w:sz w:val="24"/>
          <w:szCs w:val="24"/>
        </w:rPr>
      </w:pPr>
      <w:r>
        <w:rPr>
          <w:sz w:val="24"/>
          <w:szCs w:val="24"/>
        </w:rPr>
        <w:t xml:space="preserve">Certain international and ethical considerations need to be considered by General Electronics, especially for fulfilling transparency, fairness, and overall global compliance. </w:t>
      </w:r>
    </w:p>
    <w:p w14:paraId="042BD740" w14:textId="77777777" w:rsidR="009D1F83" w:rsidRDefault="00452E53">
      <w:pPr>
        <w:spacing w:line="360" w:lineRule="auto"/>
        <w:jc w:val="both"/>
        <w:rPr>
          <w:sz w:val="24"/>
          <w:szCs w:val="24"/>
        </w:rPr>
      </w:pPr>
      <w:r>
        <w:rPr>
          <w:sz w:val="24"/>
          <w:szCs w:val="24"/>
        </w:rPr>
        <w:t>Internationally, General Electronics</w:t>
      </w:r>
      <w:r w:rsidR="00040A57">
        <w:rPr>
          <w:sz w:val="24"/>
          <w:szCs w:val="24"/>
        </w:rPr>
        <w:t xml:space="preserve"> must comply </w:t>
      </w:r>
      <w:r>
        <w:rPr>
          <w:sz w:val="24"/>
          <w:szCs w:val="24"/>
        </w:rPr>
        <w:t xml:space="preserve">with diverse regulatory frameworks such as securities laws, anti-trust policies, and other foreign exchange-related controls (Nawfal Fahdil et al., 2024). They further need to consider international accounting standards like IFRS regulations, which stem any future-oriented legal disputes and reputational harm to the business (Nawfal Fahdil et al., 2024). </w:t>
      </w:r>
    </w:p>
    <w:p w14:paraId="20ED6E58" w14:textId="77777777" w:rsidR="009D1F83" w:rsidRDefault="00040A57">
      <w:pPr>
        <w:spacing w:line="360" w:lineRule="auto"/>
        <w:jc w:val="both"/>
        <w:rPr>
          <w:sz w:val="24"/>
          <w:szCs w:val="24"/>
        </w:rPr>
      </w:pPr>
      <w:r>
        <w:rPr>
          <w:sz w:val="24"/>
          <w:szCs w:val="24"/>
        </w:rPr>
        <w:t>E</w:t>
      </w:r>
      <w:r w:rsidR="00452E53">
        <w:rPr>
          <w:sz w:val="24"/>
          <w:szCs w:val="24"/>
        </w:rPr>
        <w:t xml:space="preserve">thically, the company needs to balance its profitability by closely managing stakeholder welfare. General Electronics must not favour specific individual investor groups; they must instead allow their management to focus on employee rights, pensions, and other community welfare-related duties (Weston and Nnadi, 2021). This allows for maintaining the enterprise's social license, as they look to operate using transparency through communication with investors, employees, and other aggrieved stakeholders like suppliers as well (Weston and Nnadi, 2021). </w:t>
      </w:r>
    </w:p>
    <w:p w14:paraId="4FAEF35E" w14:textId="77777777" w:rsidR="009D1F83" w:rsidRDefault="00452E53" w:rsidP="006E7380">
      <w:pPr>
        <w:pStyle w:val="Heading1"/>
      </w:pPr>
      <w:bookmarkStart w:id="14" w:name="_Toc212203740"/>
      <w:r>
        <w:t>5.0 Investment appraisal and capital budgeting</w:t>
      </w:r>
      <w:bookmarkEnd w:id="14"/>
    </w:p>
    <w:p w14:paraId="05BB4F58" w14:textId="77777777" w:rsidR="009D1F83" w:rsidRDefault="00452E53" w:rsidP="006E7380">
      <w:pPr>
        <w:pStyle w:val="Heading2"/>
      </w:pPr>
      <w:bookmarkStart w:id="15" w:name="_Toc212203741"/>
      <w:r>
        <w:t>5.1 Application of investment appraisal techniques</w:t>
      </w:r>
      <w:bookmarkEnd w:id="15"/>
    </w:p>
    <w:p w14:paraId="7DDF8F8C" w14:textId="77777777" w:rsidR="009D1F83" w:rsidRPr="006E7380" w:rsidRDefault="00452E53">
      <w:pPr>
        <w:spacing w:line="360" w:lineRule="auto"/>
        <w:jc w:val="both"/>
        <w:rPr>
          <w:b/>
          <w:i/>
          <w:sz w:val="24"/>
          <w:szCs w:val="24"/>
        </w:rPr>
      </w:pPr>
      <w:r w:rsidRPr="006E7380">
        <w:rPr>
          <w:b/>
          <w:i/>
          <w:sz w:val="24"/>
          <w:szCs w:val="24"/>
        </w:rPr>
        <w:t>Net present value</w:t>
      </w:r>
    </w:p>
    <w:p w14:paraId="0492F0FD" w14:textId="77777777" w:rsidR="009D1F83" w:rsidRDefault="009D1F83">
      <w:pPr>
        <w:spacing w:line="360" w:lineRule="auto"/>
        <w:jc w:val="both"/>
        <w:rPr>
          <w:b/>
          <w:sz w:val="24"/>
          <w:szCs w:val="24"/>
        </w:rPr>
      </w:pPr>
    </w:p>
    <w:tbl>
      <w:tblPr>
        <w:tblStyle w:val="a0"/>
        <w:tblW w:w="5000" w:type="pct"/>
        <w:tblInd w:w="0" w:type="dxa"/>
        <w:tblBorders>
          <w:top w:val="nil"/>
          <w:left w:val="nil"/>
          <w:bottom w:val="nil"/>
          <w:right w:val="nil"/>
          <w:insideH w:val="nil"/>
          <w:insideV w:val="nil"/>
        </w:tblBorders>
        <w:tblLook w:val="0600" w:firstRow="0" w:lastRow="0" w:firstColumn="0" w:lastColumn="0" w:noHBand="1" w:noVBand="1"/>
      </w:tblPr>
      <w:tblGrid>
        <w:gridCol w:w="829"/>
        <w:gridCol w:w="1188"/>
        <w:gridCol w:w="983"/>
        <w:gridCol w:w="983"/>
        <w:gridCol w:w="983"/>
        <w:gridCol w:w="1458"/>
        <w:gridCol w:w="1458"/>
        <w:gridCol w:w="1458"/>
      </w:tblGrid>
      <w:tr w:rsidR="00592CFC" w14:paraId="01A8D869" w14:textId="77777777" w:rsidTr="006E7380">
        <w:trPr>
          <w:trHeight w:val="315"/>
        </w:trPr>
        <w:tc>
          <w:tcPr>
            <w:tcW w:w="187" w:type="pct"/>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vAlign w:val="bottom"/>
          </w:tcPr>
          <w:p w14:paraId="1433C898" w14:textId="77777777" w:rsidR="009D1F83" w:rsidRDefault="00452E53">
            <w:pPr>
              <w:spacing w:before="240"/>
              <w:jc w:val="both"/>
              <w:rPr>
                <w:b/>
                <w:sz w:val="24"/>
                <w:szCs w:val="24"/>
                <w:u w:val="single"/>
              </w:rPr>
            </w:pPr>
            <w:r>
              <w:rPr>
                <w:b/>
                <w:sz w:val="24"/>
                <w:szCs w:val="24"/>
                <w:u w:val="single"/>
              </w:rPr>
              <w:t>Years</w:t>
            </w:r>
          </w:p>
        </w:tc>
        <w:tc>
          <w:tcPr>
            <w:tcW w:w="581"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21A328EA" w14:textId="77777777" w:rsidR="009D1F83" w:rsidRDefault="00452E53">
            <w:pPr>
              <w:spacing w:before="240"/>
              <w:jc w:val="both"/>
              <w:rPr>
                <w:b/>
                <w:sz w:val="24"/>
                <w:szCs w:val="24"/>
                <w:u w:val="single"/>
              </w:rPr>
            </w:pPr>
            <w:r>
              <w:rPr>
                <w:b/>
                <w:sz w:val="24"/>
                <w:szCs w:val="24"/>
                <w:u w:val="single"/>
              </w:rPr>
              <w:t>Discount Factors 10%</w:t>
            </w:r>
          </w:p>
        </w:tc>
        <w:tc>
          <w:tcPr>
            <w:tcW w:w="456"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0B656D9B" w14:textId="77777777" w:rsidR="009D1F83" w:rsidRDefault="00452E53">
            <w:pPr>
              <w:spacing w:before="240"/>
              <w:jc w:val="both"/>
              <w:rPr>
                <w:b/>
                <w:sz w:val="24"/>
                <w:szCs w:val="24"/>
                <w:u w:val="single"/>
              </w:rPr>
            </w:pPr>
            <w:r>
              <w:rPr>
                <w:b/>
                <w:sz w:val="24"/>
                <w:szCs w:val="24"/>
                <w:u w:val="single"/>
              </w:rPr>
              <w:t>Project A in m(£)</w:t>
            </w:r>
          </w:p>
        </w:tc>
        <w:tc>
          <w:tcPr>
            <w:tcW w:w="459"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4D2A898E" w14:textId="77777777" w:rsidR="009D1F83" w:rsidRDefault="00452E53">
            <w:pPr>
              <w:spacing w:before="240"/>
              <w:jc w:val="both"/>
              <w:rPr>
                <w:b/>
                <w:sz w:val="24"/>
                <w:szCs w:val="24"/>
                <w:u w:val="single"/>
              </w:rPr>
            </w:pPr>
            <w:r>
              <w:rPr>
                <w:b/>
                <w:sz w:val="24"/>
                <w:szCs w:val="24"/>
                <w:u w:val="single"/>
              </w:rPr>
              <w:t>Project B in m(£)</w:t>
            </w:r>
          </w:p>
        </w:tc>
        <w:tc>
          <w:tcPr>
            <w:tcW w:w="476"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73EBF9E7" w14:textId="77777777" w:rsidR="009D1F83" w:rsidRDefault="00452E53">
            <w:pPr>
              <w:spacing w:before="240"/>
              <w:jc w:val="both"/>
              <w:rPr>
                <w:b/>
                <w:sz w:val="24"/>
                <w:szCs w:val="24"/>
                <w:u w:val="single"/>
              </w:rPr>
            </w:pPr>
            <w:r>
              <w:rPr>
                <w:b/>
                <w:sz w:val="24"/>
                <w:szCs w:val="24"/>
                <w:u w:val="single"/>
              </w:rPr>
              <w:t>Project C  in m(£)</w:t>
            </w:r>
          </w:p>
        </w:tc>
        <w:tc>
          <w:tcPr>
            <w:tcW w:w="943"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3EDF13A5" w14:textId="77777777" w:rsidR="009D1F83" w:rsidRDefault="00452E53">
            <w:pPr>
              <w:spacing w:before="240"/>
              <w:jc w:val="both"/>
              <w:rPr>
                <w:b/>
                <w:sz w:val="24"/>
                <w:szCs w:val="24"/>
                <w:u w:val="single"/>
              </w:rPr>
            </w:pPr>
            <w:r>
              <w:rPr>
                <w:b/>
                <w:sz w:val="24"/>
                <w:szCs w:val="24"/>
                <w:u w:val="single"/>
              </w:rPr>
              <w:t>Discounted cash flow for project A (£)</w:t>
            </w:r>
          </w:p>
        </w:tc>
        <w:tc>
          <w:tcPr>
            <w:tcW w:w="947"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0F017D2E" w14:textId="77777777" w:rsidR="009D1F83" w:rsidRDefault="00452E53">
            <w:pPr>
              <w:spacing w:before="240"/>
              <w:jc w:val="both"/>
              <w:rPr>
                <w:b/>
                <w:sz w:val="24"/>
                <w:szCs w:val="24"/>
                <w:u w:val="single"/>
              </w:rPr>
            </w:pPr>
            <w:r>
              <w:rPr>
                <w:b/>
                <w:sz w:val="24"/>
                <w:szCs w:val="24"/>
                <w:u w:val="single"/>
              </w:rPr>
              <w:t>Discounted cash flow for project B (£)</w:t>
            </w:r>
          </w:p>
        </w:tc>
        <w:tc>
          <w:tcPr>
            <w:tcW w:w="950"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472C1831" w14:textId="77777777" w:rsidR="009D1F83" w:rsidRDefault="00452E53">
            <w:pPr>
              <w:spacing w:before="240"/>
              <w:jc w:val="both"/>
              <w:rPr>
                <w:b/>
                <w:sz w:val="24"/>
                <w:szCs w:val="24"/>
                <w:u w:val="single"/>
              </w:rPr>
            </w:pPr>
            <w:r>
              <w:rPr>
                <w:b/>
                <w:sz w:val="24"/>
                <w:szCs w:val="24"/>
                <w:u w:val="single"/>
              </w:rPr>
              <w:t>Discounted cash flow for project C (£)</w:t>
            </w:r>
          </w:p>
        </w:tc>
      </w:tr>
      <w:tr w:rsidR="00592CFC" w14:paraId="694AEC0A" w14:textId="77777777" w:rsidTr="006E7380">
        <w:trPr>
          <w:trHeight w:val="315"/>
        </w:trPr>
        <w:tc>
          <w:tcPr>
            <w:tcW w:w="187"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4582E7FF" w14:textId="77777777" w:rsidR="009D1F83" w:rsidRDefault="00452E53">
            <w:pPr>
              <w:spacing w:before="240"/>
              <w:jc w:val="right"/>
              <w:rPr>
                <w:sz w:val="24"/>
                <w:szCs w:val="24"/>
              </w:rPr>
            </w:pPr>
            <w:r>
              <w:rPr>
                <w:sz w:val="24"/>
                <w:szCs w:val="24"/>
              </w:rPr>
              <w:t>1</w:t>
            </w:r>
          </w:p>
        </w:tc>
        <w:tc>
          <w:tcPr>
            <w:tcW w:w="581"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4A0AEFCA" w14:textId="77777777" w:rsidR="009D1F83" w:rsidRDefault="00452E53">
            <w:pPr>
              <w:spacing w:before="240"/>
              <w:jc w:val="right"/>
              <w:rPr>
                <w:sz w:val="24"/>
                <w:szCs w:val="24"/>
              </w:rPr>
            </w:pPr>
            <w:r>
              <w:rPr>
                <w:sz w:val="24"/>
                <w:szCs w:val="24"/>
              </w:rPr>
              <w:t>0.909</w:t>
            </w:r>
          </w:p>
        </w:tc>
        <w:tc>
          <w:tcPr>
            <w:tcW w:w="45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209DE8A2" w14:textId="77777777" w:rsidR="009D1F83" w:rsidRDefault="00452E53">
            <w:pPr>
              <w:spacing w:before="240"/>
              <w:jc w:val="right"/>
              <w:rPr>
                <w:sz w:val="24"/>
                <w:szCs w:val="24"/>
              </w:rPr>
            </w:pPr>
            <w:r>
              <w:rPr>
                <w:sz w:val="24"/>
                <w:szCs w:val="24"/>
              </w:rPr>
              <w:t>10</w:t>
            </w:r>
          </w:p>
        </w:tc>
        <w:tc>
          <w:tcPr>
            <w:tcW w:w="459"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64F256EE" w14:textId="77777777" w:rsidR="009D1F83" w:rsidRDefault="00452E53">
            <w:pPr>
              <w:spacing w:before="240"/>
              <w:jc w:val="right"/>
              <w:rPr>
                <w:sz w:val="24"/>
                <w:szCs w:val="24"/>
              </w:rPr>
            </w:pPr>
            <w:r>
              <w:rPr>
                <w:sz w:val="24"/>
                <w:szCs w:val="24"/>
              </w:rPr>
              <w:t>6</w:t>
            </w:r>
          </w:p>
        </w:tc>
        <w:tc>
          <w:tcPr>
            <w:tcW w:w="47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3FFDDEA0" w14:textId="77777777" w:rsidR="009D1F83" w:rsidRDefault="00452E53">
            <w:pPr>
              <w:spacing w:before="240"/>
              <w:jc w:val="right"/>
              <w:rPr>
                <w:sz w:val="24"/>
                <w:szCs w:val="24"/>
              </w:rPr>
            </w:pPr>
            <w:r>
              <w:rPr>
                <w:sz w:val="24"/>
                <w:szCs w:val="24"/>
              </w:rPr>
              <w:t>5</w:t>
            </w:r>
          </w:p>
        </w:tc>
        <w:tc>
          <w:tcPr>
            <w:tcW w:w="943"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95264C3" w14:textId="77777777" w:rsidR="009D1F83" w:rsidRDefault="00452E53">
            <w:pPr>
              <w:spacing w:before="240"/>
              <w:jc w:val="right"/>
              <w:rPr>
                <w:sz w:val="24"/>
                <w:szCs w:val="24"/>
              </w:rPr>
            </w:pPr>
            <w:r>
              <w:rPr>
                <w:sz w:val="24"/>
                <w:szCs w:val="24"/>
              </w:rPr>
              <w:t>9.09</w:t>
            </w:r>
          </w:p>
        </w:tc>
        <w:tc>
          <w:tcPr>
            <w:tcW w:w="94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38F04F01" w14:textId="77777777" w:rsidR="009D1F83" w:rsidRDefault="00452E53">
            <w:pPr>
              <w:spacing w:before="240"/>
              <w:jc w:val="right"/>
              <w:rPr>
                <w:sz w:val="24"/>
                <w:szCs w:val="24"/>
              </w:rPr>
            </w:pPr>
            <w:r>
              <w:rPr>
                <w:sz w:val="24"/>
                <w:szCs w:val="24"/>
              </w:rPr>
              <w:t>5.454</w:t>
            </w:r>
          </w:p>
        </w:tc>
        <w:tc>
          <w:tcPr>
            <w:tcW w:w="950"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76139BBF" w14:textId="77777777" w:rsidR="009D1F83" w:rsidRDefault="00452E53">
            <w:pPr>
              <w:spacing w:before="240"/>
              <w:jc w:val="right"/>
              <w:rPr>
                <w:sz w:val="24"/>
                <w:szCs w:val="24"/>
              </w:rPr>
            </w:pPr>
            <w:r>
              <w:rPr>
                <w:sz w:val="24"/>
                <w:szCs w:val="24"/>
              </w:rPr>
              <w:t>4.545</w:t>
            </w:r>
          </w:p>
        </w:tc>
      </w:tr>
      <w:tr w:rsidR="00592CFC" w14:paraId="3B473A0A" w14:textId="77777777" w:rsidTr="006E7380">
        <w:trPr>
          <w:trHeight w:val="315"/>
        </w:trPr>
        <w:tc>
          <w:tcPr>
            <w:tcW w:w="187"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7A4E2CFF" w14:textId="77777777" w:rsidR="009D1F83" w:rsidRDefault="00452E53">
            <w:pPr>
              <w:spacing w:before="240"/>
              <w:jc w:val="right"/>
              <w:rPr>
                <w:sz w:val="24"/>
                <w:szCs w:val="24"/>
              </w:rPr>
            </w:pPr>
            <w:r>
              <w:rPr>
                <w:sz w:val="24"/>
                <w:szCs w:val="24"/>
              </w:rPr>
              <w:t>2</w:t>
            </w:r>
          </w:p>
        </w:tc>
        <w:tc>
          <w:tcPr>
            <w:tcW w:w="581"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24212C06" w14:textId="77777777" w:rsidR="009D1F83" w:rsidRDefault="00452E53">
            <w:pPr>
              <w:spacing w:before="240"/>
              <w:jc w:val="right"/>
              <w:rPr>
                <w:sz w:val="24"/>
                <w:szCs w:val="24"/>
              </w:rPr>
            </w:pPr>
            <w:r>
              <w:rPr>
                <w:sz w:val="24"/>
                <w:szCs w:val="24"/>
              </w:rPr>
              <w:t>0.826</w:t>
            </w:r>
          </w:p>
        </w:tc>
        <w:tc>
          <w:tcPr>
            <w:tcW w:w="45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27A29F8C" w14:textId="77777777" w:rsidR="009D1F83" w:rsidRDefault="00452E53">
            <w:pPr>
              <w:spacing w:before="240"/>
              <w:jc w:val="right"/>
              <w:rPr>
                <w:sz w:val="24"/>
                <w:szCs w:val="24"/>
              </w:rPr>
            </w:pPr>
            <w:r>
              <w:rPr>
                <w:sz w:val="24"/>
                <w:szCs w:val="24"/>
              </w:rPr>
              <w:t>12</w:t>
            </w:r>
          </w:p>
        </w:tc>
        <w:tc>
          <w:tcPr>
            <w:tcW w:w="459"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24CF8EA2" w14:textId="77777777" w:rsidR="009D1F83" w:rsidRDefault="00452E53">
            <w:pPr>
              <w:spacing w:before="240"/>
              <w:jc w:val="right"/>
              <w:rPr>
                <w:sz w:val="24"/>
                <w:szCs w:val="24"/>
              </w:rPr>
            </w:pPr>
            <w:r>
              <w:rPr>
                <w:sz w:val="24"/>
                <w:szCs w:val="24"/>
              </w:rPr>
              <w:t>6</w:t>
            </w:r>
          </w:p>
        </w:tc>
        <w:tc>
          <w:tcPr>
            <w:tcW w:w="47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499FAF59" w14:textId="77777777" w:rsidR="009D1F83" w:rsidRDefault="00452E53">
            <w:pPr>
              <w:spacing w:before="240"/>
              <w:jc w:val="right"/>
              <w:rPr>
                <w:sz w:val="24"/>
                <w:szCs w:val="24"/>
              </w:rPr>
            </w:pPr>
            <w:r>
              <w:rPr>
                <w:sz w:val="24"/>
                <w:szCs w:val="24"/>
              </w:rPr>
              <w:t>10</w:t>
            </w:r>
          </w:p>
        </w:tc>
        <w:tc>
          <w:tcPr>
            <w:tcW w:w="943"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E16C2A6" w14:textId="77777777" w:rsidR="009D1F83" w:rsidRDefault="00452E53">
            <w:pPr>
              <w:spacing w:before="240"/>
              <w:jc w:val="right"/>
              <w:rPr>
                <w:sz w:val="24"/>
                <w:szCs w:val="24"/>
              </w:rPr>
            </w:pPr>
            <w:r>
              <w:rPr>
                <w:sz w:val="24"/>
                <w:szCs w:val="24"/>
              </w:rPr>
              <w:t>9.912</w:t>
            </w:r>
          </w:p>
        </w:tc>
        <w:tc>
          <w:tcPr>
            <w:tcW w:w="94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1A362190" w14:textId="77777777" w:rsidR="009D1F83" w:rsidRDefault="00452E53">
            <w:pPr>
              <w:spacing w:before="240"/>
              <w:jc w:val="right"/>
              <w:rPr>
                <w:sz w:val="24"/>
                <w:szCs w:val="24"/>
              </w:rPr>
            </w:pPr>
            <w:r>
              <w:rPr>
                <w:sz w:val="24"/>
                <w:szCs w:val="24"/>
              </w:rPr>
              <w:t>4.956</w:t>
            </w:r>
          </w:p>
        </w:tc>
        <w:tc>
          <w:tcPr>
            <w:tcW w:w="950"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29B26130" w14:textId="77777777" w:rsidR="009D1F83" w:rsidRDefault="00452E53">
            <w:pPr>
              <w:spacing w:before="240"/>
              <w:jc w:val="right"/>
              <w:rPr>
                <w:sz w:val="24"/>
                <w:szCs w:val="24"/>
              </w:rPr>
            </w:pPr>
            <w:r>
              <w:rPr>
                <w:sz w:val="24"/>
                <w:szCs w:val="24"/>
              </w:rPr>
              <w:t>8.26</w:t>
            </w:r>
          </w:p>
        </w:tc>
      </w:tr>
      <w:tr w:rsidR="00592CFC" w14:paraId="0940A725" w14:textId="77777777" w:rsidTr="006E7380">
        <w:trPr>
          <w:trHeight w:val="315"/>
        </w:trPr>
        <w:tc>
          <w:tcPr>
            <w:tcW w:w="187"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368A760A" w14:textId="77777777" w:rsidR="009D1F83" w:rsidRDefault="00452E53">
            <w:pPr>
              <w:spacing w:before="240"/>
              <w:jc w:val="right"/>
              <w:rPr>
                <w:sz w:val="24"/>
                <w:szCs w:val="24"/>
              </w:rPr>
            </w:pPr>
            <w:r>
              <w:rPr>
                <w:sz w:val="24"/>
                <w:szCs w:val="24"/>
              </w:rPr>
              <w:t>3</w:t>
            </w:r>
          </w:p>
        </w:tc>
        <w:tc>
          <w:tcPr>
            <w:tcW w:w="581"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78DF2064" w14:textId="77777777" w:rsidR="009D1F83" w:rsidRDefault="00452E53">
            <w:pPr>
              <w:spacing w:before="240"/>
              <w:jc w:val="right"/>
              <w:rPr>
                <w:sz w:val="24"/>
                <w:szCs w:val="24"/>
              </w:rPr>
            </w:pPr>
            <w:r>
              <w:rPr>
                <w:sz w:val="24"/>
                <w:szCs w:val="24"/>
              </w:rPr>
              <w:t>0.751</w:t>
            </w:r>
          </w:p>
        </w:tc>
        <w:tc>
          <w:tcPr>
            <w:tcW w:w="45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22EA9677" w14:textId="77777777" w:rsidR="009D1F83" w:rsidRDefault="00452E53">
            <w:pPr>
              <w:spacing w:before="240"/>
              <w:jc w:val="right"/>
              <w:rPr>
                <w:sz w:val="24"/>
                <w:szCs w:val="24"/>
              </w:rPr>
            </w:pPr>
            <w:r>
              <w:rPr>
                <w:sz w:val="24"/>
                <w:szCs w:val="24"/>
              </w:rPr>
              <w:t>14</w:t>
            </w:r>
          </w:p>
        </w:tc>
        <w:tc>
          <w:tcPr>
            <w:tcW w:w="459"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1C9B09B5" w14:textId="77777777" w:rsidR="009D1F83" w:rsidRDefault="00452E53">
            <w:pPr>
              <w:spacing w:before="240"/>
              <w:jc w:val="right"/>
              <w:rPr>
                <w:sz w:val="24"/>
                <w:szCs w:val="24"/>
              </w:rPr>
            </w:pPr>
            <w:r>
              <w:rPr>
                <w:sz w:val="24"/>
                <w:szCs w:val="24"/>
              </w:rPr>
              <w:t>6</w:t>
            </w:r>
          </w:p>
        </w:tc>
        <w:tc>
          <w:tcPr>
            <w:tcW w:w="47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2D01A42" w14:textId="77777777" w:rsidR="009D1F83" w:rsidRDefault="00452E53">
            <w:pPr>
              <w:spacing w:before="240"/>
              <w:jc w:val="right"/>
              <w:rPr>
                <w:sz w:val="24"/>
                <w:szCs w:val="24"/>
              </w:rPr>
            </w:pPr>
            <w:r>
              <w:rPr>
                <w:sz w:val="24"/>
                <w:szCs w:val="24"/>
              </w:rPr>
              <w:t>20</w:t>
            </w:r>
          </w:p>
        </w:tc>
        <w:tc>
          <w:tcPr>
            <w:tcW w:w="943"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48BFD9E" w14:textId="77777777" w:rsidR="009D1F83" w:rsidRDefault="00452E53">
            <w:pPr>
              <w:spacing w:before="240"/>
              <w:jc w:val="right"/>
              <w:rPr>
                <w:sz w:val="24"/>
                <w:szCs w:val="24"/>
              </w:rPr>
            </w:pPr>
            <w:r>
              <w:rPr>
                <w:sz w:val="24"/>
                <w:szCs w:val="24"/>
              </w:rPr>
              <w:t>10.514</w:t>
            </w:r>
          </w:p>
        </w:tc>
        <w:tc>
          <w:tcPr>
            <w:tcW w:w="94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98D4D40" w14:textId="77777777" w:rsidR="009D1F83" w:rsidRDefault="00452E53">
            <w:pPr>
              <w:spacing w:before="240"/>
              <w:jc w:val="right"/>
              <w:rPr>
                <w:sz w:val="24"/>
                <w:szCs w:val="24"/>
              </w:rPr>
            </w:pPr>
            <w:r>
              <w:rPr>
                <w:sz w:val="24"/>
                <w:szCs w:val="24"/>
              </w:rPr>
              <w:t>4.506</w:t>
            </w:r>
          </w:p>
        </w:tc>
        <w:tc>
          <w:tcPr>
            <w:tcW w:w="950"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CD95939" w14:textId="77777777" w:rsidR="009D1F83" w:rsidRDefault="00452E53">
            <w:pPr>
              <w:spacing w:before="240"/>
              <w:jc w:val="right"/>
              <w:rPr>
                <w:sz w:val="24"/>
                <w:szCs w:val="24"/>
              </w:rPr>
            </w:pPr>
            <w:r>
              <w:rPr>
                <w:sz w:val="24"/>
                <w:szCs w:val="24"/>
              </w:rPr>
              <w:t>15.02</w:t>
            </w:r>
          </w:p>
        </w:tc>
      </w:tr>
      <w:tr w:rsidR="00592CFC" w14:paraId="268695DC" w14:textId="77777777" w:rsidTr="006E7380">
        <w:trPr>
          <w:trHeight w:val="315"/>
        </w:trPr>
        <w:tc>
          <w:tcPr>
            <w:tcW w:w="187"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1058F54D" w14:textId="77777777" w:rsidR="009D1F83" w:rsidRDefault="00452E53">
            <w:pPr>
              <w:spacing w:before="240"/>
              <w:jc w:val="right"/>
              <w:rPr>
                <w:sz w:val="24"/>
                <w:szCs w:val="24"/>
              </w:rPr>
            </w:pPr>
            <w:r>
              <w:rPr>
                <w:sz w:val="24"/>
                <w:szCs w:val="24"/>
              </w:rPr>
              <w:t>4</w:t>
            </w:r>
          </w:p>
        </w:tc>
        <w:tc>
          <w:tcPr>
            <w:tcW w:w="581"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3FC73E67" w14:textId="77777777" w:rsidR="009D1F83" w:rsidRDefault="00452E53">
            <w:pPr>
              <w:spacing w:before="240"/>
              <w:jc w:val="right"/>
              <w:rPr>
                <w:sz w:val="24"/>
                <w:szCs w:val="24"/>
              </w:rPr>
            </w:pPr>
            <w:r>
              <w:rPr>
                <w:sz w:val="24"/>
                <w:szCs w:val="24"/>
              </w:rPr>
              <w:t>0.683</w:t>
            </w:r>
          </w:p>
        </w:tc>
        <w:tc>
          <w:tcPr>
            <w:tcW w:w="45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59B1C78A" w14:textId="77777777" w:rsidR="009D1F83" w:rsidRDefault="00452E53">
            <w:pPr>
              <w:spacing w:before="240"/>
              <w:jc w:val="right"/>
              <w:rPr>
                <w:sz w:val="24"/>
                <w:szCs w:val="24"/>
              </w:rPr>
            </w:pPr>
            <w:r>
              <w:rPr>
                <w:sz w:val="24"/>
                <w:szCs w:val="24"/>
              </w:rPr>
              <w:t>10</w:t>
            </w:r>
          </w:p>
        </w:tc>
        <w:tc>
          <w:tcPr>
            <w:tcW w:w="459"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1440D5F9" w14:textId="77777777" w:rsidR="009D1F83" w:rsidRDefault="00452E53">
            <w:pPr>
              <w:spacing w:before="240"/>
              <w:jc w:val="right"/>
              <w:rPr>
                <w:sz w:val="24"/>
                <w:szCs w:val="24"/>
              </w:rPr>
            </w:pPr>
            <w:r>
              <w:rPr>
                <w:sz w:val="24"/>
                <w:szCs w:val="24"/>
              </w:rPr>
              <w:t>6</w:t>
            </w:r>
          </w:p>
        </w:tc>
        <w:tc>
          <w:tcPr>
            <w:tcW w:w="47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165D66F5" w14:textId="77777777" w:rsidR="009D1F83" w:rsidRDefault="00452E53">
            <w:pPr>
              <w:spacing w:before="240"/>
              <w:jc w:val="right"/>
              <w:rPr>
                <w:sz w:val="24"/>
                <w:szCs w:val="24"/>
              </w:rPr>
            </w:pPr>
            <w:r>
              <w:rPr>
                <w:sz w:val="24"/>
                <w:szCs w:val="24"/>
              </w:rPr>
              <w:t>25</w:t>
            </w:r>
          </w:p>
        </w:tc>
        <w:tc>
          <w:tcPr>
            <w:tcW w:w="943"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18439302" w14:textId="77777777" w:rsidR="009D1F83" w:rsidRDefault="00452E53">
            <w:pPr>
              <w:spacing w:before="240"/>
              <w:jc w:val="right"/>
              <w:rPr>
                <w:sz w:val="24"/>
                <w:szCs w:val="24"/>
              </w:rPr>
            </w:pPr>
            <w:r>
              <w:rPr>
                <w:sz w:val="24"/>
                <w:szCs w:val="24"/>
              </w:rPr>
              <w:t>6.83</w:t>
            </w:r>
          </w:p>
        </w:tc>
        <w:tc>
          <w:tcPr>
            <w:tcW w:w="94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736B6A92" w14:textId="77777777" w:rsidR="009D1F83" w:rsidRDefault="00452E53">
            <w:pPr>
              <w:spacing w:before="240"/>
              <w:jc w:val="right"/>
              <w:rPr>
                <w:sz w:val="24"/>
                <w:szCs w:val="24"/>
              </w:rPr>
            </w:pPr>
            <w:r>
              <w:rPr>
                <w:sz w:val="24"/>
                <w:szCs w:val="24"/>
              </w:rPr>
              <w:t>4.098</w:t>
            </w:r>
          </w:p>
        </w:tc>
        <w:tc>
          <w:tcPr>
            <w:tcW w:w="950"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7AE461BD" w14:textId="77777777" w:rsidR="009D1F83" w:rsidRDefault="00452E53">
            <w:pPr>
              <w:spacing w:before="240"/>
              <w:jc w:val="right"/>
              <w:rPr>
                <w:sz w:val="24"/>
                <w:szCs w:val="24"/>
              </w:rPr>
            </w:pPr>
            <w:r>
              <w:rPr>
                <w:sz w:val="24"/>
                <w:szCs w:val="24"/>
              </w:rPr>
              <w:t>17.075</w:t>
            </w:r>
          </w:p>
        </w:tc>
      </w:tr>
      <w:tr w:rsidR="00592CFC" w14:paraId="7CD5E79E" w14:textId="77777777" w:rsidTr="006E7380">
        <w:trPr>
          <w:trHeight w:val="315"/>
        </w:trPr>
        <w:tc>
          <w:tcPr>
            <w:tcW w:w="187"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142FD8B0" w14:textId="77777777" w:rsidR="009D1F83" w:rsidRDefault="00452E53">
            <w:pPr>
              <w:spacing w:before="240"/>
              <w:jc w:val="right"/>
              <w:rPr>
                <w:sz w:val="24"/>
                <w:szCs w:val="24"/>
              </w:rPr>
            </w:pPr>
            <w:r>
              <w:rPr>
                <w:sz w:val="24"/>
                <w:szCs w:val="24"/>
              </w:rPr>
              <w:t>5</w:t>
            </w:r>
          </w:p>
        </w:tc>
        <w:tc>
          <w:tcPr>
            <w:tcW w:w="581"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A98A185" w14:textId="77777777" w:rsidR="009D1F83" w:rsidRDefault="00452E53">
            <w:pPr>
              <w:spacing w:before="240"/>
              <w:jc w:val="right"/>
              <w:rPr>
                <w:sz w:val="24"/>
                <w:szCs w:val="24"/>
              </w:rPr>
            </w:pPr>
            <w:r>
              <w:rPr>
                <w:sz w:val="24"/>
                <w:szCs w:val="24"/>
              </w:rPr>
              <w:t>0.621</w:t>
            </w:r>
          </w:p>
        </w:tc>
        <w:tc>
          <w:tcPr>
            <w:tcW w:w="45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1C792D08" w14:textId="77777777" w:rsidR="009D1F83" w:rsidRDefault="00452E53">
            <w:pPr>
              <w:spacing w:before="240"/>
              <w:jc w:val="right"/>
              <w:rPr>
                <w:sz w:val="24"/>
                <w:szCs w:val="24"/>
              </w:rPr>
            </w:pPr>
            <w:r>
              <w:rPr>
                <w:sz w:val="24"/>
                <w:szCs w:val="24"/>
              </w:rPr>
              <w:t>8</w:t>
            </w:r>
          </w:p>
        </w:tc>
        <w:tc>
          <w:tcPr>
            <w:tcW w:w="459"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6FC14AD8" w14:textId="77777777" w:rsidR="009D1F83" w:rsidRDefault="00452E53">
            <w:pPr>
              <w:spacing w:before="240"/>
              <w:jc w:val="right"/>
              <w:rPr>
                <w:sz w:val="24"/>
                <w:szCs w:val="24"/>
              </w:rPr>
            </w:pPr>
            <w:r>
              <w:rPr>
                <w:sz w:val="24"/>
                <w:szCs w:val="24"/>
              </w:rPr>
              <w:t>6</w:t>
            </w:r>
          </w:p>
        </w:tc>
        <w:tc>
          <w:tcPr>
            <w:tcW w:w="47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6561307C" w14:textId="77777777" w:rsidR="009D1F83" w:rsidRDefault="00452E53">
            <w:pPr>
              <w:spacing w:before="240"/>
              <w:jc w:val="right"/>
              <w:rPr>
                <w:sz w:val="24"/>
                <w:szCs w:val="24"/>
              </w:rPr>
            </w:pPr>
            <w:r>
              <w:rPr>
                <w:sz w:val="24"/>
                <w:szCs w:val="24"/>
              </w:rPr>
              <w:t>15</w:t>
            </w:r>
          </w:p>
        </w:tc>
        <w:tc>
          <w:tcPr>
            <w:tcW w:w="943"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5C8DF42A" w14:textId="77777777" w:rsidR="009D1F83" w:rsidRDefault="00452E53">
            <w:pPr>
              <w:spacing w:before="240"/>
              <w:jc w:val="right"/>
              <w:rPr>
                <w:sz w:val="24"/>
                <w:szCs w:val="24"/>
              </w:rPr>
            </w:pPr>
            <w:r>
              <w:rPr>
                <w:sz w:val="24"/>
                <w:szCs w:val="24"/>
              </w:rPr>
              <w:t>4.968</w:t>
            </w:r>
          </w:p>
        </w:tc>
        <w:tc>
          <w:tcPr>
            <w:tcW w:w="94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4CDCD768" w14:textId="77777777" w:rsidR="009D1F83" w:rsidRDefault="00452E53">
            <w:pPr>
              <w:spacing w:before="240"/>
              <w:jc w:val="right"/>
              <w:rPr>
                <w:sz w:val="24"/>
                <w:szCs w:val="24"/>
              </w:rPr>
            </w:pPr>
            <w:r>
              <w:rPr>
                <w:sz w:val="24"/>
                <w:szCs w:val="24"/>
              </w:rPr>
              <w:t>3.726</w:t>
            </w:r>
          </w:p>
        </w:tc>
        <w:tc>
          <w:tcPr>
            <w:tcW w:w="950"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4F409D0D" w14:textId="77777777" w:rsidR="009D1F83" w:rsidRDefault="00452E53">
            <w:pPr>
              <w:spacing w:before="240"/>
              <w:jc w:val="right"/>
              <w:rPr>
                <w:sz w:val="24"/>
                <w:szCs w:val="24"/>
              </w:rPr>
            </w:pPr>
            <w:r>
              <w:rPr>
                <w:sz w:val="24"/>
                <w:szCs w:val="24"/>
              </w:rPr>
              <w:t>9.315</w:t>
            </w:r>
          </w:p>
        </w:tc>
      </w:tr>
      <w:tr w:rsidR="00592CFC" w14:paraId="0F80477D" w14:textId="77777777" w:rsidTr="006E7380">
        <w:trPr>
          <w:trHeight w:val="315"/>
        </w:trPr>
        <w:tc>
          <w:tcPr>
            <w:tcW w:w="187" w:type="pct"/>
            <w:tcBorders>
              <w:top w:val="nil"/>
              <w:left w:val="nil"/>
              <w:bottom w:val="nil"/>
              <w:right w:val="nil"/>
            </w:tcBorders>
            <w:tcMar>
              <w:top w:w="0" w:type="dxa"/>
              <w:left w:w="100" w:type="dxa"/>
              <w:bottom w:w="0" w:type="dxa"/>
              <w:right w:w="100" w:type="dxa"/>
            </w:tcMar>
            <w:vAlign w:val="bottom"/>
          </w:tcPr>
          <w:p w14:paraId="352387D1" w14:textId="77777777" w:rsidR="009D1F83" w:rsidRDefault="009D1F83">
            <w:pPr>
              <w:spacing w:line="360" w:lineRule="auto"/>
              <w:jc w:val="both"/>
              <w:rPr>
                <w:b/>
                <w:sz w:val="24"/>
                <w:szCs w:val="24"/>
              </w:rPr>
            </w:pPr>
          </w:p>
        </w:tc>
        <w:tc>
          <w:tcPr>
            <w:tcW w:w="581" w:type="pct"/>
            <w:tcBorders>
              <w:top w:val="nil"/>
              <w:left w:val="nil"/>
              <w:bottom w:val="nil"/>
              <w:right w:val="nil"/>
            </w:tcBorders>
            <w:tcMar>
              <w:top w:w="0" w:type="dxa"/>
              <w:left w:w="100" w:type="dxa"/>
              <w:bottom w:w="0" w:type="dxa"/>
              <w:right w:w="100" w:type="dxa"/>
            </w:tcMar>
            <w:vAlign w:val="bottom"/>
          </w:tcPr>
          <w:p w14:paraId="2F1E3AAA" w14:textId="77777777" w:rsidR="009D1F83" w:rsidRDefault="009D1F83">
            <w:pPr>
              <w:spacing w:line="360" w:lineRule="auto"/>
              <w:jc w:val="both"/>
              <w:rPr>
                <w:b/>
                <w:sz w:val="24"/>
                <w:szCs w:val="24"/>
              </w:rPr>
            </w:pPr>
          </w:p>
        </w:tc>
        <w:tc>
          <w:tcPr>
            <w:tcW w:w="456" w:type="pct"/>
            <w:tcBorders>
              <w:top w:val="nil"/>
              <w:left w:val="nil"/>
              <w:bottom w:val="nil"/>
              <w:right w:val="nil"/>
            </w:tcBorders>
            <w:tcMar>
              <w:top w:w="0" w:type="dxa"/>
              <w:left w:w="100" w:type="dxa"/>
              <w:bottom w:w="0" w:type="dxa"/>
              <w:right w:w="100" w:type="dxa"/>
            </w:tcMar>
            <w:vAlign w:val="bottom"/>
          </w:tcPr>
          <w:p w14:paraId="35BD4827" w14:textId="77777777" w:rsidR="009D1F83" w:rsidRDefault="009D1F83">
            <w:pPr>
              <w:spacing w:line="360" w:lineRule="auto"/>
              <w:jc w:val="both"/>
              <w:rPr>
                <w:b/>
                <w:sz w:val="24"/>
                <w:szCs w:val="24"/>
              </w:rPr>
            </w:pPr>
          </w:p>
        </w:tc>
        <w:tc>
          <w:tcPr>
            <w:tcW w:w="459" w:type="pct"/>
            <w:tcBorders>
              <w:top w:val="nil"/>
              <w:left w:val="nil"/>
              <w:bottom w:val="nil"/>
              <w:right w:val="nil"/>
            </w:tcBorders>
            <w:tcMar>
              <w:top w:w="0" w:type="dxa"/>
              <w:left w:w="100" w:type="dxa"/>
              <w:bottom w:w="0" w:type="dxa"/>
              <w:right w:w="100" w:type="dxa"/>
            </w:tcMar>
            <w:vAlign w:val="bottom"/>
          </w:tcPr>
          <w:p w14:paraId="3985C314" w14:textId="77777777" w:rsidR="009D1F83" w:rsidRDefault="009D1F83">
            <w:pPr>
              <w:spacing w:line="360" w:lineRule="auto"/>
              <w:jc w:val="both"/>
              <w:rPr>
                <w:b/>
                <w:sz w:val="24"/>
                <w:szCs w:val="24"/>
              </w:rPr>
            </w:pPr>
          </w:p>
        </w:tc>
        <w:tc>
          <w:tcPr>
            <w:tcW w:w="476"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5B99B7F9" w14:textId="77777777" w:rsidR="009D1F83" w:rsidRDefault="00452E53">
            <w:pPr>
              <w:spacing w:before="240"/>
              <w:jc w:val="both"/>
              <w:rPr>
                <w:b/>
                <w:sz w:val="24"/>
                <w:szCs w:val="24"/>
              </w:rPr>
            </w:pPr>
            <w:r>
              <w:rPr>
                <w:b/>
                <w:sz w:val="24"/>
                <w:szCs w:val="24"/>
              </w:rPr>
              <w:t>Total</w:t>
            </w:r>
          </w:p>
        </w:tc>
        <w:tc>
          <w:tcPr>
            <w:tcW w:w="943"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33339FE7" w14:textId="77777777" w:rsidR="009D1F83" w:rsidRDefault="00452E53">
            <w:pPr>
              <w:spacing w:before="240"/>
              <w:jc w:val="right"/>
              <w:rPr>
                <w:b/>
                <w:sz w:val="24"/>
                <w:szCs w:val="24"/>
              </w:rPr>
            </w:pPr>
            <w:r>
              <w:rPr>
                <w:b/>
                <w:sz w:val="24"/>
                <w:szCs w:val="24"/>
              </w:rPr>
              <w:t>41.31</w:t>
            </w:r>
          </w:p>
        </w:tc>
        <w:tc>
          <w:tcPr>
            <w:tcW w:w="94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5E8A2F97" w14:textId="77777777" w:rsidR="009D1F83" w:rsidRDefault="00452E53">
            <w:pPr>
              <w:spacing w:before="240"/>
              <w:jc w:val="right"/>
              <w:rPr>
                <w:b/>
                <w:sz w:val="24"/>
                <w:szCs w:val="24"/>
              </w:rPr>
            </w:pPr>
            <w:r>
              <w:rPr>
                <w:b/>
                <w:sz w:val="24"/>
                <w:szCs w:val="24"/>
              </w:rPr>
              <w:t>22.74</w:t>
            </w:r>
          </w:p>
        </w:tc>
        <w:tc>
          <w:tcPr>
            <w:tcW w:w="950"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7650A96A" w14:textId="77777777" w:rsidR="009D1F83" w:rsidRDefault="00452E53">
            <w:pPr>
              <w:spacing w:before="240"/>
              <w:jc w:val="right"/>
              <w:rPr>
                <w:b/>
                <w:sz w:val="24"/>
                <w:szCs w:val="24"/>
              </w:rPr>
            </w:pPr>
            <w:r>
              <w:rPr>
                <w:b/>
                <w:sz w:val="24"/>
                <w:szCs w:val="24"/>
              </w:rPr>
              <w:t>54.22</w:t>
            </w:r>
          </w:p>
        </w:tc>
      </w:tr>
    </w:tbl>
    <w:p w14:paraId="4743432D" w14:textId="77777777" w:rsidR="009D1F83" w:rsidRDefault="009D1F83">
      <w:pPr>
        <w:spacing w:line="360" w:lineRule="auto"/>
        <w:jc w:val="both"/>
        <w:rPr>
          <w:b/>
          <w:sz w:val="24"/>
          <w:szCs w:val="24"/>
        </w:rPr>
      </w:pPr>
    </w:p>
    <w:p w14:paraId="7A74FB19" w14:textId="77777777" w:rsidR="009D1F83" w:rsidRDefault="009D1F83">
      <w:pPr>
        <w:spacing w:line="360" w:lineRule="auto"/>
        <w:jc w:val="both"/>
        <w:rPr>
          <w:b/>
          <w:sz w:val="24"/>
          <w:szCs w:val="24"/>
        </w:rPr>
      </w:pPr>
    </w:p>
    <w:tbl>
      <w:tblPr>
        <w:tblStyle w:val="a1"/>
        <w:tblW w:w="5000" w:type="pct"/>
        <w:tblInd w:w="0" w:type="dxa"/>
        <w:tblBorders>
          <w:top w:val="nil"/>
          <w:left w:val="nil"/>
          <w:bottom w:val="nil"/>
          <w:right w:val="nil"/>
          <w:insideH w:val="nil"/>
          <w:insideV w:val="nil"/>
        </w:tblBorders>
        <w:tblLook w:val="0600" w:firstRow="0" w:lastRow="0" w:firstColumn="0" w:lastColumn="0" w:noHBand="1" w:noVBand="1"/>
      </w:tblPr>
      <w:tblGrid>
        <w:gridCol w:w="7500"/>
        <w:gridCol w:w="1840"/>
      </w:tblGrid>
      <w:tr w:rsidR="00592CFC" w14:paraId="064C17BA" w14:textId="77777777" w:rsidTr="006E7380">
        <w:trPr>
          <w:trHeight w:val="315"/>
        </w:trPr>
        <w:tc>
          <w:tcPr>
            <w:tcW w:w="4015" w:type="pct"/>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vAlign w:val="bottom"/>
          </w:tcPr>
          <w:p w14:paraId="74D1E18B" w14:textId="77777777" w:rsidR="009D1F83" w:rsidRDefault="00452E53">
            <w:pPr>
              <w:spacing w:before="240"/>
              <w:jc w:val="both"/>
              <w:rPr>
                <w:b/>
                <w:sz w:val="24"/>
                <w:szCs w:val="24"/>
              </w:rPr>
            </w:pPr>
            <w:r>
              <w:rPr>
                <w:b/>
                <w:sz w:val="24"/>
                <w:szCs w:val="24"/>
              </w:rPr>
              <w:t>Initial Investments</w:t>
            </w:r>
          </w:p>
        </w:tc>
        <w:tc>
          <w:tcPr>
            <w:tcW w:w="985"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32C68E41" w14:textId="77777777" w:rsidR="009D1F83" w:rsidRDefault="00452E53">
            <w:pPr>
              <w:spacing w:before="240"/>
              <w:jc w:val="both"/>
              <w:rPr>
                <w:b/>
                <w:sz w:val="24"/>
                <w:szCs w:val="24"/>
              </w:rPr>
            </w:pPr>
            <w:r>
              <w:rPr>
                <w:b/>
                <w:sz w:val="24"/>
                <w:szCs w:val="24"/>
              </w:rPr>
              <w:t>Value in m(£)</w:t>
            </w:r>
          </w:p>
        </w:tc>
      </w:tr>
      <w:tr w:rsidR="00592CFC" w14:paraId="2355E411" w14:textId="77777777" w:rsidTr="006E7380">
        <w:trPr>
          <w:trHeight w:val="315"/>
        </w:trPr>
        <w:tc>
          <w:tcPr>
            <w:tcW w:w="4015"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3036F251" w14:textId="77777777" w:rsidR="009D1F83" w:rsidRDefault="00452E53">
            <w:pPr>
              <w:spacing w:before="240"/>
              <w:jc w:val="both"/>
              <w:rPr>
                <w:sz w:val="24"/>
                <w:szCs w:val="24"/>
              </w:rPr>
            </w:pPr>
            <w:r>
              <w:rPr>
                <w:sz w:val="24"/>
                <w:szCs w:val="24"/>
              </w:rPr>
              <w:t>Project A</w:t>
            </w:r>
          </w:p>
        </w:tc>
        <w:tc>
          <w:tcPr>
            <w:tcW w:w="985"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46FAECA9" w14:textId="77777777" w:rsidR="009D1F83" w:rsidRDefault="00452E53">
            <w:pPr>
              <w:spacing w:before="240"/>
              <w:jc w:val="right"/>
              <w:rPr>
                <w:sz w:val="24"/>
                <w:szCs w:val="24"/>
              </w:rPr>
            </w:pPr>
            <w:r>
              <w:rPr>
                <w:sz w:val="24"/>
                <w:szCs w:val="24"/>
              </w:rPr>
              <w:t>40</w:t>
            </w:r>
          </w:p>
        </w:tc>
      </w:tr>
      <w:tr w:rsidR="00592CFC" w14:paraId="4DF40BC8" w14:textId="77777777" w:rsidTr="006E7380">
        <w:trPr>
          <w:trHeight w:val="315"/>
        </w:trPr>
        <w:tc>
          <w:tcPr>
            <w:tcW w:w="4015"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311B1D65" w14:textId="77777777" w:rsidR="009D1F83" w:rsidRDefault="00452E53">
            <w:pPr>
              <w:spacing w:before="240"/>
              <w:jc w:val="both"/>
              <w:rPr>
                <w:sz w:val="24"/>
                <w:szCs w:val="24"/>
              </w:rPr>
            </w:pPr>
            <w:r>
              <w:rPr>
                <w:sz w:val="24"/>
                <w:szCs w:val="24"/>
              </w:rPr>
              <w:t>Project B</w:t>
            </w:r>
          </w:p>
        </w:tc>
        <w:tc>
          <w:tcPr>
            <w:tcW w:w="985"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78436E86" w14:textId="77777777" w:rsidR="009D1F83" w:rsidRDefault="00452E53">
            <w:pPr>
              <w:spacing w:before="240"/>
              <w:jc w:val="right"/>
              <w:rPr>
                <w:sz w:val="24"/>
                <w:szCs w:val="24"/>
              </w:rPr>
            </w:pPr>
            <w:r>
              <w:rPr>
                <w:sz w:val="24"/>
                <w:szCs w:val="24"/>
              </w:rPr>
              <w:t>30</w:t>
            </w:r>
          </w:p>
        </w:tc>
      </w:tr>
      <w:tr w:rsidR="00592CFC" w14:paraId="2A922E57" w14:textId="77777777" w:rsidTr="006E7380">
        <w:trPr>
          <w:trHeight w:val="315"/>
        </w:trPr>
        <w:tc>
          <w:tcPr>
            <w:tcW w:w="4015"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2674D04C" w14:textId="77777777" w:rsidR="009D1F83" w:rsidRDefault="00452E53">
            <w:pPr>
              <w:spacing w:before="240"/>
              <w:jc w:val="both"/>
              <w:rPr>
                <w:sz w:val="24"/>
                <w:szCs w:val="24"/>
              </w:rPr>
            </w:pPr>
            <w:r>
              <w:rPr>
                <w:sz w:val="24"/>
                <w:szCs w:val="24"/>
              </w:rPr>
              <w:t>Project C</w:t>
            </w:r>
          </w:p>
        </w:tc>
        <w:tc>
          <w:tcPr>
            <w:tcW w:w="985"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6A67C8E0" w14:textId="77777777" w:rsidR="009D1F83" w:rsidRDefault="00452E53">
            <w:pPr>
              <w:spacing w:before="240"/>
              <w:jc w:val="right"/>
              <w:rPr>
                <w:sz w:val="24"/>
                <w:szCs w:val="24"/>
              </w:rPr>
            </w:pPr>
            <w:r>
              <w:rPr>
                <w:sz w:val="24"/>
                <w:szCs w:val="24"/>
              </w:rPr>
              <w:t>50</w:t>
            </w:r>
          </w:p>
        </w:tc>
      </w:tr>
    </w:tbl>
    <w:p w14:paraId="450887D6" w14:textId="77777777" w:rsidR="009D1F83" w:rsidRDefault="009D1F83">
      <w:pPr>
        <w:spacing w:line="360" w:lineRule="auto"/>
        <w:jc w:val="both"/>
        <w:rPr>
          <w:b/>
          <w:sz w:val="24"/>
          <w:szCs w:val="24"/>
        </w:rPr>
      </w:pPr>
    </w:p>
    <w:tbl>
      <w:tblPr>
        <w:tblStyle w:val="a2"/>
        <w:tblW w:w="5000" w:type="pct"/>
        <w:tblInd w:w="0" w:type="dxa"/>
        <w:tblBorders>
          <w:top w:val="nil"/>
          <w:left w:val="nil"/>
          <w:bottom w:val="nil"/>
          <w:right w:val="nil"/>
          <w:insideH w:val="nil"/>
          <w:insideV w:val="nil"/>
        </w:tblBorders>
        <w:tblLook w:val="0600" w:firstRow="0" w:lastRow="0" w:firstColumn="0" w:lastColumn="0" w:noHBand="1" w:noVBand="1"/>
      </w:tblPr>
      <w:tblGrid>
        <w:gridCol w:w="7661"/>
        <w:gridCol w:w="1679"/>
      </w:tblGrid>
      <w:tr w:rsidR="00592CFC" w14:paraId="3121AB54" w14:textId="77777777" w:rsidTr="006E7380">
        <w:trPr>
          <w:trHeight w:val="315"/>
        </w:trPr>
        <w:tc>
          <w:tcPr>
            <w:tcW w:w="4101" w:type="pct"/>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vAlign w:val="bottom"/>
          </w:tcPr>
          <w:p w14:paraId="734FFA7A" w14:textId="77777777" w:rsidR="009D1F83" w:rsidRDefault="00452E53">
            <w:pPr>
              <w:spacing w:line="360" w:lineRule="auto"/>
              <w:jc w:val="both"/>
              <w:rPr>
                <w:b/>
                <w:sz w:val="24"/>
                <w:szCs w:val="24"/>
                <w:u w:val="single"/>
              </w:rPr>
            </w:pPr>
            <w:r>
              <w:rPr>
                <w:b/>
                <w:sz w:val="24"/>
                <w:szCs w:val="24"/>
                <w:u w:val="single"/>
              </w:rPr>
              <w:t>Net present value formula</w:t>
            </w:r>
          </w:p>
        </w:tc>
        <w:tc>
          <w:tcPr>
            <w:tcW w:w="899"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5E48FD13" w14:textId="77777777" w:rsidR="009D1F83" w:rsidRDefault="00452E53">
            <w:pPr>
              <w:spacing w:before="240"/>
              <w:jc w:val="both"/>
              <w:rPr>
                <w:b/>
                <w:sz w:val="24"/>
                <w:szCs w:val="24"/>
              </w:rPr>
            </w:pPr>
            <w:r>
              <w:rPr>
                <w:b/>
                <w:sz w:val="24"/>
                <w:szCs w:val="24"/>
              </w:rPr>
              <w:t>Value in m (£)</w:t>
            </w:r>
          </w:p>
        </w:tc>
      </w:tr>
      <w:tr w:rsidR="00592CFC" w14:paraId="011CE091" w14:textId="77777777" w:rsidTr="006E7380">
        <w:trPr>
          <w:trHeight w:val="315"/>
        </w:trPr>
        <w:tc>
          <w:tcPr>
            <w:tcW w:w="4101"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73B67ECB" w14:textId="77777777" w:rsidR="009D1F83" w:rsidRDefault="00452E53">
            <w:pPr>
              <w:spacing w:before="240"/>
              <w:jc w:val="both"/>
              <w:rPr>
                <w:sz w:val="24"/>
                <w:szCs w:val="24"/>
              </w:rPr>
            </w:pPr>
            <w:r>
              <w:rPr>
                <w:sz w:val="24"/>
                <w:szCs w:val="24"/>
              </w:rPr>
              <w:t>NPV for project A (Total Discounted Cash Flow value-Initial Investment)</w:t>
            </w:r>
          </w:p>
        </w:tc>
        <w:tc>
          <w:tcPr>
            <w:tcW w:w="899"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3B2B2450" w14:textId="77777777" w:rsidR="009D1F83" w:rsidRDefault="00452E53">
            <w:pPr>
              <w:spacing w:before="240"/>
              <w:jc w:val="right"/>
              <w:rPr>
                <w:b/>
                <w:sz w:val="24"/>
                <w:szCs w:val="24"/>
              </w:rPr>
            </w:pPr>
            <w:r>
              <w:rPr>
                <w:b/>
                <w:sz w:val="24"/>
                <w:szCs w:val="24"/>
              </w:rPr>
              <w:t>1.31</w:t>
            </w:r>
          </w:p>
        </w:tc>
      </w:tr>
      <w:tr w:rsidR="00592CFC" w14:paraId="1C841999" w14:textId="77777777" w:rsidTr="006E7380">
        <w:trPr>
          <w:trHeight w:val="315"/>
        </w:trPr>
        <w:tc>
          <w:tcPr>
            <w:tcW w:w="4101"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4BDFC370" w14:textId="77777777" w:rsidR="009D1F83" w:rsidRDefault="00452E53">
            <w:pPr>
              <w:spacing w:before="240"/>
              <w:jc w:val="both"/>
              <w:rPr>
                <w:sz w:val="24"/>
                <w:szCs w:val="24"/>
              </w:rPr>
            </w:pPr>
            <w:r>
              <w:rPr>
                <w:sz w:val="24"/>
                <w:szCs w:val="24"/>
              </w:rPr>
              <w:t>NPV for project B (Total Discounted Cash Flow value-Initial Investment)</w:t>
            </w:r>
          </w:p>
        </w:tc>
        <w:tc>
          <w:tcPr>
            <w:tcW w:w="899"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62597255" w14:textId="77777777" w:rsidR="009D1F83" w:rsidRDefault="00452E53">
            <w:pPr>
              <w:spacing w:before="240"/>
              <w:jc w:val="right"/>
              <w:rPr>
                <w:b/>
                <w:sz w:val="24"/>
                <w:szCs w:val="24"/>
              </w:rPr>
            </w:pPr>
            <w:r>
              <w:rPr>
                <w:b/>
                <w:sz w:val="24"/>
                <w:szCs w:val="24"/>
              </w:rPr>
              <w:t>-7.26</w:t>
            </w:r>
          </w:p>
        </w:tc>
      </w:tr>
      <w:tr w:rsidR="00592CFC" w14:paraId="03F10284" w14:textId="77777777" w:rsidTr="006E7380">
        <w:trPr>
          <w:trHeight w:val="315"/>
        </w:trPr>
        <w:tc>
          <w:tcPr>
            <w:tcW w:w="4101"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12D6B995" w14:textId="77777777" w:rsidR="009D1F83" w:rsidRDefault="00452E53">
            <w:pPr>
              <w:spacing w:before="240"/>
              <w:jc w:val="both"/>
              <w:rPr>
                <w:sz w:val="24"/>
                <w:szCs w:val="24"/>
              </w:rPr>
            </w:pPr>
            <w:r>
              <w:rPr>
                <w:sz w:val="24"/>
                <w:szCs w:val="24"/>
              </w:rPr>
              <w:t>NPV for project C (Total Discounted Cash Flow value-Initial Investment)</w:t>
            </w:r>
          </w:p>
        </w:tc>
        <w:tc>
          <w:tcPr>
            <w:tcW w:w="899"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529A490B" w14:textId="77777777" w:rsidR="009D1F83" w:rsidRDefault="00452E53">
            <w:pPr>
              <w:spacing w:before="240"/>
              <w:jc w:val="right"/>
              <w:rPr>
                <w:b/>
                <w:sz w:val="24"/>
                <w:szCs w:val="24"/>
              </w:rPr>
            </w:pPr>
            <w:r>
              <w:rPr>
                <w:b/>
                <w:sz w:val="24"/>
                <w:szCs w:val="24"/>
              </w:rPr>
              <w:t>4.22</w:t>
            </w:r>
          </w:p>
        </w:tc>
      </w:tr>
    </w:tbl>
    <w:p w14:paraId="4FFA3B6C" w14:textId="77777777" w:rsidR="009D1F83" w:rsidRDefault="009D1F83">
      <w:pPr>
        <w:spacing w:line="360" w:lineRule="auto"/>
        <w:jc w:val="both"/>
        <w:rPr>
          <w:b/>
          <w:sz w:val="24"/>
          <w:szCs w:val="24"/>
        </w:rPr>
      </w:pPr>
    </w:p>
    <w:p w14:paraId="4DC68449" w14:textId="77777777" w:rsidR="009D1F83" w:rsidRPr="006E7380" w:rsidRDefault="00452E53">
      <w:pPr>
        <w:spacing w:line="360" w:lineRule="auto"/>
        <w:jc w:val="both"/>
        <w:rPr>
          <w:b/>
          <w:i/>
          <w:sz w:val="24"/>
          <w:szCs w:val="24"/>
        </w:rPr>
      </w:pPr>
      <w:r w:rsidRPr="006E7380">
        <w:rPr>
          <w:b/>
          <w:i/>
          <w:sz w:val="24"/>
          <w:szCs w:val="24"/>
        </w:rPr>
        <w:lastRenderedPageBreak/>
        <w:t>Payback Period</w:t>
      </w:r>
    </w:p>
    <w:p w14:paraId="53CDCD7E" w14:textId="77777777" w:rsidR="009D1F83" w:rsidRDefault="009D1F83">
      <w:pPr>
        <w:spacing w:line="360" w:lineRule="auto"/>
        <w:jc w:val="both"/>
        <w:rPr>
          <w:b/>
          <w:sz w:val="24"/>
          <w:szCs w:val="24"/>
        </w:rPr>
      </w:pPr>
    </w:p>
    <w:tbl>
      <w:tblPr>
        <w:tblStyle w:val="a3"/>
        <w:tblW w:w="5000" w:type="pct"/>
        <w:tblInd w:w="0" w:type="dxa"/>
        <w:tblBorders>
          <w:top w:val="nil"/>
          <w:left w:val="nil"/>
          <w:bottom w:val="nil"/>
          <w:right w:val="nil"/>
          <w:insideH w:val="nil"/>
          <w:insideV w:val="nil"/>
        </w:tblBorders>
        <w:tblLook w:val="0600" w:firstRow="0" w:lastRow="0" w:firstColumn="0" w:lastColumn="0" w:noHBand="1" w:noVBand="1"/>
      </w:tblPr>
      <w:tblGrid>
        <w:gridCol w:w="854"/>
        <w:gridCol w:w="1014"/>
        <w:gridCol w:w="1014"/>
        <w:gridCol w:w="1014"/>
        <w:gridCol w:w="1812"/>
        <w:gridCol w:w="1812"/>
        <w:gridCol w:w="1820"/>
      </w:tblGrid>
      <w:tr w:rsidR="00592CFC" w14:paraId="46566F72" w14:textId="77777777" w:rsidTr="006E7380">
        <w:trPr>
          <w:trHeight w:val="315"/>
        </w:trPr>
        <w:tc>
          <w:tcPr>
            <w:tcW w:w="207" w:type="pct"/>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vAlign w:val="bottom"/>
          </w:tcPr>
          <w:p w14:paraId="195146F9" w14:textId="77777777" w:rsidR="009D1F83" w:rsidRDefault="00452E53">
            <w:pPr>
              <w:spacing w:before="240"/>
              <w:jc w:val="both"/>
              <w:rPr>
                <w:b/>
                <w:sz w:val="24"/>
                <w:szCs w:val="24"/>
                <w:u w:val="single"/>
              </w:rPr>
            </w:pPr>
            <w:r>
              <w:rPr>
                <w:b/>
                <w:sz w:val="24"/>
                <w:szCs w:val="24"/>
                <w:u w:val="single"/>
              </w:rPr>
              <w:t>Years</w:t>
            </w:r>
          </w:p>
        </w:tc>
        <w:tc>
          <w:tcPr>
            <w:tcW w:w="506"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5E1C7D05" w14:textId="77777777" w:rsidR="009D1F83" w:rsidRDefault="00452E53">
            <w:pPr>
              <w:spacing w:before="240"/>
              <w:jc w:val="both"/>
              <w:rPr>
                <w:b/>
                <w:sz w:val="24"/>
                <w:szCs w:val="24"/>
                <w:u w:val="single"/>
              </w:rPr>
            </w:pPr>
            <w:r>
              <w:rPr>
                <w:b/>
                <w:sz w:val="24"/>
                <w:szCs w:val="24"/>
                <w:u w:val="single"/>
              </w:rPr>
              <w:t>Project A in m(£)</w:t>
            </w:r>
          </w:p>
        </w:tc>
        <w:tc>
          <w:tcPr>
            <w:tcW w:w="510"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05F51C5C" w14:textId="77777777" w:rsidR="009D1F83" w:rsidRDefault="00452E53">
            <w:pPr>
              <w:spacing w:before="240"/>
              <w:jc w:val="both"/>
              <w:rPr>
                <w:b/>
                <w:sz w:val="24"/>
                <w:szCs w:val="24"/>
                <w:u w:val="single"/>
              </w:rPr>
            </w:pPr>
            <w:r>
              <w:rPr>
                <w:b/>
                <w:sz w:val="24"/>
                <w:szCs w:val="24"/>
                <w:u w:val="single"/>
              </w:rPr>
              <w:t>Project B in m(£)</w:t>
            </w:r>
          </w:p>
        </w:tc>
        <w:tc>
          <w:tcPr>
            <w:tcW w:w="514"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274DAC59" w14:textId="77777777" w:rsidR="009D1F83" w:rsidRDefault="00452E53">
            <w:pPr>
              <w:spacing w:before="240"/>
              <w:jc w:val="both"/>
              <w:rPr>
                <w:b/>
                <w:sz w:val="24"/>
                <w:szCs w:val="24"/>
                <w:u w:val="single"/>
              </w:rPr>
            </w:pPr>
            <w:r>
              <w:rPr>
                <w:b/>
                <w:sz w:val="24"/>
                <w:szCs w:val="24"/>
                <w:u w:val="single"/>
              </w:rPr>
              <w:t>Project C in m(£)</w:t>
            </w:r>
          </w:p>
        </w:tc>
        <w:tc>
          <w:tcPr>
            <w:tcW w:w="1086"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69D98B46" w14:textId="77777777" w:rsidR="009D1F83" w:rsidRDefault="00452E53">
            <w:pPr>
              <w:spacing w:before="240"/>
              <w:jc w:val="both"/>
              <w:rPr>
                <w:b/>
                <w:sz w:val="24"/>
                <w:szCs w:val="24"/>
                <w:u w:val="single"/>
              </w:rPr>
            </w:pPr>
            <w:r>
              <w:rPr>
                <w:b/>
                <w:sz w:val="24"/>
                <w:szCs w:val="24"/>
                <w:u w:val="single"/>
              </w:rPr>
              <w:t>Cumulative cash flows for project A (£)</w:t>
            </w:r>
          </w:p>
        </w:tc>
        <w:tc>
          <w:tcPr>
            <w:tcW w:w="1086"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59C0FE6E" w14:textId="77777777" w:rsidR="009D1F83" w:rsidRDefault="00452E53">
            <w:pPr>
              <w:spacing w:before="240"/>
              <w:jc w:val="both"/>
              <w:rPr>
                <w:b/>
                <w:sz w:val="24"/>
                <w:szCs w:val="24"/>
                <w:u w:val="single"/>
              </w:rPr>
            </w:pPr>
            <w:r>
              <w:rPr>
                <w:b/>
                <w:sz w:val="24"/>
                <w:szCs w:val="24"/>
                <w:u w:val="single"/>
              </w:rPr>
              <w:t>Cumulative cash flows for project B (£)</w:t>
            </w:r>
          </w:p>
        </w:tc>
        <w:tc>
          <w:tcPr>
            <w:tcW w:w="1090"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5BEDA16B" w14:textId="77777777" w:rsidR="009D1F83" w:rsidRDefault="00452E53">
            <w:pPr>
              <w:spacing w:before="240"/>
              <w:jc w:val="both"/>
              <w:rPr>
                <w:b/>
                <w:sz w:val="24"/>
                <w:szCs w:val="24"/>
                <w:u w:val="single"/>
              </w:rPr>
            </w:pPr>
            <w:r>
              <w:rPr>
                <w:b/>
                <w:sz w:val="24"/>
                <w:szCs w:val="24"/>
                <w:u w:val="single"/>
              </w:rPr>
              <w:t>Cumulative cash flows for project C (£)</w:t>
            </w:r>
          </w:p>
        </w:tc>
      </w:tr>
      <w:tr w:rsidR="00592CFC" w14:paraId="1FFF4A6A" w14:textId="77777777" w:rsidTr="006E7380">
        <w:trPr>
          <w:trHeight w:val="315"/>
        </w:trPr>
        <w:tc>
          <w:tcPr>
            <w:tcW w:w="207"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7CFE3FA1" w14:textId="77777777" w:rsidR="009D1F83" w:rsidRDefault="00452E53">
            <w:pPr>
              <w:spacing w:before="240"/>
              <w:jc w:val="right"/>
              <w:rPr>
                <w:sz w:val="24"/>
                <w:szCs w:val="24"/>
              </w:rPr>
            </w:pPr>
            <w:r>
              <w:rPr>
                <w:sz w:val="24"/>
                <w:szCs w:val="24"/>
              </w:rPr>
              <w:t>1</w:t>
            </w:r>
          </w:p>
        </w:tc>
        <w:tc>
          <w:tcPr>
            <w:tcW w:w="50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40DBEDD0" w14:textId="77777777" w:rsidR="009D1F83" w:rsidRDefault="00452E53">
            <w:pPr>
              <w:spacing w:before="240"/>
              <w:jc w:val="right"/>
              <w:rPr>
                <w:sz w:val="24"/>
                <w:szCs w:val="24"/>
              </w:rPr>
            </w:pPr>
            <w:r>
              <w:rPr>
                <w:sz w:val="24"/>
                <w:szCs w:val="24"/>
              </w:rPr>
              <w:t>10</w:t>
            </w:r>
          </w:p>
        </w:tc>
        <w:tc>
          <w:tcPr>
            <w:tcW w:w="510"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503F14CF" w14:textId="77777777" w:rsidR="009D1F83" w:rsidRDefault="00452E53">
            <w:pPr>
              <w:spacing w:before="240"/>
              <w:jc w:val="right"/>
              <w:rPr>
                <w:sz w:val="24"/>
                <w:szCs w:val="24"/>
              </w:rPr>
            </w:pPr>
            <w:r>
              <w:rPr>
                <w:sz w:val="24"/>
                <w:szCs w:val="24"/>
              </w:rPr>
              <w:t>6</w:t>
            </w:r>
          </w:p>
        </w:tc>
        <w:tc>
          <w:tcPr>
            <w:tcW w:w="514"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1F0E37A5" w14:textId="77777777" w:rsidR="009D1F83" w:rsidRDefault="00452E53">
            <w:pPr>
              <w:spacing w:before="240"/>
              <w:jc w:val="right"/>
              <w:rPr>
                <w:sz w:val="24"/>
                <w:szCs w:val="24"/>
              </w:rPr>
            </w:pPr>
            <w:r>
              <w:rPr>
                <w:sz w:val="24"/>
                <w:szCs w:val="24"/>
              </w:rPr>
              <w:t>5</w:t>
            </w:r>
          </w:p>
        </w:tc>
        <w:tc>
          <w:tcPr>
            <w:tcW w:w="108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7F7984BD" w14:textId="77777777" w:rsidR="009D1F83" w:rsidRDefault="00452E53">
            <w:pPr>
              <w:spacing w:before="240"/>
              <w:jc w:val="right"/>
              <w:rPr>
                <w:sz w:val="24"/>
                <w:szCs w:val="24"/>
              </w:rPr>
            </w:pPr>
            <w:r>
              <w:rPr>
                <w:sz w:val="24"/>
                <w:szCs w:val="24"/>
              </w:rPr>
              <w:t>10</w:t>
            </w:r>
          </w:p>
        </w:tc>
        <w:tc>
          <w:tcPr>
            <w:tcW w:w="108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73E631A8" w14:textId="77777777" w:rsidR="009D1F83" w:rsidRDefault="00452E53">
            <w:pPr>
              <w:spacing w:before="240"/>
              <w:jc w:val="right"/>
              <w:rPr>
                <w:sz w:val="24"/>
                <w:szCs w:val="24"/>
              </w:rPr>
            </w:pPr>
            <w:r>
              <w:rPr>
                <w:sz w:val="24"/>
                <w:szCs w:val="24"/>
              </w:rPr>
              <w:t>6</w:t>
            </w:r>
          </w:p>
        </w:tc>
        <w:tc>
          <w:tcPr>
            <w:tcW w:w="1090"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610BE28E" w14:textId="77777777" w:rsidR="009D1F83" w:rsidRDefault="00452E53">
            <w:pPr>
              <w:spacing w:before="240"/>
              <w:jc w:val="right"/>
              <w:rPr>
                <w:sz w:val="24"/>
                <w:szCs w:val="24"/>
              </w:rPr>
            </w:pPr>
            <w:r>
              <w:rPr>
                <w:sz w:val="24"/>
                <w:szCs w:val="24"/>
              </w:rPr>
              <w:t>5</w:t>
            </w:r>
          </w:p>
        </w:tc>
      </w:tr>
      <w:tr w:rsidR="00592CFC" w14:paraId="353249F3" w14:textId="77777777" w:rsidTr="006E7380">
        <w:trPr>
          <w:trHeight w:val="315"/>
        </w:trPr>
        <w:tc>
          <w:tcPr>
            <w:tcW w:w="207"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1FD67C68" w14:textId="77777777" w:rsidR="009D1F83" w:rsidRDefault="00452E53">
            <w:pPr>
              <w:spacing w:before="240"/>
              <w:jc w:val="right"/>
              <w:rPr>
                <w:sz w:val="24"/>
                <w:szCs w:val="24"/>
              </w:rPr>
            </w:pPr>
            <w:r>
              <w:rPr>
                <w:sz w:val="24"/>
                <w:szCs w:val="24"/>
              </w:rPr>
              <w:t>2</w:t>
            </w:r>
          </w:p>
        </w:tc>
        <w:tc>
          <w:tcPr>
            <w:tcW w:w="50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26F6898" w14:textId="77777777" w:rsidR="009D1F83" w:rsidRDefault="00452E53">
            <w:pPr>
              <w:spacing w:before="240"/>
              <w:jc w:val="right"/>
              <w:rPr>
                <w:sz w:val="24"/>
                <w:szCs w:val="24"/>
              </w:rPr>
            </w:pPr>
            <w:r>
              <w:rPr>
                <w:sz w:val="24"/>
                <w:szCs w:val="24"/>
              </w:rPr>
              <w:t>12</w:t>
            </w:r>
          </w:p>
        </w:tc>
        <w:tc>
          <w:tcPr>
            <w:tcW w:w="510"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70C3549" w14:textId="77777777" w:rsidR="009D1F83" w:rsidRDefault="00452E53">
            <w:pPr>
              <w:spacing w:before="240"/>
              <w:jc w:val="right"/>
              <w:rPr>
                <w:sz w:val="24"/>
                <w:szCs w:val="24"/>
              </w:rPr>
            </w:pPr>
            <w:r>
              <w:rPr>
                <w:sz w:val="24"/>
                <w:szCs w:val="24"/>
              </w:rPr>
              <w:t>6</w:t>
            </w:r>
          </w:p>
        </w:tc>
        <w:tc>
          <w:tcPr>
            <w:tcW w:w="514"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7A64EF7C" w14:textId="77777777" w:rsidR="009D1F83" w:rsidRDefault="00452E53">
            <w:pPr>
              <w:spacing w:before="240"/>
              <w:jc w:val="right"/>
              <w:rPr>
                <w:sz w:val="24"/>
                <w:szCs w:val="24"/>
              </w:rPr>
            </w:pPr>
            <w:r>
              <w:rPr>
                <w:sz w:val="24"/>
                <w:szCs w:val="24"/>
              </w:rPr>
              <w:t>10</w:t>
            </w:r>
          </w:p>
        </w:tc>
        <w:tc>
          <w:tcPr>
            <w:tcW w:w="108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D446133" w14:textId="77777777" w:rsidR="009D1F83" w:rsidRDefault="00452E53">
            <w:pPr>
              <w:spacing w:before="240"/>
              <w:jc w:val="right"/>
              <w:rPr>
                <w:sz w:val="24"/>
                <w:szCs w:val="24"/>
              </w:rPr>
            </w:pPr>
            <w:r>
              <w:rPr>
                <w:sz w:val="24"/>
                <w:szCs w:val="24"/>
              </w:rPr>
              <w:t>22</w:t>
            </w:r>
          </w:p>
        </w:tc>
        <w:tc>
          <w:tcPr>
            <w:tcW w:w="108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1351A125" w14:textId="77777777" w:rsidR="009D1F83" w:rsidRDefault="00452E53">
            <w:pPr>
              <w:spacing w:before="240"/>
              <w:jc w:val="right"/>
              <w:rPr>
                <w:sz w:val="24"/>
                <w:szCs w:val="24"/>
              </w:rPr>
            </w:pPr>
            <w:r>
              <w:rPr>
                <w:sz w:val="24"/>
                <w:szCs w:val="24"/>
              </w:rPr>
              <w:t>12</w:t>
            </w:r>
          </w:p>
        </w:tc>
        <w:tc>
          <w:tcPr>
            <w:tcW w:w="1090"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3D9FC416" w14:textId="77777777" w:rsidR="009D1F83" w:rsidRDefault="00452E53">
            <w:pPr>
              <w:spacing w:before="240"/>
              <w:jc w:val="right"/>
              <w:rPr>
                <w:sz w:val="24"/>
                <w:szCs w:val="24"/>
              </w:rPr>
            </w:pPr>
            <w:r>
              <w:rPr>
                <w:sz w:val="24"/>
                <w:szCs w:val="24"/>
              </w:rPr>
              <w:t>15</w:t>
            </w:r>
          </w:p>
        </w:tc>
      </w:tr>
      <w:tr w:rsidR="00592CFC" w14:paraId="64571490" w14:textId="77777777" w:rsidTr="006E7380">
        <w:trPr>
          <w:trHeight w:val="315"/>
        </w:trPr>
        <w:tc>
          <w:tcPr>
            <w:tcW w:w="207"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654BAD77" w14:textId="77777777" w:rsidR="009D1F83" w:rsidRDefault="00452E53">
            <w:pPr>
              <w:spacing w:before="240"/>
              <w:jc w:val="right"/>
              <w:rPr>
                <w:sz w:val="24"/>
                <w:szCs w:val="24"/>
              </w:rPr>
            </w:pPr>
            <w:r>
              <w:rPr>
                <w:sz w:val="24"/>
                <w:szCs w:val="24"/>
              </w:rPr>
              <w:t>3</w:t>
            </w:r>
          </w:p>
        </w:tc>
        <w:tc>
          <w:tcPr>
            <w:tcW w:w="50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234AA54B" w14:textId="77777777" w:rsidR="009D1F83" w:rsidRDefault="00452E53">
            <w:pPr>
              <w:spacing w:before="240"/>
              <w:jc w:val="right"/>
              <w:rPr>
                <w:sz w:val="24"/>
                <w:szCs w:val="24"/>
              </w:rPr>
            </w:pPr>
            <w:r>
              <w:rPr>
                <w:sz w:val="24"/>
                <w:szCs w:val="24"/>
              </w:rPr>
              <w:t>14</w:t>
            </w:r>
          </w:p>
        </w:tc>
        <w:tc>
          <w:tcPr>
            <w:tcW w:w="510"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1B3F9C7" w14:textId="77777777" w:rsidR="009D1F83" w:rsidRDefault="00452E53">
            <w:pPr>
              <w:spacing w:before="240"/>
              <w:jc w:val="right"/>
              <w:rPr>
                <w:sz w:val="24"/>
                <w:szCs w:val="24"/>
              </w:rPr>
            </w:pPr>
            <w:r>
              <w:rPr>
                <w:sz w:val="24"/>
                <w:szCs w:val="24"/>
              </w:rPr>
              <w:t>6</w:t>
            </w:r>
          </w:p>
        </w:tc>
        <w:tc>
          <w:tcPr>
            <w:tcW w:w="514"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7081FE5D" w14:textId="77777777" w:rsidR="009D1F83" w:rsidRDefault="00452E53">
            <w:pPr>
              <w:spacing w:before="240"/>
              <w:jc w:val="right"/>
              <w:rPr>
                <w:sz w:val="24"/>
                <w:szCs w:val="24"/>
              </w:rPr>
            </w:pPr>
            <w:r>
              <w:rPr>
                <w:sz w:val="24"/>
                <w:szCs w:val="24"/>
              </w:rPr>
              <w:t>20</w:t>
            </w:r>
          </w:p>
        </w:tc>
        <w:tc>
          <w:tcPr>
            <w:tcW w:w="108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46082308" w14:textId="77777777" w:rsidR="009D1F83" w:rsidRDefault="00452E53">
            <w:pPr>
              <w:spacing w:before="240"/>
              <w:jc w:val="right"/>
              <w:rPr>
                <w:sz w:val="24"/>
                <w:szCs w:val="24"/>
              </w:rPr>
            </w:pPr>
            <w:r>
              <w:rPr>
                <w:sz w:val="24"/>
                <w:szCs w:val="24"/>
              </w:rPr>
              <w:t>36</w:t>
            </w:r>
          </w:p>
        </w:tc>
        <w:tc>
          <w:tcPr>
            <w:tcW w:w="108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4134D461" w14:textId="77777777" w:rsidR="009D1F83" w:rsidRDefault="00452E53">
            <w:pPr>
              <w:spacing w:before="240"/>
              <w:jc w:val="right"/>
              <w:rPr>
                <w:sz w:val="24"/>
                <w:szCs w:val="24"/>
              </w:rPr>
            </w:pPr>
            <w:r>
              <w:rPr>
                <w:sz w:val="24"/>
                <w:szCs w:val="24"/>
              </w:rPr>
              <w:t>18</w:t>
            </w:r>
          </w:p>
        </w:tc>
        <w:tc>
          <w:tcPr>
            <w:tcW w:w="1090"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22C46B5A" w14:textId="77777777" w:rsidR="009D1F83" w:rsidRDefault="00452E53">
            <w:pPr>
              <w:spacing w:before="240"/>
              <w:jc w:val="right"/>
              <w:rPr>
                <w:sz w:val="24"/>
                <w:szCs w:val="24"/>
              </w:rPr>
            </w:pPr>
            <w:r>
              <w:rPr>
                <w:sz w:val="24"/>
                <w:szCs w:val="24"/>
              </w:rPr>
              <w:t>35</w:t>
            </w:r>
          </w:p>
        </w:tc>
      </w:tr>
      <w:tr w:rsidR="00592CFC" w14:paraId="3A711330" w14:textId="77777777" w:rsidTr="006E7380">
        <w:trPr>
          <w:trHeight w:val="315"/>
        </w:trPr>
        <w:tc>
          <w:tcPr>
            <w:tcW w:w="207"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7BBCD357" w14:textId="77777777" w:rsidR="009D1F83" w:rsidRDefault="00452E53">
            <w:pPr>
              <w:spacing w:before="240"/>
              <w:jc w:val="right"/>
              <w:rPr>
                <w:sz w:val="24"/>
                <w:szCs w:val="24"/>
              </w:rPr>
            </w:pPr>
            <w:r>
              <w:rPr>
                <w:sz w:val="24"/>
                <w:szCs w:val="24"/>
              </w:rPr>
              <w:t>4</w:t>
            </w:r>
          </w:p>
        </w:tc>
        <w:tc>
          <w:tcPr>
            <w:tcW w:w="50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1604BA8D" w14:textId="77777777" w:rsidR="009D1F83" w:rsidRDefault="00452E53">
            <w:pPr>
              <w:spacing w:before="240"/>
              <w:jc w:val="right"/>
              <w:rPr>
                <w:sz w:val="24"/>
                <w:szCs w:val="24"/>
              </w:rPr>
            </w:pPr>
            <w:r>
              <w:rPr>
                <w:sz w:val="24"/>
                <w:szCs w:val="24"/>
              </w:rPr>
              <w:t>10</w:t>
            </w:r>
          </w:p>
        </w:tc>
        <w:tc>
          <w:tcPr>
            <w:tcW w:w="510"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4E757622" w14:textId="77777777" w:rsidR="009D1F83" w:rsidRDefault="00452E53">
            <w:pPr>
              <w:spacing w:before="240"/>
              <w:jc w:val="right"/>
              <w:rPr>
                <w:sz w:val="24"/>
                <w:szCs w:val="24"/>
              </w:rPr>
            </w:pPr>
            <w:r>
              <w:rPr>
                <w:sz w:val="24"/>
                <w:szCs w:val="24"/>
              </w:rPr>
              <w:t>6</w:t>
            </w:r>
          </w:p>
        </w:tc>
        <w:tc>
          <w:tcPr>
            <w:tcW w:w="514"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B41D810" w14:textId="77777777" w:rsidR="009D1F83" w:rsidRDefault="00452E53">
            <w:pPr>
              <w:spacing w:before="240"/>
              <w:jc w:val="right"/>
              <w:rPr>
                <w:sz w:val="24"/>
                <w:szCs w:val="24"/>
              </w:rPr>
            </w:pPr>
            <w:r>
              <w:rPr>
                <w:sz w:val="24"/>
                <w:szCs w:val="24"/>
              </w:rPr>
              <w:t>25</w:t>
            </w:r>
          </w:p>
        </w:tc>
        <w:tc>
          <w:tcPr>
            <w:tcW w:w="108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780A8BE4" w14:textId="77777777" w:rsidR="009D1F83" w:rsidRDefault="00452E53">
            <w:pPr>
              <w:spacing w:before="240"/>
              <w:jc w:val="right"/>
              <w:rPr>
                <w:sz w:val="24"/>
                <w:szCs w:val="24"/>
              </w:rPr>
            </w:pPr>
            <w:r>
              <w:rPr>
                <w:sz w:val="24"/>
                <w:szCs w:val="24"/>
              </w:rPr>
              <w:t>46</w:t>
            </w:r>
          </w:p>
        </w:tc>
        <w:tc>
          <w:tcPr>
            <w:tcW w:w="108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47A59EDE" w14:textId="77777777" w:rsidR="009D1F83" w:rsidRDefault="00452E53">
            <w:pPr>
              <w:spacing w:before="240"/>
              <w:jc w:val="right"/>
              <w:rPr>
                <w:sz w:val="24"/>
                <w:szCs w:val="24"/>
              </w:rPr>
            </w:pPr>
            <w:r>
              <w:rPr>
                <w:sz w:val="24"/>
                <w:szCs w:val="24"/>
              </w:rPr>
              <w:t>24</w:t>
            </w:r>
          </w:p>
        </w:tc>
        <w:tc>
          <w:tcPr>
            <w:tcW w:w="1090"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37CC7A00" w14:textId="77777777" w:rsidR="009D1F83" w:rsidRDefault="00452E53">
            <w:pPr>
              <w:spacing w:before="240"/>
              <w:jc w:val="right"/>
              <w:rPr>
                <w:sz w:val="24"/>
                <w:szCs w:val="24"/>
              </w:rPr>
            </w:pPr>
            <w:r>
              <w:rPr>
                <w:sz w:val="24"/>
                <w:szCs w:val="24"/>
              </w:rPr>
              <w:t>60</w:t>
            </w:r>
          </w:p>
        </w:tc>
      </w:tr>
      <w:tr w:rsidR="00592CFC" w14:paraId="2A342265" w14:textId="77777777" w:rsidTr="006E7380">
        <w:trPr>
          <w:trHeight w:val="315"/>
        </w:trPr>
        <w:tc>
          <w:tcPr>
            <w:tcW w:w="207"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1EF9F354" w14:textId="77777777" w:rsidR="009D1F83" w:rsidRDefault="00452E53">
            <w:pPr>
              <w:spacing w:before="240"/>
              <w:jc w:val="right"/>
              <w:rPr>
                <w:sz w:val="24"/>
                <w:szCs w:val="24"/>
              </w:rPr>
            </w:pPr>
            <w:r>
              <w:rPr>
                <w:sz w:val="24"/>
                <w:szCs w:val="24"/>
              </w:rPr>
              <w:t>5</w:t>
            </w:r>
          </w:p>
        </w:tc>
        <w:tc>
          <w:tcPr>
            <w:tcW w:w="50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75F89DA7" w14:textId="77777777" w:rsidR="009D1F83" w:rsidRDefault="00452E53">
            <w:pPr>
              <w:spacing w:before="240"/>
              <w:jc w:val="right"/>
              <w:rPr>
                <w:sz w:val="24"/>
                <w:szCs w:val="24"/>
              </w:rPr>
            </w:pPr>
            <w:r>
              <w:rPr>
                <w:sz w:val="24"/>
                <w:szCs w:val="24"/>
              </w:rPr>
              <w:t>8</w:t>
            </w:r>
          </w:p>
        </w:tc>
        <w:tc>
          <w:tcPr>
            <w:tcW w:w="510"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5DC4FC16" w14:textId="77777777" w:rsidR="009D1F83" w:rsidRDefault="00452E53">
            <w:pPr>
              <w:spacing w:before="240"/>
              <w:jc w:val="right"/>
              <w:rPr>
                <w:sz w:val="24"/>
                <w:szCs w:val="24"/>
              </w:rPr>
            </w:pPr>
            <w:r>
              <w:rPr>
                <w:sz w:val="24"/>
                <w:szCs w:val="24"/>
              </w:rPr>
              <w:t>6</w:t>
            </w:r>
          </w:p>
        </w:tc>
        <w:tc>
          <w:tcPr>
            <w:tcW w:w="514"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6907D1E6" w14:textId="77777777" w:rsidR="009D1F83" w:rsidRDefault="00452E53">
            <w:pPr>
              <w:spacing w:before="240"/>
              <w:jc w:val="right"/>
              <w:rPr>
                <w:sz w:val="24"/>
                <w:szCs w:val="24"/>
              </w:rPr>
            </w:pPr>
            <w:r>
              <w:rPr>
                <w:sz w:val="24"/>
                <w:szCs w:val="24"/>
              </w:rPr>
              <w:t>15</w:t>
            </w:r>
          </w:p>
        </w:tc>
        <w:tc>
          <w:tcPr>
            <w:tcW w:w="108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6C0C52B2" w14:textId="77777777" w:rsidR="009D1F83" w:rsidRDefault="00452E53">
            <w:pPr>
              <w:spacing w:before="240"/>
              <w:jc w:val="right"/>
              <w:rPr>
                <w:sz w:val="24"/>
                <w:szCs w:val="24"/>
              </w:rPr>
            </w:pPr>
            <w:r>
              <w:rPr>
                <w:sz w:val="24"/>
                <w:szCs w:val="24"/>
              </w:rPr>
              <w:t>54</w:t>
            </w:r>
          </w:p>
        </w:tc>
        <w:tc>
          <w:tcPr>
            <w:tcW w:w="108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2FCD7751" w14:textId="77777777" w:rsidR="009D1F83" w:rsidRDefault="00452E53">
            <w:pPr>
              <w:spacing w:before="240"/>
              <w:jc w:val="right"/>
              <w:rPr>
                <w:sz w:val="24"/>
                <w:szCs w:val="24"/>
              </w:rPr>
            </w:pPr>
            <w:r>
              <w:rPr>
                <w:sz w:val="24"/>
                <w:szCs w:val="24"/>
              </w:rPr>
              <w:t>30</w:t>
            </w:r>
          </w:p>
        </w:tc>
        <w:tc>
          <w:tcPr>
            <w:tcW w:w="1090"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7867339E" w14:textId="77777777" w:rsidR="009D1F83" w:rsidRDefault="00452E53">
            <w:pPr>
              <w:spacing w:before="240"/>
              <w:jc w:val="right"/>
              <w:rPr>
                <w:sz w:val="24"/>
                <w:szCs w:val="24"/>
              </w:rPr>
            </w:pPr>
            <w:r>
              <w:rPr>
                <w:sz w:val="24"/>
                <w:szCs w:val="24"/>
              </w:rPr>
              <w:t>75</w:t>
            </w:r>
          </w:p>
        </w:tc>
      </w:tr>
    </w:tbl>
    <w:p w14:paraId="2D18490B" w14:textId="77777777" w:rsidR="009D1F83" w:rsidRDefault="009D1F83">
      <w:pPr>
        <w:spacing w:line="360" w:lineRule="auto"/>
        <w:jc w:val="both"/>
        <w:rPr>
          <w:b/>
          <w:sz w:val="24"/>
          <w:szCs w:val="24"/>
        </w:rPr>
      </w:pPr>
    </w:p>
    <w:tbl>
      <w:tblPr>
        <w:tblStyle w:val="a4"/>
        <w:tblW w:w="5000" w:type="pct"/>
        <w:tblInd w:w="0" w:type="dxa"/>
        <w:tblBorders>
          <w:top w:val="nil"/>
          <w:left w:val="nil"/>
          <w:bottom w:val="nil"/>
          <w:right w:val="nil"/>
          <w:insideH w:val="nil"/>
          <w:insideV w:val="nil"/>
        </w:tblBorders>
        <w:tblLook w:val="0600" w:firstRow="0" w:lastRow="0" w:firstColumn="0" w:lastColumn="0" w:noHBand="1" w:noVBand="1"/>
      </w:tblPr>
      <w:tblGrid>
        <w:gridCol w:w="7806"/>
        <w:gridCol w:w="1534"/>
      </w:tblGrid>
      <w:tr w:rsidR="00592CFC" w14:paraId="1BB0C7C3" w14:textId="77777777" w:rsidTr="006E7380">
        <w:trPr>
          <w:trHeight w:val="315"/>
        </w:trPr>
        <w:tc>
          <w:tcPr>
            <w:tcW w:w="4179" w:type="pct"/>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vAlign w:val="bottom"/>
          </w:tcPr>
          <w:p w14:paraId="17B7085C" w14:textId="77777777" w:rsidR="009D1F83" w:rsidRDefault="00452E53">
            <w:pPr>
              <w:spacing w:before="240"/>
              <w:jc w:val="both"/>
              <w:rPr>
                <w:b/>
                <w:sz w:val="24"/>
                <w:szCs w:val="24"/>
                <w:u w:val="single"/>
              </w:rPr>
            </w:pPr>
            <w:r>
              <w:rPr>
                <w:b/>
                <w:sz w:val="24"/>
                <w:szCs w:val="24"/>
                <w:u w:val="single"/>
              </w:rPr>
              <w:t xml:space="preserve">Recovery Determination </w:t>
            </w:r>
          </w:p>
        </w:tc>
        <w:tc>
          <w:tcPr>
            <w:tcW w:w="821"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63C87155" w14:textId="77777777" w:rsidR="009D1F83" w:rsidRDefault="00452E53">
            <w:pPr>
              <w:spacing w:before="240"/>
              <w:jc w:val="both"/>
              <w:rPr>
                <w:b/>
                <w:sz w:val="24"/>
                <w:szCs w:val="24"/>
                <w:u w:val="single"/>
              </w:rPr>
            </w:pPr>
            <w:r>
              <w:rPr>
                <w:b/>
                <w:sz w:val="24"/>
                <w:szCs w:val="24"/>
                <w:u w:val="single"/>
              </w:rPr>
              <w:t>Years</w:t>
            </w:r>
          </w:p>
        </w:tc>
      </w:tr>
      <w:tr w:rsidR="00592CFC" w14:paraId="2392DFBA" w14:textId="77777777" w:rsidTr="006E7380">
        <w:trPr>
          <w:trHeight w:val="315"/>
        </w:trPr>
        <w:tc>
          <w:tcPr>
            <w:tcW w:w="4179" w:type="pct"/>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vAlign w:val="bottom"/>
          </w:tcPr>
          <w:p w14:paraId="67EC3D4F" w14:textId="77777777" w:rsidR="009D1F83" w:rsidRDefault="00452E53">
            <w:pPr>
              <w:spacing w:before="240"/>
              <w:jc w:val="both"/>
              <w:rPr>
                <w:b/>
                <w:sz w:val="24"/>
                <w:szCs w:val="24"/>
              </w:rPr>
            </w:pPr>
            <w:r>
              <w:rPr>
                <w:b/>
                <w:sz w:val="24"/>
                <w:szCs w:val="24"/>
              </w:rPr>
              <w:t>Recovery takes place for project A after considering the initial investment.</w:t>
            </w:r>
          </w:p>
        </w:tc>
        <w:tc>
          <w:tcPr>
            <w:tcW w:w="821"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6CF8E5C0" w14:textId="77777777" w:rsidR="009D1F83" w:rsidRDefault="00452E53">
            <w:pPr>
              <w:spacing w:before="240"/>
              <w:jc w:val="both"/>
              <w:rPr>
                <w:sz w:val="24"/>
                <w:szCs w:val="24"/>
              </w:rPr>
            </w:pPr>
            <w:r>
              <w:rPr>
                <w:sz w:val="24"/>
                <w:szCs w:val="24"/>
              </w:rPr>
              <w:t>Years 3 and 4</w:t>
            </w:r>
          </w:p>
        </w:tc>
      </w:tr>
      <w:tr w:rsidR="00592CFC" w14:paraId="43F3F966" w14:textId="77777777" w:rsidTr="006E7380">
        <w:trPr>
          <w:trHeight w:val="315"/>
        </w:trPr>
        <w:tc>
          <w:tcPr>
            <w:tcW w:w="4179"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549DA87A" w14:textId="77777777" w:rsidR="009D1F83" w:rsidRDefault="00452E53">
            <w:pPr>
              <w:spacing w:before="240"/>
              <w:jc w:val="both"/>
              <w:rPr>
                <w:b/>
                <w:sz w:val="24"/>
                <w:szCs w:val="24"/>
              </w:rPr>
            </w:pPr>
            <w:r>
              <w:rPr>
                <w:b/>
                <w:sz w:val="24"/>
                <w:szCs w:val="24"/>
              </w:rPr>
              <w:t>Recovery takes place for project B after considering the initial investment.</w:t>
            </w:r>
          </w:p>
        </w:tc>
        <w:tc>
          <w:tcPr>
            <w:tcW w:w="821"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3F553C38" w14:textId="77777777" w:rsidR="009D1F83" w:rsidRDefault="00452E53">
            <w:pPr>
              <w:spacing w:before="240"/>
              <w:jc w:val="both"/>
              <w:rPr>
                <w:sz w:val="24"/>
                <w:szCs w:val="24"/>
              </w:rPr>
            </w:pPr>
            <w:r>
              <w:rPr>
                <w:sz w:val="24"/>
                <w:szCs w:val="24"/>
              </w:rPr>
              <w:t>Years 4 and 5</w:t>
            </w:r>
          </w:p>
        </w:tc>
      </w:tr>
      <w:tr w:rsidR="00592CFC" w14:paraId="07DCF91B" w14:textId="77777777" w:rsidTr="006E7380">
        <w:trPr>
          <w:trHeight w:val="315"/>
        </w:trPr>
        <w:tc>
          <w:tcPr>
            <w:tcW w:w="4179"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01B39BB8" w14:textId="77777777" w:rsidR="009D1F83" w:rsidRDefault="00452E53">
            <w:pPr>
              <w:spacing w:before="240"/>
              <w:jc w:val="both"/>
              <w:rPr>
                <w:b/>
                <w:sz w:val="24"/>
                <w:szCs w:val="24"/>
              </w:rPr>
            </w:pPr>
            <w:r>
              <w:rPr>
                <w:b/>
                <w:sz w:val="24"/>
                <w:szCs w:val="24"/>
              </w:rPr>
              <w:t>Recovery takes place for project C after considering the initial investment.</w:t>
            </w:r>
          </w:p>
        </w:tc>
        <w:tc>
          <w:tcPr>
            <w:tcW w:w="821"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62699744" w14:textId="77777777" w:rsidR="009D1F83" w:rsidRDefault="00452E53">
            <w:pPr>
              <w:spacing w:before="240"/>
              <w:jc w:val="both"/>
              <w:rPr>
                <w:sz w:val="24"/>
                <w:szCs w:val="24"/>
              </w:rPr>
            </w:pPr>
            <w:r>
              <w:rPr>
                <w:sz w:val="24"/>
                <w:szCs w:val="24"/>
              </w:rPr>
              <w:t>Years 3 and 4</w:t>
            </w:r>
          </w:p>
        </w:tc>
      </w:tr>
    </w:tbl>
    <w:p w14:paraId="434D2C6B" w14:textId="77777777" w:rsidR="009D1F83" w:rsidRDefault="009D1F83">
      <w:pPr>
        <w:spacing w:line="360" w:lineRule="auto"/>
        <w:jc w:val="both"/>
        <w:rPr>
          <w:b/>
          <w:sz w:val="24"/>
          <w:szCs w:val="24"/>
        </w:rPr>
      </w:pPr>
    </w:p>
    <w:tbl>
      <w:tblPr>
        <w:tblStyle w:val="a5"/>
        <w:tblW w:w="5000" w:type="pct"/>
        <w:tblInd w:w="0" w:type="dxa"/>
        <w:tblBorders>
          <w:top w:val="nil"/>
          <w:left w:val="nil"/>
          <w:bottom w:val="nil"/>
          <w:right w:val="nil"/>
          <w:insideH w:val="nil"/>
          <w:insideV w:val="nil"/>
        </w:tblBorders>
        <w:tblLook w:val="0600" w:firstRow="0" w:lastRow="0" w:firstColumn="0" w:lastColumn="0" w:noHBand="1" w:noVBand="1"/>
      </w:tblPr>
      <w:tblGrid>
        <w:gridCol w:w="7080"/>
        <w:gridCol w:w="2260"/>
      </w:tblGrid>
      <w:tr w:rsidR="00592CFC" w14:paraId="216663BD" w14:textId="77777777" w:rsidTr="006E7380">
        <w:trPr>
          <w:trHeight w:val="315"/>
        </w:trPr>
        <w:tc>
          <w:tcPr>
            <w:tcW w:w="3790" w:type="pct"/>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vAlign w:val="bottom"/>
          </w:tcPr>
          <w:p w14:paraId="02ADD3C6" w14:textId="77777777" w:rsidR="009D1F83" w:rsidRDefault="00452E53">
            <w:pPr>
              <w:spacing w:before="240"/>
              <w:jc w:val="both"/>
              <w:rPr>
                <w:b/>
                <w:sz w:val="24"/>
                <w:szCs w:val="24"/>
              </w:rPr>
            </w:pPr>
            <w:r>
              <w:rPr>
                <w:b/>
                <w:sz w:val="24"/>
                <w:szCs w:val="24"/>
              </w:rPr>
              <w:t>Payback Period Formula</w:t>
            </w:r>
          </w:p>
        </w:tc>
        <w:tc>
          <w:tcPr>
            <w:tcW w:w="1210"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61A210AB" w14:textId="77777777" w:rsidR="009D1F83" w:rsidRDefault="00452E53">
            <w:pPr>
              <w:spacing w:before="240"/>
              <w:jc w:val="right"/>
              <w:rPr>
                <w:b/>
                <w:sz w:val="24"/>
                <w:szCs w:val="24"/>
              </w:rPr>
            </w:pPr>
            <w:r>
              <w:rPr>
                <w:b/>
                <w:sz w:val="24"/>
                <w:szCs w:val="24"/>
              </w:rPr>
              <w:t>Years</w:t>
            </w:r>
          </w:p>
        </w:tc>
      </w:tr>
      <w:tr w:rsidR="00592CFC" w14:paraId="11B39F98" w14:textId="77777777" w:rsidTr="006E7380">
        <w:trPr>
          <w:trHeight w:val="315"/>
        </w:trPr>
        <w:tc>
          <w:tcPr>
            <w:tcW w:w="3790" w:type="pct"/>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vAlign w:val="bottom"/>
          </w:tcPr>
          <w:p w14:paraId="700D1E8D" w14:textId="77777777" w:rsidR="009D1F83" w:rsidRDefault="00452E53">
            <w:pPr>
              <w:spacing w:before="240"/>
              <w:jc w:val="both"/>
              <w:rPr>
                <w:sz w:val="24"/>
                <w:szCs w:val="24"/>
              </w:rPr>
            </w:pPr>
            <w:r>
              <w:rPr>
                <w:b/>
                <w:sz w:val="24"/>
                <w:szCs w:val="24"/>
              </w:rPr>
              <w:t xml:space="preserve">Payback period for project A (Years before recovery + Unrecovered amount/Cash inflow next year) </w:t>
            </w:r>
            <w:r>
              <w:rPr>
                <w:sz w:val="24"/>
                <w:szCs w:val="24"/>
              </w:rPr>
              <w:t>(3+40-36/10)</w:t>
            </w:r>
          </w:p>
        </w:tc>
        <w:tc>
          <w:tcPr>
            <w:tcW w:w="1210"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4259FFB5" w14:textId="77777777" w:rsidR="009D1F83" w:rsidRDefault="00452E53">
            <w:pPr>
              <w:spacing w:before="240"/>
              <w:jc w:val="right"/>
              <w:rPr>
                <w:sz w:val="24"/>
                <w:szCs w:val="24"/>
              </w:rPr>
            </w:pPr>
            <w:r>
              <w:rPr>
                <w:sz w:val="24"/>
                <w:szCs w:val="24"/>
              </w:rPr>
              <w:t>3.4</w:t>
            </w:r>
          </w:p>
        </w:tc>
      </w:tr>
      <w:tr w:rsidR="00592CFC" w14:paraId="363A92AE" w14:textId="77777777" w:rsidTr="006E7380">
        <w:trPr>
          <w:trHeight w:val="315"/>
        </w:trPr>
        <w:tc>
          <w:tcPr>
            <w:tcW w:w="3790"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32FE3FB8" w14:textId="77777777" w:rsidR="009D1F83" w:rsidRDefault="00452E53">
            <w:pPr>
              <w:spacing w:before="240"/>
              <w:jc w:val="both"/>
              <w:rPr>
                <w:sz w:val="24"/>
                <w:szCs w:val="24"/>
              </w:rPr>
            </w:pPr>
            <w:r>
              <w:rPr>
                <w:b/>
                <w:sz w:val="24"/>
                <w:szCs w:val="24"/>
              </w:rPr>
              <w:t>Payback period for project B  (Years before recovery + Unrecovered amount/Cash inflow next year)</w:t>
            </w:r>
            <w:r>
              <w:rPr>
                <w:sz w:val="24"/>
                <w:szCs w:val="24"/>
              </w:rPr>
              <w:t xml:space="preserve"> (30/6)</w:t>
            </w:r>
          </w:p>
        </w:tc>
        <w:tc>
          <w:tcPr>
            <w:tcW w:w="1210"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5EDF43D8" w14:textId="77777777" w:rsidR="009D1F83" w:rsidRDefault="00452E53">
            <w:pPr>
              <w:spacing w:before="240"/>
              <w:jc w:val="right"/>
              <w:rPr>
                <w:sz w:val="24"/>
                <w:szCs w:val="24"/>
              </w:rPr>
            </w:pPr>
            <w:r>
              <w:rPr>
                <w:sz w:val="24"/>
                <w:szCs w:val="24"/>
              </w:rPr>
              <w:t>5</w:t>
            </w:r>
          </w:p>
        </w:tc>
      </w:tr>
      <w:tr w:rsidR="00592CFC" w14:paraId="0BCED946" w14:textId="77777777" w:rsidTr="006E7380">
        <w:trPr>
          <w:trHeight w:val="315"/>
        </w:trPr>
        <w:tc>
          <w:tcPr>
            <w:tcW w:w="3790"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0019F58E" w14:textId="77777777" w:rsidR="009D1F83" w:rsidRDefault="00452E53">
            <w:pPr>
              <w:spacing w:before="240"/>
              <w:jc w:val="both"/>
              <w:rPr>
                <w:sz w:val="24"/>
                <w:szCs w:val="24"/>
              </w:rPr>
            </w:pPr>
            <w:r>
              <w:rPr>
                <w:b/>
                <w:sz w:val="24"/>
                <w:szCs w:val="24"/>
              </w:rPr>
              <w:t>Payback period for project C  (Years before recovery + Unrecovered amount/Cash inflow next year)</w:t>
            </w:r>
            <w:r>
              <w:rPr>
                <w:sz w:val="24"/>
                <w:szCs w:val="24"/>
              </w:rPr>
              <w:t xml:space="preserve"> (3+50-35/25)</w:t>
            </w:r>
          </w:p>
        </w:tc>
        <w:tc>
          <w:tcPr>
            <w:tcW w:w="1210"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7EEE01FA" w14:textId="77777777" w:rsidR="009D1F83" w:rsidRDefault="00452E53">
            <w:pPr>
              <w:spacing w:before="240"/>
              <w:jc w:val="right"/>
              <w:rPr>
                <w:sz w:val="24"/>
                <w:szCs w:val="24"/>
              </w:rPr>
            </w:pPr>
            <w:r>
              <w:rPr>
                <w:sz w:val="24"/>
                <w:szCs w:val="24"/>
              </w:rPr>
              <w:t>3.6</w:t>
            </w:r>
          </w:p>
        </w:tc>
      </w:tr>
    </w:tbl>
    <w:p w14:paraId="19720083" w14:textId="77777777" w:rsidR="009D1F83" w:rsidRDefault="009D1F83">
      <w:pPr>
        <w:spacing w:line="360" w:lineRule="auto"/>
        <w:jc w:val="both"/>
        <w:rPr>
          <w:b/>
          <w:sz w:val="24"/>
          <w:szCs w:val="24"/>
        </w:rPr>
      </w:pPr>
    </w:p>
    <w:p w14:paraId="458A7044" w14:textId="77777777" w:rsidR="006E7380" w:rsidRDefault="00452E53">
      <w:pPr>
        <w:spacing w:line="360" w:lineRule="auto"/>
        <w:jc w:val="both"/>
        <w:rPr>
          <w:b/>
          <w:i/>
          <w:sz w:val="24"/>
          <w:szCs w:val="24"/>
        </w:rPr>
      </w:pPr>
      <w:r w:rsidRPr="006E7380">
        <w:rPr>
          <w:b/>
          <w:i/>
          <w:sz w:val="24"/>
          <w:szCs w:val="24"/>
        </w:rPr>
        <w:lastRenderedPageBreak/>
        <w:t>Accounting Rate of Return</w:t>
      </w:r>
    </w:p>
    <w:p w14:paraId="6B01AFE6" w14:textId="77777777" w:rsidR="006E7380" w:rsidRPr="006E7380" w:rsidRDefault="006E7380">
      <w:pPr>
        <w:spacing w:line="360" w:lineRule="auto"/>
        <w:jc w:val="both"/>
        <w:rPr>
          <w:b/>
          <w:i/>
          <w:sz w:val="24"/>
          <w:szCs w:val="24"/>
        </w:rPr>
      </w:pPr>
    </w:p>
    <w:tbl>
      <w:tblPr>
        <w:tblStyle w:val="a6"/>
        <w:tblW w:w="5000" w:type="pct"/>
        <w:tblInd w:w="0" w:type="dxa"/>
        <w:tblBorders>
          <w:top w:val="nil"/>
          <w:left w:val="nil"/>
          <w:bottom w:val="nil"/>
          <w:right w:val="nil"/>
          <w:insideH w:val="nil"/>
          <w:insideV w:val="nil"/>
        </w:tblBorders>
        <w:tblLook w:val="0600" w:firstRow="0" w:lastRow="0" w:firstColumn="0" w:lastColumn="0" w:noHBand="1" w:noVBand="1"/>
      </w:tblPr>
      <w:tblGrid>
        <w:gridCol w:w="3013"/>
        <w:gridCol w:w="2094"/>
        <w:gridCol w:w="2109"/>
        <w:gridCol w:w="2124"/>
      </w:tblGrid>
      <w:tr w:rsidR="00592CFC" w14:paraId="1FB49EFA" w14:textId="77777777" w:rsidTr="006E7380">
        <w:trPr>
          <w:trHeight w:val="315"/>
        </w:trPr>
        <w:tc>
          <w:tcPr>
            <w:tcW w:w="1613" w:type="pct"/>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vAlign w:val="bottom"/>
          </w:tcPr>
          <w:p w14:paraId="3AC60A88" w14:textId="77777777" w:rsidR="009D1F83" w:rsidRDefault="00452E53">
            <w:pPr>
              <w:spacing w:before="240"/>
              <w:jc w:val="both"/>
              <w:rPr>
                <w:b/>
                <w:sz w:val="24"/>
                <w:szCs w:val="24"/>
                <w:u w:val="single"/>
              </w:rPr>
            </w:pPr>
            <w:r>
              <w:rPr>
                <w:b/>
                <w:sz w:val="24"/>
                <w:szCs w:val="24"/>
                <w:u w:val="single"/>
              </w:rPr>
              <w:t>Years</w:t>
            </w:r>
          </w:p>
        </w:tc>
        <w:tc>
          <w:tcPr>
            <w:tcW w:w="1121"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5A8EE689" w14:textId="77777777" w:rsidR="009D1F83" w:rsidRDefault="00452E53">
            <w:pPr>
              <w:spacing w:before="240"/>
              <w:jc w:val="both"/>
              <w:rPr>
                <w:b/>
                <w:sz w:val="24"/>
                <w:szCs w:val="24"/>
                <w:u w:val="single"/>
              </w:rPr>
            </w:pPr>
            <w:r>
              <w:rPr>
                <w:b/>
                <w:sz w:val="24"/>
                <w:szCs w:val="24"/>
                <w:u w:val="single"/>
              </w:rPr>
              <w:t>Project A in m(£)</w:t>
            </w:r>
          </w:p>
        </w:tc>
        <w:tc>
          <w:tcPr>
            <w:tcW w:w="1129"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372EFB86" w14:textId="77777777" w:rsidR="009D1F83" w:rsidRDefault="00452E53">
            <w:pPr>
              <w:spacing w:before="240"/>
              <w:jc w:val="both"/>
              <w:rPr>
                <w:b/>
                <w:sz w:val="24"/>
                <w:szCs w:val="24"/>
                <w:u w:val="single"/>
              </w:rPr>
            </w:pPr>
            <w:r>
              <w:rPr>
                <w:b/>
                <w:sz w:val="24"/>
                <w:szCs w:val="24"/>
                <w:u w:val="single"/>
              </w:rPr>
              <w:t>Project B in m(£)</w:t>
            </w:r>
          </w:p>
        </w:tc>
        <w:tc>
          <w:tcPr>
            <w:tcW w:w="1137"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207410C8" w14:textId="77777777" w:rsidR="009D1F83" w:rsidRDefault="00452E53">
            <w:pPr>
              <w:spacing w:before="240"/>
              <w:jc w:val="both"/>
              <w:rPr>
                <w:b/>
                <w:sz w:val="24"/>
                <w:szCs w:val="24"/>
                <w:u w:val="single"/>
              </w:rPr>
            </w:pPr>
            <w:r>
              <w:rPr>
                <w:b/>
                <w:sz w:val="24"/>
                <w:szCs w:val="24"/>
                <w:u w:val="single"/>
              </w:rPr>
              <w:t>Project C in m(£)</w:t>
            </w:r>
          </w:p>
        </w:tc>
      </w:tr>
      <w:tr w:rsidR="00592CFC" w14:paraId="220433C2" w14:textId="77777777" w:rsidTr="006E7380">
        <w:trPr>
          <w:trHeight w:val="315"/>
        </w:trPr>
        <w:tc>
          <w:tcPr>
            <w:tcW w:w="1613"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6F4399E2" w14:textId="77777777" w:rsidR="009D1F83" w:rsidRDefault="00452E53">
            <w:pPr>
              <w:spacing w:before="240"/>
              <w:jc w:val="right"/>
              <w:rPr>
                <w:sz w:val="24"/>
                <w:szCs w:val="24"/>
              </w:rPr>
            </w:pPr>
            <w:r>
              <w:rPr>
                <w:sz w:val="24"/>
                <w:szCs w:val="24"/>
              </w:rPr>
              <w:t>1</w:t>
            </w:r>
          </w:p>
        </w:tc>
        <w:tc>
          <w:tcPr>
            <w:tcW w:w="1121"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F7374BB" w14:textId="77777777" w:rsidR="009D1F83" w:rsidRDefault="00452E53">
            <w:pPr>
              <w:spacing w:before="240"/>
              <w:jc w:val="right"/>
              <w:rPr>
                <w:sz w:val="24"/>
                <w:szCs w:val="24"/>
              </w:rPr>
            </w:pPr>
            <w:r>
              <w:rPr>
                <w:sz w:val="24"/>
                <w:szCs w:val="24"/>
              </w:rPr>
              <w:t>10</w:t>
            </w:r>
          </w:p>
        </w:tc>
        <w:tc>
          <w:tcPr>
            <w:tcW w:w="1129"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5B51E6B3" w14:textId="77777777" w:rsidR="009D1F83" w:rsidRDefault="00452E53">
            <w:pPr>
              <w:spacing w:before="240"/>
              <w:jc w:val="right"/>
              <w:rPr>
                <w:sz w:val="24"/>
                <w:szCs w:val="24"/>
              </w:rPr>
            </w:pPr>
            <w:r>
              <w:rPr>
                <w:sz w:val="24"/>
                <w:szCs w:val="24"/>
              </w:rPr>
              <w:t>6</w:t>
            </w:r>
          </w:p>
        </w:tc>
        <w:tc>
          <w:tcPr>
            <w:tcW w:w="113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700C46C7" w14:textId="77777777" w:rsidR="009D1F83" w:rsidRDefault="00452E53">
            <w:pPr>
              <w:spacing w:before="240"/>
              <w:jc w:val="right"/>
              <w:rPr>
                <w:sz w:val="24"/>
                <w:szCs w:val="24"/>
              </w:rPr>
            </w:pPr>
            <w:r>
              <w:rPr>
                <w:sz w:val="24"/>
                <w:szCs w:val="24"/>
              </w:rPr>
              <w:t>5</w:t>
            </w:r>
          </w:p>
        </w:tc>
      </w:tr>
      <w:tr w:rsidR="00592CFC" w14:paraId="02B357DB" w14:textId="77777777" w:rsidTr="006E7380">
        <w:trPr>
          <w:trHeight w:val="315"/>
        </w:trPr>
        <w:tc>
          <w:tcPr>
            <w:tcW w:w="1613"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16426FDF" w14:textId="77777777" w:rsidR="009D1F83" w:rsidRDefault="00452E53">
            <w:pPr>
              <w:spacing w:before="240"/>
              <w:jc w:val="right"/>
              <w:rPr>
                <w:sz w:val="24"/>
                <w:szCs w:val="24"/>
              </w:rPr>
            </w:pPr>
            <w:r>
              <w:rPr>
                <w:sz w:val="24"/>
                <w:szCs w:val="24"/>
              </w:rPr>
              <w:t>2</w:t>
            </w:r>
          </w:p>
        </w:tc>
        <w:tc>
          <w:tcPr>
            <w:tcW w:w="1121"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DCA820D" w14:textId="77777777" w:rsidR="009D1F83" w:rsidRDefault="00452E53">
            <w:pPr>
              <w:spacing w:before="240"/>
              <w:jc w:val="right"/>
              <w:rPr>
                <w:sz w:val="24"/>
                <w:szCs w:val="24"/>
              </w:rPr>
            </w:pPr>
            <w:r>
              <w:rPr>
                <w:sz w:val="24"/>
                <w:szCs w:val="24"/>
              </w:rPr>
              <w:t>12</w:t>
            </w:r>
          </w:p>
        </w:tc>
        <w:tc>
          <w:tcPr>
            <w:tcW w:w="1129"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2CEBDD81" w14:textId="77777777" w:rsidR="009D1F83" w:rsidRDefault="00452E53">
            <w:pPr>
              <w:spacing w:before="240"/>
              <w:jc w:val="right"/>
              <w:rPr>
                <w:sz w:val="24"/>
                <w:szCs w:val="24"/>
              </w:rPr>
            </w:pPr>
            <w:r>
              <w:rPr>
                <w:sz w:val="24"/>
                <w:szCs w:val="24"/>
              </w:rPr>
              <w:t>6</w:t>
            </w:r>
          </w:p>
        </w:tc>
        <w:tc>
          <w:tcPr>
            <w:tcW w:w="113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6F9D5ADA" w14:textId="77777777" w:rsidR="009D1F83" w:rsidRDefault="00452E53">
            <w:pPr>
              <w:spacing w:before="240"/>
              <w:jc w:val="right"/>
              <w:rPr>
                <w:sz w:val="24"/>
                <w:szCs w:val="24"/>
              </w:rPr>
            </w:pPr>
            <w:r>
              <w:rPr>
                <w:sz w:val="24"/>
                <w:szCs w:val="24"/>
              </w:rPr>
              <w:t>10</w:t>
            </w:r>
          </w:p>
        </w:tc>
      </w:tr>
      <w:tr w:rsidR="00592CFC" w14:paraId="4ED6D129" w14:textId="77777777" w:rsidTr="006E7380">
        <w:trPr>
          <w:trHeight w:val="315"/>
        </w:trPr>
        <w:tc>
          <w:tcPr>
            <w:tcW w:w="1613"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353E2D5F" w14:textId="77777777" w:rsidR="009D1F83" w:rsidRDefault="00452E53">
            <w:pPr>
              <w:spacing w:before="240"/>
              <w:jc w:val="right"/>
              <w:rPr>
                <w:sz w:val="24"/>
                <w:szCs w:val="24"/>
              </w:rPr>
            </w:pPr>
            <w:r>
              <w:rPr>
                <w:sz w:val="24"/>
                <w:szCs w:val="24"/>
              </w:rPr>
              <w:t>3</w:t>
            </w:r>
          </w:p>
        </w:tc>
        <w:tc>
          <w:tcPr>
            <w:tcW w:w="1121"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2D5F73ED" w14:textId="77777777" w:rsidR="009D1F83" w:rsidRDefault="00452E53">
            <w:pPr>
              <w:spacing w:before="240"/>
              <w:jc w:val="right"/>
              <w:rPr>
                <w:sz w:val="24"/>
                <w:szCs w:val="24"/>
              </w:rPr>
            </w:pPr>
            <w:r>
              <w:rPr>
                <w:sz w:val="24"/>
                <w:szCs w:val="24"/>
              </w:rPr>
              <w:t>14</w:t>
            </w:r>
          </w:p>
        </w:tc>
        <w:tc>
          <w:tcPr>
            <w:tcW w:w="1129"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41EF107B" w14:textId="77777777" w:rsidR="009D1F83" w:rsidRDefault="00452E53">
            <w:pPr>
              <w:spacing w:before="240"/>
              <w:jc w:val="right"/>
              <w:rPr>
                <w:sz w:val="24"/>
                <w:szCs w:val="24"/>
              </w:rPr>
            </w:pPr>
            <w:r>
              <w:rPr>
                <w:sz w:val="24"/>
                <w:szCs w:val="24"/>
              </w:rPr>
              <w:t>6</w:t>
            </w:r>
          </w:p>
        </w:tc>
        <w:tc>
          <w:tcPr>
            <w:tcW w:w="113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B58202B" w14:textId="77777777" w:rsidR="009D1F83" w:rsidRDefault="00452E53">
            <w:pPr>
              <w:spacing w:before="240"/>
              <w:jc w:val="right"/>
              <w:rPr>
                <w:sz w:val="24"/>
                <w:szCs w:val="24"/>
              </w:rPr>
            </w:pPr>
            <w:r>
              <w:rPr>
                <w:sz w:val="24"/>
                <w:szCs w:val="24"/>
              </w:rPr>
              <w:t>20</w:t>
            </w:r>
          </w:p>
        </w:tc>
      </w:tr>
      <w:tr w:rsidR="00592CFC" w14:paraId="6B3CDD15" w14:textId="77777777" w:rsidTr="006E7380">
        <w:trPr>
          <w:trHeight w:val="315"/>
        </w:trPr>
        <w:tc>
          <w:tcPr>
            <w:tcW w:w="1613"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2222ECEF" w14:textId="77777777" w:rsidR="009D1F83" w:rsidRDefault="00452E53">
            <w:pPr>
              <w:spacing w:before="240"/>
              <w:jc w:val="right"/>
              <w:rPr>
                <w:sz w:val="24"/>
                <w:szCs w:val="24"/>
              </w:rPr>
            </w:pPr>
            <w:r>
              <w:rPr>
                <w:sz w:val="24"/>
                <w:szCs w:val="24"/>
              </w:rPr>
              <w:t>4</w:t>
            </w:r>
          </w:p>
        </w:tc>
        <w:tc>
          <w:tcPr>
            <w:tcW w:w="1121"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30E85AE7" w14:textId="77777777" w:rsidR="009D1F83" w:rsidRDefault="00452E53">
            <w:pPr>
              <w:spacing w:before="240"/>
              <w:jc w:val="right"/>
              <w:rPr>
                <w:sz w:val="24"/>
                <w:szCs w:val="24"/>
              </w:rPr>
            </w:pPr>
            <w:r>
              <w:rPr>
                <w:sz w:val="24"/>
                <w:szCs w:val="24"/>
              </w:rPr>
              <w:t>10</w:t>
            </w:r>
          </w:p>
        </w:tc>
        <w:tc>
          <w:tcPr>
            <w:tcW w:w="1129"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5CF40DBB" w14:textId="77777777" w:rsidR="009D1F83" w:rsidRDefault="00452E53">
            <w:pPr>
              <w:spacing w:before="240"/>
              <w:jc w:val="right"/>
              <w:rPr>
                <w:sz w:val="24"/>
                <w:szCs w:val="24"/>
              </w:rPr>
            </w:pPr>
            <w:r>
              <w:rPr>
                <w:sz w:val="24"/>
                <w:szCs w:val="24"/>
              </w:rPr>
              <w:t>6</w:t>
            </w:r>
          </w:p>
        </w:tc>
        <w:tc>
          <w:tcPr>
            <w:tcW w:w="113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19BFB985" w14:textId="77777777" w:rsidR="009D1F83" w:rsidRDefault="00452E53">
            <w:pPr>
              <w:spacing w:before="240"/>
              <w:jc w:val="right"/>
              <w:rPr>
                <w:sz w:val="24"/>
                <w:szCs w:val="24"/>
              </w:rPr>
            </w:pPr>
            <w:r>
              <w:rPr>
                <w:sz w:val="24"/>
                <w:szCs w:val="24"/>
              </w:rPr>
              <w:t>25</w:t>
            </w:r>
          </w:p>
        </w:tc>
      </w:tr>
      <w:tr w:rsidR="00592CFC" w14:paraId="238C777D" w14:textId="77777777" w:rsidTr="006E7380">
        <w:trPr>
          <w:trHeight w:val="315"/>
        </w:trPr>
        <w:tc>
          <w:tcPr>
            <w:tcW w:w="1613"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18FA708F" w14:textId="77777777" w:rsidR="009D1F83" w:rsidRDefault="00452E53">
            <w:pPr>
              <w:spacing w:before="240"/>
              <w:jc w:val="right"/>
              <w:rPr>
                <w:sz w:val="24"/>
                <w:szCs w:val="24"/>
              </w:rPr>
            </w:pPr>
            <w:r>
              <w:rPr>
                <w:sz w:val="24"/>
                <w:szCs w:val="24"/>
              </w:rPr>
              <w:t>5</w:t>
            </w:r>
          </w:p>
        </w:tc>
        <w:tc>
          <w:tcPr>
            <w:tcW w:w="1121"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5ABCD03A" w14:textId="77777777" w:rsidR="009D1F83" w:rsidRDefault="00452E53">
            <w:pPr>
              <w:spacing w:before="240"/>
              <w:jc w:val="right"/>
              <w:rPr>
                <w:sz w:val="24"/>
                <w:szCs w:val="24"/>
              </w:rPr>
            </w:pPr>
            <w:r>
              <w:rPr>
                <w:sz w:val="24"/>
                <w:szCs w:val="24"/>
              </w:rPr>
              <w:t>8</w:t>
            </w:r>
          </w:p>
        </w:tc>
        <w:tc>
          <w:tcPr>
            <w:tcW w:w="1129"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188D1657" w14:textId="77777777" w:rsidR="009D1F83" w:rsidRDefault="00452E53">
            <w:pPr>
              <w:spacing w:before="240"/>
              <w:jc w:val="right"/>
              <w:rPr>
                <w:sz w:val="24"/>
                <w:szCs w:val="24"/>
              </w:rPr>
            </w:pPr>
            <w:r>
              <w:rPr>
                <w:sz w:val="24"/>
                <w:szCs w:val="24"/>
              </w:rPr>
              <w:t>6</w:t>
            </w:r>
          </w:p>
        </w:tc>
        <w:tc>
          <w:tcPr>
            <w:tcW w:w="113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779ED634" w14:textId="77777777" w:rsidR="009D1F83" w:rsidRDefault="00452E53">
            <w:pPr>
              <w:spacing w:before="240"/>
              <w:jc w:val="right"/>
              <w:rPr>
                <w:sz w:val="24"/>
                <w:szCs w:val="24"/>
              </w:rPr>
            </w:pPr>
            <w:r>
              <w:rPr>
                <w:sz w:val="24"/>
                <w:szCs w:val="24"/>
              </w:rPr>
              <w:t>15</w:t>
            </w:r>
          </w:p>
        </w:tc>
      </w:tr>
      <w:tr w:rsidR="00592CFC" w14:paraId="4B951536" w14:textId="77777777" w:rsidTr="006E7380">
        <w:trPr>
          <w:trHeight w:val="315"/>
        </w:trPr>
        <w:tc>
          <w:tcPr>
            <w:tcW w:w="1613"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5ED0ADC8" w14:textId="77777777" w:rsidR="009D1F83" w:rsidRDefault="00452E53">
            <w:pPr>
              <w:spacing w:before="240"/>
              <w:jc w:val="both"/>
              <w:rPr>
                <w:b/>
                <w:sz w:val="24"/>
                <w:szCs w:val="24"/>
              </w:rPr>
            </w:pPr>
            <w:r>
              <w:rPr>
                <w:b/>
                <w:sz w:val="24"/>
                <w:szCs w:val="24"/>
              </w:rPr>
              <w:t>Average Cash Flow</w:t>
            </w:r>
          </w:p>
        </w:tc>
        <w:tc>
          <w:tcPr>
            <w:tcW w:w="1121"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6A7B46A" w14:textId="77777777" w:rsidR="009D1F83" w:rsidRDefault="00452E53">
            <w:pPr>
              <w:spacing w:before="240"/>
              <w:jc w:val="right"/>
              <w:rPr>
                <w:b/>
                <w:sz w:val="24"/>
                <w:szCs w:val="24"/>
              </w:rPr>
            </w:pPr>
            <w:r>
              <w:rPr>
                <w:b/>
                <w:sz w:val="24"/>
                <w:szCs w:val="24"/>
              </w:rPr>
              <w:t>10.8</w:t>
            </w:r>
          </w:p>
        </w:tc>
        <w:tc>
          <w:tcPr>
            <w:tcW w:w="1129"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6AC1096B" w14:textId="77777777" w:rsidR="009D1F83" w:rsidRDefault="00452E53">
            <w:pPr>
              <w:spacing w:before="240"/>
              <w:jc w:val="right"/>
              <w:rPr>
                <w:b/>
                <w:sz w:val="24"/>
                <w:szCs w:val="24"/>
              </w:rPr>
            </w:pPr>
            <w:r>
              <w:rPr>
                <w:b/>
                <w:sz w:val="24"/>
                <w:szCs w:val="24"/>
              </w:rPr>
              <w:t>6</w:t>
            </w:r>
          </w:p>
        </w:tc>
        <w:tc>
          <w:tcPr>
            <w:tcW w:w="113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A932F95" w14:textId="77777777" w:rsidR="009D1F83" w:rsidRDefault="00452E53">
            <w:pPr>
              <w:spacing w:before="240"/>
              <w:jc w:val="right"/>
              <w:rPr>
                <w:b/>
                <w:sz w:val="24"/>
                <w:szCs w:val="24"/>
              </w:rPr>
            </w:pPr>
            <w:r>
              <w:rPr>
                <w:b/>
                <w:sz w:val="24"/>
                <w:szCs w:val="24"/>
              </w:rPr>
              <w:t>15</w:t>
            </w:r>
          </w:p>
        </w:tc>
      </w:tr>
    </w:tbl>
    <w:p w14:paraId="315B874B" w14:textId="77777777" w:rsidR="009D1F83" w:rsidRDefault="009D1F83">
      <w:pPr>
        <w:spacing w:line="360" w:lineRule="auto"/>
        <w:jc w:val="both"/>
        <w:rPr>
          <w:b/>
          <w:sz w:val="24"/>
          <w:szCs w:val="24"/>
        </w:rPr>
      </w:pPr>
    </w:p>
    <w:tbl>
      <w:tblPr>
        <w:tblStyle w:val="a7"/>
        <w:tblW w:w="5000" w:type="pct"/>
        <w:tblInd w:w="0" w:type="dxa"/>
        <w:tblBorders>
          <w:top w:val="nil"/>
          <w:left w:val="nil"/>
          <w:bottom w:val="nil"/>
          <w:right w:val="nil"/>
          <w:insideH w:val="nil"/>
          <w:insideV w:val="nil"/>
        </w:tblBorders>
        <w:tblLook w:val="0600" w:firstRow="0" w:lastRow="0" w:firstColumn="0" w:lastColumn="0" w:noHBand="1" w:noVBand="1"/>
      </w:tblPr>
      <w:tblGrid>
        <w:gridCol w:w="7418"/>
        <w:gridCol w:w="588"/>
        <w:gridCol w:w="572"/>
        <w:gridCol w:w="762"/>
      </w:tblGrid>
      <w:tr w:rsidR="00592CFC" w14:paraId="6BB18642" w14:textId="77777777" w:rsidTr="006E7380">
        <w:trPr>
          <w:trHeight w:val="315"/>
        </w:trPr>
        <w:tc>
          <w:tcPr>
            <w:tcW w:w="3971" w:type="pct"/>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vAlign w:val="bottom"/>
          </w:tcPr>
          <w:p w14:paraId="1F621773" w14:textId="77777777" w:rsidR="009D1F83" w:rsidRDefault="00452E53">
            <w:pPr>
              <w:spacing w:before="240"/>
              <w:jc w:val="both"/>
              <w:rPr>
                <w:b/>
                <w:sz w:val="24"/>
                <w:szCs w:val="24"/>
              </w:rPr>
            </w:pPr>
            <w:r>
              <w:rPr>
                <w:b/>
                <w:sz w:val="24"/>
                <w:szCs w:val="24"/>
              </w:rPr>
              <w:t>Depreciation (Initial Investment/5)</w:t>
            </w:r>
          </w:p>
        </w:tc>
        <w:tc>
          <w:tcPr>
            <w:tcW w:w="315"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112A4A08" w14:textId="77777777" w:rsidR="009D1F83" w:rsidRDefault="00452E53">
            <w:pPr>
              <w:spacing w:before="240"/>
              <w:jc w:val="right"/>
              <w:rPr>
                <w:sz w:val="24"/>
                <w:szCs w:val="24"/>
              </w:rPr>
            </w:pPr>
            <w:r>
              <w:rPr>
                <w:sz w:val="24"/>
                <w:szCs w:val="24"/>
              </w:rPr>
              <w:t>8</w:t>
            </w:r>
          </w:p>
        </w:tc>
        <w:tc>
          <w:tcPr>
            <w:tcW w:w="306"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1E66D1AD" w14:textId="77777777" w:rsidR="009D1F83" w:rsidRDefault="00452E53">
            <w:pPr>
              <w:spacing w:before="240"/>
              <w:jc w:val="right"/>
              <w:rPr>
                <w:sz w:val="24"/>
                <w:szCs w:val="24"/>
              </w:rPr>
            </w:pPr>
            <w:r>
              <w:rPr>
                <w:sz w:val="24"/>
                <w:szCs w:val="24"/>
              </w:rPr>
              <w:t>6</w:t>
            </w:r>
          </w:p>
        </w:tc>
        <w:tc>
          <w:tcPr>
            <w:tcW w:w="408"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6986993C" w14:textId="77777777" w:rsidR="009D1F83" w:rsidRDefault="00452E53">
            <w:pPr>
              <w:spacing w:before="240"/>
              <w:jc w:val="right"/>
              <w:rPr>
                <w:sz w:val="24"/>
                <w:szCs w:val="24"/>
              </w:rPr>
            </w:pPr>
            <w:r>
              <w:rPr>
                <w:sz w:val="24"/>
                <w:szCs w:val="24"/>
              </w:rPr>
              <w:t>10</w:t>
            </w:r>
          </w:p>
        </w:tc>
      </w:tr>
      <w:tr w:rsidR="00592CFC" w14:paraId="4ED25DA7" w14:textId="77777777" w:rsidTr="006E7380">
        <w:trPr>
          <w:trHeight w:val="315"/>
        </w:trPr>
        <w:tc>
          <w:tcPr>
            <w:tcW w:w="3971"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14788EA9" w14:textId="77777777" w:rsidR="009D1F83" w:rsidRDefault="00452E53">
            <w:pPr>
              <w:spacing w:before="240"/>
              <w:jc w:val="both"/>
              <w:rPr>
                <w:b/>
                <w:sz w:val="24"/>
                <w:szCs w:val="24"/>
              </w:rPr>
            </w:pPr>
            <w:r>
              <w:rPr>
                <w:b/>
                <w:sz w:val="24"/>
                <w:szCs w:val="24"/>
              </w:rPr>
              <w:t>Average profit (Average cash flow-Depreciation)</w:t>
            </w:r>
          </w:p>
        </w:tc>
        <w:tc>
          <w:tcPr>
            <w:tcW w:w="315"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7005A675" w14:textId="77777777" w:rsidR="009D1F83" w:rsidRDefault="00452E53">
            <w:pPr>
              <w:spacing w:before="240"/>
              <w:jc w:val="right"/>
              <w:rPr>
                <w:sz w:val="24"/>
                <w:szCs w:val="24"/>
              </w:rPr>
            </w:pPr>
            <w:r>
              <w:rPr>
                <w:sz w:val="24"/>
                <w:szCs w:val="24"/>
              </w:rPr>
              <w:t>2.8</w:t>
            </w:r>
          </w:p>
        </w:tc>
        <w:tc>
          <w:tcPr>
            <w:tcW w:w="30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23CFD822" w14:textId="77777777" w:rsidR="009D1F83" w:rsidRDefault="00452E53">
            <w:pPr>
              <w:spacing w:before="240"/>
              <w:jc w:val="right"/>
              <w:rPr>
                <w:sz w:val="24"/>
                <w:szCs w:val="24"/>
              </w:rPr>
            </w:pPr>
            <w:r>
              <w:rPr>
                <w:sz w:val="24"/>
                <w:szCs w:val="24"/>
              </w:rPr>
              <w:t>0</w:t>
            </w:r>
          </w:p>
        </w:tc>
        <w:tc>
          <w:tcPr>
            <w:tcW w:w="408"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77A34D1E" w14:textId="77777777" w:rsidR="009D1F83" w:rsidRDefault="00452E53">
            <w:pPr>
              <w:spacing w:before="240"/>
              <w:jc w:val="right"/>
              <w:rPr>
                <w:sz w:val="24"/>
                <w:szCs w:val="24"/>
              </w:rPr>
            </w:pPr>
            <w:r>
              <w:rPr>
                <w:sz w:val="24"/>
                <w:szCs w:val="24"/>
              </w:rPr>
              <w:t>5</w:t>
            </w:r>
          </w:p>
        </w:tc>
      </w:tr>
      <w:tr w:rsidR="00592CFC" w14:paraId="36E07D9F" w14:textId="77777777" w:rsidTr="006E7380">
        <w:trPr>
          <w:trHeight w:val="315"/>
        </w:trPr>
        <w:tc>
          <w:tcPr>
            <w:tcW w:w="3971"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775F9CEA" w14:textId="77777777" w:rsidR="009D1F83" w:rsidRDefault="00452E53">
            <w:pPr>
              <w:spacing w:before="240"/>
              <w:jc w:val="both"/>
              <w:rPr>
                <w:b/>
                <w:sz w:val="24"/>
                <w:szCs w:val="24"/>
              </w:rPr>
            </w:pPr>
            <w:r>
              <w:rPr>
                <w:b/>
                <w:sz w:val="24"/>
                <w:szCs w:val="24"/>
              </w:rPr>
              <w:t>Accounting Rate of Return=Average Profit/Initial Investment*100</w:t>
            </w:r>
          </w:p>
        </w:tc>
        <w:tc>
          <w:tcPr>
            <w:tcW w:w="315"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2A13C7A0" w14:textId="77777777" w:rsidR="009D1F83" w:rsidRDefault="00452E53">
            <w:pPr>
              <w:spacing w:before="240"/>
              <w:jc w:val="right"/>
              <w:rPr>
                <w:sz w:val="24"/>
                <w:szCs w:val="24"/>
              </w:rPr>
            </w:pPr>
            <w:r>
              <w:rPr>
                <w:sz w:val="24"/>
                <w:szCs w:val="24"/>
              </w:rPr>
              <w:t>7%</w:t>
            </w:r>
          </w:p>
        </w:tc>
        <w:tc>
          <w:tcPr>
            <w:tcW w:w="30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53DE2076" w14:textId="77777777" w:rsidR="009D1F83" w:rsidRDefault="00452E53">
            <w:pPr>
              <w:spacing w:before="240"/>
              <w:jc w:val="right"/>
              <w:rPr>
                <w:sz w:val="24"/>
                <w:szCs w:val="24"/>
              </w:rPr>
            </w:pPr>
            <w:r>
              <w:rPr>
                <w:sz w:val="24"/>
                <w:szCs w:val="24"/>
              </w:rPr>
              <w:t>0%</w:t>
            </w:r>
          </w:p>
        </w:tc>
        <w:tc>
          <w:tcPr>
            <w:tcW w:w="408"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B9038D2" w14:textId="77777777" w:rsidR="009D1F83" w:rsidRDefault="00452E53">
            <w:pPr>
              <w:spacing w:before="240"/>
              <w:jc w:val="right"/>
              <w:rPr>
                <w:sz w:val="24"/>
                <w:szCs w:val="24"/>
              </w:rPr>
            </w:pPr>
            <w:r>
              <w:rPr>
                <w:sz w:val="24"/>
                <w:szCs w:val="24"/>
              </w:rPr>
              <w:t>10%</w:t>
            </w:r>
          </w:p>
        </w:tc>
      </w:tr>
    </w:tbl>
    <w:p w14:paraId="5D40127A" w14:textId="77777777" w:rsidR="009D1F83" w:rsidRDefault="009D1F83">
      <w:pPr>
        <w:spacing w:line="360" w:lineRule="auto"/>
        <w:jc w:val="both"/>
        <w:rPr>
          <w:b/>
          <w:sz w:val="24"/>
          <w:szCs w:val="24"/>
        </w:rPr>
      </w:pPr>
    </w:p>
    <w:p w14:paraId="7E11CABA" w14:textId="77777777" w:rsidR="009D1F83" w:rsidRDefault="00452E53" w:rsidP="006E7380">
      <w:pPr>
        <w:pStyle w:val="Heading2"/>
      </w:pPr>
      <w:bookmarkStart w:id="16" w:name="_Toc212203742"/>
      <w:r>
        <w:t>5.2 Making a final investment recommendation assuming capital rationing</w:t>
      </w:r>
      <w:bookmarkEnd w:id="16"/>
      <w:r>
        <w:t xml:space="preserve"> </w:t>
      </w:r>
    </w:p>
    <w:p w14:paraId="0B9B3DCE" w14:textId="77777777" w:rsidR="009D1F83" w:rsidRDefault="00452E53">
      <w:pPr>
        <w:spacing w:line="360" w:lineRule="auto"/>
        <w:jc w:val="both"/>
        <w:rPr>
          <w:sz w:val="24"/>
          <w:szCs w:val="24"/>
        </w:rPr>
      </w:pPr>
      <w:r>
        <w:rPr>
          <w:sz w:val="24"/>
          <w:szCs w:val="24"/>
        </w:rPr>
        <w:t>As mutually exclusive investment projects, projects A, B, and C were evaluated through investment appraisal techniques. The organisation General Electronics faces a position of capital rationing, restricting the total investment to £60 million. Thus, the main role of this process is to ensure which project the company can pursue to maximise stakeholder worth and their value, after staying within the investment limit.</w:t>
      </w:r>
    </w:p>
    <w:p w14:paraId="5D9EC19B" w14:textId="77777777" w:rsidR="009D1F83" w:rsidRDefault="00452E53">
      <w:pPr>
        <w:spacing w:line="360" w:lineRule="auto"/>
        <w:jc w:val="both"/>
        <w:rPr>
          <w:b/>
          <w:sz w:val="24"/>
          <w:szCs w:val="24"/>
          <w:u w:val="single"/>
        </w:rPr>
      </w:pPr>
      <w:r>
        <w:rPr>
          <w:b/>
          <w:sz w:val="24"/>
          <w:szCs w:val="24"/>
          <w:u w:val="single"/>
        </w:rPr>
        <w:t>Going by the Net Present Value or NPV</w:t>
      </w:r>
    </w:p>
    <w:p w14:paraId="2E7632DF" w14:textId="77777777" w:rsidR="009D1F83" w:rsidRDefault="00452E53">
      <w:pPr>
        <w:spacing w:line="360" w:lineRule="auto"/>
        <w:jc w:val="both"/>
        <w:rPr>
          <w:sz w:val="24"/>
          <w:szCs w:val="24"/>
        </w:rPr>
      </w:pPr>
      <w:r>
        <w:rPr>
          <w:sz w:val="24"/>
          <w:szCs w:val="24"/>
        </w:rPr>
        <w:t xml:space="preserve">Since the NPV tries to determine the wealth-accumulating ability of investment projects, aside from going beyond the intended cost of capital, it also looks at how a company can create wealth after considering a discount on its cash flow over the years. The results of each project, taking this into account, are as follows. </w:t>
      </w:r>
      <w:r>
        <w:rPr>
          <w:b/>
          <w:i/>
          <w:sz w:val="24"/>
          <w:szCs w:val="24"/>
        </w:rPr>
        <w:t>[Referred to Appendix 2]</w:t>
      </w:r>
    </w:p>
    <w:p w14:paraId="078A6D81" w14:textId="77777777" w:rsidR="009D1F83" w:rsidRDefault="00452E53">
      <w:pPr>
        <w:spacing w:line="360" w:lineRule="auto"/>
        <w:jc w:val="both"/>
        <w:rPr>
          <w:sz w:val="24"/>
          <w:szCs w:val="24"/>
        </w:rPr>
      </w:pPr>
      <w:r>
        <w:rPr>
          <w:sz w:val="24"/>
          <w:szCs w:val="24"/>
        </w:rPr>
        <w:lastRenderedPageBreak/>
        <w:t>Firstly, project A received a positive net present value worth £1.31 million, suggesting a modest value-creating ability of the project (Nukala and Rao, 2021).</w:t>
      </w:r>
    </w:p>
    <w:p w14:paraId="6497B531" w14:textId="77777777" w:rsidR="009D1F83" w:rsidRDefault="00452E53">
      <w:pPr>
        <w:spacing w:line="360" w:lineRule="auto"/>
        <w:jc w:val="both"/>
        <w:rPr>
          <w:sz w:val="24"/>
          <w:szCs w:val="24"/>
        </w:rPr>
      </w:pPr>
      <w:r>
        <w:rPr>
          <w:sz w:val="24"/>
          <w:szCs w:val="24"/>
        </w:rPr>
        <w:t>Secondly, project B received a negative net present value worth £-7.26 million, indicating destruction of wealth and value. Therefore, this project cannot be considered going by the NPV outcome (Nukala and Rao, 2021).</w:t>
      </w:r>
    </w:p>
    <w:p w14:paraId="2B0F1602" w14:textId="77777777" w:rsidR="009D1F83" w:rsidRDefault="00452E53">
      <w:pPr>
        <w:spacing w:line="360" w:lineRule="auto"/>
        <w:jc w:val="both"/>
        <w:rPr>
          <w:sz w:val="24"/>
          <w:szCs w:val="24"/>
        </w:rPr>
      </w:pPr>
      <w:r>
        <w:rPr>
          <w:sz w:val="24"/>
          <w:szCs w:val="24"/>
        </w:rPr>
        <w:t>Thirdly, project C, on the other hand, yielded a higher net present value worth £4.22 million, showcasing the stronger financial viability and value-adding prowess of the project towards the firm (Sharma, 2023).</w:t>
      </w:r>
    </w:p>
    <w:p w14:paraId="7CCC1234" w14:textId="77777777" w:rsidR="009D1F83" w:rsidRDefault="00452E53">
      <w:pPr>
        <w:spacing w:line="360" w:lineRule="auto"/>
        <w:jc w:val="both"/>
        <w:rPr>
          <w:b/>
          <w:sz w:val="24"/>
          <w:szCs w:val="24"/>
          <w:u w:val="single"/>
        </w:rPr>
      </w:pPr>
      <w:r>
        <w:rPr>
          <w:b/>
          <w:sz w:val="24"/>
          <w:szCs w:val="24"/>
          <w:u w:val="single"/>
        </w:rPr>
        <w:t>Going by the Payback Period</w:t>
      </w:r>
    </w:p>
    <w:p w14:paraId="3BE36008" w14:textId="77777777" w:rsidR="009D1F83" w:rsidRDefault="00452E53">
      <w:pPr>
        <w:spacing w:line="360" w:lineRule="auto"/>
        <w:jc w:val="both"/>
        <w:rPr>
          <w:sz w:val="24"/>
          <w:szCs w:val="24"/>
        </w:rPr>
      </w:pPr>
      <w:r>
        <w:rPr>
          <w:sz w:val="24"/>
          <w:szCs w:val="24"/>
        </w:rPr>
        <w:t xml:space="preserve">This is another investment appraisal method that looks to understand the time taken to recover the initial investment from a project context. </w:t>
      </w:r>
    </w:p>
    <w:p w14:paraId="1CE7F896" w14:textId="77777777" w:rsidR="009D1F83" w:rsidRDefault="00452E53">
      <w:pPr>
        <w:spacing w:line="360" w:lineRule="auto"/>
        <w:jc w:val="both"/>
        <w:rPr>
          <w:sz w:val="24"/>
          <w:szCs w:val="24"/>
        </w:rPr>
      </w:pPr>
      <w:r>
        <w:rPr>
          <w:sz w:val="24"/>
          <w:szCs w:val="24"/>
        </w:rPr>
        <w:t>Firstly, project A recovers its initial investment within 3.4 years (Sharma, 2023).</w:t>
      </w:r>
    </w:p>
    <w:p w14:paraId="0A3858A1" w14:textId="77777777" w:rsidR="009D1F83" w:rsidRDefault="00452E53">
      <w:pPr>
        <w:spacing w:line="360" w:lineRule="auto"/>
        <w:jc w:val="both"/>
        <w:rPr>
          <w:sz w:val="24"/>
          <w:szCs w:val="24"/>
        </w:rPr>
      </w:pPr>
      <w:r>
        <w:rPr>
          <w:sz w:val="24"/>
          <w:szCs w:val="24"/>
        </w:rPr>
        <w:t xml:space="preserve">Secondly, project B recovers their initial investment within 4.5 years (Ogunlusi and Obademi, 2019). </w:t>
      </w:r>
    </w:p>
    <w:p w14:paraId="2EACCC91" w14:textId="77777777" w:rsidR="009D1F83" w:rsidRDefault="00452E53">
      <w:pPr>
        <w:spacing w:line="360" w:lineRule="auto"/>
        <w:jc w:val="both"/>
        <w:rPr>
          <w:sz w:val="24"/>
          <w:szCs w:val="24"/>
        </w:rPr>
      </w:pPr>
      <w:r>
        <w:rPr>
          <w:sz w:val="24"/>
          <w:szCs w:val="24"/>
        </w:rPr>
        <w:t>Thirdly, project C recovers their initial investment within 3.6 years (Penna and Steinmueller, 2023).</w:t>
      </w:r>
    </w:p>
    <w:p w14:paraId="3630935E" w14:textId="77777777" w:rsidR="009D1F83" w:rsidRDefault="00452E53">
      <w:pPr>
        <w:spacing w:line="360" w:lineRule="auto"/>
        <w:jc w:val="both"/>
        <w:rPr>
          <w:sz w:val="24"/>
          <w:szCs w:val="24"/>
        </w:rPr>
      </w:pPr>
      <w:r>
        <w:rPr>
          <w:sz w:val="24"/>
          <w:szCs w:val="24"/>
        </w:rPr>
        <w:t xml:space="preserve">Normally, going by the above results, a shorter payback period is preferable, which reduces the risk exposure from a project's point of view for the enterprise, followed by larger improvements in liquidity (Fajar and Effriyanti, 2024). Thus, going by the above statistics, both projects A and C demonstrate acceptable recovery time (which is normally below 4 years). This aligns with a firm's normal investment policy preference. </w:t>
      </w:r>
    </w:p>
    <w:p w14:paraId="00925BF0" w14:textId="77777777" w:rsidR="009D1F83" w:rsidRDefault="00452E53">
      <w:pPr>
        <w:spacing w:line="360" w:lineRule="auto"/>
        <w:jc w:val="both"/>
        <w:rPr>
          <w:b/>
          <w:sz w:val="24"/>
          <w:szCs w:val="24"/>
          <w:u w:val="single"/>
        </w:rPr>
      </w:pPr>
      <w:r>
        <w:rPr>
          <w:b/>
          <w:sz w:val="24"/>
          <w:szCs w:val="24"/>
          <w:u w:val="single"/>
        </w:rPr>
        <w:t>Going by the Accounting Rate of Return</w:t>
      </w:r>
    </w:p>
    <w:p w14:paraId="09DDB10D" w14:textId="77777777" w:rsidR="009D1F83" w:rsidRDefault="00452E53">
      <w:pPr>
        <w:spacing w:line="360" w:lineRule="auto"/>
        <w:jc w:val="both"/>
        <w:rPr>
          <w:sz w:val="24"/>
          <w:szCs w:val="24"/>
        </w:rPr>
      </w:pPr>
      <w:r>
        <w:rPr>
          <w:sz w:val="24"/>
          <w:szCs w:val="24"/>
        </w:rPr>
        <w:t xml:space="preserve">This feature of the investment appraisal method looks to understand profitability, which is defined by a company in terms of average profits from its investments (Ogunlusi and Obademi, 2019). </w:t>
      </w:r>
      <w:r>
        <w:rPr>
          <w:b/>
          <w:i/>
          <w:sz w:val="24"/>
          <w:szCs w:val="24"/>
        </w:rPr>
        <w:t>[Referred to Appendix 2]</w:t>
      </w:r>
    </w:p>
    <w:p w14:paraId="18DDEF4E" w14:textId="77777777" w:rsidR="009D1F83" w:rsidRDefault="00452E53">
      <w:pPr>
        <w:spacing w:line="360" w:lineRule="auto"/>
        <w:jc w:val="both"/>
        <w:rPr>
          <w:sz w:val="24"/>
          <w:szCs w:val="24"/>
        </w:rPr>
      </w:pPr>
      <w:r>
        <w:rPr>
          <w:sz w:val="24"/>
          <w:szCs w:val="24"/>
        </w:rPr>
        <w:t>Again, project C outperforms both project A and B with a</w:t>
      </w:r>
      <w:r w:rsidR="00040A57">
        <w:rPr>
          <w:sz w:val="24"/>
          <w:szCs w:val="24"/>
        </w:rPr>
        <w:t>n average profit generated wort £</w:t>
      </w:r>
      <w:r>
        <w:rPr>
          <w:sz w:val="24"/>
          <w:szCs w:val="24"/>
        </w:rPr>
        <w:t xml:space="preserve">6 million, and an ARR or accounting rate of return worth 10%. Comparatively, projects A and B produced less average profit and accounting rate of return value. This showed the latter's ability to generate superior earning potential and bring about operational efficiency (Fajar and Effriyanti, 2024). </w:t>
      </w:r>
    </w:p>
    <w:p w14:paraId="15324F6E" w14:textId="77777777" w:rsidR="009D1F83" w:rsidRDefault="00452E53">
      <w:pPr>
        <w:spacing w:line="360" w:lineRule="auto"/>
        <w:jc w:val="both"/>
        <w:rPr>
          <w:b/>
          <w:sz w:val="24"/>
          <w:szCs w:val="24"/>
          <w:u w:val="single"/>
        </w:rPr>
      </w:pPr>
      <w:r>
        <w:rPr>
          <w:b/>
          <w:sz w:val="24"/>
          <w:szCs w:val="24"/>
          <w:u w:val="single"/>
        </w:rPr>
        <w:t>Findings based on the above developments</w:t>
      </w:r>
    </w:p>
    <w:p w14:paraId="461DE0C0" w14:textId="77777777" w:rsidR="009D1F83" w:rsidRDefault="00452E53">
      <w:pPr>
        <w:spacing w:line="360" w:lineRule="auto"/>
        <w:jc w:val="both"/>
        <w:rPr>
          <w:sz w:val="24"/>
          <w:szCs w:val="24"/>
        </w:rPr>
      </w:pPr>
      <w:r>
        <w:rPr>
          <w:sz w:val="24"/>
          <w:szCs w:val="24"/>
        </w:rPr>
        <w:lastRenderedPageBreak/>
        <w:t xml:space="preserve">While there exists a £60 million worth of constraint from an investment standpoint for General Electronics, the organisation can only afford project A or project C. </w:t>
      </w:r>
    </w:p>
    <w:p w14:paraId="03440746" w14:textId="77777777" w:rsidR="009D1F83" w:rsidRDefault="00452E53">
      <w:pPr>
        <w:spacing w:line="360" w:lineRule="auto"/>
        <w:jc w:val="both"/>
        <w:rPr>
          <w:sz w:val="24"/>
          <w:szCs w:val="24"/>
        </w:rPr>
      </w:pPr>
      <w:r>
        <w:rPr>
          <w:sz w:val="24"/>
          <w:szCs w:val="24"/>
        </w:rPr>
        <w:t xml:space="preserve">Project C has a better NPV as shown above and can create a stronger profit in the long run. These factors outweigh a longer time of 3.6 years versus that of project A's 3.4 years to retrieve their initial investment (Shahriar et al., 2021). </w:t>
      </w:r>
    </w:p>
    <w:p w14:paraId="63D7B83B" w14:textId="77777777" w:rsidR="009D1F83" w:rsidRDefault="00452E53">
      <w:pPr>
        <w:spacing w:line="360" w:lineRule="auto"/>
        <w:jc w:val="both"/>
        <w:rPr>
          <w:sz w:val="24"/>
          <w:szCs w:val="24"/>
        </w:rPr>
      </w:pPr>
      <w:r>
        <w:rPr>
          <w:sz w:val="24"/>
          <w:szCs w:val="24"/>
        </w:rPr>
        <w:t xml:space="preserve">Still, project C requires a larger investment worth nearly £50 million, whereas its discounted cash inflows generate £54.22 million, offering a higher surplus over its cost of capital (Shahriar et al., 2021). </w:t>
      </w:r>
      <w:r>
        <w:rPr>
          <w:b/>
          <w:i/>
          <w:sz w:val="24"/>
          <w:szCs w:val="24"/>
        </w:rPr>
        <w:t>[Referred to Appendix 2]</w:t>
      </w:r>
    </w:p>
    <w:p w14:paraId="65C3AB4A" w14:textId="77777777" w:rsidR="009D1F83" w:rsidRDefault="00452E53">
      <w:pPr>
        <w:spacing w:line="360" w:lineRule="auto"/>
        <w:jc w:val="both"/>
        <w:rPr>
          <w:sz w:val="24"/>
          <w:szCs w:val="24"/>
        </w:rPr>
      </w:pPr>
      <w:r>
        <w:rPr>
          <w:sz w:val="24"/>
          <w:szCs w:val="24"/>
        </w:rPr>
        <w:t xml:space="preserve">Keeping the above prospect in mind, Project A can then become a potential fallback option for General Electronics if they experience problems with their capital appetite. Likewise, project B must not be considered at all due to poor NPV and nil wealth driving potential of the project (Nunden et al., 2022). </w:t>
      </w:r>
    </w:p>
    <w:p w14:paraId="1E8F3065" w14:textId="77777777" w:rsidR="009D1F83" w:rsidRDefault="00452E53">
      <w:pPr>
        <w:spacing w:line="360" w:lineRule="auto"/>
        <w:jc w:val="both"/>
        <w:rPr>
          <w:b/>
          <w:sz w:val="24"/>
          <w:szCs w:val="24"/>
          <w:u w:val="single"/>
        </w:rPr>
      </w:pPr>
      <w:r>
        <w:rPr>
          <w:b/>
          <w:sz w:val="24"/>
          <w:szCs w:val="24"/>
          <w:u w:val="single"/>
        </w:rPr>
        <w:t>Final Recommendation</w:t>
      </w:r>
    </w:p>
    <w:p w14:paraId="7640457D" w14:textId="77777777" w:rsidR="009D1F83" w:rsidRDefault="00452E53">
      <w:pPr>
        <w:spacing w:line="360" w:lineRule="auto"/>
        <w:jc w:val="both"/>
        <w:rPr>
          <w:sz w:val="24"/>
          <w:szCs w:val="24"/>
        </w:rPr>
      </w:pPr>
      <w:r>
        <w:rPr>
          <w:sz w:val="24"/>
          <w:szCs w:val="24"/>
        </w:rPr>
        <w:t>Despite the investment constraint experienced by General Electronics, it would be advisable for the company to take up project C alone. The reasons for this can be laid out as follows.</w:t>
      </w:r>
      <w:r w:rsidR="006E7380">
        <w:rPr>
          <w:sz w:val="24"/>
          <w:szCs w:val="24"/>
        </w:rPr>
        <w:t xml:space="preserve"> </w:t>
      </w:r>
      <w:r>
        <w:rPr>
          <w:b/>
          <w:i/>
          <w:sz w:val="24"/>
          <w:szCs w:val="24"/>
        </w:rPr>
        <w:t>[Referred to Appendix 2]</w:t>
      </w:r>
    </w:p>
    <w:p w14:paraId="1AB6D276" w14:textId="77777777" w:rsidR="009D1F83" w:rsidRDefault="00452E53">
      <w:pPr>
        <w:spacing w:line="360" w:lineRule="auto"/>
        <w:jc w:val="both"/>
        <w:rPr>
          <w:sz w:val="24"/>
          <w:szCs w:val="24"/>
        </w:rPr>
      </w:pPr>
      <w:r>
        <w:rPr>
          <w:sz w:val="24"/>
          <w:szCs w:val="24"/>
        </w:rPr>
        <w:t>Firstly, the project can drive a higher net present value (worth £4.22 million), which cannot be borne from the other projects (Nunden et al., 2022).</w:t>
      </w:r>
    </w:p>
    <w:p w14:paraId="72B4AAB1" w14:textId="77777777" w:rsidR="009D1F83" w:rsidRDefault="00452E53">
      <w:pPr>
        <w:spacing w:line="360" w:lineRule="auto"/>
        <w:jc w:val="both"/>
        <w:rPr>
          <w:sz w:val="24"/>
          <w:szCs w:val="24"/>
        </w:rPr>
      </w:pPr>
      <w:r>
        <w:rPr>
          <w:sz w:val="24"/>
          <w:szCs w:val="24"/>
        </w:rPr>
        <w:t xml:space="preserve">Secondly, this project can meet stakeholder expectations to maximise their wealth potential after citing a 10% ARR, which could not be borne by the other projects (Fajar and Effriyanti, 2024). </w:t>
      </w:r>
      <w:r>
        <w:rPr>
          <w:b/>
          <w:i/>
          <w:sz w:val="24"/>
          <w:szCs w:val="24"/>
        </w:rPr>
        <w:t>[Referred to Appendix 2]</w:t>
      </w:r>
    </w:p>
    <w:p w14:paraId="1805407D" w14:textId="77777777" w:rsidR="009D1F83" w:rsidRDefault="00452E53">
      <w:pPr>
        <w:spacing w:line="360" w:lineRule="auto"/>
        <w:jc w:val="both"/>
        <w:rPr>
          <w:sz w:val="24"/>
          <w:szCs w:val="24"/>
        </w:rPr>
      </w:pPr>
      <w:r>
        <w:rPr>
          <w:sz w:val="24"/>
          <w:szCs w:val="24"/>
        </w:rPr>
        <w:t>Thirdly, the initial investment will also be recovered within a reasonable time frame, which is 3.6 years. This might not be considered too late from a General Electronics point of view (Sharma, 2023).</w:t>
      </w:r>
    </w:p>
    <w:p w14:paraId="1C87BC60" w14:textId="77777777" w:rsidR="009D1F83" w:rsidRDefault="00452E53" w:rsidP="006E7380">
      <w:pPr>
        <w:pStyle w:val="Heading2"/>
      </w:pPr>
      <w:bookmarkStart w:id="17" w:name="_Toc212203743"/>
      <w:r>
        <w:t>5.3 Justification of the recommendations with reference to the company’s financial performance and project risk characteristics</w:t>
      </w:r>
      <w:bookmarkEnd w:id="17"/>
    </w:p>
    <w:p w14:paraId="1E5274DC" w14:textId="77777777" w:rsidR="009D1F83" w:rsidRDefault="00452E53">
      <w:pPr>
        <w:spacing w:line="360" w:lineRule="auto"/>
        <w:jc w:val="both"/>
        <w:rPr>
          <w:sz w:val="24"/>
          <w:szCs w:val="24"/>
        </w:rPr>
      </w:pPr>
      <w:r>
        <w:rPr>
          <w:sz w:val="24"/>
          <w:szCs w:val="24"/>
        </w:rPr>
        <w:t xml:space="preserve">Firstly, liquidity-wise, the company's ability might have slightly declined, but a promise of better liquidity can be easily provided by project C, which can also drive the short-term cash-generating capacity of the firm. A higher gearing ratio for General Electronics </w:t>
      </w:r>
      <w:r>
        <w:rPr>
          <w:sz w:val="24"/>
          <w:szCs w:val="24"/>
        </w:rPr>
        <w:lastRenderedPageBreak/>
        <w:t xml:space="preserve">suggests that investment in projects, which can create higher wealth along with stable returns, could be essential to contribute to liquidity. </w:t>
      </w:r>
    </w:p>
    <w:p w14:paraId="5C59E86C" w14:textId="77777777" w:rsidR="009D1F83" w:rsidRDefault="00452E53">
      <w:pPr>
        <w:spacing w:line="360" w:lineRule="auto"/>
        <w:jc w:val="both"/>
        <w:rPr>
          <w:sz w:val="24"/>
          <w:szCs w:val="24"/>
        </w:rPr>
      </w:pPr>
      <w:r>
        <w:rPr>
          <w:sz w:val="24"/>
          <w:szCs w:val="24"/>
        </w:rPr>
        <w:t xml:space="preserve">Secondly, profitability-wise, both return on equity and return on assets might have turned negative for General Electronics; still, their weaker </w:t>
      </w:r>
      <w:r w:rsidR="00040A57">
        <w:rPr>
          <w:sz w:val="24"/>
          <w:szCs w:val="24"/>
        </w:rPr>
        <w:t>earnings</w:t>
      </w:r>
      <w:r>
        <w:rPr>
          <w:sz w:val="24"/>
          <w:szCs w:val="24"/>
        </w:rPr>
        <w:t xml:space="preserve"> performance can be reversed by Project C, which can bring about predictable inflows to enhance stakeholder value over a period of time.</w:t>
      </w:r>
    </w:p>
    <w:p w14:paraId="00366289" w14:textId="77777777" w:rsidR="009D1F83" w:rsidRDefault="00452E53">
      <w:pPr>
        <w:spacing w:line="360" w:lineRule="auto"/>
        <w:jc w:val="both"/>
        <w:rPr>
          <w:sz w:val="24"/>
          <w:szCs w:val="24"/>
        </w:rPr>
      </w:pPr>
      <w:r>
        <w:rPr>
          <w:sz w:val="24"/>
          <w:szCs w:val="24"/>
        </w:rPr>
        <w:t xml:space="preserve">Thirdly, predictable inflows from project C can also assist General Electronics' operational efficiency through receivables and inventory-based generating ability. </w:t>
      </w:r>
    </w:p>
    <w:p w14:paraId="416ED971" w14:textId="77777777" w:rsidR="009D1F83" w:rsidRDefault="00452E53" w:rsidP="006E7380">
      <w:pPr>
        <w:pStyle w:val="Heading1"/>
      </w:pPr>
      <w:bookmarkStart w:id="18" w:name="_Toc212203744"/>
      <w:r>
        <w:t>6.0 Conclusion</w:t>
      </w:r>
      <w:bookmarkEnd w:id="18"/>
      <w:r>
        <w:t xml:space="preserve"> </w:t>
      </w:r>
    </w:p>
    <w:p w14:paraId="54989C51" w14:textId="77777777" w:rsidR="009D1F83" w:rsidRDefault="00452E53">
      <w:pPr>
        <w:spacing w:line="360" w:lineRule="auto"/>
        <w:jc w:val="both"/>
        <w:rPr>
          <w:b/>
          <w:sz w:val="24"/>
          <w:szCs w:val="24"/>
        </w:rPr>
      </w:pPr>
      <w:r>
        <w:rPr>
          <w:sz w:val="24"/>
          <w:szCs w:val="24"/>
        </w:rPr>
        <w:t xml:space="preserve">Both the financial performance and working capital management analysis for General </w:t>
      </w:r>
      <w:r w:rsidR="006E7380">
        <w:rPr>
          <w:sz w:val="24"/>
          <w:szCs w:val="24"/>
        </w:rPr>
        <w:t>Electronics</w:t>
      </w:r>
      <w:r>
        <w:rPr>
          <w:sz w:val="24"/>
          <w:szCs w:val="24"/>
        </w:rPr>
        <w:t xml:space="preserve"> revealed how the organisation was struggling with its diminishing profitability and liquidity. This was not only indicative from the financial ratios but also the cash operating cycle, which was the fewest days in 2020 compared with the following four years till 2024. The report also analysed how the enterprise might work upon new financing options, </w:t>
      </w:r>
      <w:r w:rsidR="006E7380">
        <w:rPr>
          <w:sz w:val="24"/>
          <w:szCs w:val="24"/>
        </w:rPr>
        <w:t>both from a short-term objective and</w:t>
      </w:r>
      <w:r>
        <w:rPr>
          <w:sz w:val="24"/>
          <w:szCs w:val="24"/>
        </w:rPr>
        <w:t xml:space="preserve"> for the long run, which helps them to improve their working capital. Moreover, the report also brought about different investment appraisal methods for the company to choose a specific project, which can become a catalyst for improving the financial performance issues plagui</w:t>
      </w:r>
      <w:r w:rsidR="00040A57">
        <w:rPr>
          <w:sz w:val="24"/>
          <w:szCs w:val="24"/>
        </w:rPr>
        <w:t>ng them in the last five years.</w:t>
      </w:r>
      <w:r>
        <w:br w:type="page"/>
      </w:r>
    </w:p>
    <w:p w14:paraId="7DB1B699" w14:textId="77777777" w:rsidR="009D1F83" w:rsidRDefault="00452E53" w:rsidP="006E7380">
      <w:pPr>
        <w:pStyle w:val="Heading1"/>
      </w:pPr>
      <w:bookmarkStart w:id="19" w:name="_Toc212203745"/>
      <w:r>
        <w:lastRenderedPageBreak/>
        <w:t>References</w:t>
      </w:r>
      <w:bookmarkEnd w:id="19"/>
    </w:p>
    <w:p w14:paraId="25B7105B" w14:textId="77777777" w:rsidR="006E7380" w:rsidRDefault="00452E53">
      <w:pPr>
        <w:spacing w:after="240" w:line="360" w:lineRule="auto"/>
        <w:jc w:val="both"/>
        <w:rPr>
          <w:sz w:val="24"/>
          <w:szCs w:val="24"/>
        </w:rPr>
      </w:pPr>
      <w:r>
        <w:rPr>
          <w:sz w:val="24"/>
          <w:szCs w:val="24"/>
        </w:rPr>
        <w:t xml:space="preserve">Alcalde, R., Alonso de Armiño, C. and García, S. (2022). Analysis of the Economic Sustainability of the Supply Chain Sector by Applying the Altman Z-Score Predictor. </w:t>
      </w:r>
      <w:r>
        <w:rPr>
          <w:i/>
          <w:sz w:val="24"/>
          <w:szCs w:val="24"/>
        </w:rPr>
        <w:t>Sustainability</w:t>
      </w:r>
      <w:r>
        <w:rPr>
          <w:sz w:val="24"/>
          <w:szCs w:val="24"/>
        </w:rPr>
        <w:t>, [online] 14(2), p.851. Doi: https://doi.org/10.3390/su14020851.</w:t>
      </w:r>
    </w:p>
    <w:p w14:paraId="7AFB47CD" w14:textId="77777777" w:rsidR="006E7380" w:rsidRDefault="00452E53">
      <w:pPr>
        <w:spacing w:after="240" w:line="360" w:lineRule="auto"/>
        <w:jc w:val="both"/>
        <w:rPr>
          <w:sz w:val="24"/>
          <w:szCs w:val="24"/>
        </w:rPr>
      </w:pPr>
      <w:r>
        <w:rPr>
          <w:sz w:val="24"/>
          <w:szCs w:val="24"/>
        </w:rPr>
        <w:t xml:space="preserve">Barko, T., Cremers, M. and Renneboog, L. (2021). Shareholder Engagement on Environmental, Social, and Governance Performance. </w:t>
      </w:r>
      <w:r>
        <w:rPr>
          <w:i/>
          <w:sz w:val="24"/>
          <w:szCs w:val="24"/>
        </w:rPr>
        <w:t>Journal of Business Ethics</w:t>
      </w:r>
      <w:r>
        <w:rPr>
          <w:sz w:val="24"/>
          <w:szCs w:val="24"/>
        </w:rPr>
        <w:t>, [online] 180(180). Doi: https://doi.org/10.1007/s10551-021-04850-z.</w:t>
      </w:r>
    </w:p>
    <w:p w14:paraId="14FE6E06" w14:textId="77777777" w:rsidR="006E7380" w:rsidRDefault="00452E53">
      <w:pPr>
        <w:spacing w:after="240" w:line="360" w:lineRule="auto"/>
        <w:jc w:val="both"/>
        <w:rPr>
          <w:sz w:val="24"/>
          <w:szCs w:val="24"/>
        </w:rPr>
      </w:pPr>
      <w:r>
        <w:rPr>
          <w:sz w:val="24"/>
          <w:szCs w:val="24"/>
        </w:rPr>
        <w:t xml:space="preserve">Braunsberger, C. and Aschauer, E. (2025). Corporate Failure Prediction: A Literature Review of Altman Z-Score and Machine Learning Models Within a Technology Adoption Framework. </w:t>
      </w:r>
      <w:r>
        <w:rPr>
          <w:i/>
          <w:sz w:val="24"/>
          <w:szCs w:val="24"/>
        </w:rPr>
        <w:t>Journal of Risk and Financial Management</w:t>
      </w:r>
      <w:r>
        <w:rPr>
          <w:sz w:val="24"/>
          <w:szCs w:val="24"/>
        </w:rPr>
        <w:t>, 18(8), p.465. Doi: https://doi.org/10.3390/jrfm18080465.</w:t>
      </w:r>
    </w:p>
    <w:p w14:paraId="7FCF9B0A" w14:textId="77777777" w:rsidR="006E7380" w:rsidRDefault="00452E53">
      <w:pPr>
        <w:spacing w:after="240" w:line="360" w:lineRule="auto"/>
        <w:jc w:val="both"/>
        <w:rPr>
          <w:sz w:val="24"/>
          <w:szCs w:val="24"/>
        </w:rPr>
      </w:pPr>
      <w:r>
        <w:rPr>
          <w:sz w:val="24"/>
          <w:szCs w:val="24"/>
        </w:rPr>
        <w:t xml:space="preserve">Bull, R. (2019). </w:t>
      </w:r>
      <w:r>
        <w:rPr>
          <w:i/>
          <w:sz w:val="24"/>
          <w:szCs w:val="24"/>
        </w:rPr>
        <w:t>Financial ratios: how to use financial ratios to maximise value and success for your business</w:t>
      </w:r>
      <w:r>
        <w:rPr>
          <w:sz w:val="24"/>
          <w:szCs w:val="24"/>
        </w:rPr>
        <w:t>. Burlington, MA, USA: Elsevier Ltd.</w:t>
      </w:r>
    </w:p>
    <w:p w14:paraId="5A7BDE0B" w14:textId="77777777" w:rsidR="006E7380" w:rsidRDefault="00452E53">
      <w:pPr>
        <w:spacing w:after="240" w:line="360" w:lineRule="auto"/>
        <w:jc w:val="both"/>
        <w:rPr>
          <w:sz w:val="24"/>
          <w:szCs w:val="24"/>
        </w:rPr>
      </w:pPr>
      <w:r>
        <w:rPr>
          <w:sz w:val="24"/>
          <w:szCs w:val="24"/>
        </w:rPr>
        <w:t xml:space="preserve">Chen, W., Rabhi, F., Liao, W. and Al-Qudah, I. (2023). Leveraging State-of-the-Art Topic Modelling for News Impact Analysis on Financial Markets: A Comparative Study. </w:t>
      </w:r>
      <w:r>
        <w:rPr>
          <w:i/>
          <w:sz w:val="24"/>
          <w:szCs w:val="24"/>
        </w:rPr>
        <w:t>Electronics</w:t>
      </w:r>
      <w:r>
        <w:rPr>
          <w:sz w:val="24"/>
          <w:szCs w:val="24"/>
        </w:rPr>
        <w:t>, [online] 12(12), p.2605. Doi: https://doi.org/10.3390/electronics12122605.</w:t>
      </w:r>
    </w:p>
    <w:p w14:paraId="5D023F4F" w14:textId="77777777" w:rsidR="006E7380" w:rsidRDefault="00452E53">
      <w:pPr>
        <w:spacing w:after="240" w:line="360" w:lineRule="auto"/>
        <w:jc w:val="both"/>
        <w:rPr>
          <w:sz w:val="24"/>
          <w:szCs w:val="24"/>
        </w:rPr>
      </w:pPr>
      <w:r>
        <w:rPr>
          <w:sz w:val="24"/>
          <w:szCs w:val="24"/>
        </w:rPr>
        <w:t xml:space="preserve">Cındık, Z. and Armutlulu, I.H. (2021). A revision of the Altman Z-Score model and a comparative analysis of Turkish companies’ financial distress prediction. </w:t>
      </w:r>
      <w:r>
        <w:rPr>
          <w:i/>
          <w:sz w:val="24"/>
          <w:szCs w:val="24"/>
        </w:rPr>
        <w:t>National Accounting Review</w:t>
      </w:r>
      <w:r>
        <w:rPr>
          <w:sz w:val="24"/>
          <w:szCs w:val="24"/>
        </w:rPr>
        <w:t>, 3(2), pp.237–255. Doi: https://doi.org/10.3934/nar.2021012.</w:t>
      </w:r>
    </w:p>
    <w:p w14:paraId="3A43A872" w14:textId="77777777" w:rsidR="006E7380" w:rsidRDefault="00452E53">
      <w:pPr>
        <w:spacing w:after="240" w:line="360" w:lineRule="auto"/>
        <w:jc w:val="both"/>
        <w:rPr>
          <w:sz w:val="24"/>
          <w:szCs w:val="24"/>
        </w:rPr>
      </w:pPr>
      <w:r>
        <w:rPr>
          <w:sz w:val="24"/>
          <w:szCs w:val="24"/>
        </w:rPr>
        <w:t xml:space="preserve">Consultancy-me.com (2024). </w:t>
      </w:r>
      <w:r>
        <w:rPr>
          <w:i/>
          <w:sz w:val="24"/>
          <w:szCs w:val="24"/>
        </w:rPr>
        <w:t>PwC advises on the $1 billion debt restructuring of JBF Group</w:t>
      </w:r>
      <w:r>
        <w:rPr>
          <w:sz w:val="24"/>
          <w:szCs w:val="24"/>
        </w:rPr>
        <w:t>. [online] Consultancy-me.com. Available at: https://www.consultancy-me.com/news/9564/pwc-advises-on-1-billion-debt-restructuring-of-jbf-group [Accessed 3 Oct. 2025].</w:t>
      </w:r>
    </w:p>
    <w:p w14:paraId="50A1E2B9" w14:textId="77777777" w:rsidR="006E7380" w:rsidRDefault="00452E53">
      <w:pPr>
        <w:spacing w:after="240" w:line="360" w:lineRule="auto"/>
        <w:jc w:val="both"/>
        <w:rPr>
          <w:sz w:val="24"/>
          <w:szCs w:val="24"/>
        </w:rPr>
      </w:pPr>
      <w:r>
        <w:rPr>
          <w:sz w:val="24"/>
          <w:szCs w:val="24"/>
        </w:rPr>
        <w:t xml:space="preserve">Cumming, D., Jindal, V., Kumar, S. and Pandey, N. (2023). Mergers and Acquisitions Research in Finance and Accounting: Past, Present, and Future. </w:t>
      </w:r>
      <w:r>
        <w:rPr>
          <w:i/>
          <w:sz w:val="24"/>
          <w:szCs w:val="24"/>
        </w:rPr>
        <w:t>European Financial Management</w:t>
      </w:r>
      <w:r>
        <w:rPr>
          <w:sz w:val="24"/>
          <w:szCs w:val="24"/>
        </w:rPr>
        <w:t>, 29(5), pp.1464–1504. Doi: https://doi.org/10.1111/eufm.12417.</w:t>
      </w:r>
    </w:p>
    <w:p w14:paraId="6D83ADB8" w14:textId="77777777" w:rsidR="006E7380" w:rsidRDefault="00452E53">
      <w:pPr>
        <w:spacing w:after="240" w:line="360" w:lineRule="auto"/>
        <w:jc w:val="both"/>
        <w:rPr>
          <w:sz w:val="24"/>
          <w:szCs w:val="24"/>
        </w:rPr>
      </w:pPr>
      <w:r>
        <w:rPr>
          <w:sz w:val="24"/>
          <w:szCs w:val="24"/>
        </w:rPr>
        <w:lastRenderedPageBreak/>
        <w:t xml:space="preserve">Cunha, F.A.F. de S., Meira, E. and Orsato, R.J. (2021). Sustainable finance and investment: Review and research agenda. </w:t>
      </w:r>
      <w:r>
        <w:rPr>
          <w:i/>
          <w:sz w:val="24"/>
          <w:szCs w:val="24"/>
        </w:rPr>
        <w:t>Business Strategy and the Environment</w:t>
      </w:r>
      <w:r>
        <w:rPr>
          <w:sz w:val="24"/>
          <w:szCs w:val="24"/>
        </w:rPr>
        <w:t>, [online] 30(8), pp.3821–3838. Doi: https://doi.org/10.1002/bse.2842.</w:t>
      </w:r>
    </w:p>
    <w:p w14:paraId="6FAC55DD" w14:textId="77777777" w:rsidR="006E7380" w:rsidRDefault="00452E53">
      <w:pPr>
        <w:spacing w:after="240" w:line="360" w:lineRule="auto"/>
        <w:jc w:val="both"/>
        <w:rPr>
          <w:sz w:val="24"/>
          <w:szCs w:val="24"/>
        </w:rPr>
      </w:pPr>
      <w:r>
        <w:rPr>
          <w:sz w:val="24"/>
          <w:szCs w:val="24"/>
        </w:rPr>
        <w:t xml:space="preserve">Divekar, V. and Sukhari, S. (2021). Assessing the Financial Soundness of Indian Aviation Sector Companies by Using Altman's Z-Score Model &amp; Pilarski's Score Model. </w:t>
      </w:r>
      <w:r>
        <w:rPr>
          <w:i/>
          <w:sz w:val="24"/>
          <w:szCs w:val="24"/>
        </w:rPr>
        <w:t>Universal Journal of Accounting and Finance</w:t>
      </w:r>
      <w:r>
        <w:rPr>
          <w:sz w:val="24"/>
          <w:szCs w:val="24"/>
        </w:rPr>
        <w:t>, 9(6), pp.1222–1234. Doi: https://doi.org/10.13189/ujaf.2021.090602.</w:t>
      </w:r>
    </w:p>
    <w:p w14:paraId="41670063" w14:textId="77777777" w:rsidR="006E7380" w:rsidRDefault="00452E53">
      <w:pPr>
        <w:spacing w:after="240" w:line="360" w:lineRule="auto"/>
        <w:jc w:val="both"/>
        <w:rPr>
          <w:sz w:val="24"/>
          <w:szCs w:val="24"/>
        </w:rPr>
      </w:pPr>
      <w:r>
        <w:rPr>
          <w:sz w:val="24"/>
          <w:szCs w:val="24"/>
        </w:rPr>
        <w:t xml:space="preserve">Elia, J., Toros, E. and Sawaya, C. (2021). Using Altman Z"-Score to Predict Financial Distress: Evidence from Lebanese Alpha Banks. </w:t>
      </w:r>
      <w:r>
        <w:rPr>
          <w:i/>
          <w:sz w:val="24"/>
          <w:szCs w:val="24"/>
        </w:rPr>
        <w:t>Management Studies and Economic Systems</w:t>
      </w:r>
      <w:r>
        <w:rPr>
          <w:sz w:val="24"/>
          <w:szCs w:val="24"/>
        </w:rPr>
        <w:t>, 6(1-2), pp.47–57. Doi: https://doi.org/10.12816/0059150.</w:t>
      </w:r>
    </w:p>
    <w:p w14:paraId="2786AE9B" w14:textId="77777777" w:rsidR="006E7380" w:rsidRDefault="00452E53">
      <w:pPr>
        <w:spacing w:after="240" w:line="360" w:lineRule="auto"/>
        <w:jc w:val="both"/>
        <w:rPr>
          <w:sz w:val="24"/>
          <w:szCs w:val="24"/>
        </w:rPr>
      </w:pPr>
      <w:r>
        <w:rPr>
          <w:sz w:val="24"/>
          <w:szCs w:val="24"/>
        </w:rPr>
        <w:t xml:space="preserve">Fajar, K.R. and Effriyanti, E. (2024). The Influence of Environmental, Social, Governance and Capital Structure Performance on Financial Performance. </w:t>
      </w:r>
      <w:r>
        <w:rPr>
          <w:i/>
          <w:sz w:val="24"/>
          <w:szCs w:val="24"/>
        </w:rPr>
        <w:t>Governors</w:t>
      </w:r>
      <w:r>
        <w:rPr>
          <w:sz w:val="24"/>
          <w:szCs w:val="24"/>
        </w:rPr>
        <w:t>, 3(2), pp.115–128. Doi: https://doi.org/10.47709/governors.v3i2.4436.</w:t>
      </w:r>
    </w:p>
    <w:p w14:paraId="74E54593" w14:textId="77777777" w:rsidR="006E7380" w:rsidRDefault="00452E53">
      <w:pPr>
        <w:spacing w:after="240" w:line="360" w:lineRule="auto"/>
        <w:jc w:val="both"/>
        <w:rPr>
          <w:sz w:val="24"/>
          <w:szCs w:val="24"/>
        </w:rPr>
      </w:pPr>
      <w:r>
        <w:rPr>
          <w:sz w:val="24"/>
          <w:szCs w:val="24"/>
        </w:rPr>
        <w:t xml:space="preserve">Fridson, M.S. and Alvarez, F. (2022). </w:t>
      </w:r>
      <w:r>
        <w:rPr>
          <w:i/>
          <w:sz w:val="24"/>
          <w:szCs w:val="24"/>
        </w:rPr>
        <w:t>Financial statement analysis: A practitioner’s guide</w:t>
      </w:r>
      <w:r>
        <w:rPr>
          <w:sz w:val="24"/>
          <w:szCs w:val="24"/>
        </w:rPr>
        <w:t>. Hoboken, N.J.: Wiley, pp.1–600.</w:t>
      </w:r>
    </w:p>
    <w:p w14:paraId="1AAB0D5E" w14:textId="77777777" w:rsidR="006E7380" w:rsidRDefault="00452E53">
      <w:pPr>
        <w:spacing w:after="240" w:line="360" w:lineRule="auto"/>
        <w:jc w:val="both"/>
        <w:rPr>
          <w:sz w:val="24"/>
          <w:szCs w:val="24"/>
        </w:rPr>
      </w:pPr>
      <w:r>
        <w:rPr>
          <w:sz w:val="24"/>
          <w:szCs w:val="24"/>
        </w:rPr>
        <w:t xml:space="preserve">Giaretta, E. and Chesini, G. (2021). The determinants of debt financing: The case of fintech start-ups. </w:t>
      </w:r>
      <w:r>
        <w:rPr>
          <w:i/>
          <w:sz w:val="24"/>
          <w:szCs w:val="24"/>
        </w:rPr>
        <w:t>Journal of Innovation &amp; Knowledge</w:t>
      </w:r>
      <w:r>
        <w:rPr>
          <w:sz w:val="24"/>
          <w:szCs w:val="24"/>
        </w:rPr>
        <w:t>, [online] 6(4), pp.268–279. Doi: https://doi.org/10.1016/j.jik.2021.10.001.</w:t>
      </w:r>
    </w:p>
    <w:p w14:paraId="2F2C9775" w14:textId="77777777" w:rsidR="006E7380" w:rsidRDefault="00452E53">
      <w:pPr>
        <w:spacing w:after="240" w:line="360" w:lineRule="auto"/>
        <w:jc w:val="both"/>
        <w:rPr>
          <w:sz w:val="24"/>
          <w:szCs w:val="24"/>
        </w:rPr>
      </w:pPr>
      <w:r>
        <w:rPr>
          <w:sz w:val="24"/>
          <w:szCs w:val="24"/>
        </w:rPr>
        <w:t xml:space="preserve">Gompers, P., Gornall, W., Kaplan, S.N. and Strebulaev, I.A. (2021). </w:t>
      </w:r>
      <w:r>
        <w:rPr>
          <w:i/>
          <w:sz w:val="24"/>
          <w:szCs w:val="24"/>
        </w:rPr>
        <w:t>How Venture Capitalists Make Decisions</w:t>
      </w:r>
      <w:r>
        <w:rPr>
          <w:sz w:val="24"/>
          <w:szCs w:val="24"/>
        </w:rPr>
        <w:t>. [online] Harvard Business Review. Available at: https://hbr.org/2021/03/how-venture-capitalists-make-decisions [Accessed 4 Oct. 2025].</w:t>
      </w:r>
    </w:p>
    <w:p w14:paraId="5CBB21D8" w14:textId="77777777" w:rsidR="006E7380" w:rsidRDefault="00452E53">
      <w:pPr>
        <w:spacing w:after="240" w:line="360" w:lineRule="auto"/>
        <w:jc w:val="both"/>
        <w:rPr>
          <w:sz w:val="24"/>
          <w:szCs w:val="24"/>
        </w:rPr>
      </w:pPr>
      <w:r>
        <w:rPr>
          <w:sz w:val="24"/>
          <w:szCs w:val="24"/>
        </w:rPr>
        <w:t xml:space="preserve">Gowthorpe, C. (2020). </w:t>
      </w:r>
      <w:r>
        <w:rPr>
          <w:i/>
          <w:sz w:val="24"/>
          <w:szCs w:val="24"/>
        </w:rPr>
        <w:t>Financial Analysis</w:t>
      </w:r>
      <w:r>
        <w:rPr>
          <w:sz w:val="24"/>
          <w:szCs w:val="24"/>
        </w:rPr>
        <w:t>. 4th ed. Oxford: Cima, pp.1–550.</w:t>
      </w:r>
    </w:p>
    <w:p w14:paraId="120E3A1B" w14:textId="77777777" w:rsidR="006E7380" w:rsidRDefault="00452E53">
      <w:pPr>
        <w:spacing w:after="240" w:line="360" w:lineRule="auto"/>
        <w:jc w:val="both"/>
        <w:rPr>
          <w:sz w:val="24"/>
          <w:szCs w:val="24"/>
        </w:rPr>
      </w:pPr>
      <w:r>
        <w:rPr>
          <w:sz w:val="24"/>
          <w:szCs w:val="24"/>
        </w:rPr>
        <w:t xml:space="preserve">Hossain, M.S. (2021). Merger &amp; Acquisitions (M&amp;As) as an Important Strategic Vehicle in business: Thematic areas, Research Avenues &amp; Possible Suggestions. </w:t>
      </w:r>
      <w:r>
        <w:rPr>
          <w:i/>
          <w:sz w:val="24"/>
          <w:szCs w:val="24"/>
        </w:rPr>
        <w:t>Journal of Economics and Business</w:t>
      </w:r>
      <w:r>
        <w:rPr>
          <w:sz w:val="24"/>
          <w:szCs w:val="24"/>
        </w:rPr>
        <w:t>, [online] 116(1), p.106004. Doi: https://doi.org/10.1016/j.jeconbus.2021.106004.</w:t>
      </w:r>
    </w:p>
    <w:p w14:paraId="46D7E118" w14:textId="77777777" w:rsidR="006E7380" w:rsidRDefault="00452E53">
      <w:pPr>
        <w:spacing w:after="240" w:line="360" w:lineRule="auto"/>
        <w:jc w:val="both"/>
        <w:rPr>
          <w:sz w:val="24"/>
          <w:szCs w:val="24"/>
        </w:rPr>
      </w:pPr>
      <w:r>
        <w:rPr>
          <w:sz w:val="24"/>
          <w:szCs w:val="24"/>
        </w:rPr>
        <w:lastRenderedPageBreak/>
        <w:t xml:space="preserve">Huang, R. and Ritter, J.R. (2021). Corporate Cash Shortfalls and Financing Decisions. </w:t>
      </w:r>
      <w:r>
        <w:rPr>
          <w:i/>
          <w:sz w:val="24"/>
          <w:szCs w:val="24"/>
        </w:rPr>
        <w:t>SSRN Electronic Journal</w:t>
      </w:r>
      <w:r>
        <w:rPr>
          <w:sz w:val="24"/>
          <w:szCs w:val="24"/>
        </w:rPr>
        <w:t>, 34(4), pp.1789–1833. Doi: https://doi.org/10.2139/ssrn.2589096.</w:t>
      </w:r>
    </w:p>
    <w:p w14:paraId="62E333E7" w14:textId="77777777" w:rsidR="006E7380" w:rsidRDefault="00452E53">
      <w:pPr>
        <w:spacing w:after="240" w:line="360" w:lineRule="auto"/>
        <w:jc w:val="both"/>
        <w:rPr>
          <w:sz w:val="24"/>
          <w:szCs w:val="24"/>
        </w:rPr>
      </w:pPr>
      <w:r>
        <w:rPr>
          <w:sz w:val="24"/>
          <w:szCs w:val="24"/>
        </w:rPr>
        <w:t xml:space="preserve">James Gallagher, T. (2007). </w:t>
      </w:r>
      <w:r>
        <w:rPr>
          <w:i/>
          <w:sz w:val="24"/>
          <w:szCs w:val="24"/>
        </w:rPr>
        <w:t>Financial Management</w:t>
      </w:r>
      <w:r>
        <w:rPr>
          <w:sz w:val="24"/>
          <w:szCs w:val="24"/>
        </w:rPr>
        <w:t>. Thousand Oaks, California: Sage Publications, Inc.</w:t>
      </w:r>
    </w:p>
    <w:p w14:paraId="414B0B1F" w14:textId="77777777" w:rsidR="006E7380" w:rsidRDefault="00452E53">
      <w:pPr>
        <w:spacing w:after="240" w:line="360" w:lineRule="auto"/>
        <w:jc w:val="both"/>
        <w:rPr>
          <w:sz w:val="24"/>
          <w:szCs w:val="24"/>
        </w:rPr>
      </w:pPr>
      <w:r>
        <w:rPr>
          <w:sz w:val="24"/>
          <w:szCs w:val="24"/>
        </w:rPr>
        <w:t xml:space="preserve">Jihadi, M., Vilantika, E., Hashemi, S.M., Arifin, Z., Bachtiar, Y. and Sholichah, F. (2021). The Effect of Liquidity, Leverage, and Profitability on Firm Value: Empirical Evidence from Indonesia. </w:t>
      </w:r>
      <w:r>
        <w:rPr>
          <w:i/>
          <w:sz w:val="24"/>
          <w:szCs w:val="24"/>
        </w:rPr>
        <w:t>The Journal of Asian Finance, Economics and Business</w:t>
      </w:r>
      <w:r>
        <w:rPr>
          <w:sz w:val="24"/>
          <w:szCs w:val="24"/>
        </w:rPr>
        <w:t>, 8(3), pp.423–431. Doi: https://doi.org/10.13106/jafeb.2021.vol8.no3.0423.</w:t>
      </w:r>
    </w:p>
    <w:p w14:paraId="76F674CE" w14:textId="77777777" w:rsidR="006E7380" w:rsidRDefault="00452E53">
      <w:pPr>
        <w:spacing w:after="240" w:line="360" w:lineRule="auto"/>
        <w:jc w:val="both"/>
        <w:rPr>
          <w:sz w:val="24"/>
          <w:szCs w:val="24"/>
        </w:rPr>
      </w:pPr>
      <w:r>
        <w:rPr>
          <w:sz w:val="24"/>
          <w:szCs w:val="24"/>
        </w:rPr>
        <w:t xml:space="preserve">Laghari, F. and Ahmed, F. (2023). Cash flow management and its effect on firm performance: Empirical evidence on non-financial firms of China. </w:t>
      </w:r>
      <w:r>
        <w:rPr>
          <w:i/>
          <w:sz w:val="24"/>
          <w:szCs w:val="24"/>
        </w:rPr>
        <w:t>PLoS ONE</w:t>
      </w:r>
      <w:r>
        <w:rPr>
          <w:sz w:val="24"/>
          <w:szCs w:val="24"/>
        </w:rPr>
        <w:t>, 18(6), p.0287135. Doi: https://doi.org/10.1371/journal.pone.0287135.</w:t>
      </w:r>
    </w:p>
    <w:p w14:paraId="67EC0D27" w14:textId="77777777" w:rsidR="006E7380" w:rsidRDefault="00452E53">
      <w:pPr>
        <w:spacing w:after="240" w:line="360" w:lineRule="auto"/>
        <w:jc w:val="both"/>
        <w:rPr>
          <w:sz w:val="24"/>
          <w:szCs w:val="24"/>
        </w:rPr>
      </w:pPr>
      <w:r>
        <w:rPr>
          <w:sz w:val="24"/>
          <w:szCs w:val="24"/>
        </w:rPr>
        <w:t xml:space="preserve">Li, Z., Crook, J., Andreeva, G. and Tang, Y. (2020). Predicting the risk of financial distress using corporate governance measures. </w:t>
      </w:r>
      <w:r>
        <w:rPr>
          <w:i/>
          <w:sz w:val="24"/>
          <w:szCs w:val="24"/>
        </w:rPr>
        <w:t>Pacific-Basin Finance Journal</w:t>
      </w:r>
      <w:r>
        <w:rPr>
          <w:sz w:val="24"/>
          <w:szCs w:val="24"/>
        </w:rPr>
        <w:t>, 68, p.101334. Doi: https://doi.org/10.1016/j.pacfin.2020.101334.</w:t>
      </w:r>
    </w:p>
    <w:p w14:paraId="65C176FE" w14:textId="77777777" w:rsidR="006E7380" w:rsidRDefault="00452E53">
      <w:pPr>
        <w:spacing w:after="240" w:line="360" w:lineRule="auto"/>
        <w:jc w:val="both"/>
        <w:rPr>
          <w:sz w:val="24"/>
          <w:szCs w:val="24"/>
        </w:rPr>
      </w:pPr>
      <w:r>
        <w:rPr>
          <w:sz w:val="24"/>
          <w:szCs w:val="24"/>
        </w:rPr>
        <w:t xml:space="preserve">Mueller, A. and Sensini, L. (2021). Determinants of Financing Decisions of SMEs: Evidence from the Hotel Industry. </w:t>
      </w:r>
      <w:r>
        <w:rPr>
          <w:i/>
          <w:sz w:val="24"/>
          <w:szCs w:val="24"/>
        </w:rPr>
        <w:t>International Journal of Business and Management</w:t>
      </w:r>
      <w:r>
        <w:rPr>
          <w:sz w:val="24"/>
          <w:szCs w:val="24"/>
        </w:rPr>
        <w:t>, 16(3), p.117. Doi: https://doi.org/10.5539/ijbm.v16n3p117.</w:t>
      </w:r>
    </w:p>
    <w:p w14:paraId="49FEE8B5" w14:textId="77777777" w:rsidR="006E7380" w:rsidRDefault="00452E53">
      <w:pPr>
        <w:spacing w:after="240" w:line="360" w:lineRule="auto"/>
        <w:jc w:val="both"/>
        <w:rPr>
          <w:sz w:val="24"/>
          <w:szCs w:val="24"/>
        </w:rPr>
      </w:pPr>
      <w:r>
        <w:rPr>
          <w:sz w:val="24"/>
          <w:szCs w:val="24"/>
        </w:rPr>
        <w:t xml:space="preserve">Nawfal Fahdil, H., Abdulghaini, M. and Mohamed, J. (2024). Corporate Bankruptcy and Financial Restructuring. </w:t>
      </w:r>
      <w:r>
        <w:rPr>
          <w:i/>
          <w:sz w:val="24"/>
          <w:szCs w:val="24"/>
        </w:rPr>
        <w:t>Journal of Ecohumanism</w:t>
      </w:r>
      <w:r>
        <w:rPr>
          <w:sz w:val="24"/>
          <w:szCs w:val="24"/>
        </w:rPr>
        <w:t>, [online] 3(5), pp.234–248. Doi: https://doi.org/10.62754/joe.v3i5.3904.</w:t>
      </w:r>
    </w:p>
    <w:p w14:paraId="533239F3" w14:textId="77777777" w:rsidR="006E7380" w:rsidRDefault="00452E53">
      <w:pPr>
        <w:spacing w:after="240" w:line="360" w:lineRule="auto"/>
        <w:jc w:val="both"/>
        <w:rPr>
          <w:sz w:val="24"/>
          <w:szCs w:val="24"/>
        </w:rPr>
      </w:pPr>
      <w:r>
        <w:rPr>
          <w:sz w:val="24"/>
          <w:szCs w:val="24"/>
        </w:rPr>
        <w:t xml:space="preserve">Nukala, V.B. and Rao, S.S.P. (2021). Role of debt-to-equity Ratio in Project Investment valuation, Assessing Risk and Return in Capital Markets. </w:t>
      </w:r>
      <w:r>
        <w:rPr>
          <w:i/>
          <w:sz w:val="24"/>
          <w:szCs w:val="24"/>
        </w:rPr>
        <w:t>Future Business Journal</w:t>
      </w:r>
      <w:r>
        <w:rPr>
          <w:sz w:val="24"/>
          <w:szCs w:val="24"/>
        </w:rPr>
        <w:t>, 7(1), pp.1–23. Doi: https://doi.org/10.1186/s43093-021-00058-9.</w:t>
      </w:r>
    </w:p>
    <w:p w14:paraId="48E60315" w14:textId="77777777" w:rsidR="006E7380" w:rsidRDefault="00452E53">
      <w:pPr>
        <w:spacing w:after="240" w:line="360" w:lineRule="auto"/>
        <w:jc w:val="both"/>
        <w:rPr>
          <w:sz w:val="24"/>
          <w:szCs w:val="24"/>
        </w:rPr>
      </w:pPr>
      <w:r>
        <w:rPr>
          <w:sz w:val="24"/>
          <w:szCs w:val="24"/>
        </w:rPr>
        <w:t xml:space="preserve">Nukala, V.B. and Rao, S.S.P. (2021). Role of debt-to-equity Ratio in Project Investment valuation, Assessing Risk and Return in Capital Markets. </w:t>
      </w:r>
      <w:r>
        <w:rPr>
          <w:i/>
          <w:sz w:val="24"/>
          <w:szCs w:val="24"/>
        </w:rPr>
        <w:t>Future Business Journal</w:t>
      </w:r>
      <w:r>
        <w:rPr>
          <w:sz w:val="24"/>
          <w:szCs w:val="24"/>
        </w:rPr>
        <w:t xml:space="preserve">, </w:t>
      </w:r>
      <w:r>
        <w:rPr>
          <w:sz w:val="24"/>
          <w:szCs w:val="24"/>
        </w:rPr>
        <w:lastRenderedPageBreak/>
        <w:t>[online] 7(1), pp.1–23. Available at: https://link.springer.com/content/pdf/10.1186/s43093-021-00058-9.pdf [Accessed 28 Sep. 2025].</w:t>
      </w:r>
    </w:p>
    <w:p w14:paraId="3B11145F" w14:textId="77777777" w:rsidR="006E7380" w:rsidRDefault="00452E53">
      <w:pPr>
        <w:spacing w:after="240" w:line="360" w:lineRule="auto"/>
        <w:jc w:val="both"/>
        <w:rPr>
          <w:sz w:val="24"/>
          <w:szCs w:val="24"/>
        </w:rPr>
      </w:pPr>
      <w:r>
        <w:rPr>
          <w:sz w:val="24"/>
          <w:szCs w:val="24"/>
        </w:rPr>
        <w:t xml:space="preserve">Nunden, N., Abbana, S., Marimuthu, F. and Sentoo, N. (2022). An Assessment of Management Skills on Capital Budgeting Planning and Practices: Evidence from the Small and Medium Enterprise Sector. </w:t>
      </w:r>
      <w:r>
        <w:rPr>
          <w:i/>
          <w:sz w:val="24"/>
          <w:szCs w:val="24"/>
        </w:rPr>
        <w:t>Cogent Business &amp; Management</w:t>
      </w:r>
      <w:r>
        <w:rPr>
          <w:sz w:val="24"/>
          <w:szCs w:val="24"/>
        </w:rPr>
        <w:t>, [online] 9(1), p.2136481. Doi: https://doi.org/10.1080/23311975.2022.2136481.</w:t>
      </w:r>
      <w:r>
        <w:br w:type="page"/>
      </w:r>
    </w:p>
    <w:p w14:paraId="19474EE4" w14:textId="77777777" w:rsidR="006E7380" w:rsidRDefault="00452E53">
      <w:pPr>
        <w:spacing w:after="240" w:line="360" w:lineRule="auto"/>
        <w:jc w:val="both"/>
        <w:rPr>
          <w:sz w:val="24"/>
          <w:szCs w:val="24"/>
        </w:rPr>
      </w:pPr>
      <w:r>
        <w:rPr>
          <w:sz w:val="24"/>
          <w:szCs w:val="24"/>
        </w:rPr>
        <w:lastRenderedPageBreak/>
        <w:t xml:space="preserve">Ogunlusi, O.E. and Obademi, O. (2019). The Impact of Behavioural Finance on Investment Decision-making: A Study of Selected Investment Banks in Nigeria. </w:t>
      </w:r>
      <w:r>
        <w:rPr>
          <w:i/>
          <w:sz w:val="24"/>
          <w:szCs w:val="24"/>
        </w:rPr>
        <w:t>Global Business Review</w:t>
      </w:r>
      <w:r>
        <w:rPr>
          <w:sz w:val="24"/>
          <w:szCs w:val="24"/>
        </w:rPr>
        <w:t>, [online] 22(6), p.097215091985138. Doi: https://doi.org/10.1177/0972150919851388.</w:t>
      </w:r>
    </w:p>
    <w:p w14:paraId="5FAA3427" w14:textId="77777777" w:rsidR="006E7380" w:rsidRDefault="00452E53">
      <w:pPr>
        <w:spacing w:after="240" w:line="360" w:lineRule="auto"/>
        <w:jc w:val="both"/>
        <w:rPr>
          <w:sz w:val="24"/>
          <w:szCs w:val="24"/>
        </w:rPr>
      </w:pPr>
      <w:r>
        <w:rPr>
          <w:sz w:val="24"/>
          <w:szCs w:val="24"/>
        </w:rPr>
        <w:t xml:space="preserve">Olayinka, A.A. (2022). Financial Statement Analysis as a Tool for Investment Decisions and Assessment of Companies’ Performance. </w:t>
      </w:r>
      <w:r>
        <w:rPr>
          <w:i/>
          <w:sz w:val="24"/>
          <w:szCs w:val="24"/>
        </w:rPr>
        <w:t>International Journal of Financial, Accounting, and Management</w:t>
      </w:r>
      <w:r>
        <w:rPr>
          <w:sz w:val="24"/>
          <w:szCs w:val="24"/>
        </w:rPr>
        <w:t>, 4(1), pp.49–66. Doi: https://doi.org/10.35912/ijfam.v4i1.852.</w:t>
      </w:r>
    </w:p>
    <w:p w14:paraId="1F9FA645" w14:textId="77777777" w:rsidR="006E7380" w:rsidRDefault="00452E53">
      <w:pPr>
        <w:spacing w:after="240" w:line="360" w:lineRule="auto"/>
        <w:jc w:val="both"/>
        <w:rPr>
          <w:sz w:val="24"/>
          <w:szCs w:val="24"/>
        </w:rPr>
      </w:pPr>
      <w:r>
        <w:rPr>
          <w:sz w:val="24"/>
          <w:szCs w:val="24"/>
        </w:rPr>
        <w:t xml:space="preserve">Penna, C.C.R., Schot, J. and Steinmueller, W. (2023). Transformative investment: New rules for investing in sustainability transitions. </w:t>
      </w:r>
      <w:r>
        <w:rPr>
          <w:i/>
          <w:sz w:val="24"/>
          <w:szCs w:val="24"/>
        </w:rPr>
        <w:t>Environmental Innovation and Societal Transitions</w:t>
      </w:r>
      <w:r>
        <w:rPr>
          <w:sz w:val="24"/>
          <w:szCs w:val="24"/>
        </w:rPr>
        <w:t>, [online] 49, p.100782. Doi: https://doi.org/10.1016/j.eist.2023.100782.</w:t>
      </w:r>
    </w:p>
    <w:p w14:paraId="4ABA6056" w14:textId="77777777" w:rsidR="006E7380" w:rsidRDefault="00452E53">
      <w:pPr>
        <w:spacing w:after="240" w:line="360" w:lineRule="auto"/>
        <w:jc w:val="both"/>
        <w:rPr>
          <w:sz w:val="24"/>
          <w:szCs w:val="24"/>
        </w:rPr>
      </w:pPr>
      <w:r>
        <w:rPr>
          <w:sz w:val="24"/>
          <w:szCs w:val="24"/>
        </w:rPr>
        <w:t xml:space="preserve">Poursoleyman, E., Mansourfar, G. and Abidin, S. (2021). Debt structure: a solution to the puzzle of capital structure. </w:t>
      </w:r>
      <w:r>
        <w:rPr>
          <w:i/>
          <w:sz w:val="24"/>
          <w:szCs w:val="24"/>
        </w:rPr>
        <w:t>International Journal of Managerial Finance</w:t>
      </w:r>
      <w:r>
        <w:rPr>
          <w:sz w:val="24"/>
          <w:szCs w:val="24"/>
        </w:rPr>
        <w:t>, 19(1), pp.22–47. Doi: https://doi.org/10.1108/ijmf-03-2021-0155.</w:t>
      </w:r>
    </w:p>
    <w:p w14:paraId="6B0E90B7" w14:textId="77777777" w:rsidR="006E7380" w:rsidRDefault="00452E53">
      <w:pPr>
        <w:spacing w:after="240" w:line="360" w:lineRule="auto"/>
        <w:jc w:val="both"/>
        <w:rPr>
          <w:sz w:val="24"/>
          <w:szCs w:val="24"/>
        </w:rPr>
      </w:pPr>
      <w:r>
        <w:rPr>
          <w:sz w:val="24"/>
          <w:szCs w:val="24"/>
        </w:rPr>
        <w:t xml:space="preserve">Rao, P., Kumar, S., Chavan, M. and Lim, W.M. (2021). A systematic literature review on SME financing: Trends and future directions. </w:t>
      </w:r>
      <w:r>
        <w:rPr>
          <w:i/>
          <w:sz w:val="24"/>
          <w:szCs w:val="24"/>
        </w:rPr>
        <w:t>Journal of Small Business Management</w:t>
      </w:r>
      <w:r>
        <w:rPr>
          <w:sz w:val="24"/>
          <w:szCs w:val="24"/>
        </w:rPr>
        <w:t>, 61(3), pp.1–31. Doi: https://doi.org/10.1080/00472778.2021.1955123.</w:t>
      </w:r>
    </w:p>
    <w:p w14:paraId="28D2B5A4" w14:textId="77777777" w:rsidR="006E7380" w:rsidRDefault="00452E53">
      <w:pPr>
        <w:spacing w:after="240" w:line="360" w:lineRule="auto"/>
        <w:jc w:val="both"/>
        <w:rPr>
          <w:sz w:val="24"/>
          <w:szCs w:val="24"/>
        </w:rPr>
      </w:pPr>
      <w:r>
        <w:rPr>
          <w:sz w:val="24"/>
          <w:szCs w:val="24"/>
        </w:rPr>
        <w:t xml:space="preserve">Ruiz, J. and Coduras, A. (2015). Can company restructuring create a healthier work environment, promote corporate entrepreneurship, and improve productivity? </w:t>
      </w:r>
      <w:r>
        <w:rPr>
          <w:i/>
          <w:sz w:val="24"/>
          <w:szCs w:val="24"/>
        </w:rPr>
        <w:t>Journal of Business Research</w:t>
      </w:r>
      <w:r>
        <w:rPr>
          <w:sz w:val="24"/>
          <w:szCs w:val="24"/>
        </w:rPr>
        <w:t>, 68(7), pp.1466–1467. Doi: https://doi.org/10.1016/j.jbusres.2015.01.035.</w:t>
      </w:r>
    </w:p>
    <w:p w14:paraId="368F237B" w14:textId="77777777" w:rsidR="006E7380" w:rsidRDefault="00452E53">
      <w:pPr>
        <w:spacing w:after="240" w:line="360" w:lineRule="auto"/>
        <w:jc w:val="both"/>
        <w:rPr>
          <w:sz w:val="24"/>
          <w:szCs w:val="24"/>
        </w:rPr>
      </w:pPr>
      <w:r>
        <w:rPr>
          <w:sz w:val="24"/>
          <w:szCs w:val="24"/>
        </w:rPr>
        <w:t xml:space="preserve">Santoso, T.G. and Supatmi, S. (2021). Financial Ratio Analysis to Assess Financial Performance of the Hotel Industry. </w:t>
      </w:r>
      <w:r>
        <w:rPr>
          <w:i/>
          <w:sz w:val="24"/>
          <w:szCs w:val="24"/>
        </w:rPr>
        <w:t>International Journal of Social Science and Business</w:t>
      </w:r>
      <w:r>
        <w:rPr>
          <w:sz w:val="24"/>
          <w:szCs w:val="24"/>
        </w:rPr>
        <w:t>, 5(3), p.346. Doi: https://doi.org/10.23887/ijssb.v5i3.37003.</w:t>
      </w:r>
    </w:p>
    <w:p w14:paraId="2C50E36D" w14:textId="77777777" w:rsidR="006E7380" w:rsidRDefault="00452E53">
      <w:pPr>
        <w:spacing w:after="240" w:line="360" w:lineRule="auto"/>
        <w:jc w:val="both"/>
        <w:rPr>
          <w:sz w:val="24"/>
          <w:szCs w:val="24"/>
        </w:rPr>
      </w:pPr>
      <w:r>
        <w:rPr>
          <w:sz w:val="24"/>
          <w:szCs w:val="24"/>
        </w:rPr>
        <w:t xml:space="preserve">Setiany, E. (2021). The Effect of Investment, Free Cash Flow, Earnings Management, and Interest Coverage Ratio on Financial Distress. </w:t>
      </w:r>
      <w:r>
        <w:rPr>
          <w:i/>
          <w:sz w:val="24"/>
          <w:szCs w:val="24"/>
        </w:rPr>
        <w:t>Journal of Social Science</w:t>
      </w:r>
      <w:r>
        <w:rPr>
          <w:sz w:val="24"/>
          <w:szCs w:val="24"/>
        </w:rPr>
        <w:t>, [online] 2(1), pp.67–73. Doi: https://doi.org/10.46799/jsss.v2i1.86.</w:t>
      </w:r>
    </w:p>
    <w:p w14:paraId="363199DA" w14:textId="77777777" w:rsidR="006E7380" w:rsidRDefault="00452E53">
      <w:pPr>
        <w:spacing w:after="240" w:line="360" w:lineRule="auto"/>
        <w:jc w:val="both"/>
        <w:rPr>
          <w:sz w:val="24"/>
          <w:szCs w:val="24"/>
        </w:rPr>
      </w:pPr>
      <w:r>
        <w:rPr>
          <w:sz w:val="24"/>
          <w:szCs w:val="24"/>
        </w:rPr>
        <w:lastRenderedPageBreak/>
        <w:t xml:space="preserve">Shahriar, M.S., Hasan, K.B.M.R., Hossain, T., Beg, T.H., Islam, K.A. and Zayed, N.M. (2021). Financial decision making and forecasting techniques on project evaluation: a planning, development and entrepreneurial perspective. </w:t>
      </w:r>
      <w:r>
        <w:rPr>
          <w:i/>
          <w:sz w:val="24"/>
          <w:szCs w:val="24"/>
        </w:rPr>
        <w:t>Academy of Entrepreneurship Journal</w:t>
      </w:r>
      <w:r>
        <w:rPr>
          <w:sz w:val="24"/>
          <w:szCs w:val="24"/>
        </w:rPr>
        <w:t>, [online] 27(4), pp.1–7. Available at: https://d1wqtxts1xzle7.cloudfront.net/91261672/Financial-decision-making-and-forecasting-techniques-on-project-evaluation-a-planning-development-1528-2686-27-4-553-libre.pdf?1663607649=&amp;response-content-disposition=inline%3B+filename%3DFinancial_Decision_Making_and_Forecastin.pdf [Accessed 28 Sep. 2025].</w:t>
      </w:r>
    </w:p>
    <w:p w14:paraId="27E7FE16" w14:textId="77777777" w:rsidR="006E7380" w:rsidRDefault="00452E53">
      <w:pPr>
        <w:spacing w:after="240" w:line="360" w:lineRule="auto"/>
        <w:jc w:val="both"/>
        <w:rPr>
          <w:sz w:val="24"/>
          <w:szCs w:val="24"/>
        </w:rPr>
      </w:pPr>
      <w:r>
        <w:rPr>
          <w:sz w:val="24"/>
          <w:szCs w:val="24"/>
        </w:rPr>
        <w:t xml:space="preserve">Sharma, P. (2023). Analysing How Rigorous Financial Analysis Informs Strategic Decisions and Contributes to Corporate Growth. </w:t>
      </w:r>
      <w:r>
        <w:rPr>
          <w:i/>
          <w:sz w:val="24"/>
          <w:szCs w:val="24"/>
        </w:rPr>
        <w:t>Nanotechnology Perceptions</w:t>
      </w:r>
      <w:r>
        <w:rPr>
          <w:sz w:val="24"/>
          <w:szCs w:val="24"/>
        </w:rPr>
        <w:t>, [online] 20, pp.219–229. Available at: https://www.researchgate.net/profile/Pragya-Sharma-81/publication/389993854_Analyzing_How_Rigorous_Financial_Analysis_Informs_Strategic_Decisions_and_Contributes_to_Corporate_Growth/links/67dc067635f7044c924cc145/Analyzing-How-Rigorous-Financial-Analysis-Informs-Strategic-Decisions-and-Contributes-to-Corporate-Growth.pdf [Accessed 27 Sep. 2025].</w:t>
      </w:r>
    </w:p>
    <w:p w14:paraId="0A0B6D2F" w14:textId="77777777" w:rsidR="006E7380" w:rsidRDefault="00452E53">
      <w:pPr>
        <w:spacing w:after="240" w:line="360" w:lineRule="auto"/>
        <w:jc w:val="both"/>
        <w:rPr>
          <w:sz w:val="24"/>
          <w:szCs w:val="24"/>
        </w:rPr>
      </w:pPr>
      <w:r>
        <w:rPr>
          <w:sz w:val="24"/>
          <w:szCs w:val="24"/>
        </w:rPr>
        <w:t xml:space="preserve">Simbolon, K.V., Salindeho, J.K. and Karinda, A.F. (2022). Working Capital, Firm Size, Solvability, And Liquidity Towards Profitability Of The Consumer Goods Industry. </w:t>
      </w:r>
      <w:r>
        <w:rPr>
          <w:i/>
          <w:sz w:val="24"/>
          <w:szCs w:val="24"/>
        </w:rPr>
        <w:t>Klabat Journal of Management</w:t>
      </w:r>
      <w:r>
        <w:rPr>
          <w:sz w:val="24"/>
          <w:szCs w:val="24"/>
        </w:rPr>
        <w:t>, 3(1), pp.34–34. Doi: https://doi.org/10.60090/kjm.v3i1.808.34-45.</w:t>
      </w:r>
    </w:p>
    <w:p w14:paraId="736859B8" w14:textId="77777777" w:rsidR="006E7380" w:rsidRDefault="00452E53">
      <w:pPr>
        <w:spacing w:after="240" w:line="360" w:lineRule="auto"/>
        <w:jc w:val="both"/>
        <w:rPr>
          <w:sz w:val="24"/>
          <w:szCs w:val="24"/>
        </w:rPr>
      </w:pPr>
      <w:r>
        <w:rPr>
          <w:sz w:val="24"/>
          <w:szCs w:val="24"/>
        </w:rPr>
        <w:t xml:space="preserve">Triki, O. and Abid, F. (2023). Firms' Financial Structure with Contingent Convertible Debt, Risky Debt and Multiple Growth Options. </w:t>
      </w:r>
      <w:r>
        <w:rPr>
          <w:i/>
          <w:sz w:val="24"/>
          <w:szCs w:val="24"/>
        </w:rPr>
        <w:t>China Finance Review International</w:t>
      </w:r>
      <w:r>
        <w:rPr>
          <w:sz w:val="24"/>
          <w:szCs w:val="24"/>
        </w:rPr>
        <w:t>, 13(2), pp.230–262. Doi: https://doi.org/10.1108/cfri-06-2022-0104.</w:t>
      </w:r>
    </w:p>
    <w:p w14:paraId="0546EA26" w14:textId="77777777" w:rsidR="006E7380" w:rsidRDefault="00452E53">
      <w:pPr>
        <w:spacing w:after="240" w:line="360" w:lineRule="auto"/>
        <w:jc w:val="both"/>
        <w:rPr>
          <w:sz w:val="24"/>
          <w:szCs w:val="24"/>
        </w:rPr>
      </w:pPr>
      <w:r>
        <w:rPr>
          <w:sz w:val="24"/>
          <w:szCs w:val="24"/>
        </w:rPr>
        <w:t xml:space="preserve">Vernimmen, P. (2014). </w:t>
      </w:r>
      <w:r>
        <w:rPr>
          <w:i/>
          <w:sz w:val="24"/>
          <w:szCs w:val="24"/>
        </w:rPr>
        <w:t>Corporate Finance: theory and practice</w:t>
      </w:r>
      <w:r>
        <w:rPr>
          <w:sz w:val="24"/>
          <w:szCs w:val="24"/>
        </w:rPr>
        <w:t>. Chichester, West Sussex; Hoboken, New Jersey: Wiley.</w:t>
      </w:r>
    </w:p>
    <w:p w14:paraId="0C91627D" w14:textId="77777777" w:rsidR="006E7380" w:rsidRDefault="00452E53">
      <w:pPr>
        <w:spacing w:after="240" w:line="360" w:lineRule="auto"/>
        <w:jc w:val="both"/>
        <w:rPr>
          <w:sz w:val="24"/>
          <w:szCs w:val="24"/>
        </w:rPr>
      </w:pPr>
      <w:r>
        <w:rPr>
          <w:sz w:val="24"/>
          <w:szCs w:val="24"/>
        </w:rPr>
        <w:t xml:space="preserve">Wang, J., Zhao, L. and Huchzermeier, A. (2020). Operations‐Finance Interface in Risk Management: Research Evolution and Opportunities. </w:t>
      </w:r>
      <w:r>
        <w:rPr>
          <w:i/>
          <w:sz w:val="24"/>
          <w:szCs w:val="24"/>
        </w:rPr>
        <w:t>Production and Operations Management</w:t>
      </w:r>
      <w:r>
        <w:rPr>
          <w:sz w:val="24"/>
          <w:szCs w:val="24"/>
        </w:rPr>
        <w:t>, 30(2), pp.355–389. Doi: https://doi.org/10.1111/poms.13269.</w:t>
      </w:r>
    </w:p>
    <w:p w14:paraId="407C0F1B" w14:textId="77777777" w:rsidR="006E7380" w:rsidRDefault="00452E53">
      <w:pPr>
        <w:spacing w:after="240" w:line="360" w:lineRule="auto"/>
        <w:jc w:val="both"/>
        <w:rPr>
          <w:sz w:val="24"/>
          <w:szCs w:val="24"/>
        </w:rPr>
      </w:pPr>
      <w:r>
        <w:rPr>
          <w:sz w:val="24"/>
          <w:szCs w:val="24"/>
        </w:rPr>
        <w:lastRenderedPageBreak/>
        <w:t xml:space="preserve">Weston, P. and Nnadi, M. (2021). Evaluation of strategic and financial variables of corporate sustainability and ESG policies on corporate finance performance. </w:t>
      </w:r>
      <w:r>
        <w:rPr>
          <w:i/>
          <w:sz w:val="24"/>
          <w:szCs w:val="24"/>
        </w:rPr>
        <w:t>Journal of Sustainable Finance &amp; Investment</w:t>
      </w:r>
      <w:r>
        <w:rPr>
          <w:sz w:val="24"/>
          <w:szCs w:val="24"/>
        </w:rPr>
        <w:t>, 13(2), pp.1–17. Doi: https://doi.org/10.1080/20430795.2021.1883984.</w:t>
      </w:r>
    </w:p>
    <w:p w14:paraId="725C5366" w14:textId="77777777" w:rsidR="006E7380" w:rsidRDefault="00452E53">
      <w:pPr>
        <w:spacing w:after="240" w:line="360" w:lineRule="auto"/>
        <w:jc w:val="both"/>
        <w:rPr>
          <w:sz w:val="24"/>
          <w:szCs w:val="24"/>
        </w:rPr>
      </w:pPr>
      <w:r>
        <w:rPr>
          <w:sz w:val="24"/>
          <w:szCs w:val="24"/>
        </w:rPr>
        <w:t xml:space="preserve">Yenni, Y., Arifin, A., Gunawan, E., Pakpahan, L. and Siregar, H. (2021). The Impact Of Solvency And Working Capital On Profitability. </w:t>
      </w:r>
      <w:r>
        <w:rPr>
          <w:i/>
          <w:sz w:val="24"/>
          <w:szCs w:val="24"/>
        </w:rPr>
        <w:t>Journal of Industrial Engineering &amp; Management Research</w:t>
      </w:r>
      <w:r>
        <w:rPr>
          <w:sz w:val="24"/>
          <w:szCs w:val="24"/>
        </w:rPr>
        <w:t>, [online] 2(4), pp.15–38. Doi: https://doi.org/10.7777/jiemar.v2i4.158.</w:t>
      </w:r>
    </w:p>
    <w:p w14:paraId="5AF87307" w14:textId="77777777" w:rsidR="009D1F83" w:rsidRDefault="00452E53" w:rsidP="006E7380">
      <w:pPr>
        <w:pStyle w:val="Heading1"/>
      </w:pPr>
      <w:bookmarkStart w:id="20" w:name="_Toc212203746"/>
      <w:r>
        <w:t>Appendices</w:t>
      </w:r>
      <w:bookmarkEnd w:id="20"/>
    </w:p>
    <w:p w14:paraId="0861C0DE" w14:textId="77777777" w:rsidR="009D1F83" w:rsidRDefault="00452E53" w:rsidP="006E7380">
      <w:pPr>
        <w:pStyle w:val="Heading2"/>
      </w:pPr>
      <w:bookmarkStart w:id="21" w:name="_Toc212203747"/>
      <w:r>
        <w:t>Appendix 1: Ratio Tables and Computation</w:t>
      </w:r>
      <w:bookmarkEnd w:id="21"/>
    </w:p>
    <w:p w14:paraId="2930B8A7" w14:textId="77777777" w:rsidR="009D1F83" w:rsidRDefault="00452E53">
      <w:pPr>
        <w:spacing w:line="360" w:lineRule="auto"/>
        <w:jc w:val="both"/>
        <w:rPr>
          <w:b/>
          <w:sz w:val="24"/>
          <w:szCs w:val="24"/>
        </w:rPr>
      </w:pPr>
      <w:r>
        <w:rPr>
          <w:b/>
          <w:sz w:val="24"/>
          <w:szCs w:val="24"/>
        </w:rPr>
        <w:t>Profitability Ratios</w:t>
      </w:r>
    </w:p>
    <w:tbl>
      <w:tblPr>
        <w:tblStyle w:val="a8"/>
        <w:tblW w:w="5000" w:type="pct"/>
        <w:tblInd w:w="0" w:type="dxa"/>
        <w:tblBorders>
          <w:top w:val="nil"/>
          <w:left w:val="nil"/>
          <w:bottom w:val="nil"/>
          <w:right w:val="nil"/>
          <w:insideH w:val="nil"/>
          <w:insideV w:val="nil"/>
        </w:tblBorders>
        <w:tblLook w:val="0600" w:firstRow="0" w:lastRow="0" w:firstColumn="0" w:lastColumn="0" w:noHBand="1" w:noVBand="1"/>
      </w:tblPr>
      <w:tblGrid>
        <w:gridCol w:w="1491"/>
        <w:gridCol w:w="3734"/>
        <w:gridCol w:w="823"/>
        <w:gridCol w:w="823"/>
        <w:gridCol w:w="823"/>
        <w:gridCol w:w="823"/>
        <w:gridCol w:w="823"/>
      </w:tblGrid>
      <w:tr w:rsidR="00592CFC" w14:paraId="7EB3D921" w14:textId="77777777" w:rsidTr="006E7380">
        <w:trPr>
          <w:trHeight w:val="345"/>
        </w:trPr>
        <w:tc>
          <w:tcPr>
            <w:tcW w:w="893" w:type="pct"/>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vAlign w:val="bottom"/>
          </w:tcPr>
          <w:p w14:paraId="4D289464" w14:textId="77777777" w:rsidR="009D1F83" w:rsidRDefault="00452E53">
            <w:pPr>
              <w:spacing w:before="240"/>
              <w:jc w:val="both"/>
              <w:rPr>
                <w:b/>
                <w:sz w:val="28"/>
                <w:szCs w:val="28"/>
              </w:rPr>
            </w:pPr>
            <w:r>
              <w:rPr>
                <w:b/>
                <w:sz w:val="28"/>
                <w:szCs w:val="28"/>
              </w:rPr>
              <w:t>Ratios</w:t>
            </w:r>
          </w:p>
        </w:tc>
        <w:tc>
          <w:tcPr>
            <w:tcW w:w="2093"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28D1A33C" w14:textId="77777777" w:rsidR="009D1F83" w:rsidRDefault="00452E53">
            <w:pPr>
              <w:spacing w:before="240"/>
              <w:jc w:val="both"/>
              <w:rPr>
                <w:b/>
                <w:sz w:val="28"/>
                <w:szCs w:val="28"/>
              </w:rPr>
            </w:pPr>
            <w:r>
              <w:rPr>
                <w:b/>
                <w:sz w:val="28"/>
                <w:szCs w:val="28"/>
              </w:rPr>
              <w:t>Formula</w:t>
            </w:r>
          </w:p>
        </w:tc>
        <w:tc>
          <w:tcPr>
            <w:tcW w:w="397"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0D7005A6" w14:textId="77777777" w:rsidR="009D1F83" w:rsidRDefault="00452E53">
            <w:pPr>
              <w:spacing w:before="240"/>
              <w:jc w:val="right"/>
              <w:rPr>
                <w:b/>
                <w:sz w:val="28"/>
                <w:szCs w:val="28"/>
              </w:rPr>
            </w:pPr>
            <w:r>
              <w:rPr>
                <w:b/>
                <w:sz w:val="28"/>
                <w:szCs w:val="28"/>
              </w:rPr>
              <w:t>2020</w:t>
            </w:r>
          </w:p>
        </w:tc>
        <w:tc>
          <w:tcPr>
            <w:tcW w:w="397"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1D956469" w14:textId="77777777" w:rsidR="009D1F83" w:rsidRDefault="00452E53">
            <w:pPr>
              <w:spacing w:before="240"/>
              <w:jc w:val="right"/>
              <w:rPr>
                <w:b/>
                <w:sz w:val="28"/>
                <w:szCs w:val="28"/>
              </w:rPr>
            </w:pPr>
            <w:r>
              <w:rPr>
                <w:b/>
                <w:sz w:val="28"/>
                <w:szCs w:val="28"/>
              </w:rPr>
              <w:t>2021</w:t>
            </w:r>
          </w:p>
        </w:tc>
        <w:tc>
          <w:tcPr>
            <w:tcW w:w="397"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0739BEFA" w14:textId="77777777" w:rsidR="009D1F83" w:rsidRDefault="00452E53">
            <w:pPr>
              <w:spacing w:before="240"/>
              <w:jc w:val="right"/>
              <w:rPr>
                <w:b/>
                <w:sz w:val="28"/>
                <w:szCs w:val="28"/>
              </w:rPr>
            </w:pPr>
            <w:r>
              <w:rPr>
                <w:b/>
                <w:sz w:val="28"/>
                <w:szCs w:val="28"/>
              </w:rPr>
              <w:t>2022</w:t>
            </w:r>
          </w:p>
        </w:tc>
        <w:tc>
          <w:tcPr>
            <w:tcW w:w="427"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4D604474" w14:textId="77777777" w:rsidR="009D1F83" w:rsidRDefault="00452E53">
            <w:pPr>
              <w:spacing w:before="240"/>
              <w:jc w:val="right"/>
              <w:rPr>
                <w:b/>
                <w:sz w:val="28"/>
                <w:szCs w:val="28"/>
              </w:rPr>
            </w:pPr>
            <w:r>
              <w:rPr>
                <w:b/>
                <w:sz w:val="28"/>
                <w:szCs w:val="28"/>
              </w:rPr>
              <w:t>2023</w:t>
            </w:r>
          </w:p>
        </w:tc>
        <w:tc>
          <w:tcPr>
            <w:tcW w:w="397"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012EE27F" w14:textId="77777777" w:rsidR="009D1F83" w:rsidRDefault="00452E53">
            <w:pPr>
              <w:spacing w:before="240"/>
              <w:jc w:val="right"/>
              <w:rPr>
                <w:b/>
                <w:sz w:val="28"/>
                <w:szCs w:val="28"/>
              </w:rPr>
            </w:pPr>
            <w:r>
              <w:rPr>
                <w:b/>
                <w:sz w:val="28"/>
                <w:szCs w:val="28"/>
              </w:rPr>
              <w:t>2024</w:t>
            </w:r>
          </w:p>
        </w:tc>
      </w:tr>
      <w:tr w:rsidR="00592CFC" w14:paraId="1E941C9B" w14:textId="77777777" w:rsidTr="006E7380">
        <w:trPr>
          <w:trHeight w:val="315"/>
        </w:trPr>
        <w:tc>
          <w:tcPr>
            <w:tcW w:w="893"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549DD3A1" w14:textId="77777777" w:rsidR="009D1F83" w:rsidRDefault="00452E53">
            <w:pPr>
              <w:spacing w:before="240"/>
              <w:jc w:val="both"/>
              <w:rPr>
                <w:sz w:val="24"/>
                <w:szCs w:val="24"/>
              </w:rPr>
            </w:pPr>
            <w:r>
              <w:rPr>
                <w:sz w:val="24"/>
                <w:szCs w:val="24"/>
              </w:rPr>
              <w:t>Gross profit</w:t>
            </w:r>
          </w:p>
        </w:tc>
        <w:tc>
          <w:tcPr>
            <w:tcW w:w="2093"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45CCAA9E" w14:textId="77777777" w:rsidR="009D1F83" w:rsidRDefault="00452E53">
            <w:pPr>
              <w:spacing w:before="240"/>
              <w:jc w:val="both"/>
              <w:rPr>
                <w:sz w:val="24"/>
                <w:szCs w:val="24"/>
              </w:rPr>
            </w:pPr>
            <w:r>
              <w:rPr>
                <w:sz w:val="24"/>
                <w:szCs w:val="24"/>
              </w:rPr>
              <w:t>Gross profit/Net Sales*100</w:t>
            </w:r>
          </w:p>
        </w:tc>
        <w:tc>
          <w:tcPr>
            <w:tcW w:w="39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57BA5526" w14:textId="77777777" w:rsidR="009D1F83" w:rsidRDefault="00452E53">
            <w:pPr>
              <w:spacing w:before="240"/>
              <w:jc w:val="right"/>
              <w:rPr>
                <w:sz w:val="24"/>
                <w:szCs w:val="24"/>
              </w:rPr>
            </w:pPr>
            <w:r>
              <w:rPr>
                <w:sz w:val="24"/>
                <w:szCs w:val="24"/>
              </w:rPr>
              <w:t>28.67</w:t>
            </w:r>
          </w:p>
        </w:tc>
        <w:tc>
          <w:tcPr>
            <w:tcW w:w="39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22618645" w14:textId="77777777" w:rsidR="009D1F83" w:rsidRDefault="00452E53">
            <w:pPr>
              <w:spacing w:before="240"/>
              <w:jc w:val="right"/>
              <w:rPr>
                <w:sz w:val="24"/>
                <w:szCs w:val="24"/>
              </w:rPr>
            </w:pPr>
            <w:r>
              <w:rPr>
                <w:sz w:val="24"/>
                <w:szCs w:val="24"/>
              </w:rPr>
              <w:t>28.76</w:t>
            </w:r>
          </w:p>
        </w:tc>
        <w:tc>
          <w:tcPr>
            <w:tcW w:w="39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1268DB63" w14:textId="77777777" w:rsidR="009D1F83" w:rsidRDefault="00452E53">
            <w:pPr>
              <w:spacing w:before="240"/>
              <w:jc w:val="right"/>
              <w:rPr>
                <w:sz w:val="24"/>
                <w:szCs w:val="24"/>
              </w:rPr>
            </w:pPr>
            <w:r>
              <w:rPr>
                <w:sz w:val="24"/>
                <w:szCs w:val="24"/>
              </w:rPr>
              <w:t>28.06</w:t>
            </w:r>
          </w:p>
        </w:tc>
        <w:tc>
          <w:tcPr>
            <w:tcW w:w="42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5BB52208" w14:textId="77777777" w:rsidR="009D1F83" w:rsidRDefault="00452E53">
            <w:pPr>
              <w:spacing w:before="240"/>
              <w:jc w:val="right"/>
              <w:rPr>
                <w:sz w:val="24"/>
                <w:szCs w:val="24"/>
              </w:rPr>
            </w:pPr>
            <w:r>
              <w:rPr>
                <w:sz w:val="24"/>
                <w:szCs w:val="24"/>
              </w:rPr>
              <w:t>23.20</w:t>
            </w:r>
          </w:p>
        </w:tc>
        <w:tc>
          <w:tcPr>
            <w:tcW w:w="39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4EE7682B" w14:textId="77777777" w:rsidR="009D1F83" w:rsidRDefault="00452E53">
            <w:pPr>
              <w:spacing w:before="240"/>
              <w:jc w:val="right"/>
              <w:rPr>
                <w:sz w:val="24"/>
                <w:szCs w:val="24"/>
              </w:rPr>
            </w:pPr>
            <w:r>
              <w:rPr>
                <w:sz w:val="24"/>
                <w:szCs w:val="24"/>
              </w:rPr>
              <w:t>28.87</w:t>
            </w:r>
          </w:p>
        </w:tc>
      </w:tr>
      <w:tr w:rsidR="00592CFC" w14:paraId="43E214F8" w14:textId="77777777" w:rsidTr="006E7380">
        <w:trPr>
          <w:trHeight w:val="315"/>
        </w:trPr>
        <w:tc>
          <w:tcPr>
            <w:tcW w:w="893"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331A17C3" w14:textId="77777777" w:rsidR="009D1F83" w:rsidRDefault="00452E53">
            <w:pPr>
              <w:spacing w:before="240"/>
              <w:jc w:val="both"/>
              <w:rPr>
                <w:sz w:val="24"/>
                <w:szCs w:val="24"/>
              </w:rPr>
            </w:pPr>
            <w:r>
              <w:rPr>
                <w:sz w:val="24"/>
                <w:szCs w:val="24"/>
              </w:rPr>
              <w:t>Net profit</w:t>
            </w:r>
          </w:p>
        </w:tc>
        <w:tc>
          <w:tcPr>
            <w:tcW w:w="2093"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B0E6930" w14:textId="77777777" w:rsidR="009D1F83" w:rsidRDefault="00452E53">
            <w:pPr>
              <w:spacing w:before="240"/>
              <w:jc w:val="both"/>
              <w:rPr>
                <w:sz w:val="24"/>
                <w:szCs w:val="24"/>
              </w:rPr>
            </w:pPr>
            <w:r>
              <w:rPr>
                <w:sz w:val="24"/>
                <w:szCs w:val="24"/>
              </w:rPr>
              <w:t>Net profit or loss after tax/Net Sales*100</w:t>
            </w:r>
          </w:p>
        </w:tc>
        <w:tc>
          <w:tcPr>
            <w:tcW w:w="39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42E605A4" w14:textId="77777777" w:rsidR="009D1F83" w:rsidRDefault="00452E53">
            <w:pPr>
              <w:spacing w:before="240"/>
              <w:jc w:val="right"/>
              <w:rPr>
                <w:sz w:val="24"/>
                <w:szCs w:val="24"/>
              </w:rPr>
            </w:pPr>
            <w:r>
              <w:rPr>
                <w:sz w:val="24"/>
                <w:szCs w:val="24"/>
              </w:rPr>
              <w:t>6.28</w:t>
            </w:r>
          </w:p>
        </w:tc>
        <w:tc>
          <w:tcPr>
            <w:tcW w:w="39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D734F0E" w14:textId="77777777" w:rsidR="009D1F83" w:rsidRDefault="00452E53">
            <w:pPr>
              <w:spacing w:before="240"/>
              <w:jc w:val="right"/>
              <w:rPr>
                <w:sz w:val="24"/>
                <w:szCs w:val="24"/>
              </w:rPr>
            </w:pPr>
            <w:r>
              <w:rPr>
                <w:sz w:val="24"/>
                <w:szCs w:val="24"/>
              </w:rPr>
              <w:t>0.88</w:t>
            </w:r>
          </w:p>
        </w:tc>
        <w:tc>
          <w:tcPr>
            <w:tcW w:w="39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1BAC83D6" w14:textId="77777777" w:rsidR="009D1F83" w:rsidRDefault="00452E53">
            <w:pPr>
              <w:spacing w:before="240"/>
              <w:jc w:val="right"/>
              <w:rPr>
                <w:sz w:val="24"/>
                <w:szCs w:val="24"/>
              </w:rPr>
            </w:pPr>
            <w:r>
              <w:rPr>
                <w:sz w:val="24"/>
                <w:szCs w:val="24"/>
              </w:rPr>
              <w:t>0.07</w:t>
            </w:r>
          </w:p>
        </w:tc>
        <w:tc>
          <w:tcPr>
            <w:tcW w:w="42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444A619D" w14:textId="77777777" w:rsidR="009D1F83" w:rsidRDefault="00452E53">
            <w:pPr>
              <w:spacing w:before="240"/>
              <w:jc w:val="right"/>
              <w:rPr>
                <w:sz w:val="24"/>
                <w:szCs w:val="24"/>
              </w:rPr>
            </w:pPr>
            <w:r>
              <w:rPr>
                <w:sz w:val="24"/>
                <w:szCs w:val="24"/>
              </w:rPr>
              <w:t>-1.42</w:t>
            </w:r>
          </w:p>
        </w:tc>
        <w:tc>
          <w:tcPr>
            <w:tcW w:w="39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748F98B4" w14:textId="77777777" w:rsidR="009D1F83" w:rsidRDefault="00452E53">
            <w:pPr>
              <w:spacing w:before="240"/>
              <w:jc w:val="right"/>
              <w:rPr>
                <w:sz w:val="24"/>
                <w:szCs w:val="24"/>
              </w:rPr>
            </w:pPr>
            <w:r>
              <w:rPr>
                <w:sz w:val="24"/>
                <w:szCs w:val="24"/>
              </w:rPr>
              <w:t>-6.09</w:t>
            </w:r>
          </w:p>
        </w:tc>
      </w:tr>
      <w:tr w:rsidR="00592CFC" w14:paraId="7DB3650F" w14:textId="77777777" w:rsidTr="006E7380">
        <w:trPr>
          <w:trHeight w:val="315"/>
        </w:trPr>
        <w:tc>
          <w:tcPr>
            <w:tcW w:w="893"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534B575E" w14:textId="77777777" w:rsidR="009D1F83" w:rsidRDefault="00452E53">
            <w:pPr>
              <w:spacing w:before="240"/>
              <w:jc w:val="both"/>
              <w:rPr>
                <w:sz w:val="24"/>
                <w:szCs w:val="24"/>
              </w:rPr>
            </w:pPr>
            <w:r>
              <w:rPr>
                <w:sz w:val="24"/>
                <w:szCs w:val="24"/>
              </w:rPr>
              <w:t>Operating profit</w:t>
            </w:r>
          </w:p>
        </w:tc>
        <w:tc>
          <w:tcPr>
            <w:tcW w:w="2093"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C6392DC" w14:textId="77777777" w:rsidR="009D1F83" w:rsidRDefault="00452E53">
            <w:pPr>
              <w:spacing w:before="240"/>
              <w:jc w:val="both"/>
              <w:rPr>
                <w:sz w:val="24"/>
                <w:szCs w:val="24"/>
              </w:rPr>
            </w:pPr>
            <w:r>
              <w:rPr>
                <w:sz w:val="24"/>
                <w:szCs w:val="24"/>
              </w:rPr>
              <w:t>Operating profit/Net Sales*100</w:t>
            </w:r>
          </w:p>
        </w:tc>
        <w:tc>
          <w:tcPr>
            <w:tcW w:w="39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6305B000" w14:textId="77777777" w:rsidR="009D1F83" w:rsidRDefault="00452E53">
            <w:pPr>
              <w:spacing w:before="240"/>
              <w:jc w:val="right"/>
              <w:rPr>
                <w:sz w:val="24"/>
                <w:szCs w:val="24"/>
              </w:rPr>
            </w:pPr>
            <w:r>
              <w:rPr>
                <w:sz w:val="24"/>
                <w:szCs w:val="24"/>
              </w:rPr>
              <w:t>6.06</w:t>
            </w:r>
          </w:p>
        </w:tc>
        <w:tc>
          <w:tcPr>
            <w:tcW w:w="39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6C3DE509" w14:textId="77777777" w:rsidR="009D1F83" w:rsidRDefault="00452E53">
            <w:pPr>
              <w:spacing w:before="240"/>
              <w:jc w:val="right"/>
              <w:rPr>
                <w:sz w:val="24"/>
                <w:szCs w:val="24"/>
              </w:rPr>
            </w:pPr>
            <w:r>
              <w:rPr>
                <w:sz w:val="24"/>
                <w:szCs w:val="24"/>
              </w:rPr>
              <w:t>3.87</w:t>
            </w:r>
          </w:p>
        </w:tc>
        <w:tc>
          <w:tcPr>
            <w:tcW w:w="39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1D887FD6" w14:textId="77777777" w:rsidR="009D1F83" w:rsidRDefault="00452E53">
            <w:pPr>
              <w:spacing w:before="240"/>
              <w:jc w:val="right"/>
              <w:rPr>
                <w:sz w:val="24"/>
                <w:szCs w:val="24"/>
              </w:rPr>
            </w:pPr>
            <w:r>
              <w:rPr>
                <w:sz w:val="24"/>
                <w:szCs w:val="24"/>
              </w:rPr>
              <w:t>2.68</w:t>
            </w:r>
          </w:p>
        </w:tc>
        <w:tc>
          <w:tcPr>
            <w:tcW w:w="42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189CE812" w14:textId="77777777" w:rsidR="009D1F83" w:rsidRDefault="00452E53">
            <w:pPr>
              <w:spacing w:before="240"/>
              <w:jc w:val="right"/>
              <w:rPr>
                <w:sz w:val="24"/>
                <w:szCs w:val="24"/>
              </w:rPr>
            </w:pPr>
            <w:r>
              <w:rPr>
                <w:sz w:val="24"/>
                <w:szCs w:val="24"/>
              </w:rPr>
              <w:t>-20.29</w:t>
            </w:r>
          </w:p>
        </w:tc>
        <w:tc>
          <w:tcPr>
            <w:tcW w:w="39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567FBE46" w14:textId="77777777" w:rsidR="009D1F83" w:rsidRDefault="00452E53">
            <w:pPr>
              <w:spacing w:before="240"/>
              <w:jc w:val="right"/>
              <w:rPr>
                <w:sz w:val="24"/>
                <w:szCs w:val="24"/>
              </w:rPr>
            </w:pPr>
            <w:r>
              <w:rPr>
                <w:sz w:val="24"/>
                <w:szCs w:val="24"/>
              </w:rPr>
              <w:t>-3.87</w:t>
            </w:r>
          </w:p>
        </w:tc>
      </w:tr>
    </w:tbl>
    <w:p w14:paraId="6638E449" w14:textId="77777777" w:rsidR="009D1F83" w:rsidRDefault="009D1F83">
      <w:pPr>
        <w:spacing w:line="360" w:lineRule="auto"/>
        <w:jc w:val="both"/>
        <w:rPr>
          <w:sz w:val="24"/>
          <w:szCs w:val="24"/>
        </w:rPr>
      </w:pPr>
    </w:p>
    <w:p w14:paraId="2F9ABDD4" w14:textId="77777777" w:rsidR="009D1F83" w:rsidRDefault="00452E53">
      <w:pPr>
        <w:spacing w:line="360" w:lineRule="auto"/>
        <w:jc w:val="both"/>
        <w:rPr>
          <w:sz w:val="24"/>
          <w:szCs w:val="24"/>
        </w:rPr>
      </w:pPr>
      <w:r>
        <w:rPr>
          <w:b/>
          <w:sz w:val="24"/>
          <w:szCs w:val="24"/>
        </w:rPr>
        <w:t>Liquidity Ratios</w:t>
      </w:r>
    </w:p>
    <w:tbl>
      <w:tblPr>
        <w:tblStyle w:val="a9"/>
        <w:tblW w:w="5000" w:type="pct"/>
        <w:tblInd w:w="0" w:type="dxa"/>
        <w:tblBorders>
          <w:top w:val="nil"/>
          <w:left w:val="nil"/>
          <w:bottom w:val="nil"/>
          <w:right w:val="nil"/>
          <w:insideH w:val="nil"/>
          <w:insideV w:val="nil"/>
        </w:tblBorders>
        <w:tblLook w:val="0600" w:firstRow="0" w:lastRow="0" w:firstColumn="0" w:lastColumn="0" w:noHBand="1" w:noVBand="1"/>
      </w:tblPr>
      <w:tblGrid>
        <w:gridCol w:w="1191"/>
        <w:gridCol w:w="4034"/>
        <w:gridCol w:w="823"/>
        <w:gridCol w:w="823"/>
        <w:gridCol w:w="823"/>
        <w:gridCol w:w="823"/>
        <w:gridCol w:w="823"/>
      </w:tblGrid>
      <w:tr w:rsidR="00592CFC" w14:paraId="7E4AFF5E" w14:textId="77777777" w:rsidTr="006E7380">
        <w:trPr>
          <w:trHeight w:val="345"/>
        </w:trPr>
        <w:tc>
          <w:tcPr>
            <w:tcW w:w="762" w:type="pct"/>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vAlign w:val="bottom"/>
          </w:tcPr>
          <w:p w14:paraId="5E714AC6" w14:textId="77777777" w:rsidR="009D1F83" w:rsidRDefault="00452E53">
            <w:pPr>
              <w:spacing w:before="240"/>
              <w:jc w:val="both"/>
              <w:rPr>
                <w:b/>
                <w:sz w:val="28"/>
                <w:szCs w:val="28"/>
              </w:rPr>
            </w:pPr>
            <w:r>
              <w:rPr>
                <w:b/>
                <w:sz w:val="28"/>
                <w:szCs w:val="28"/>
              </w:rPr>
              <w:t>Ratios</w:t>
            </w:r>
          </w:p>
        </w:tc>
        <w:tc>
          <w:tcPr>
            <w:tcW w:w="2283"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3B4E8930" w14:textId="77777777" w:rsidR="009D1F83" w:rsidRDefault="00452E53">
            <w:pPr>
              <w:spacing w:before="240"/>
              <w:jc w:val="both"/>
              <w:rPr>
                <w:b/>
                <w:sz w:val="28"/>
                <w:szCs w:val="28"/>
              </w:rPr>
            </w:pPr>
            <w:r>
              <w:rPr>
                <w:b/>
                <w:sz w:val="28"/>
                <w:szCs w:val="28"/>
              </w:rPr>
              <w:t>Formula</w:t>
            </w:r>
          </w:p>
        </w:tc>
        <w:tc>
          <w:tcPr>
            <w:tcW w:w="391"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4EF1C88F" w14:textId="77777777" w:rsidR="009D1F83" w:rsidRDefault="00452E53">
            <w:pPr>
              <w:spacing w:before="240"/>
              <w:jc w:val="right"/>
              <w:rPr>
                <w:b/>
                <w:sz w:val="28"/>
                <w:szCs w:val="28"/>
              </w:rPr>
            </w:pPr>
            <w:r>
              <w:rPr>
                <w:b/>
                <w:sz w:val="28"/>
                <w:szCs w:val="28"/>
              </w:rPr>
              <w:t>2020</w:t>
            </w:r>
          </w:p>
        </w:tc>
        <w:tc>
          <w:tcPr>
            <w:tcW w:w="391"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2CA7F2C9" w14:textId="77777777" w:rsidR="009D1F83" w:rsidRDefault="00452E53">
            <w:pPr>
              <w:spacing w:before="240"/>
              <w:jc w:val="right"/>
              <w:rPr>
                <w:b/>
                <w:sz w:val="28"/>
                <w:szCs w:val="28"/>
              </w:rPr>
            </w:pPr>
            <w:r>
              <w:rPr>
                <w:b/>
                <w:sz w:val="28"/>
                <w:szCs w:val="28"/>
              </w:rPr>
              <w:t>2021</w:t>
            </w:r>
          </w:p>
        </w:tc>
        <w:tc>
          <w:tcPr>
            <w:tcW w:w="391"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4219E4E2" w14:textId="77777777" w:rsidR="009D1F83" w:rsidRDefault="00452E53">
            <w:pPr>
              <w:spacing w:before="240"/>
              <w:jc w:val="right"/>
              <w:rPr>
                <w:b/>
                <w:sz w:val="28"/>
                <w:szCs w:val="28"/>
              </w:rPr>
            </w:pPr>
            <w:r>
              <w:rPr>
                <w:b/>
                <w:sz w:val="28"/>
                <w:szCs w:val="28"/>
              </w:rPr>
              <w:t>2022</w:t>
            </w:r>
          </w:p>
        </w:tc>
        <w:tc>
          <w:tcPr>
            <w:tcW w:w="391"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766E8019" w14:textId="77777777" w:rsidR="009D1F83" w:rsidRDefault="00452E53">
            <w:pPr>
              <w:spacing w:before="240"/>
              <w:jc w:val="right"/>
              <w:rPr>
                <w:b/>
                <w:sz w:val="28"/>
                <w:szCs w:val="28"/>
              </w:rPr>
            </w:pPr>
            <w:r>
              <w:rPr>
                <w:b/>
                <w:sz w:val="28"/>
                <w:szCs w:val="28"/>
              </w:rPr>
              <w:t>2023</w:t>
            </w:r>
          </w:p>
        </w:tc>
        <w:tc>
          <w:tcPr>
            <w:tcW w:w="391"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083542A9" w14:textId="77777777" w:rsidR="009D1F83" w:rsidRDefault="00452E53">
            <w:pPr>
              <w:spacing w:before="240"/>
              <w:jc w:val="right"/>
              <w:rPr>
                <w:b/>
                <w:sz w:val="28"/>
                <w:szCs w:val="28"/>
              </w:rPr>
            </w:pPr>
            <w:r>
              <w:rPr>
                <w:b/>
                <w:sz w:val="28"/>
                <w:szCs w:val="28"/>
              </w:rPr>
              <w:t>2024</w:t>
            </w:r>
          </w:p>
        </w:tc>
      </w:tr>
      <w:tr w:rsidR="00592CFC" w14:paraId="0163E4E6" w14:textId="77777777" w:rsidTr="006E7380">
        <w:trPr>
          <w:trHeight w:val="315"/>
        </w:trPr>
        <w:tc>
          <w:tcPr>
            <w:tcW w:w="762"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1E33BF46" w14:textId="77777777" w:rsidR="009D1F83" w:rsidRDefault="00452E53">
            <w:pPr>
              <w:spacing w:before="240"/>
              <w:jc w:val="both"/>
              <w:rPr>
                <w:sz w:val="24"/>
                <w:szCs w:val="24"/>
              </w:rPr>
            </w:pPr>
            <w:r>
              <w:rPr>
                <w:sz w:val="24"/>
                <w:szCs w:val="24"/>
              </w:rPr>
              <w:t>Current Ratio</w:t>
            </w:r>
          </w:p>
        </w:tc>
        <w:tc>
          <w:tcPr>
            <w:tcW w:w="2283"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423D994D" w14:textId="77777777" w:rsidR="009D1F83" w:rsidRDefault="00452E53">
            <w:pPr>
              <w:spacing w:before="240"/>
              <w:jc w:val="both"/>
              <w:rPr>
                <w:sz w:val="24"/>
                <w:szCs w:val="24"/>
              </w:rPr>
            </w:pPr>
            <w:r>
              <w:rPr>
                <w:sz w:val="24"/>
                <w:szCs w:val="24"/>
              </w:rPr>
              <w:t>Current Assets/Current Liabilities</w:t>
            </w:r>
          </w:p>
        </w:tc>
        <w:tc>
          <w:tcPr>
            <w:tcW w:w="391"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502EF3A4" w14:textId="77777777" w:rsidR="009D1F83" w:rsidRDefault="00452E53">
            <w:pPr>
              <w:spacing w:before="240"/>
              <w:jc w:val="right"/>
              <w:rPr>
                <w:sz w:val="24"/>
                <w:szCs w:val="24"/>
              </w:rPr>
            </w:pPr>
            <w:r>
              <w:rPr>
                <w:sz w:val="24"/>
                <w:szCs w:val="24"/>
              </w:rPr>
              <w:t>1.82</w:t>
            </w:r>
          </w:p>
        </w:tc>
        <w:tc>
          <w:tcPr>
            <w:tcW w:w="391"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3445BE29" w14:textId="77777777" w:rsidR="009D1F83" w:rsidRDefault="00452E53">
            <w:pPr>
              <w:spacing w:before="240"/>
              <w:jc w:val="right"/>
              <w:rPr>
                <w:sz w:val="24"/>
                <w:szCs w:val="24"/>
              </w:rPr>
            </w:pPr>
            <w:r>
              <w:rPr>
                <w:sz w:val="24"/>
                <w:szCs w:val="24"/>
              </w:rPr>
              <w:t>1.56</w:t>
            </w:r>
          </w:p>
        </w:tc>
        <w:tc>
          <w:tcPr>
            <w:tcW w:w="391"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729CEDBA" w14:textId="77777777" w:rsidR="009D1F83" w:rsidRDefault="00452E53">
            <w:pPr>
              <w:spacing w:before="240"/>
              <w:jc w:val="right"/>
              <w:rPr>
                <w:sz w:val="24"/>
                <w:szCs w:val="24"/>
              </w:rPr>
            </w:pPr>
            <w:r>
              <w:rPr>
                <w:sz w:val="24"/>
                <w:szCs w:val="24"/>
              </w:rPr>
              <w:t>1.56</w:t>
            </w:r>
          </w:p>
        </w:tc>
        <w:tc>
          <w:tcPr>
            <w:tcW w:w="391"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958F9AD" w14:textId="77777777" w:rsidR="009D1F83" w:rsidRDefault="00452E53">
            <w:pPr>
              <w:spacing w:before="240"/>
              <w:jc w:val="right"/>
              <w:rPr>
                <w:sz w:val="24"/>
                <w:szCs w:val="24"/>
              </w:rPr>
            </w:pPr>
            <w:r>
              <w:rPr>
                <w:sz w:val="24"/>
                <w:szCs w:val="24"/>
              </w:rPr>
              <w:t>1.61</w:t>
            </w:r>
          </w:p>
        </w:tc>
        <w:tc>
          <w:tcPr>
            <w:tcW w:w="391"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356F1420" w14:textId="77777777" w:rsidR="009D1F83" w:rsidRDefault="00452E53">
            <w:pPr>
              <w:spacing w:before="240"/>
              <w:jc w:val="right"/>
              <w:rPr>
                <w:sz w:val="24"/>
                <w:szCs w:val="24"/>
              </w:rPr>
            </w:pPr>
            <w:r>
              <w:rPr>
                <w:sz w:val="24"/>
                <w:szCs w:val="24"/>
              </w:rPr>
              <w:t>1.53</w:t>
            </w:r>
          </w:p>
        </w:tc>
      </w:tr>
      <w:tr w:rsidR="00592CFC" w14:paraId="743E6C8F" w14:textId="77777777" w:rsidTr="006E7380">
        <w:trPr>
          <w:trHeight w:val="859"/>
        </w:trPr>
        <w:tc>
          <w:tcPr>
            <w:tcW w:w="762"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7050F3CA" w14:textId="77777777" w:rsidR="009D1F83" w:rsidRDefault="00452E53">
            <w:pPr>
              <w:spacing w:before="240"/>
              <w:jc w:val="both"/>
              <w:rPr>
                <w:sz w:val="24"/>
                <w:szCs w:val="24"/>
              </w:rPr>
            </w:pPr>
            <w:r>
              <w:rPr>
                <w:sz w:val="24"/>
                <w:szCs w:val="24"/>
              </w:rPr>
              <w:t>Quick Ratio</w:t>
            </w:r>
          </w:p>
        </w:tc>
        <w:tc>
          <w:tcPr>
            <w:tcW w:w="2283"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6CA57AFA" w14:textId="77777777" w:rsidR="009D1F83" w:rsidRDefault="00452E53">
            <w:pPr>
              <w:spacing w:before="240"/>
              <w:jc w:val="both"/>
              <w:rPr>
                <w:sz w:val="24"/>
                <w:szCs w:val="24"/>
              </w:rPr>
            </w:pPr>
            <w:r>
              <w:rPr>
                <w:sz w:val="24"/>
                <w:szCs w:val="24"/>
              </w:rPr>
              <w:t>Current Assets-Inventories/Current Liabilities</w:t>
            </w:r>
          </w:p>
        </w:tc>
        <w:tc>
          <w:tcPr>
            <w:tcW w:w="391"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236BB219" w14:textId="77777777" w:rsidR="009D1F83" w:rsidRDefault="00452E53">
            <w:pPr>
              <w:spacing w:before="240"/>
              <w:jc w:val="right"/>
              <w:rPr>
                <w:sz w:val="24"/>
                <w:szCs w:val="24"/>
              </w:rPr>
            </w:pPr>
            <w:r>
              <w:rPr>
                <w:sz w:val="24"/>
                <w:szCs w:val="24"/>
              </w:rPr>
              <w:t>1.15</w:t>
            </w:r>
          </w:p>
        </w:tc>
        <w:tc>
          <w:tcPr>
            <w:tcW w:w="391"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759C247F" w14:textId="77777777" w:rsidR="009D1F83" w:rsidRDefault="00452E53">
            <w:pPr>
              <w:spacing w:before="240"/>
              <w:jc w:val="right"/>
              <w:rPr>
                <w:sz w:val="24"/>
                <w:szCs w:val="24"/>
              </w:rPr>
            </w:pPr>
            <w:r>
              <w:rPr>
                <w:sz w:val="24"/>
                <w:szCs w:val="24"/>
              </w:rPr>
              <w:t>0.93</w:t>
            </w:r>
          </w:p>
        </w:tc>
        <w:tc>
          <w:tcPr>
            <w:tcW w:w="391"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2311DEB" w14:textId="77777777" w:rsidR="009D1F83" w:rsidRDefault="00452E53">
            <w:pPr>
              <w:spacing w:before="240"/>
              <w:jc w:val="right"/>
              <w:rPr>
                <w:sz w:val="24"/>
                <w:szCs w:val="24"/>
              </w:rPr>
            </w:pPr>
            <w:r>
              <w:rPr>
                <w:sz w:val="24"/>
                <w:szCs w:val="24"/>
              </w:rPr>
              <w:t>0.91</w:t>
            </w:r>
          </w:p>
        </w:tc>
        <w:tc>
          <w:tcPr>
            <w:tcW w:w="391"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31556490" w14:textId="77777777" w:rsidR="009D1F83" w:rsidRDefault="00452E53">
            <w:pPr>
              <w:spacing w:before="240"/>
              <w:jc w:val="right"/>
              <w:rPr>
                <w:sz w:val="24"/>
                <w:szCs w:val="24"/>
              </w:rPr>
            </w:pPr>
            <w:r>
              <w:rPr>
                <w:sz w:val="24"/>
                <w:szCs w:val="24"/>
              </w:rPr>
              <w:t>1.06</w:t>
            </w:r>
          </w:p>
        </w:tc>
        <w:tc>
          <w:tcPr>
            <w:tcW w:w="391"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33FFB7E4" w14:textId="77777777" w:rsidR="009D1F83" w:rsidRDefault="00452E53">
            <w:pPr>
              <w:spacing w:before="240"/>
              <w:jc w:val="right"/>
              <w:rPr>
                <w:sz w:val="24"/>
                <w:szCs w:val="24"/>
              </w:rPr>
            </w:pPr>
            <w:r>
              <w:rPr>
                <w:sz w:val="24"/>
                <w:szCs w:val="24"/>
              </w:rPr>
              <w:t>1.03</w:t>
            </w:r>
          </w:p>
        </w:tc>
      </w:tr>
    </w:tbl>
    <w:p w14:paraId="19D795C6" w14:textId="77777777" w:rsidR="009D1F83" w:rsidRDefault="009D1F83">
      <w:pPr>
        <w:spacing w:line="360" w:lineRule="auto"/>
        <w:jc w:val="both"/>
        <w:rPr>
          <w:sz w:val="24"/>
          <w:szCs w:val="24"/>
        </w:rPr>
      </w:pPr>
    </w:p>
    <w:p w14:paraId="7E998F16" w14:textId="77777777" w:rsidR="009D1F83" w:rsidRDefault="00452E53">
      <w:pPr>
        <w:spacing w:line="360" w:lineRule="auto"/>
        <w:rPr>
          <w:b/>
          <w:sz w:val="24"/>
          <w:szCs w:val="24"/>
        </w:rPr>
      </w:pPr>
      <w:r>
        <w:rPr>
          <w:b/>
          <w:sz w:val="24"/>
          <w:szCs w:val="24"/>
        </w:rPr>
        <w:t>Efficiency Ratios</w:t>
      </w:r>
    </w:p>
    <w:tbl>
      <w:tblPr>
        <w:tblStyle w:val="aa"/>
        <w:tblW w:w="5000" w:type="pct"/>
        <w:tblInd w:w="0" w:type="dxa"/>
        <w:tblBorders>
          <w:top w:val="nil"/>
          <w:left w:val="nil"/>
          <w:bottom w:val="nil"/>
          <w:right w:val="nil"/>
          <w:insideH w:val="nil"/>
          <w:insideV w:val="nil"/>
        </w:tblBorders>
        <w:tblLook w:val="0600" w:firstRow="0" w:lastRow="0" w:firstColumn="0" w:lastColumn="0" w:noHBand="1" w:noVBand="1"/>
      </w:tblPr>
      <w:tblGrid>
        <w:gridCol w:w="2033"/>
        <w:gridCol w:w="3192"/>
        <w:gridCol w:w="823"/>
        <w:gridCol w:w="823"/>
        <w:gridCol w:w="823"/>
        <w:gridCol w:w="823"/>
        <w:gridCol w:w="823"/>
      </w:tblGrid>
      <w:tr w:rsidR="00592CFC" w14:paraId="6DAA06B7" w14:textId="77777777" w:rsidTr="006E7380">
        <w:trPr>
          <w:trHeight w:val="345"/>
        </w:trPr>
        <w:tc>
          <w:tcPr>
            <w:tcW w:w="1367" w:type="pct"/>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vAlign w:val="bottom"/>
          </w:tcPr>
          <w:p w14:paraId="64134E1A" w14:textId="77777777" w:rsidR="009D1F83" w:rsidRDefault="00452E53">
            <w:pPr>
              <w:spacing w:before="240"/>
              <w:jc w:val="center"/>
              <w:rPr>
                <w:b/>
                <w:sz w:val="28"/>
                <w:szCs w:val="28"/>
              </w:rPr>
            </w:pPr>
            <w:r>
              <w:rPr>
                <w:b/>
                <w:sz w:val="28"/>
                <w:szCs w:val="28"/>
              </w:rPr>
              <w:lastRenderedPageBreak/>
              <w:t>Ratios</w:t>
            </w:r>
          </w:p>
        </w:tc>
        <w:tc>
          <w:tcPr>
            <w:tcW w:w="1987"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53A83940" w14:textId="77777777" w:rsidR="009D1F83" w:rsidRDefault="00452E53">
            <w:pPr>
              <w:spacing w:before="240"/>
              <w:jc w:val="center"/>
              <w:rPr>
                <w:b/>
                <w:sz w:val="28"/>
                <w:szCs w:val="28"/>
              </w:rPr>
            </w:pPr>
            <w:r>
              <w:rPr>
                <w:b/>
                <w:sz w:val="28"/>
                <w:szCs w:val="28"/>
              </w:rPr>
              <w:t>Formula</w:t>
            </w:r>
          </w:p>
        </w:tc>
        <w:tc>
          <w:tcPr>
            <w:tcW w:w="329"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77A9251D" w14:textId="77777777" w:rsidR="009D1F83" w:rsidRDefault="00452E53">
            <w:pPr>
              <w:spacing w:before="240"/>
              <w:jc w:val="right"/>
              <w:rPr>
                <w:b/>
                <w:sz w:val="28"/>
                <w:szCs w:val="28"/>
              </w:rPr>
            </w:pPr>
            <w:r>
              <w:rPr>
                <w:b/>
                <w:sz w:val="28"/>
                <w:szCs w:val="28"/>
              </w:rPr>
              <w:t>2020</w:t>
            </w:r>
          </w:p>
        </w:tc>
        <w:tc>
          <w:tcPr>
            <w:tcW w:w="329"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2F01B3B6" w14:textId="77777777" w:rsidR="009D1F83" w:rsidRDefault="00452E53">
            <w:pPr>
              <w:spacing w:before="240"/>
              <w:jc w:val="right"/>
              <w:rPr>
                <w:b/>
                <w:sz w:val="28"/>
                <w:szCs w:val="28"/>
              </w:rPr>
            </w:pPr>
            <w:r>
              <w:rPr>
                <w:b/>
                <w:sz w:val="28"/>
                <w:szCs w:val="28"/>
              </w:rPr>
              <w:t>2021</w:t>
            </w:r>
          </w:p>
        </w:tc>
        <w:tc>
          <w:tcPr>
            <w:tcW w:w="329"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6F580F6D" w14:textId="77777777" w:rsidR="009D1F83" w:rsidRDefault="00452E53">
            <w:pPr>
              <w:spacing w:before="240"/>
              <w:jc w:val="right"/>
              <w:rPr>
                <w:b/>
                <w:sz w:val="28"/>
                <w:szCs w:val="28"/>
              </w:rPr>
            </w:pPr>
            <w:r>
              <w:rPr>
                <w:b/>
                <w:sz w:val="28"/>
                <w:szCs w:val="28"/>
              </w:rPr>
              <w:t>2022</w:t>
            </w:r>
          </w:p>
        </w:tc>
        <w:tc>
          <w:tcPr>
            <w:tcW w:w="329"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2054BF49" w14:textId="77777777" w:rsidR="009D1F83" w:rsidRDefault="00452E53">
            <w:pPr>
              <w:spacing w:before="240"/>
              <w:jc w:val="right"/>
              <w:rPr>
                <w:b/>
                <w:sz w:val="28"/>
                <w:szCs w:val="28"/>
              </w:rPr>
            </w:pPr>
            <w:r>
              <w:rPr>
                <w:b/>
                <w:sz w:val="28"/>
                <w:szCs w:val="28"/>
              </w:rPr>
              <w:t>2023</w:t>
            </w:r>
          </w:p>
        </w:tc>
        <w:tc>
          <w:tcPr>
            <w:tcW w:w="329"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6E3B2291" w14:textId="77777777" w:rsidR="009D1F83" w:rsidRDefault="00452E53">
            <w:pPr>
              <w:spacing w:before="240"/>
              <w:jc w:val="right"/>
              <w:rPr>
                <w:b/>
                <w:sz w:val="28"/>
                <w:szCs w:val="28"/>
              </w:rPr>
            </w:pPr>
            <w:r>
              <w:rPr>
                <w:b/>
                <w:sz w:val="28"/>
                <w:szCs w:val="28"/>
              </w:rPr>
              <w:t>2024</w:t>
            </w:r>
          </w:p>
        </w:tc>
      </w:tr>
      <w:tr w:rsidR="00592CFC" w14:paraId="7D773049" w14:textId="77777777" w:rsidTr="006E7380">
        <w:trPr>
          <w:trHeight w:val="315"/>
        </w:trPr>
        <w:tc>
          <w:tcPr>
            <w:tcW w:w="1367" w:type="pct"/>
            <w:tcBorders>
              <w:top w:val="nil"/>
              <w:left w:val="single" w:sz="8" w:space="0" w:color="000000"/>
              <w:bottom w:val="nil"/>
              <w:right w:val="single" w:sz="8" w:space="0" w:color="000000"/>
            </w:tcBorders>
            <w:tcMar>
              <w:top w:w="0" w:type="dxa"/>
              <w:left w:w="100" w:type="dxa"/>
              <w:bottom w:w="0" w:type="dxa"/>
              <w:right w:w="100" w:type="dxa"/>
            </w:tcMar>
            <w:vAlign w:val="bottom"/>
          </w:tcPr>
          <w:p w14:paraId="2ED08601" w14:textId="77777777" w:rsidR="009D1F83" w:rsidRDefault="00452E53">
            <w:pPr>
              <w:spacing w:before="240"/>
              <w:jc w:val="center"/>
              <w:rPr>
                <w:sz w:val="24"/>
                <w:szCs w:val="24"/>
              </w:rPr>
            </w:pPr>
            <w:r>
              <w:rPr>
                <w:sz w:val="24"/>
                <w:szCs w:val="24"/>
              </w:rPr>
              <w:t>Inventory Turnover Ratio</w:t>
            </w:r>
          </w:p>
        </w:tc>
        <w:tc>
          <w:tcPr>
            <w:tcW w:w="1987" w:type="pct"/>
            <w:tcBorders>
              <w:top w:val="nil"/>
              <w:left w:val="nil"/>
              <w:bottom w:val="nil"/>
              <w:right w:val="single" w:sz="8" w:space="0" w:color="000000"/>
            </w:tcBorders>
            <w:tcMar>
              <w:top w:w="0" w:type="dxa"/>
              <w:left w:w="100" w:type="dxa"/>
              <w:bottom w:w="0" w:type="dxa"/>
              <w:right w:w="100" w:type="dxa"/>
            </w:tcMar>
            <w:vAlign w:val="bottom"/>
          </w:tcPr>
          <w:p w14:paraId="10B1A105" w14:textId="77777777" w:rsidR="009D1F83" w:rsidRDefault="00452E53">
            <w:pPr>
              <w:spacing w:before="240"/>
              <w:jc w:val="center"/>
              <w:rPr>
                <w:sz w:val="24"/>
                <w:szCs w:val="24"/>
              </w:rPr>
            </w:pPr>
            <w:r>
              <w:rPr>
                <w:sz w:val="24"/>
                <w:szCs w:val="24"/>
              </w:rPr>
              <w:t>Cost of Goods Sold/Average Inventory</w:t>
            </w:r>
          </w:p>
        </w:tc>
        <w:tc>
          <w:tcPr>
            <w:tcW w:w="329" w:type="pct"/>
            <w:tcBorders>
              <w:top w:val="nil"/>
              <w:left w:val="nil"/>
              <w:bottom w:val="nil"/>
              <w:right w:val="single" w:sz="8" w:space="0" w:color="000000"/>
            </w:tcBorders>
            <w:tcMar>
              <w:top w:w="0" w:type="dxa"/>
              <w:left w:w="100" w:type="dxa"/>
              <w:bottom w:w="0" w:type="dxa"/>
              <w:right w:w="100" w:type="dxa"/>
            </w:tcMar>
            <w:vAlign w:val="bottom"/>
          </w:tcPr>
          <w:p w14:paraId="097AE954" w14:textId="77777777" w:rsidR="009D1F83" w:rsidRDefault="00452E53">
            <w:pPr>
              <w:spacing w:before="240"/>
              <w:jc w:val="right"/>
              <w:rPr>
                <w:sz w:val="24"/>
                <w:szCs w:val="24"/>
              </w:rPr>
            </w:pPr>
            <w:r>
              <w:rPr>
                <w:sz w:val="24"/>
                <w:szCs w:val="24"/>
              </w:rPr>
              <w:t>3.64</w:t>
            </w:r>
          </w:p>
        </w:tc>
        <w:tc>
          <w:tcPr>
            <w:tcW w:w="329" w:type="pct"/>
            <w:tcBorders>
              <w:top w:val="nil"/>
              <w:left w:val="nil"/>
              <w:bottom w:val="nil"/>
              <w:right w:val="single" w:sz="8" w:space="0" w:color="000000"/>
            </w:tcBorders>
            <w:tcMar>
              <w:top w:w="0" w:type="dxa"/>
              <w:left w:w="100" w:type="dxa"/>
              <w:bottom w:w="0" w:type="dxa"/>
              <w:right w:w="100" w:type="dxa"/>
            </w:tcMar>
            <w:vAlign w:val="bottom"/>
          </w:tcPr>
          <w:p w14:paraId="4B55EAF2" w14:textId="77777777" w:rsidR="009D1F83" w:rsidRDefault="00452E53">
            <w:pPr>
              <w:spacing w:before="240"/>
              <w:jc w:val="right"/>
              <w:rPr>
                <w:sz w:val="24"/>
                <w:szCs w:val="24"/>
              </w:rPr>
            </w:pPr>
            <w:r>
              <w:rPr>
                <w:sz w:val="24"/>
                <w:szCs w:val="24"/>
              </w:rPr>
              <w:t>3.36</w:t>
            </w:r>
          </w:p>
        </w:tc>
        <w:tc>
          <w:tcPr>
            <w:tcW w:w="329" w:type="pct"/>
            <w:tcBorders>
              <w:top w:val="nil"/>
              <w:left w:val="nil"/>
              <w:bottom w:val="nil"/>
              <w:right w:val="single" w:sz="8" w:space="0" w:color="000000"/>
            </w:tcBorders>
            <w:tcMar>
              <w:top w:w="0" w:type="dxa"/>
              <w:left w:w="100" w:type="dxa"/>
              <w:bottom w:w="0" w:type="dxa"/>
              <w:right w:w="100" w:type="dxa"/>
            </w:tcMar>
            <w:vAlign w:val="bottom"/>
          </w:tcPr>
          <w:p w14:paraId="3A231EEE" w14:textId="77777777" w:rsidR="009D1F83" w:rsidRDefault="00452E53">
            <w:pPr>
              <w:spacing w:before="240"/>
              <w:jc w:val="right"/>
              <w:rPr>
                <w:sz w:val="24"/>
                <w:szCs w:val="24"/>
              </w:rPr>
            </w:pPr>
            <w:r>
              <w:rPr>
                <w:sz w:val="24"/>
                <w:szCs w:val="24"/>
              </w:rPr>
              <w:t>2.84</w:t>
            </w:r>
          </w:p>
        </w:tc>
        <w:tc>
          <w:tcPr>
            <w:tcW w:w="329" w:type="pct"/>
            <w:tcBorders>
              <w:top w:val="nil"/>
              <w:left w:val="nil"/>
              <w:bottom w:val="nil"/>
              <w:right w:val="single" w:sz="8" w:space="0" w:color="000000"/>
            </w:tcBorders>
            <w:tcMar>
              <w:top w:w="0" w:type="dxa"/>
              <w:left w:w="100" w:type="dxa"/>
              <w:bottom w:w="0" w:type="dxa"/>
              <w:right w:w="100" w:type="dxa"/>
            </w:tcMar>
            <w:vAlign w:val="bottom"/>
          </w:tcPr>
          <w:p w14:paraId="70666234" w14:textId="77777777" w:rsidR="009D1F83" w:rsidRDefault="00452E53">
            <w:pPr>
              <w:spacing w:before="240"/>
              <w:jc w:val="right"/>
              <w:rPr>
                <w:sz w:val="24"/>
                <w:szCs w:val="24"/>
              </w:rPr>
            </w:pPr>
            <w:r>
              <w:rPr>
                <w:sz w:val="24"/>
                <w:szCs w:val="24"/>
              </w:rPr>
              <w:t>2.83</w:t>
            </w:r>
          </w:p>
        </w:tc>
        <w:tc>
          <w:tcPr>
            <w:tcW w:w="329" w:type="pct"/>
            <w:tcBorders>
              <w:top w:val="nil"/>
              <w:left w:val="nil"/>
              <w:bottom w:val="nil"/>
              <w:right w:val="single" w:sz="8" w:space="0" w:color="000000"/>
            </w:tcBorders>
            <w:tcMar>
              <w:top w:w="0" w:type="dxa"/>
              <w:left w:w="100" w:type="dxa"/>
              <w:bottom w:w="0" w:type="dxa"/>
              <w:right w:w="100" w:type="dxa"/>
            </w:tcMar>
            <w:vAlign w:val="bottom"/>
          </w:tcPr>
          <w:p w14:paraId="22D26B9D" w14:textId="77777777" w:rsidR="009D1F83" w:rsidRDefault="00452E53">
            <w:pPr>
              <w:spacing w:before="240"/>
              <w:jc w:val="right"/>
              <w:rPr>
                <w:sz w:val="24"/>
                <w:szCs w:val="24"/>
              </w:rPr>
            </w:pPr>
            <w:r>
              <w:rPr>
                <w:sz w:val="24"/>
                <w:szCs w:val="24"/>
              </w:rPr>
              <w:t>3.35</w:t>
            </w:r>
          </w:p>
        </w:tc>
      </w:tr>
      <w:tr w:rsidR="00592CFC" w14:paraId="651074C0" w14:textId="77777777" w:rsidTr="006E7380">
        <w:trPr>
          <w:trHeight w:val="315"/>
        </w:trPr>
        <w:tc>
          <w:tcPr>
            <w:tcW w:w="1367" w:type="pct"/>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vAlign w:val="bottom"/>
          </w:tcPr>
          <w:p w14:paraId="608460F2" w14:textId="77777777" w:rsidR="009D1F83" w:rsidRDefault="00452E53">
            <w:pPr>
              <w:spacing w:before="240"/>
              <w:jc w:val="center"/>
              <w:rPr>
                <w:sz w:val="24"/>
                <w:szCs w:val="24"/>
              </w:rPr>
            </w:pPr>
            <w:r>
              <w:rPr>
                <w:sz w:val="24"/>
                <w:szCs w:val="24"/>
              </w:rPr>
              <w:t>Receivables Turnover Ratio</w:t>
            </w:r>
          </w:p>
        </w:tc>
        <w:tc>
          <w:tcPr>
            <w:tcW w:w="1987"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51880AA4" w14:textId="77777777" w:rsidR="009D1F83" w:rsidRDefault="00452E53">
            <w:pPr>
              <w:spacing w:before="240"/>
              <w:jc w:val="center"/>
              <w:rPr>
                <w:sz w:val="24"/>
                <w:szCs w:val="24"/>
              </w:rPr>
            </w:pPr>
            <w:r>
              <w:rPr>
                <w:sz w:val="24"/>
                <w:szCs w:val="24"/>
              </w:rPr>
              <w:t>Net Sales/Average Receivables</w:t>
            </w:r>
          </w:p>
        </w:tc>
        <w:tc>
          <w:tcPr>
            <w:tcW w:w="329"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6B0D108A" w14:textId="77777777" w:rsidR="009D1F83" w:rsidRDefault="00452E53">
            <w:pPr>
              <w:spacing w:before="240"/>
              <w:jc w:val="right"/>
              <w:rPr>
                <w:sz w:val="24"/>
                <w:szCs w:val="24"/>
              </w:rPr>
            </w:pPr>
            <w:r>
              <w:rPr>
                <w:sz w:val="24"/>
                <w:szCs w:val="24"/>
              </w:rPr>
              <w:t>5.42</w:t>
            </w:r>
          </w:p>
        </w:tc>
        <w:tc>
          <w:tcPr>
            <w:tcW w:w="329"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6F406B9A" w14:textId="77777777" w:rsidR="009D1F83" w:rsidRDefault="00452E53">
            <w:pPr>
              <w:spacing w:before="240"/>
              <w:jc w:val="right"/>
              <w:rPr>
                <w:sz w:val="24"/>
                <w:szCs w:val="24"/>
              </w:rPr>
            </w:pPr>
            <w:r>
              <w:rPr>
                <w:sz w:val="24"/>
                <w:szCs w:val="24"/>
              </w:rPr>
              <w:t>4.65</w:t>
            </w:r>
          </w:p>
        </w:tc>
        <w:tc>
          <w:tcPr>
            <w:tcW w:w="329"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156CDB53" w14:textId="77777777" w:rsidR="009D1F83" w:rsidRDefault="00452E53">
            <w:pPr>
              <w:spacing w:before="240"/>
              <w:jc w:val="right"/>
              <w:rPr>
                <w:sz w:val="24"/>
                <w:szCs w:val="24"/>
              </w:rPr>
            </w:pPr>
            <w:r>
              <w:rPr>
                <w:sz w:val="24"/>
                <w:szCs w:val="24"/>
              </w:rPr>
              <w:t>4.49</w:t>
            </w:r>
          </w:p>
        </w:tc>
        <w:tc>
          <w:tcPr>
            <w:tcW w:w="329"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0C26B3AE" w14:textId="77777777" w:rsidR="009D1F83" w:rsidRDefault="00452E53">
            <w:pPr>
              <w:spacing w:before="240"/>
              <w:jc w:val="right"/>
              <w:rPr>
                <w:sz w:val="24"/>
                <w:szCs w:val="24"/>
              </w:rPr>
            </w:pPr>
            <w:r>
              <w:rPr>
                <w:sz w:val="24"/>
                <w:szCs w:val="24"/>
              </w:rPr>
              <w:t>3.74</w:t>
            </w:r>
          </w:p>
        </w:tc>
        <w:tc>
          <w:tcPr>
            <w:tcW w:w="329"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43C7DA5A" w14:textId="77777777" w:rsidR="009D1F83" w:rsidRDefault="00452E53">
            <w:pPr>
              <w:spacing w:before="240"/>
              <w:jc w:val="right"/>
              <w:rPr>
                <w:sz w:val="24"/>
                <w:szCs w:val="24"/>
              </w:rPr>
            </w:pPr>
            <w:r>
              <w:rPr>
                <w:sz w:val="24"/>
                <w:szCs w:val="24"/>
              </w:rPr>
              <w:t>3.48</w:t>
            </w:r>
          </w:p>
        </w:tc>
      </w:tr>
      <w:tr w:rsidR="00592CFC" w14:paraId="5F7B1FD4" w14:textId="77777777" w:rsidTr="006E7380">
        <w:trPr>
          <w:trHeight w:val="315"/>
        </w:trPr>
        <w:tc>
          <w:tcPr>
            <w:tcW w:w="1367"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435BE395" w14:textId="77777777" w:rsidR="009D1F83" w:rsidRDefault="00452E53">
            <w:pPr>
              <w:spacing w:before="240"/>
              <w:jc w:val="center"/>
              <w:rPr>
                <w:sz w:val="24"/>
                <w:szCs w:val="24"/>
              </w:rPr>
            </w:pPr>
            <w:r>
              <w:rPr>
                <w:sz w:val="24"/>
                <w:szCs w:val="24"/>
              </w:rPr>
              <w:t>Days Payable Outstanding Ratio</w:t>
            </w:r>
          </w:p>
        </w:tc>
        <w:tc>
          <w:tcPr>
            <w:tcW w:w="198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3736B24E" w14:textId="77777777" w:rsidR="009D1F83" w:rsidRDefault="00452E53">
            <w:pPr>
              <w:spacing w:before="240"/>
              <w:jc w:val="center"/>
              <w:rPr>
                <w:sz w:val="24"/>
                <w:szCs w:val="24"/>
              </w:rPr>
            </w:pPr>
            <w:r>
              <w:rPr>
                <w:sz w:val="24"/>
                <w:szCs w:val="24"/>
              </w:rPr>
              <w:t>Accounts Payable/Cost of goods sold*365 days</w:t>
            </w:r>
          </w:p>
        </w:tc>
        <w:tc>
          <w:tcPr>
            <w:tcW w:w="329"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486338BF" w14:textId="77777777" w:rsidR="009D1F83" w:rsidRDefault="00452E53">
            <w:pPr>
              <w:spacing w:before="240"/>
              <w:jc w:val="right"/>
              <w:rPr>
                <w:sz w:val="24"/>
                <w:szCs w:val="24"/>
              </w:rPr>
            </w:pPr>
            <w:r>
              <w:rPr>
                <w:sz w:val="24"/>
                <w:szCs w:val="24"/>
              </w:rPr>
              <w:t>69.29</w:t>
            </w:r>
          </w:p>
        </w:tc>
        <w:tc>
          <w:tcPr>
            <w:tcW w:w="329"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2184CC22" w14:textId="77777777" w:rsidR="009D1F83" w:rsidRDefault="00452E53">
            <w:pPr>
              <w:spacing w:before="240"/>
              <w:jc w:val="right"/>
              <w:rPr>
                <w:sz w:val="24"/>
                <w:szCs w:val="24"/>
              </w:rPr>
            </w:pPr>
            <w:r>
              <w:rPr>
                <w:sz w:val="24"/>
                <w:szCs w:val="24"/>
              </w:rPr>
              <w:t>74.92</w:t>
            </w:r>
          </w:p>
        </w:tc>
        <w:tc>
          <w:tcPr>
            <w:tcW w:w="329"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7E97F888" w14:textId="77777777" w:rsidR="009D1F83" w:rsidRDefault="00452E53">
            <w:pPr>
              <w:spacing w:before="240"/>
              <w:jc w:val="right"/>
              <w:rPr>
                <w:sz w:val="24"/>
                <w:szCs w:val="24"/>
              </w:rPr>
            </w:pPr>
            <w:r>
              <w:rPr>
                <w:sz w:val="24"/>
                <w:szCs w:val="24"/>
              </w:rPr>
              <w:t>76.69</w:t>
            </w:r>
          </w:p>
        </w:tc>
        <w:tc>
          <w:tcPr>
            <w:tcW w:w="329"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272684DA" w14:textId="77777777" w:rsidR="009D1F83" w:rsidRDefault="00452E53">
            <w:pPr>
              <w:spacing w:before="240"/>
              <w:jc w:val="right"/>
              <w:rPr>
                <w:sz w:val="24"/>
                <w:szCs w:val="24"/>
              </w:rPr>
            </w:pPr>
            <w:r>
              <w:rPr>
                <w:sz w:val="24"/>
                <w:szCs w:val="24"/>
              </w:rPr>
              <w:t>72.57</w:t>
            </w:r>
          </w:p>
        </w:tc>
        <w:tc>
          <w:tcPr>
            <w:tcW w:w="329"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BC35406" w14:textId="77777777" w:rsidR="009D1F83" w:rsidRDefault="00452E53">
            <w:pPr>
              <w:spacing w:before="240"/>
              <w:jc w:val="right"/>
              <w:rPr>
                <w:sz w:val="24"/>
                <w:szCs w:val="24"/>
              </w:rPr>
            </w:pPr>
            <w:r>
              <w:rPr>
                <w:sz w:val="24"/>
                <w:szCs w:val="24"/>
              </w:rPr>
              <w:t>83.86</w:t>
            </w:r>
          </w:p>
        </w:tc>
      </w:tr>
    </w:tbl>
    <w:p w14:paraId="1180E3F5" w14:textId="77777777" w:rsidR="009D1F83" w:rsidRDefault="009D1F83">
      <w:pPr>
        <w:spacing w:line="360" w:lineRule="auto"/>
        <w:jc w:val="center"/>
        <w:rPr>
          <w:b/>
          <w:sz w:val="24"/>
          <w:szCs w:val="24"/>
        </w:rPr>
      </w:pPr>
    </w:p>
    <w:p w14:paraId="18B5DC9D" w14:textId="77777777" w:rsidR="009D1F83" w:rsidRDefault="00452E53">
      <w:pPr>
        <w:spacing w:line="360" w:lineRule="auto"/>
        <w:rPr>
          <w:b/>
          <w:sz w:val="24"/>
          <w:szCs w:val="24"/>
        </w:rPr>
      </w:pPr>
      <w:r>
        <w:rPr>
          <w:b/>
          <w:sz w:val="24"/>
          <w:szCs w:val="24"/>
        </w:rPr>
        <w:t>Gearing Ratio</w:t>
      </w:r>
    </w:p>
    <w:tbl>
      <w:tblPr>
        <w:tblStyle w:val="ab"/>
        <w:tblW w:w="5000" w:type="pct"/>
        <w:tblInd w:w="0" w:type="dxa"/>
        <w:tblBorders>
          <w:top w:val="nil"/>
          <w:left w:val="nil"/>
          <w:bottom w:val="nil"/>
          <w:right w:val="nil"/>
          <w:insideH w:val="nil"/>
          <w:insideV w:val="nil"/>
        </w:tblBorders>
        <w:tblLook w:val="0600" w:firstRow="0" w:lastRow="0" w:firstColumn="0" w:lastColumn="0" w:noHBand="1" w:noVBand="1"/>
      </w:tblPr>
      <w:tblGrid>
        <w:gridCol w:w="1491"/>
        <w:gridCol w:w="3684"/>
        <w:gridCol w:w="823"/>
        <w:gridCol w:w="823"/>
        <w:gridCol w:w="823"/>
        <w:gridCol w:w="823"/>
        <w:gridCol w:w="873"/>
      </w:tblGrid>
      <w:tr w:rsidR="00592CFC" w14:paraId="07DA01ED" w14:textId="77777777" w:rsidTr="006E7380">
        <w:trPr>
          <w:trHeight w:val="345"/>
        </w:trPr>
        <w:tc>
          <w:tcPr>
            <w:tcW w:w="847" w:type="pct"/>
            <w:tcBorders>
              <w:top w:val="single" w:sz="8" w:space="0" w:color="000000"/>
              <w:left w:val="single" w:sz="8" w:space="0" w:color="000000"/>
              <w:bottom w:val="nil"/>
              <w:right w:val="single" w:sz="8" w:space="0" w:color="000000"/>
            </w:tcBorders>
            <w:tcMar>
              <w:top w:w="0" w:type="dxa"/>
              <w:left w:w="100" w:type="dxa"/>
              <w:bottom w:w="0" w:type="dxa"/>
              <w:right w:w="100" w:type="dxa"/>
            </w:tcMar>
            <w:vAlign w:val="bottom"/>
          </w:tcPr>
          <w:p w14:paraId="13DD25C4" w14:textId="77777777" w:rsidR="009D1F83" w:rsidRDefault="00452E53">
            <w:pPr>
              <w:spacing w:before="240"/>
              <w:jc w:val="both"/>
              <w:rPr>
                <w:b/>
                <w:sz w:val="28"/>
                <w:szCs w:val="28"/>
              </w:rPr>
            </w:pPr>
            <w:r>
              <w:rPr>
                <w:b/>
                <w:sz w:val="28"/>
                <w:szCs w:val="28"/>
              </w:rPr>
              <w:t>Ratios</w:t>
            </w:r>
          </w:p>
        </w:tc>
        <w:tc>
          <w:tcPr>
            <w:tcW w:w="2021" w:type="pct"/>
            <w:tcBorders>
              <w:top w:val="single" w:sz="8" w:space="0" w:color="000000"/>
              <w:left w:val="nil"/>
              <w:bottom w:val="nil"/>
              <w:right w:val="single" w:sz="8" w:space="0" w:color="000000"/>
            </w:tcBorders>
            <w:tcMar>
              <w:top w:w="0" w:type="dxa"/>
              <w:left w:w="100" w:type="dxa"/>
              <w:bottom w:w="0" w:type="dxa"/>
              <w:right w:w="100" w:type="dxa"/>
            </w:tcMar>
            <w:vAlign w:val="bottom"/>
          </w:tcPr>
          <w:p w14:paraId="25FE828F" w14:textId="77777777" w:rsidR="009D1F83" w:rsidRDefault="00452E53">
            <w:pPr>
              <w:spacing w:before="240"/>
              <w:jc w:val="both"/>
              <w:rPr>
                <w:b/>
                <w:sz w:val="28"/>
                <w:szCs w:val="28"/>
              </w:rPr>
            </w:pPr>
            <w:r>
              <w:rPr>
                <w:b/>
                <w:sz w:val="28"/>
                <w:szCs w:val="28"/>
              </w:rPr>
              <w:t>Formula</w:t>
            </w:r>
          </w:p>
        </w:tc>
        <w:tc>
          <w:tcPr>
            <w:tcW w:w="423" w:type="pct"/>
            <w:tcBorders>
              <w:top w:val="single" w:sz="8" w:space="0" w:color="000000"/>
              <w:left w:val="nil"/>
              <w:bottom w:val="nil"/>
              <w:right w:val="single" w:sz="8" w:space="0" w:color="000000"/>
            </w:tcBorders>
            <w:tcMar>
              <w:top w:w="0" w:type="dxa"/>
              <w:left w:w="100" w:type="dxa"/>
              <w:bottom w:w="0" w:type="dxa"/>
              <w:right w:w="100" w:type="dxa"/>
            </w:tcMar>
            <w:vAlign w:val="bottom"/>
          </w:tcPr>
          <w:p w14:paraId="2FE35DD3" w14:textId="77777777" w:rsidR="009D1F83" w:rsidRDefault="00452E53">
            <w:pPr>
              <w:spacing w:before="240"/>
              <w:jc w:val="right"/>
              <w:rPr>
                <w:b/>
                <w:sz w:val="28"/>
                <w:szCs w:val="28"/>
              </w:rPr>
            </w:pPr>
            <w:r>
              <w:rPr>
                <w:b/>
                <w:sz w:val="28"/>
                <w:szCs w:val="28"/>
              </w:rPr>
              <w:t>2020</w:t>
            </w:r>
          </w:p>
        </w:tc>
        <w:tc>
          <w:tcPr>
            <w:tcW w:w="423" w:type="pct"/>
            <w:tcBorders>
              <w:top w:val="single" w:sz="8" w:space="0" w:color="000000"/>
              <w:left w:val="nil"/>
              <w:bottom w:val="nil"/>
              <w:right w:val="single" w:sz="8" w:space="0" w:color="000000"/>
            </w:tcBorders>
            <w:tcMar>
              <w:top w:w="0" w:type="dxa"/>
              <w:left w:w="100" w:type="dxa"/>
              <w:bottom w:w="0" w:type="dxa"/>
              <w:right w:w="100" w:type="dxa"/>
            </w:tcMar>
            <w:vAlign w:val="bottom"/>
          </w:tcPr>
          <w:p w14:paraId="40933222" w14:textId="77777777" w:rsidR="009D1F83" w:rsidRDefault="00452E53">
            <w:pPr>
              <w:spacing w:before="240"/>
              <w:jc w:val="right"/>
              <w:rPr>
                <w:b/>
                <w:sz w:val="28"/>
                <w:szCs w:val="28"/>
              </w:rPr>
            </w:pPr>
            <w:r>
              <w:rPr>
                <w:b/>
                <w:sz w:val="28"/>
                <w:szCs w:val="28"/>
              </w:rPr>
              <w:t>2021</w:t>
            </w:r>
          </w:p>
        </w:tc>
        <w:tc>
          <w:tcPr>
            <w:tcW w:w="423" w:type="pct"/>
            <w:tcBorders>
              <w:top w:val="single" w:sz="8" w:space="0" w:color="000000"/>
              <w:left w:val="nil"/>
              <w:bottom w:val="nil"/>
              <w:right w:val="single" w:sz="8" w:space="0" w:color="000000"/>
            </w:tcBorders>
            <w:tcMar>
              <w:top w:w="0" w:type="dxa"/>
              <w:left w:w="100" w:type="dxa"/>
              <w:bottom w:w="0" w:type="dxa"/>
              <w:right w:w="100" w:type="dxa"/>
            </w:tcMar>
            <w:vAlign w:val="bottom"/>
          </w:tcPr>
          <w:p w14:paraId="69F70AF4" w14:textId="77777777" w:rsidR="009D1F83" w:rsidRDefault="00452E53">
            <w:pPr>
              <w:spacing w:before="240"/>
              <w:jc w:val="right"/>
              <w:rPr>
                <w:b/>
                <w:sz w:val="28"/>
                <w:szCs w:val="28"/>
              </w:rPr>
            </w:pPr>
            <w:r>
              <w:rPr>
                <w:b/>
                <w:sz w:val="28"/>
                <w:szCs w:val="28"/>
              </w:rPr>
              <w:t>2022</w:t>
            </w:r>
          </w:p>
        </w:tc>
        <w:tc>
          <w:tcPr>
            <w:tcW w:w="423" w:type="pct"/>
            <w:tcBorders>
              <w:top w:val="single" w:sz="8" w:space="0" w:color="000000"/>
              <w:left w:val="nil"/>
              <w:bottom w:val="nil"/>
              <w:right w:val="single" w:sz="8" w:space="0" w:color="000000"/>
            </w:tcBorders>
            <w:tcMar>
              <w:top w:w="0" w:type="dxa"/>
              <w:left w:w="100" w:type="dxa"/>
              <w:bottom w:w="0" w:type="dxa"/>
              <w:right w:w="100" w:type="dxa"/>
            </w:tcMar>
            <w:vAlign w:val="bottom"/>
          </w:tcPr>
          <w:p w14:paraId="456C3338" w14:textId="77777777" w:rsidR="009D1F83" w:rsidRDefault="00452E53">
            <w:pPr>
              <w:spacing w:before="240"/>
              <w:jc w:val="right"/>
              <w:rPr>
                <w:b/>
                <w:sz w:val="28"/>
                <w:szCs w:val="28"/>
              </w:rPr>
            </w:pPr>
            <w:r>
              <w:rPr>
                <w:b/>
                <w:sz w:val="28"/>
                <w:szCs w:val="28"/>
              </w:rPr>
              <w:t>2023</w:t>
            </w:r>
          </w:p>
        </w:tc>
        <w:tc>
          <w:tcPr>
            <w:tcW w:w="439" w:type="pct"/>
            <w:tcBorders>
              <w:top w:val="single" w:sz="8" w:space="0" w:color="000000"/>
              <w:left w:val="nil"/>
              <w:bottom w:val="nil"/>
              <w:right w:val="single" w:sz="8" w:space="0" w:color="000000"/>
            </w:tcBorders>
            <w:tcMar>
              <w:top w:w="0" w:type="dxa"/>
              <w:left w:w="100" w:type="dxa"/>
              <w:bottom w:w="0" w:type="dxa"/>
              <w:right w:w="100" w:type="dxa"/>
            </w:tcMar>
            <w:vAlign w:val="bottom"/>
          </w:tcPr>
          <w:p w14:paraId="62F5B97E" w14:textId="77777777" w:rsidR="009D1F83" w:rsidRDefault="00452E53">
            <w:pPr>
              <w:spacing w:before="240"/>
              <w:jc w:val="right"/>
              <w:rPr>
                <w:b/>
                <w:sz w:val="28"/>
                <w:szCs w:val="28"/>
              </w:rPr>
            </w:pPr>
            <w:r>
              <w:rPr>
                <w:b/>
                <w:sz w:val="28"/>
                <w:szCs w:val="28"/>
              </w:rPr>
              <w:t>2024</w:t>
            </w:r>
          </w:p>
        </w:tc>
      </w:tr>
      <w:tr w:rsidR="00592CFC" w14:paraId="6D2BA1B3" w14:textId="77777777" w:rsidTr="006E7380">
        <w:trPr>
          <w:trHeight w:val="315"/>
        </w:trPr>
        <w:tc>
          <w:tcPr>
            <w:tcW w:w="847" w:type="pct"/>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vAlign w:val="bottom"/>
          </w:tcPr>
          <w:p w14:paraId="51888AD5" w14:textId="77777777" w:rsidR="009D1F83" w:rsidRDefault="00452E53">
            <w:pPr>
              <w:spacing w:before="240"/>
              <w:jc w:val="both"/>
              <w:rPr>
                <w:sz w:val="24"/>
                <w:szCs w:val="24"/>
              </w:rPr>
            </w:pPr>
            <w:r>
              <w:rPr>
                <w:sz w:val="24"/>
                <w:szCs w:val="24"/>
              </w:rPr>
              <w:t>Gearing Ratio</w:t>
            </w:r>
          </w:p>
        </w:tc>
        <w:tc>
          <w:tcPr>
            <w:tcW w:w="2021"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7E42EDE2" w14:textId="77777777" w:rsidR="009D1F83" w:rsidRDefault="00452E53">
            <w:pPr>
              <w:spacing w:before="240"/>
              <w:jc w:val="both"/>
              <w:rPr>
                <w:sz w:val="24"/>
                <w:szCs w:val="24"/>
              </w:rPr>
            </w:pPr>
            <w:r>
              <w:rPr>
                <w:sz w:val="24"/>
                <w:szCs w:val="24"/>
              </w:rPr>
              <w:t>Total Debt/Shareholders' Equity*100</w:t>
            </w:r>
          </w:p>
        </w:tc>
        <w:tc>
          <w:tcPr>
            <w:tcW w:w="423"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68ACF581" w14:textId="77777777" w:rsidR="009D1F83" w:rsidRDefault="00452E53">
            <w:pPr>
              <w:spacing w:before="240"/>
              <w:jc w:val="right"/>
            </w:pPr>
            <w:r>
              <w:t>62.88</w:t>
            </w:r>
          </w:p>
        </w:tc>
        <w:tc>
          <w:tcPr>
            <w:tcW w:w="423"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4E534030" w14:textId="77777777" w:rsidR="009D1F83" w:rsidRDefault="00452E53">
            <w:pPr>
              <w:spacing w:before="240"/>
              <w:jc w:val="right"/>
            </w:pPr>
            <w:r>
              <w:t>84.94</w:t>
            </w:r>
          </w:p>
        </w:tc>
        <w:tc>
          <w:tcPr>
            <w:tcW w:w="423"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6AD2419C" w14:textId="77777777" w:rsidR="009D1F83" w:rsidRDefault="00452E53">
            <w:pPr>
              <w:spacing w:before="240"/>
              <w:jc w:val="right"/>
            </w:pPr>
            <w:r>
              <w:t>87.84</w:t>
            </w:r>
          </w:p>
        </w:tc>
        <w:tc>
          <w:tcPr>
            <w:tcW w:w="423"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1F2BE526" w14:textId="77777777" w:rsidR="009D1F83" w:rsidRDefault="00452E53">
            <w:pPr>
              <w:spacing w:before="240"/>
              <w:jc w:val="right"/>
            </w:pPr>
            <w:r>
              <w:t>98.90</w:t>
            </w:r>
          </w:p>
        </w:tc>
        <w:tc>
          <w:tcPr>
            <w:tcW w:w="439"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7202B6CC" w14:textId="77777777" w:rsidR="009D1F83" w:rsidRDefault="00452E53">
            <w:pPr>
              <w:spacing w:before="240"/>
              <w:jc w:val="right"/>
            </w:pPr>
            <w:r>
              <w:t>111.20</w:t>
            </w:r>
          </w:p>
        </w:tc>
      </w:tr>
    </w:tbl>
    <w:p w14:paraId="3DE737F4" w14:textId="77777777" w:rsidR="009D1F83" w:rsidRDefault="009D1F83">
      <w:pPr>
        <w:spacing w:line="360" w:lineRule="auto"/>
        <w:jc w:val="both"/>
        <w:rPr>
          <w:b/>
          <w:sz w:val="28"/>
          <w:szCs w:val="28"/>
        </w:rPr>
      </w:pPr>
    </w:p>
    <w:p w14:paraId="6A5A6314" w14:textId="77777777" w:rsidR="009D1F83" w:rsidRDefault="00452E53">
      <w:pPr>
        <w:spacing w:line="360" w:lineRule="auto"/>
        <w:rPr>
          <w:b/>
          <w:sz w:val="24"/>
          <w:szCs w:val="24"/>
        </w:rPr>
      </w:pPr>
      <w:r>
        <w:rPr>
          <w:b/>
          <w:sz w:val="24"/>
          <w:szCs w:val="24"/>
        </w:rPr>
        <w:t>Investment Ratio</w:t>
      </w:r>
    </w:p>
    <w:tbl>
      <w:tblPr>
        <w:tblStyle w:val="ac"/>
        <w:tblW w:w="5000" w:type="pct"/>
        <w:tblInd w:w="0" w:type="dxa"/>
        <w:tblBorders>
          <w:top w:val="nil"/>
          <w:left w:val="nil"/>
          <w:bottom w:val="nil"/>
          <w:right w:val="nil"/>
          <w:insideH w:val="nil"/>
          <w:insideV w:val="nil"/>
        </w:tblBorders>
        <w:tblLook w:val="0600" w:firstRow="0" w:lastRow="0" w:firstColumn="0" w:lastColumn="0" w:noHBand="1" w:noVBand="1"/>
      </w:tblPr>
      <w:tblGrid>
        <w:gridCol w:w="1913"/>
        <w:gridCol w:w="3312"/>
        <w:gridCol w:w="823"/>
        <w:gridCol w:w="823"/>
        <w:gridCol w:w="823"/>
        <w:gridCol w:w="823"/>
        <w:gridCol w:w="823"/>
      </w:tblGrid>
      <w:tr w:rsidR="00592CFC" w14:paraId="14377909" w14:textId="77777777" w:rsidTr="006E7380">
        <w:trPr>
          <w:trHeight w:val="345"/>
        </w:trPr>
        <w:tc>
          <w:tcPr>
            <w:tcW w:w="1036" w:type="pct"/>
            <w:tcBorders>
              <w:top w:val="single" w:sz="8" w:space="0" w:color="000000"/>
              <w:left w:val="single" w:sz="8" w:space="0" w:color="000000"/>
              <w:bottom w:val="nil"/>
              <w:right w:val="single" w:sz="8" w:space="0" w:color="000000"/>
            </w:tcBorders>
            <w:tcMar>
              <w:top w:w="0" w:type="dxa"/>
              <w:left w:w="100" w:type="dxa"/>
              <w:bottom w:w="0" w:type="dxa"/>
              <w:right w:w="100" w:type="dxa"/>
            </w:tcMar>
            <w:vAlign w:val="bottom"/>
          </w:tcPr>
          <w:p w14:paraId="2897F57F" w14:textId="77777777" w:rsidR="009D1F83" w:rsidRDefault="00452E53">
            <w:pPr>
              <w:spacing w:before="240"/>
              <w:jc w:val="both"/>
              <w:rPr>
                <w:b/>
                <w:sz w:val="28"/>
                <w:szCs w:val="28"/>
              </w:rPr>
            </w:pPr>
            <w:r>
              <w:rPr>
                <w:b/>
                <w:sz w:val="28"/>
                <w:szCs w:val="28"/>
              </w:rPr>
              <w:t>Ratios</w:t>
            </w:r>
          </w:p>
        </w:tc>
        <w:tc>
          <w:tcPr>
            <w:tcW w:w="1785" w:type="pct"/>
            <w:tcBorders>
              <w:top w:val="single" w:sz="8" w:space="0" w:color="000000"/>
              <w:left w:val="nil"/>
              <w:bottom w:val="nil"/>
              <w:right w:val="single" w:sz="8" w:space="0" w:color="000000"/>
            </w:tcBorders>
            <w:tcMar>
              <w:top w:w="0" w:type="dxa"/>
              <w:left w:w="100" w:type="dxa"/>
              <w:bottom w:w="0" w:type="dxa"/>
              <w:right w:w="100" w:type="dxa"/>
            </w:tcMar>
            <w:vAlign w:val="bottom"/>
          </w:tcPr>
          <w:p w14:paraId="68B1CCF2" w14:textId="77777777" w:rsidR="009D1F83" w:rsidRDefault="00452E53">
            <w:pPr>
              <w:spacing w:before="240"/>
              <w:jc w:val="both"/>
              <w:rPr>
                <w:b/>
                <w:sz w:val="28"/>
                <w:szCs w:val="28"/>
              </w:rPr>
            </w:pPr>
            <w:r>
              <w:rPr>
                <w:b/>
                <w:sz w:val="28"/>
                <w:szCs w:val="28"/>
              </w:rPr>
              <w:t>Formula</w:t>
            </w:r>
          </w:p>
        </w:tc>
        <w:tc>
          <w:tcPr>
            <w:tcW w:w="436" w:type="pct"/>
            <w:tcBorders>
              <w:top w:val="single" w:sz="8" w:space="0" w:color="000000"/>
              <w:left w:val="nil"/>
              <w:bottom w:val="nil"/>
              <w:right w:val="single" w:sz="8" w:space="0" w:color="000000"/>
            </w:tcBorders>
            <w:tcMar>
              <w:top w:w="0" w:type="dxa"/>
              <w:left w:w="100" w:type="dxa"/>
              <w:bottom w:w="0" w:type="dxa"/>
              <w:right w:w="100" w:type="dxa"/>
            </w:tcMar>
            <w:vAlign w:val="bottom"/>
          </w:tcPr>
          <w:p w14:paraId="08104885" w14:textId="77777777" w:rsidR="009D1F83" w:rsidRDefault="00452E53">
            <w:pPr>
              <w:spacing w:before="240"/>
              <w:jc w:val="right"/>
              <w:rPr>
                <w:b/>
                <w:sz w:val="28"/>
                <w:szCs w:val="28"/>
              </w:rPr>
            </w:pPr>
            <w:r>
              <w:rPr>
                <w:b/>
                <w:sz w:val="28"/>
                <w:szCs w:val="28"/>
              </w:rPr>
              <w:t>2020</w:t>
            </w:r>
          </w:p>
        </w:tc>
        <w:tc>
          <w:tcPr>
            <w:tcW w:w="436" w:type="pct"/>
            <w:tcBorders>
              <w:top w:val="single" w:sz="8" w:space="0" w:color="000000"/>
              <w:left w:val="nil"/>
              <w:bottom w:val="nil"/>
              <w:right w:val="single" w:sz="8" w:space="0" w:color="000000"/>
            </w:tcBorders>
            <w:tcMar>
              <w:top w:w="0" w:type="dxa"/>
              <w:left w:w="100" w:type="dxa"/>
              <w:bottom w:w="0" w:type="dxa"/>
              <w:right w:w="100" w:type="dxa"/>
            </w:tcMar>
            <w:vAlign w:val="bottom"/>
          </w:tcPr>
          <w:p w14:paraId="73BAB94E" w14:textId="77777777" w:rsidR="009D1F83" w:rsidRDefault="00452E53">
            <w:pPr>
              <w:spacing w:before="240"/>
              <w:jc w:val="right"/>
              <w:rPr>
                <w:b/>
                <w:sz w:val="28"/>
                <w:szCs w:val="28"/>
              </w:rPr>
            </w:pPr>
            <w:r>
              <w:rPr>
                <w:b/>
                <w:sz w:val="28"/>
                <w:szCs w:val="28"/>
              </w:rPr>
              <w:t>2021</w:t>
            </w:r>
          </w:p>
        </w:tc>
        <w:tc>
          <w:tcPr>
            <w:tcW w:w="436" w:type="pct"/>
            <w:tcBorders>
              <w:top w:val="single" w:sz="8" w:space="0" w:color="000000"/>
              <w:left w:val="nil"/>
              <w:bottom w:val="nil"/>
              <w:right w:val="single" w:sz="8" w:space="0" w:color="000000"/>
            </w:tcBorders>
            <w:tcMar>
              <w:top w:w="0" w:type="dxa"/>
              <w:left w:w="100" w:type="dxa"/>
              <w:bottom w:w="0" w:type="dxa"/>
              <w:right w:w="100" w:type="dxa"/>
            </w:tcMar>
            <w:vAlign w:val="bottom"/>
          </w:tcPr>
          <w:p w14:paraId="5D63DEDE" w14:textId="77777777" w:rsidR="009D1F83" w:rsidRDefault="00452E53">
            <w:pPr>
              <w:spacing w:before="240"/>
              <w:jc w:val="right"/>
              <w:rPr>
                <w:b/>
                <w:sz w:val="28"/>
                <w:szCs w:val="28"/>
              </w:rPr>
            </w:pPr>
            <w:r>
              <w:rPr>
                <w:b/>
                <w:sz w:val="28"/>
                <w:szCs w:val="28"/>
              </w:rPr>
              <w:t>2022</w:t>
            </w:r>
          </w:p>
        </w:tc>
        <w:tc>
          <w:tcPr>
            <w:tcW w:w="436" w:type="pct"/>
            <w:tcBorders>
              <w:top w:val="single" w:sz="8" w:space="0" w:color="000000"/>
              <w:left w:val="nil"/>
              <w:bottom w:val="nil"/>
              <w:right w:val="single" w:sz="8" w:space="0" w:color="000000"/>
            </w:tcBorders>
            <w:tcMar>
              <w:top w:w="0" w:type="dxa"/>
              <w:left w:w="100" w:type="dxa"/>
              <w:bottom w:w="0" w:type="dxa"/>
              <w:right w:w="100" w:type="dxa"/>
            </w:tcMar>
            <w:vAlign w:val="bottom"/>
          </w:tcPr>
          <w:p w14:paraId="5B69DC77" w14:textId="77777777" w:rsidR="009D1F83" w:rsidRDefault="00452E53">
            <w:pPr>
              <w:spacing w:before="240"/>
              <w:jc w:val="right"/>
              <w:rPr>
                <w:b/>
                <w:sz w:val="28"/>
                <w:szCs w:val="28"/>
              </w:rPr>
            </w:pPr>
            <w:r>
              <w:rPr>
                <w:b/>
                <w:sz w:val="28"/>
                <w:szCs w:val="28"/>
              </w:rPr>
              <w:t>2023</w:t>
            </w:r>
          </w:p>
        </w:tc>
        <w:tc>
          <w:tcPr>
            <w:tcW w:w="436" w:type="pct"/>
            <w:tcBorders>
              <w:top w:val="single" w:sz="8" w:space="0" w:color="000000"/>
              <w:left w:val="nil"/>
              <w:bottom w:val="nil"/>
              <w:right w:val="single" w:sz="8" w:space="0" w:color="000000"/>
            </w:tcBorders>
            <w:tcMar>
              <w:top w:w="0" w:type="dxa"/>
              <w:left w:w="100" w:type="dxa"/>
              <w:bottom w:w="0" w:type="dxa"/>
              <w:right w:w="100" w:type="dxa"/>
            </w:tcMar>
            <w:vAlign w:val="bottom"/>
          </w:tcPr>
          <w:p w14:paraId="073B97B4" w14:textId="77777777" w:rsidR="009D1F83" w:rsidRDefault="00452E53">
            <w:pPr>
              <w:spacing w:before="240"/>
              <w:jc w:val="right"/>
              <w:rPr>
                <w:b/>
                <w:sz w:val="28"/>
                <w:szCs w:val="28"/>
              </w:rPr>
            </w:pPr>
            <w:r>
              <w:rPr>
                <w:b/>
                <w:sz w:val="28"/>
                <w:szCs w:val="28"/>
              </w:rPr>
              <w:t>2024</w:t>
            </w:r>
          </w:p>
        </w:tc>
      </w:tr>
      <w:tr w:rsidR="00592CFC" w14:paraId="493B1B46" w14:textId="77777777" w:rsidTr="006E7380">
        <w:trPr>
          <w:trHeight w:val="315"/>
        </w:trPr>
        <w:tc>
          <w:tcPr>
            <w:tcW w:w="1036" w:type="pct"/>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vAlign w:val="bottom"/>
          </w:tcPr>
          <w:p w14:paraId="2F2AFAEE" w14:textId="77777777" w:rsidR="009D1F83" w:rsidRDefault="00452E53">
            <w:pPr>
              <w:spacing w:before="240"/>
              <w:jc w:val="both"/>
              <w:rPr>
                <w:sz w:val="24"/>
                <w:szCs w:val="24"/>
              </w:rPr>
            </w:pPr>
            <w:r>
              <w:rPr>
                <w:sz w:val="24"/>
                <w:szCs w:val="24"/>
              </w:rPr>
              <w:t>Return on Equity</w:t>
            </w:r>
          </w:p>
        </w:tc>
        <w:tc>
          <w:tcPr>
            <w:tcW w:w="1785"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1EE939D4" w14:textId="77777777" w:rsidR="009D1F83" w:rsidRDefault="00452E53">
            <w:pPr>
              <w:spacing w:before="240"/>
              <w:jc w:val="both"/>
              <w:rPr>
                <w:sz w:val="24"/>
                <w:szCs w:val="24"/>
              </w:rPr>
            </w:pPr>
            <w:r>
              <w:rPr>
                <w:sz w:val="24"/>
                <w:szCs w:val="24"/>
              </w:rPr>
              <w:t>Net profit/Shareholder's Equity</w:t>
            </w:r>
          </w:p>
        </w:tc>
        <w:tc>
          <w:tcPr>
            <w:tcW w:w="436"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745C4AC9" w14:textId="77777777" w:rsidR="009D1F83" w:rsidRDefault="00452E53">
            <w:pPr>
              <w:spacing w:before="240"/>
              <w:jc w:val="right"/>
              <w:rPr>
                <w:sz w:val="24"/>
                <w:szCs w:val="24"/>
              </w:rPr>
            </w:pPr>
            <w:r>
              <w:rPr>
                <w:sz w:val="24"/>
                <w:szCs w:val="24"/>
              </w:rPr>
              <w:t>0.12</w:t>
            </w:r>
          </w:p>
        </w:tc>
        <w:tc>
          <w:tcPr>
            <w:tcW w:w="436"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13ADF9E2" w14:textId="77777777" w:rsidR="009D1F83" w:rsidRDefault="00452E53">
            <w:pPr>
              <w:spacing w:before="240"/>
              <w:jc w:val="right"/>
              <w:rPr>
                <w:sz w:val="24"/>
                <w:szCs w:val="24"/>
              </w:rPr>
            </w:pPr>
            <w:r>
              <w:rPr>
                <w:sz w:val="24"/>
                <w:szCs w:val="24"/>
              </w:rPr>
              <w:t>0.02</w:t>
            </w:r>
          </w:p>
        </w:tc>
        <w:tc>
          <w:tcPr>
            <w:tcW w:w="436"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14580621" w14:textId="77777777" w:rsidR="009D1F83" w:rsidRDefault="00452E53">
            <w:pPr>
              <w:spacing w:before="240"/>
              <w:jc w:val="right"/>
              <w:rPr>
                <w:sz w:val="24"/>
                <w:szCs w:val="24"/>
              </w:rPr>
            </w:pPr>
            <w:r>
              <w:rPr>
                <w:sz w:val="24"/>
                <w:szCs w:val="24"/>
              </w:rPr>
              <w:t>0.00</w:t>
            </w:r>
          </w:p>
        </w:tc>
        <w:tc>
          <w:tcPr>
            <w:tcW w:w="436"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0FEFEE37" w14:textId="77777777" w:rsidR="009D1F83" w:rsidRDefault="00452E53">
            <w:pPr>
              <w:spacing w:before="240"/>
              <w:jc w:val="right"/>
              <w:rPr>
                <w:sz w:val="24"/>
                <w:szCs w:val="24"/>
              </w:rPr>
            </w:pPr>
            <w:r>
              <w:rPr>
                <w:sz w:val="24"/>
                <w:szCs w:val="24"/>
              </w:rPr>
              <w:t>-0.55</w:t>
            </w:r>
          </w:p>
        </w:tc>
        <w:tc>
          <w:tcPr>
            <w:tcW w:w="436"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02927FBD" w14:textId="77777777" w:rsidR="009D1F83" w:rsidRDefault="00452E53">
            <w:pPr>
              <w:spacing w:before="240"/>
              <w:jc w:val="right"/>
              <w:rPr>
                <w:sz w:val="24"/>
                <w:szCs w:val="24"/>
              </w:rPr>
            </w:pPr>
            <w:r>
              <w:rPr>
                <w:sz w:val="24"/>
                <w:szCs w:val="24"/>
              </w:rPr>
              <w:t>-0.16</w:t>
            </w:r>
          </w:p>
        </w:tc>
      </w:tr>
      <w:tr w:rsidR="00592CFC" w14:paraId="3846CD2A" w14:textId="77777777" w:rsidTr="006E7380">
        <w:trPr>
          <w:trHeight w:val="315"/>
        </w:trPr>
        <w:tc>
          <w:tcPr>
            <w:tcW w:w="1036"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7B922D50" w14:textId="77777777" w:rsidR="009D1F83" w:rsidRDefault="00452E53">
            <w:pPr>
              <w:spacing w:before="240"/>
              <w:jc w:val="both"/>
              <w:rPr>
                <w:sz w:val="24"/>
                <w:szCs w:val="24"/>
              </w:rPr>
            </w:pPr>
            <w:r>
              <w:rPr>
                <w:sz w:val="24"/>
                <w:szCs w:val="24"/>
              </w:rPr>
              <w:t>Return on Assets</w:t>
            </w:r>
          </w:p>
        </w:tc>
        <w:tc>
          <w:tcPr>
            <w:tcW w:w="1785"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31E14196" w14:textId="77777777" w:rsidR="009D1F83" w:rsidRDefault="00452E53">
            <w:pPr>
              <w:spacing w:before="240"/>
              <w:jc w:val="both"/>
              <w:rPr>
                <w:sz w:val="24"/>
                <w:szCs w:val="24"/>
              </w:rPr>
            </w:pPr>
            <w:r>
              <w:rPr>
                <w:sz w:val="24"/>
                <w:szCs w:val="24"/>
              </w:rPr>
              <w:t>Net profit/Average Total Assets</w:t>
            </w:r>
          </w:p>
        </w:tc>
        <w:tc>
          <w:tcPr>
            <w:tcW w:w="43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299DE425" w14:textId="77777777" w:rsidR="009D1F83" w:rsidRDefault="00452E53">
            <w:pPr>
              <w:spacing w:before="240"/>
              <w:jc w:val="right"/>
              <w:rPr>
                <w:sz w:val="24"/>
                <w:szCs w:val="24"/>
              </w:rPr>
            </w:pPr>
            <w:r>
              <w:rPr>
                <w:sz w:val="24"/>
                <w:szCs w:val="24"/>
              </w:rPr>
              <w:t>0.08</w:t>
            </w:r>
          </w:p>
        </w:tc>
        <w:tc>
          <w:tcPr>
            <w:tcW w:w="43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29463250" w14:textId="77777777" w:rsidR="009D1F83" w:rsidRDefault="00452E53">
            <w:pPr>
              <w:spacing w:before="240"/>
              <w:jc w:val="right"/>
              <w:rPr>
                <w:sz w:val="24"/>
                <w:szCs w:val="24"/>
              </w:rPr>
            </w:pPr>
            <w:r>
              <w:rPr>
                <w:sz w:val="24"/>
                <w:szCs w:val="24"/>
              </w:rPr>
              <w:t>0.01</w:t>
            </w:r>
          </w:p>
        </w:tc>
        <w:tc>
          <w:tcPr>
            <w:tcW w:w="43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504FCDC" w14:textId="77777777" w:rsidR="009D1F83" w:rsidRDefault="00452E53">
            <w:pPr>
              <w:spacing w:before="240"/>
              <w:jc w:val="right"/>
              <w:rPr>
                <w:sz w:val="24"/>
                <w:szCs w:val="24"/>
              </w:rPr>
            </w:pPr>
            <w:r>
              <w:rPr>
                <w:sz w:val="24"/>
                <w:szCs w:val="24"/>
              </w:rPr>
              <w:t>0.00</w:t>
            </w:r>
          </w:p>
        </w:tc>
        <w:tc>
          <w:tcPr>
            <w:tcW w:w="43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2B653693" w14:textId="77777777" w:rsidR="009D1F83" w:rsidRDefault="00452E53">
            <w:pPr>
              <w:spacing w:before="240"/>
              <w:jc w:val="right"/>
              <w:rPr>
                <w:sz w:val="24"/>
                <w:szCs w:val="24"/>
              </w:rPr>
            </w:pPr>
            <w:r>
              <w:rPr>
                <w:sz w:val="24"/>
                <w:szCs w:val="24"/>
              </w:rPr>
              <w:t>-0.23</w:t>
            </w:r>
          </w:p>
        </w:tc>
        <w:tc>
          <w:tcPr>
            <w:tcW w:w="436"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64EB7726" w14:textId="77777777" w:rsidR="009D1F83" w:rsidRDefault="00452E53">
            <w:pPr>
              <w:spacing w:before="240"/>
              <w:jc w:val="right"/>
              <w:rPr>
                <w:sz w:val="24"/>
                <w:szCs w:val="24"/>
              </w:rPr>
            </w:pPr>
            <w:r>
              <w:rPr>
                <w:sz w:val="24"/>
                <w:szCs w:val="24"/>
              </w:rPr>
              <w:t>-0.07</w:t>
            </w:r>
          </w:p>
        </w:tc>
      </w:tr>
    </w:tbl>
    <w:p w14:paraId="0F398E5D" w14:textId="77777777" w:rsidR="009D1F83" w:rsidRDefault="009D1F83">
      <w:pPr>
        <w:spacing w:line="360" w:lineRule="auto"/>
        <w:jc w:val="both"/>
        <w:rPr>
          <w:b/>
          <w:sz w:val="32"/>
          <w:szCs w:val="32"/>
        </w:rPr>
      </w:pPr>
    </w:p>
    <w:p w14:paraId="2E1751EA" w14:textId="77777777" w:rsidR="009D1F83" w:rsidRDefault="00452E53">
      <w:pPr>
        <w:spacing w:line="360" w:lineRule="auto"/>
        <w:jc w:val="both"/>
        <w:rPr>
          <w:b/>
          <w:sz w:val="24"/>
          <w:szCs w:val="24"/>
        </w:rPr>
      </w:pPr>
      <w:r>
        <w:rPr>
          <w:b/>
          <w:sz w:val="24"/>
          <w:szCs w:val="24"/>
        </w:rPr>
        <w:t>Cash Flow Ratios</w:t>
      </w:r>
    </w:p>
    <w:tbl>
      <w:tblPr>
        <w:tblStyle w:val="ad"/>
        <w:tblW w:w="5000" w:type="pct"/>
        <w:tblInd w:w="0" w:type="dxa"/>
        <w:tblBorders>
          <w:top w:val="nil"/>
          <w:left w:val="nil"/>
          <w:bottom w:val="nil"/>
          <w:right w:val="nil"/>
          <w:insideH w:val="nil"/>
          <w:insideV w:val="nil"/>
        </w:tblBorders>
        <w:tblLook w:val="0600" w:firstRow="0" w:lastRow="0" w:firstColumn="0" w:lastColumn="0" w:noHBand="1" w:noVBand="1"/>
      </w:tblPr>
      <w:tblGrid>
        <w:gridCol w:w="2267"/>
        <w:gridCol w:w="2958"/>
        <w:gridCol w:w="823"/>
        <w:gridCol w:w="823"/>
        <w:gridCol w:w="823"/>
        <w:gridCol w:w="823"/>
        <w:gridCol w:w="823"/>
      </w:tblGrid>
      <w:tr w:rsidR="00592CFC" w14:paraId="6191CA9E" w14:textId="77777777" w:rsidTr="006E7380">
        <w:trPr>
          <w:trHeight w:val="345"/>
        </w:trPr>
        <w:tc>
          <w:tcPr>
            <w:tcW w:w="1423" w:type="pct"/>
            <w:tcBorders>
              <w:top w:val="single" w:sz="8" w:space="0" w:color="000000"/>
              <w:left w:val="single" w:sz="8" w:space="0" w:color="000000"/>
              <w:bottom w:val="nil"/>
              <w:right w:val="single" w:sz="8" w:space="0" w:color="000000"/>
            </w:tcBorders>
            <w:tcMar>
              <w:top w:w="0" w:type="dxa"/>
              <w:left w:w="100" w:type="dxa"/>
              <w:bottom w:w="0" w:type="dxa"/>
              <w:right w:w="100" w:type="dxa"/>
            </w:tcMar>
            <w:vAlign w:val="bottom"/>
          </w:tcPr>
          <w:p w14:paraId="4FAE4676" w14:textId="77777777" w:rsidR="009D1F83" w:rsidRDefault="00452E53">
            <w:pPr>
              <w:spacing w:before="240"/>
              <w:jc w:val="both"/>
              <w:rPr>
                <w:b/>
                <w:sz w:val="28"/>
                <w:szCs w:val="28"/>
              </w:rPr>
            </w:pPr>
            <w:r>
              <w:rPr>
                <w:b/>
                <w:sz w:val="28"/>
                <w:szCs w:val="28"/>
              </w:rPr>
              <w:t>Ratios</w:t>
            </w:r>
          </w:p>
        </w:tc>
        <w:tc>
          <w:tcPr>
            <w:tcW w:w="1793" w:type="pct"/>
            <w:tcBorders>
              <w:top w:val="single" w:sz="8" w:space="0" w:color="000000"/>
              <w:left w:val="nil"/>
              <w:bottom w:val="nil"/>
              <w:right w:val="single" w:sz="8" w:space="0" w:color="000000"/>
            </w:tcBorders>
            <w:tcMar>
              <w:top w:w="0" w:type="dxa"/>
              <w:left w:w="100" w:type="dxa"/>
              <w:bottom w:w="0" w:type="dxa"/>
              <w:right w:w="100" w:type="dxa"/>
            </w:tcMar>
            <w:vAlign w:val="bottom"/>
          </w:tcPr>
          <w:p w14:paraId="6BD20F81" w14:textId="77777777" w:rsidR="009D1F83" w:rsidRDefault="00452E53">
            <w:pPr>
              <w:spacing w:before="240"/>
              <w:jc w:val="both"/>
              <w:rPr>
                <w:b/>
                <w:sz w:val="28"/>
                <w:szCs w:val="28"/>
              </w:rPr>
            </w:pPr>
            <w:r>
              <w:rPr>
                <w:b/>
                <w:sz w:val="28"/>
                <w:szCs w:val="28"/>
              </w:rPr>
              <w:t>Formula</w:t>
            </w:r>
          </w:p>
        </w:tc>
        <w:tc>
          <w:tcPr>
            <w:tcW w:w="357" w:type="pct"/>
            <w:tcBorders>
              <w:top w:val="single" w:sz="8" w:space="0" w:color="000000"/>
              <w:left w:val="nil"/>
              <w:bottom w:val="nil"/>
              <w:right w:val="single" w:sz="8" w:space="0" w:color="000000"/>
            </w:tcBorders>
            <w:tcMar>
              <w:top w:w="0" w:type="dxa"/>
              <w:left w:w="100" w:type="dxa"/>
              <w:bottom w:w="0" w:type="dxa"/>
              <w:right w:w="100" w:type="dxa"/>
            </w:tcMar>
            <w:vAlign w:val="bottom"/>
          </w:tcPr>
          <w:p w14:paraId="74A9C49E" w14:textId="77777777" w:rsidR="009D1F83" w:rsidRDefault="00452E53">
            <w:pPr>
              <w:spacing w:before="240"/>
              <w:jc w:val="right"/>
              <w:rPr>
                <w:b/>
                <w:sz w:val="28"/>
                <w:szCs w:val="28"/>
              </w:rPr>
            </w:pPr>
            <w:r>
              <w:rPr>
                <w:b/>
                <w:sz w:val="28"/>
                <w:szCs w:val="28"/>
              </w:rPr>
              <w:t>2020</w:t>
            </w:r>
          </w:p>
        </w:tc>
        <w:tc>
          <w:tcPr>
            <w:tcW w:w="357" w:type="pct"/>
            <w:tcBorders>
              <w:top w:val="single" w:sz="8" w:space="0" w:color="000000"/>
              <w:left w:val="nil"/>
              <w:bottom w:val="nil"/>
              <w:right w:val="single" w:sz="8" w:space="0" w:color="000000"/>
            </w:tcBorders>
            <w:tcMar>
              <w:top w:w="0" w:type="dxa"/>
              <w:left w:w="100" w:type="dxa"/>
              <w:bottom w:w="0" w:type="dxa"/>
              <w:right w:w="100" w:type="dxa"/>
            </w:tcMar>
            <w:vAlign w:val="bottom"/>
          </w:tcPr>
          <w:p w14:paraId="2FE8CBDF" w14:textId="77777777" w:rsidR="009D1F83" w:rsidRDefault="00452E53">
            <w:pPr>
              <w:spacing w:before="240"/>
              <w:jc w:val="right"/>
              <w:rPr>
                <w:b/>
                <w:sz w:val="28"/>
                <w:szCs w:val="28"/>
              </w:rPr>
            </w:pPr>
            <w:r>
              <w:rPr>
                <w:b/>
                <w:sz w:val="28"/>
                <w:szCs w:val="28"/>
              </w:rPr>
              <w:t>2021</w:t>
            </w:r>
          </w:p>
        </w:tc>
        <w:tc>
          <w:tcPr>
            <w:tcW w:w="357" w:type="pct"/>
            <w:tcBorders>
              <w:top w:val="single" w:sz="8" w:space="0" w:color="000000"/>
              <w:left w:val="nil"/>
              <w:bottom w:val="nil"/>
              <w:right w:val="single" w:sz="8" w:space="0" w:color="000000"/>
            </w:tcBorders>
            <w:tcMar>
              <w:top w:w="0" w:type="dxa"/>
              <w:left w:w="100" w:type="dxa"/>
              <w:bottom w:w="0" w:type="dxa"/>
              <w:right w:w="100" w:type="dxa"/>
            </w:tcMar>
            <w:vAlign w:val="bottom"/>
          </w:tcPr>
          <w:p w14:paraId="10E20833" w14:textId="77777777" w:rsidR="009D1F83" w:rsidRDefault="00452E53">
            <w:pPr>
              <w:spacing w:before="240"/>
              <w:jc w:val="right"/>
              <w:rPr>
                <w:b/>
                <w:sz w:val="28"/>
                <w:szCs w:val="28"/>
              </w:rPr>
            </w:pPr>
            <w:r>
              <w:rPr>
                <w:b/>
                <w:sz w:val="28"/>
                <w:szCs w:val="28"/>
              </w:rPr>
              <w:t>2022</w:t>
            </w:r>
          </w:p>
        </w:tc>
        <w:tc>
          <w:tcPr>
            <w:tcW w:w="357" w:type="pct"/>
            <w:tcBorders>
              <w:top w:val="single" w:sz="8" w:space="0" w:color="000000"/>
              <w:left w:val="nil"/>
              <w:bottom w:val="nil"/>
              <w:right w:val="single" w:sz="8" w:space="0" w:color="000000"/>
            </w:tcBorders>
            <w:tcMar>
              <w:top w:w="0" w:type="dxa"/>
              <w:left w:w="100" w:type="dxa"/>
              <w:bottom w:w="0" w:type="dxa"/>
              <w:right w:w="100" w:type="dxa"/>
            </w:tcMar>
            <w:vAlign w:val="bottom"/>
          </w:tcPr>
          <w:p w14:paraId="4A614C5E" w14:textId="77777777" w:rsidR="009D1F83" w:rsidRDefault="00452E53">
            <w:pPr>
              <w:spacing w:before="240"/>
              <w:jc w:val="right"/>
              <w:rPr>
                <w:b/>
                <w:sz w:val="28"/>
                <w:szCs w:val="28"/>
              </w:rPr>
            </w:pPr>
            <w:r>
              <w:rPr>
                <w:b/>
                <w:sz w:val="28"/>
                <w:szCs w:val="28"/>
              </w:rPr>
              <w:t>2023</w:t>
            </w:r>
          </w:p>
        </w:tc>
        <w:tc>
          <w:tcPr>
            <w:tcW w:w="357" w:type="pct"/>
            <w:tcBorders>
              <w:top w:val="single" w:sz="8" w:space="0" w:color="000000"/>
              <w:left w:val="nil"/>
              <w:bottom w:val="nil"/>
              <w:right w:val="single" w:sz="8" w:space="0" w:color="000000"/>
            </w:tcBorders>
            <w:tcMar>
              <w:top w:w="0" w:type="dxa"/>
              <w:left w:w="100" w:type="dxa"/>
              <w:bottom w:w="0" w:type="dxa"/>
              <w:right w:w="100" w:type="dxa"/>
            </w:tcMar>
            <w:vAlign w:val="bottom"/>
          </w:tcPr>
          <w:p w14:paraId="11BB82B3" w14:textId="77777777" w:rsidR="009D1F83" w:rsidRDefault="00452E53">
            <w:pPr>
              <w:spacing w:before="240"/>
              <w:jc w:val="right"/>
              <w:rPr>
                <w:b/>
                <w:sz w:val="28"/>
                <w:szCs w:val="28"/>
              </w:rPr>
            </w:pPr>
            <w:r>
              <w:rPr>
                <w:b/>
                <w:sz w:val="28"/>
                <w:szCs w:val="28"/>
              </w:rPr>
              <w:t>2024</w:t>
            </w:r>
          </w:p>
        </w:tc>
      </w:tr>
      <w:tr w:rsidR="00592CFC" w14:paraId="29F7E7BA" w14:textId="77777777" w:rsidTr="006E7380">
        <w:trPr>
          <w:trHeight w:val="315"/>
        </w:trPr>
        <w:tc>
          <w:tcPr>
            <w:tcW w:w="1423" w:type="pct"/>
            <w:tcBorders>
              <w:top w:val="single" w:sz="8" w:space="0" w:color="000000"/>
              <w:left w:val="single" w:sz="8" w:space="0" w:color="000000"/>
              <w:bottom w:val="single" w:sz="8" w:space="0" w:color="000000"/>
              <w:right w:val="single" w:sz="8" w:space="0" w:color="000000"/>
            </w:tcBorders>
            <w:tcMar>
              <w:top w:w="0" w:type="dxa"/>
              <w:left w:w="100" w:type="dxa"/>
              <w:bottom w:w="0" w:type="dxa"/>
              <w:right w:w="100" w:type="dxa"/>
            </w:tcMar>
            <w:vAlign w:val="bottom"/>
          </w:tcPr>
          <w:p w14:paraId="3116F514" w14:textId="77777777" w:rsidR="009D1F83" w:rsidRDefault="00452E53">
            <w:pPr>
              <w:spacing w:before="240"/>
              <w:jc w:val="both"/>
              <w:rPr>
                <w:sz w:val="24"/>
                <w:szCs w:val="24"/>
              </w:rPr>
            </w:pPr>
            <w:r>
              <w:rPr>
                <w:sz w:val="24"/>
                <w:szCs w:val="24"/>
              </w:rPr>
              <w:t>Cash Flow Coverage Ratio</w:t>
            </w:r>
          </w:p>
        </w:tc>
        <w:tc>
          <w:tcPr>
            <w:tcW w:w="1793"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58C4C666" w14:textId="77777777" w:rsidR="009D1F83" w:rsidRDefault="00452E53">
            <w:pPr>
              <w:spacing w:before="240"/>
              <w:jc w:val="both"/>
              <w:rPr>
                <w:sz w:val="24"/>
                <w:szCs w:val="24"/>
              </w:rPr>
            </w:pPr>
            <w:r>
              <w:rPr>
                <w:sz w:val="24"/>
                <w:szCs w:val="24"/>
              </w:rPr>
              <w:t>Cash flow from operations/Total Debt</w:t>
            </w:r>
          </w:p>
        </w:tc>
        <w:tc>
          <w:tcPr>
            <w:tcW w:w="357"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0FFC117F" w14:textId="77777777" w:rsidR="009D1F83" w:rsidRDefault="00452E53">
            <w:pPr>
              <w:spacing w:before="240"/>
              <w:jc w:val="right"/>
              <w:rPr>
                <w:sz w:val="24"/>
                <w:szCs w:val="24"/>
              </w:rPr>
            </w:pPr>
            <w:r>
              <w:rPr>
                <w:sz w:val="24"/>
                <w:szCs w:val="24"/>
              </w:rPr>
              <w:t>0.37</w:t>
            </w:r>
          </w:p>
        </w:tc>
        <w:tc>
          <w:tcPr>
            <w:tcW w:w="357"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5437F1D4" w14:textId="77777777" w:rsidR="009D1F83" w:rsidRDefault="00452E53">
            <w:pPr>
              <w:spacing w:before="240"/>
              <w:jc w:val="right"/>
              <w:rPr>
                <w:sz w:val="24"/>
                <w:szCs w:val="24"/>
              </w:rPr>
            </w:pPr>
            <w:r>
              <w:rPr>
                <w:sz w:val="24"/>
                <w:szCs w:val="24"/>
              </w:rPr>
              <w:t>0.17</w:t>
            </w:r>
          </w:p>
        </w:tc>
        <w:tc>
          <w:tcPr>
            <w:tcW w:w="357"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014530CE" w14:textId="77777777" w:rsidR="009D1F83" w:rsidRDefault="00452E53">
            <w:pPr>
              <w:spacing w:before="240"/>
              <w:jc w:val="right"/>
              <w:rPr>
                <w:sz w:val="24"/>
                <w:szCs w:val="24"/>
              </w:rPr>
            </w:pPr>
            <w:r>
              <w:rPr>
                <w:sz w:val="24"/>
                <w:szCs w:val="24"/>
              </w:rPr>
              <w:t>0.05</w:t>
            </w:r>
          </w:p>
        </w:tc>
        <w:tc>
          <w:tcPr>
            <w:tcW w:w="357"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566DF9B2" w14:textId="77777777" w:rsidR="009D1F83" w:rsidRDefault="00452E53">
            <w:pPr>
              <w:spacing w:before="240"/>
              <w:jc w:val="right"/>
              <w:rPr>
                <w:sz w:val="24"/>
                <w:szCs w:val="24"/>
              </w:rPr>
            </w:pPr>
            <w:r>
              <w:rPr>
                <w:sz w:val="24"/>
                <w:szCs w:val="24"/>
              </w:rPr>
              <w:t>0.14</w:t>
            </w:r>
          </w:p>
        </w:tc>
        <w:tc>
          <w:tcPr>
            <w:tcW w:w="357" w:type="pct"/>
            <w:tcBorders>
              <w:top w:val="single" w:sz="8" w:space="0" w:color="000000"/>
              <w:left w:val="nil"/>
              <w:bottom w:val="single" w:sz="8" w:space="0" w:color="000000"/>
              <w:right w:val="single" w:sz="8" w:space="0" w:color="000000"/>
            </w:tcBorders>
            <w:tcMar>
              <w:top w:w="0" w:type="dxa"/>
              <w:left w:w="100" w:type="dxa"/>
              <w:bottom w:w="0" w:type="dxa"/>
              <w:right w:w="100" w:type="dxa"/>
            </w:tcMar>
            <w:vAlign w:val="bottom"/>
          </w:tcPr>
          <w:p w14:paraId="5410F79B" w14:textId="77777777" w:rsidR="009D1F83" w:rsidRDefault="00452E53">
            <w:pPr>
              <w:spacing w:before="240"/>
              <w:jc w:val="right"/>
              <w:rPr>
                <w:sz w:val="24"/>
                <w:szCs w:val="24"/>
              </w:rPr>
            </w:pPr>
            <w:r>
              <w:rPr>
                <w:sz w:val="24"/>
                <w:szCs w:val="24"/>
              </w:rPr>
              <w:t>0.09</w:t>
            </w:r>
          </w:p>
        </w:tc>
      </w:tr>
      <w:tr w:rsidR="00592CFC" w14:paraId="4234D937" w14:textId="77777777" w:rsidTr="006E7380">
        <w:trPr>
          <w:trHeight w:val="315"/>
        </w:trPr>
        <w:tc>
          <w:tcPr>
            <w:tcW w:w="1423" w:type="pct"/>
            <w:tcBorders>
              <w:top w:val="nil"/>
              <w:left w:val="single" w:sz="8" w:space="0" w:color="000000"/>
              <w:bottom w:val="single" w:sz="8" w:space="0" w:color="000000"/>
              <w:right w:val="single" w:sz="8" w:space="0" w:color="000000"/>
            </w:tcBorders>
            <w:tcMar>
              <w:top w:w="0" w:type="dxa"/>
              <w:left w:w="100" w:type="dxa"/>
              <w:bottom w:w="0" w:type="dxa"/>
              <w:right w:w="100" w:type="dxa"/>
            </w:tcMar>
            <w:vAlign w:val="bottom"/>
          </w:tcPr>
          <w:p w14:paraId="26818C0F" w14:textId="77777777" w:rsidR="009D1F83" w:rsidRDefault="00452E53">
            <w:pPr>
              <w:spacing w:before="240"/>
              <w:jc w:val="both"/>
              <w:rPr>
                <w:sz w:val="24"/>
                <w:szCs w:val="24"/>
              </w:rPr>
            </w:pPr>
            <w:r>
              <w:rPr>
                <w:sz w:val="24"/>
                <w:szCs w:val="24"/>
              </w:rPr>
              <w:t>Cash flow to net income Ratio</w:t>
            </w:r>
          </w:p>
        </w:tc>
        <w:tc>
          <w:tcPr>
            <w:tcW w:w="1793"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52E6EBD9" w14:textId="77777777" w:rsidR="009D1F83" w:rsidRDefault="00452E53">
            <w:pPr>
              <w:spacing w:before="240"/>
              <w:jc w:val="both"/>
              <w:rPr>
                <w:sz w:val="24"/>
                <w:szCs w:val="24"/>
              </w:rPr>
            </w:pPr>
            <w:r>
              <w:rPr>
                <w:sz w:val="24"/>
                <w:szCs w:val="24"/>
              </w:rPr>
              <w:t>Cash flow from operations/Net Income</w:t>
            </w:r>
          </w:p>
        </w:tc>
        <w:tc>
          <w:tcPr>
            <w:tcW w:w="35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7FF2B9D9" w14:textId="77777777" w:rsidR="009D1F83" w:rsidRDefault="00452E53">
            <w:pPr>
              <w:spacing w:before="240"/>
              <w:jc w:val="right"/>
              <w:rPr>
                <w:sz w:val="24"/>
                <w:szCs w:val="24"/>
              </w:rPr>
            </w:pPr>
            <w:r>
              <w:rPr>
                <w:sz w:val="24"/>
                <w:szCs w:val="24"/>
              </w:rPr>
              <w:t>1.90</w:t>
            </w:r>
          </w:p>
        </w:tc>
        <w:tc>
          <w:tcPr>
            <w:tcW w:w="35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1DD0A7C1" w14:textId="77777777" w:rsidR="009D1F83" w:rsidRDefault="00452E53">
            <w:pPr>
              <w:spacing w:before="240"/>
              <w:jc w:val="right"/>
              <w:rPr>
                <w:sz w:val="24"/>
                <w:szCs w:val="24"/>
              </w:rPr>
            </w:pPr>
            <w:r>
              <w:rPr>
                <w:sz w:val="24"/>
                <w:szCs w:val="24"/>
              </w:rPr>
              <w:t>7.60</w:t>
            </w:r>
          </w:p>
        </w:tc>
        <w:tc>
          <w:tcPr>
            <w:tcW w:w="35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68C05C92" w14:textId="77777777" w:rsidR="009D1F83" w:rsidRDefault="00452E53">
            <w:pPr>
              <w:spacing w:before="240"/>
              <w:jc w:val="right"/>
              <w:rPr>
                <w:sz w:val="24"/>
                <w:szCs w:val="24"/>
              </w:rPr>
            </w:pPr>
            <w:r>
              <w:rPr>
                <w:sz w:val="24"/>
                <w:szCs w:val="24"/>
              </w:rPr>
              <w:t>26.85</w:t>
            </w:r>
          </w:p>
        </w:tc>
        <w:tc>
          <w:tcPr>
            <w:tcW w:w="35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36AC357D" w14:textId="77777777" w:rsidR="009D1F83" w:rsidRDefault="00452E53">
            <w:pPr>
              <w:spacing w:before="240"/>
              <w:jc w:val="right"/>
              <w:rPr>
                <w:sz w:val="24"/>
                <w:szCs w:val="24"/>
              </w:rPr>
            </w:pPr>
            <w:r>
              <w:rPr>
                <w:sz w:val="24"/>
                <w:szCs w:val="24"/>
              </w:rPr>
              <w:t>-0.26</w:t>
            </w:r>
          </w:p>
        </w:tc>
        <w:tc>
          <w:tcPr>
            <w:tcW w:w="357" w:type="pct"/>
            <w:tcBorders>
              <w:top w:val="nil"/>
              <w:left w:val="nil"/>
              <w:bottom w:val="single" w:sz="8" w:space="0" w:color="000000"/>
              <w:right w:val="single" w:sz="8" w:space="0" w:color="000000"/>
            </w:tcBorders>
            <w:tcMar>
              <w:top w:w="0" w:type="dxa"/>
              <w:left w:w="100" w:type="dxa"/>
              <w:bottom w:w="0" w:type="dxa"/>
              <w:right w:w="100" w:type="dxa"/>
            </w:tcMar>
            <w:vAlign w:val="bottom"/>
          </w:tcPr>
          <w:p w14:paraId="078CDE32" w14:textId="77777777" w:rsidR="009D1F83" w:rsidRDefault="00452E53">
            <w:pPr>
              <w:spacing w:before="240"/>
              <w:jc w:val="right"/>
              <w:rPr>
                <w:sz w:val="24"/>
                <w:szCs w:val="24"/>
              </w:rPr>
            </w:pPr>
            <w:r>
              <w:rPr>
                <w:sz w:val="24"/>
                <w:szCs w:val="24"/>
              </w:rPr>
              <w:t>-0.62</w:t>
            </w:r>
          </w:p>
        </w:tc>
      </w:tr>
    </w:tbl>
    <w:p w14:paraId="007DDD8A" w14:textId="77777777" w:rsidR="009D1F83" w:rsidRDefault="009D1F83">
      <w:pPr>
        <w:spacing w:line="360" w:lineRule="auto"/>
        <w:jc w:val="both"/>
        <w:rPr>
          <w:sz w:val="24"/>
          <w:szCs w:val="24"/>
        </w:rPr>
      </w:pPr>
    </w:p>
    <w:p w14:paraId="77A8A057" w14:textId="77777777" w:rsidR="009D1F83" w:rsidRDefault="009D1F83"/>
    <w:p w14:paraId="1B1C2611" w14:textId="77777777" w:rsidR="009D1F83" w:rsidRDefault="00452E53">
      <w:pPr>
        <w:jc w:val="center"/>
      </w:pPr>
      <w:r>
        <w:rPr>
          <w:noProof/>
          <w:lang w:val="en-GB"/>
        </w:rPr>
        <w:drawing>
          <wp:inline distT="114300" distB="114300" distL="114300" distR="114300" wp14:anchorId="2E64E178" wp14:editId="6F2A81DF">
            <wp:extent cx="6124575" cy="2852738"/>
            <wp:effectExtent l="25400" t="25400" r="25400" b="25400"/>
            <wp:docPr id="9" name="image6.png"/>
            <wp:cNvGraphicFramePr/>
            <a:graphic xmlns:a="http://schemas.openxmlformats.org/drawingml/2006/main">
              <a:graphicData uri="http://schemas.openxmlformats.org/drawingml/2006/picture">
                <pic:pic xmlns:pic="http://schemas.openxmlformats.org/drawingml/2006/picture">
                  <pic:nvPicPr>
                    <pic:cNvPr id="9" name="image6.png"/>
                    <pic:cNvPicPr/>
                  </pic:nvPicPr>
                  <pic:blipFill>
                    <a:blip r:embed="rId15"/>
                    <a:stretch>
                      <a:fillRect/>
                    </a:stretch>
                  </pic:blipFill>
                  <pic:spPr>
                    <a:xfrm>
                      <a:off x="0" y="0"/>
                      <a:ext cx="6124575" cy="2852738"/>
                    </a:xfrm>
                    <a:prstGeom prst="rect">
                      <a:avLst/>
                    </a:prstGeom>
                    <a:ln w="25400">
                      <a:solidFill>
                        <a:srgbClr val="000000"/>
                      </a:solidFill>
                      <a:prstDash val="solid"/>
                    </a:ln>
                  </pic:spPr>
                </pic:pic>
              </a:graphicData>
            </a:graphic>
          </wp:inline>
        </w:drawing>
      </w:r>
    </w:p>
    <w:p w14:paraId="21ED0DF4" w14:textId="77777777" w:rsidR="009D1F83" w:rsidRDefault="009D1F83"/>
    <w:p w14:paraId="1E3D10D3" w14:textId="77777777" w:rsidR="009D1F83" w:rsidRDefault="00452E53">
      <w:pPr>
        <w:jc w:val="center"/>
      </w:pPr>
      <w:r>
        <w:t>(Source: Excel)</w:t>
      </w:r>
      <w:r>
        <w:br w:type="page"/>
      </w:r>
    </w:p>
    <w:p w14:paraId="27BB378F" w14:textId="77777777" w:rsidR="009D1F83" w:rsidRDefault="00452E53" w:rsidP="006E7380">
      <w:pPr>
        <w:pStyle w:val="Heading2"/>
      </w:pPr>
      <w:bookmarkStart w:id="22" w:name="_Toc212203748"/>
      <w:r>
        <w:lastRenderedPageBreak/>
        <w:t>Appendix 2: Investment appraisal techniques</w:t>
      </w:r>
      <w:bookmarkEnd w:id="22"/>
    </w:p>
    <w:p w14:paraId="544F38AC" w14:textId="77777777" w:rsidR="009D1F83" w:rsidRDefault="009D1F83"/>
    <w:p w14:paraId="7E3E0283" w14:textId="77777777" w:rsidR="009D1F83" w:rsidRDefault="00452E53">
      <w:pPr>
        <w:jc w:val="center"/>
      </w:pPr>
      <w:r>
        <w:rPr>
          <w:noProof/>
          <w:lang w:val="en-GB"/>
        </w:rPr>
        <w:drawing>
          <wp:inline distT="114300" distB="114300" distL="114300" distR="114300" wp14:anchorId="4CC53A94" wp14:editId="45650F44">
            <wp:extent cx="6196013" cy="2314575"/>
            <wp:effectExtent l="25400" t="25400" r="25400" b="25400"/>
            <wp:docPr id="8" name="image5.png"/>
            <wp:cNvGraphicFramePr/>
            <a:graphic xmlns:a="http://schemas.openxmlformats.org/drawingml/2006/main">
              <a:graphicData uri="http://schemas.openxmlformats.org/drawingml/2006/picture">
                <pic:pic xmlns:pic="http://schemas.openxmlformats.org/drawingml/2006/picture">
                  <pic:nvPicPr>
                    <pic:cNvPr id="8" name="image5.png"/>
                    <pic:cNvPicPr/>
                  </pic:nvPicPr>
                  <pic:blipFill>
                    <a:blip r:embed="rId16"/>
                    <a:stretch>
                      <a:fillRect/>
                    </a:stretch>
                  </pic:blipFill>
                  <pic:spPr>
                    <a:xfrm>
                      <a:off x="0" y="0"/>
                      <a:ext cx="6196013" cy="2314575"/>
                    </a:xfrm>
                    <a:prstGeom prst="rect">
                      <a:avLst/>
                    </a:prstGeom>
                    <a:ln w="25400">
                      <a:solidFill>
                        <a:srgbClr val="000000"/>
                      </a:solidFill>
                      <a:prstDash val="solid"/>
                    </a:ln>
                  </pic:spPr>
                </pic:pic>
              </a:graphicData>
            </a:graphic>
          </wp:inline>
        </w:drawing>
      </w:r>
    </w:p>
    <w:p w14:paraId="2BF3483D" w14:textId="77777777" w:rsidR="009D1F83" w:rsidRDefault="009D1F83"/>
    <w:p w14:paraId="2F270E53" w14:textId="77777777" w:rsidR="009D1F83" w:rsidRDefault="00452E53">
      <w:pPr>
        <w:jc w:val="center"/>
      </w:pPr>
      <w:r>
        <w:rPr>
          <w:noProof/>
          <w:lang w:val="en-GB"/>
        </w:rPr>
        <w:drawing>
          <wp:inline distT="114300" distB="114300" distL="114300" distR="114300" wp14:anchorId="510772D4" wp14:editId="25CD01AA">
            <wp:extent cx="6234113" cy="2209800"/>
            <wp:effectExtent l="25400" t="25400" r="25400" b="25400"/>
            <wp:docPr id="1" name="image3.png"/>
            <wp:cNvGraphicFramePr/>
            <a:graphic xmlns:a="http://schemas.openxmlformats.org/drawingml/2006/main">
              <a:graphicData uri="http://schemas.openxmlformats.org/drawingml/2006/picture">
                <pic:pic xmlns:pic="http://schemas.openxmlformats.org/drawingml/2006/picture">
                  <pic:nvPicPr>
                    <pic:cNvPr id="1" name="image3.png"/>
                    <pic:cNvPicPr/>
                  </pic:nvPicPr>
                  <pic:blipFill>
                    <a:blip r:embed="rId17"/>
                    <a:stretch>
                      <a:fillRect/>
                    </a:stretch>
                  </pic:blipFill>
                  <pic:spPr>
                    <a:xfrm>
                      <a:off x="0" y="0"/>
                      <a:ext cx="6234113" cy="2209800"/>
                    </a:xfrm>
                    <a:prstGeom prst="rect">
                      <a:avLst/>
                    </a:prstGeom>
                    <a:ln w="25400">
                      <a:solidFill>
                        <a:srgbClr val="000000"/>
                      </a:solidFill>
                      <a:prstDash val="solid"/>
                    </a:ln>
                  </pic:spPr>
                </pic:pic>
              </a:graphicData>
            </a:graphic>
          </wp:inline>
        </w:drawing>
      </w:r>
    </w:p>
    <w:p w14:paraId="085D488B" w14:textId="77777777" w:rsidR="009D1F83" w:rsidRDefault="00452E53">
      <w:pPr>
        <w:jc w:val="center"/>
      </w:pPr>
      <w:r>
        <w:rPr>
          <w:noProof/>
          <w:lang w:val="en-GB"/>
        </w:rPr>
        <w:drawing>
          <wp:inline distT="114300" distB="114300" distL="114300" distR="114300" wp14:anchorId="44C597A5" wp14:editId="6B577A51">
            <wp:extent cx="6291263" cy="2200275"/>
            <wp:effectExtent l="25400" t="25400" r="25400" b="25400"/>
            <wp:docPr id="6" name="image2.png"/>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18"/>
                    <a:stretch>
                      <a:fillRect/>
                    </a:stretch>
                  </pic:blipFill>
                  <pic:spPr>
                    <a:xfrm>
                      <a:off x="0" y="0"/>
                      <a:ext cx="6291263" cy="2200275"/>
                    </a:xfrm>
                    <a:prstGeom prst="rect">
                      <a:avLst/>
                    </a:prstGeom>
                    <a:ln w="25400">
                      <a:solidFill>
                        <a:srgbClr val="000000"/>
                      </a:solidFill>
                      <a:prstDash val="solid"/>
                    </a:ln>
                  </pic:spPr>
                </pic:pic>
              </a:graphicData>
            </a:graphic>
          </wp:inline>
        </w:drawing>
      </w:r>
    </w:p>
    <w:p w14:paraId="7DB4AD6C" w14:textId="77777777" w:rsidR="009D1F83" w:rsidRDefault="00452E53">
      <w:pPr>
        <w:jc w:val="center"/>
      </w:pPr>
      <w:r>
        <w:t>(Source: Excel)</w:t>
      </w:r>
    </w:p>
    <w:p w14:paraId="176DF987" w14:textId="77777777" w:rsidR="00A53215" w:rsidRDefault="00A53215" w:rsidP="007D4861"/>
    <w:sectPr w:rsidR="00A53215" w:rsidSect="00F8683F">
      <w:footerReference w:type="default" r:id="rId19"/>
      <w:pgSz w:w="12240" w:h="15840"/>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5528B35" w14:textId="77777777" w:rsidR="00EC3C96" w:rsidRDefault="00EC3C96">
      <w:pPr>
        <w:spacing w:line="240" w:lineRule="auto"/>
      </w:pPr>
      <w:r>
        <w:separator/>
      </w:r>
    </w:p>
  </w:endnote>
  <w:endnote w:type="continuationSeparator" w:id="0">
    <w:p w14:paraId="69A19E3C" w14:textId="77777777" w:rsidR="00EC3C96" w:rsidRDefault="00EC3C9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70894960"/>
      <w:docPartObj>
        <w:docPartGallery w:val="Page Numbers (Bottom of Page)"/>
        <w:docPartUnique/>
      </w:docPartObj>
    </w:sdtPr>
    <w:sdtEndPr>
      <w:rPr>
        <w:noProof/>
      </w:rPr>
    </w:sdtEndPr>
    <w:sdtContent>
      <w:p w14:paraId="354B1DD1" w14:textId="77777777" w:rsidR="00F8683F" w:rsidRDefault="00452E53">
        <w:pPr>
          <w:pStyle w:val="Footer"/>
          <w:jc w:val="right"/>
        </w:pPr>
        <w:r>
          <w:fldChar w:fldCharType="begin"/>
        </w:r>
        <w:r>
          <w:instrText xml:space="preserve"> PAGE   \* MERGEFORMAT </w:instrText>
        </w:r>
        <w:r>
          <w:fldChar w:fldCharType="separate"/>
        </w:r>
        <w:r w:rsidR="008362AD">
          <w:rPr>
            <w:noProof/>
          </w:rPr>
          <w:t>3</w:t>
        </w:r>
        <w:r>
          <w:rPr>
            <w:noProof/>
          </w:rPr>
          <w:fldChar w:fldCharType="end"/>
        </w:r>
      </w:p>
    </w:sdtContent>
  </w:sdt>
  <w:p w14:paraId="1DC39932" w14:textId="77777777" w:rsidR="00F8683F" w:rsidRDefault="00F8683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E7DE24C" w14:textId="77777777" w:rsidR="00EC3C96" w:rsidRDefault="00EC3C96">
      <w:pPr>
        <w:spacing w:line="240" w:lineRule="auto"/>
      </w:pPr>
      <w:r>
        <w:separator/>
      </w:r>
    </w:p>
  </w:footnote>
  <w:footnote w:type="continuationSeparator" w:id="0">
    <w:p w14:paraId="73B478A1" w14:textId="77777777" w:rsidR="00EC3C96" w:rsidRDefault="00EC3C96">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1F83"/>
    <w:rsid w:val="0002148E"/>
    <w:rsid w:val="00040A57"/>
    <w:rsid w:val="000E2484"/>
    <w:rsid w:val="00213D2B"/>
    <w:rsid w:val="00452E53"/>
    <w:rsid w:val="00592CFC"/>
    <w:rsid w:val="006114EE"/>
    <w:rsid w:val="00674361"/>
    <w:rsid w:val="006E7380"/>
    <w:rsid w:val="00784F2B"/>
    <w:rsid w:val="007B4A1A"/>
    <w:rsid w:val="007D4861"/>
    <w:rsid w:val="008362AD"/>
    <w:rsid w:val="00855B90"/>
    <w:rsid w:val="009D1F83"/>
    <w:rsid w:val="00A53215"/>
    <w:rsid w:val="00C071EF"/>
    <w:rsid w:val="00C47BDD"/>
    <w:rsid w:val="00E11EB5"/>
    <w:rsid w:val="00E7178D"/>
    <w:rsid w:val="00EC3C96"/>
    <w:rsid w:val="00F80E94"/>
    <w:rsid w:val="00F8683F"/>
    <w:rsid w:val="00FC6541"/>
    <w:rsid w:val="00FD5F9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E2306CA"/>
  <w15:docId w15:val="{78CB5CEC-64FE-4E6D-8B1C-7F7747C888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F8683F"/>
    <w:pPr>
      <w:keepNext/>
      <w:keepLines/>
      <w:spacing w:before="400" w:after="120" w:line="360" w:lineRule="auto"/>
      <w:jc w:val="both"/>
      <w:outlineLvl w:val="0"/>
    </w:pPr>
    <w:rPr>
      <w:b/>
      <w:sz w:val="28"/>
      <w:szCs w:val="40"/>
    </w:rPr>
  </w:style>
  <w:style w:type="paragraph" w:styleId="Heading2">
    <w:name w:val="heading 2"/>
    <w:basedOn w:val="Normal"/>
    <w:next w:val="Normal"/>
    <w:rsid w:val="00F8683F"/>
    <w:pPr>
      <w:keepNext/>
      <w:keepLines/>
      <w:spacing w:before="360" w:after="120" w:line="360" w:lineRule="auto"/>
      <w:jc w:val="both"/>
      <w:outlineLvl w:val="1"/>
    </w:pPr>
    <w:rPr>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name w:val="a"/>
    <w:basedOn w:val="TableNormal0"/>
    <w:tblPr>
      <w:tblStyleRowBandSize w:val="1"/>
      <w:tblStyleColBandSize w:val="1"/>
    </w:tblPr>
  </w:style>
  <w:style w:type="table" w:customStyle="1" w:styleId="a0">
    <w:name w:val="a0"/>
    <w:basedOn w:val="TableNormal0"/>
    <w:tblPr>
      <w:tblStyleRowBandSize w:val="1"/>
      <w:tblStyleColBandSize w:val="1"/>
    </w:tblPr>
  </w:style>
  <w:style w:type="table" w:customStyle="1" w:styleId="a1">
    <w:name w:val="a1"/>
    <w:basedOn w:val="TableNormal0"/>
    <w:tblPr>
      <w:tblStyleRowBandSize w:val="1"/>
      <w:tblStyleColBandSize w:val="1"/>
    </w:tblPr>
  </w:style>
  <w:style w:type="table" w:customStyle="1" w:styleId="a2">
    <w:name w:val="a2"/>
    <w:basedOn w:val="TableNormal0"/>
    <w:tblPr>
      <w:tblStyleRowBandSize w:val="1"/>
      <w:tblStyleColBandSize w:val="1"/>
    </w:tblPr>
  </w:style>
  <w:style w:type="table" w:customStyle="1" w:styleId="a3">
    <w:name w:val="a3"/>
    <w:basedOn w:val="TableNormal0"/>
    <w:tblPr>
      <w:tblStyleRowBandSize w:val="1"/>
      <w:tblStyleColBandSize w:val="1"/>
    </w:tblPr>
  </w:style>
  <w:style w:type="table" w:customStyle="1" w:styleId="a4">
    <w:name w:val="a4"/>
    <w:basedOn w:val="TableNormal0"/>
    <w:tblPr>
      <w:tblStyleRowBandSize w:val="1"/>
      <w:tblStyleColBandSize w:val="1"/>
    </w:tblPr>
  </w:style>
  <w:style w:type="table" w:customStyle="1" w:styleId="a5">
    <w:name w:val="a5"/>
    <w:basedOn w:val="TableNormal0"/>
    <w:tblPr>
      <w:tblStyleRowBandSize w:val="1"/>
      <w:tblStyleColBandSize w:val="1"/>
    </w:tblPr>
  </w:style>
  <w:style w:type="table" w:customStyle="1" w:styleId="a6">
    <w:name w:val="a6"/>
    <w:basedOn w:val="TableNormal0"/>
    <w:tblPr>
      <w:tblStyleRowBandSize w:val="1"/>
      <w:tblStyleColBandSize w:val="1"/>
    </w:tblPr>
  </w:style>
  <w:style w:type="table" w:customStyle="1" w:styleId="a7">
    <w:name w:val="a7"/>
    <w:basedOn w:val="TableNormal0"/>
    <w:tblPr>
      <w:tblStyleRowBandSize w:val="1"/>
      <w:tblStyleColBandSize w:val="1"/>
    </w:tblPr>
  </w:style>
  <w:style w:type="table" w:customStyle="1" w:styleId="a8">
    <w:name w:val="a8"/>
    <w:basedOn w:val="TableNormal0"/>
    <w:tblPr>
      <w:tblStyleRowBandSize w:val="1"/>
      <w:tblStyleColBandSize w:val="1"/>
    </w:tblPr>
  </w:style>
  <w:style w:type="table" w:customStyle="1" w:styleId="a9">
    <w:name w:val="a9"/>
    <w:basedOn w:val="TableNormal0"/>
    <w:tblPr>
      <w:tblStyleRowBandSize w:val="1"/>
      <w:tblStyleColBandSize w:val="1"/>
    </w:tblPr>
  </w:style>
  <w:style w:type="table" w:customStyle="1" w:styleId="aa">
    <w:name w:val="aa"/>
    <w:basedOn w:val="TableNormal0"/>
    <w:tblPr>
      <w:tblStyleRowBandSize w:val="1"/>
      <w:tblStyleColBandSize w:val="1"/>
    </w:tblPr>
  </w:style>
  <w:style w:type="table" w:customStyle="1" w:styleId="ab">
    <w:name w:val="ab"/>
    <w:basedOn w:val="TableNormal0"/>
    <w:tblPr>
      <w:tblStyleRowBandSize w:val="1"/>
      <w:tblStyleColBandSize w:val="1"/>
    </w:tblPr>
  </w:style>
  <w:style w:type="table" w:customStyle="1" w:styleId="ac">
    <w:name w:val="ac"/>
    <w:basedOn w:val="TableNormal0"/>
    <w:tblPr>
      <w:tblStyleRowBandSize w:val="1"/>
      <w:tblStyleColBandSize w:val="1"/>
    </w:tblPr>
  </w:style>
  <w:style w:type="table" w:customStyle="1" w:styleId="ad">
    <w:name w:val="ad"/>
    <w:basedOn w:val="TableNormal0"/>
    <w:tblPr>
      <w:tblStyleRowBandSize w:val="1"/>
      <w:tblStyleColBandSize w:val="1"/>
    </w:tblPr>
  </w:style>
  <w:style w:type="paragraph" w:styleId="BalloonText">
    <w:name w:val="Balloon Text"/>
    <w:basedOn w:val="Normal"/>
    <w:link w:val="BalloonTextChar"/>
    <w:uiPriority w:val="99"/>
    <w:semiHidden/>
    <w:unhideWhenUsed/>
    <w:rsid w:val="00F8683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683F"/>
    <w:rPr>
      <w:rFonts w:ascii="Tahoma" w:hAnsi="Tahoma" w:cs="Tahoma"/>
      <w:sz w:val="16"/>
      <w:szCs w:val="16"/>
    </w:rPr>
  </w:style>
  <w:style w:type="paragraph" w:styleId="Header">
    <w:name w:val="header"/>
    <w:basedOn w:val="Normal"/>
    <w:link w:val="HeaderChar"/>
    <w:uiPriority w:val="99"/>
    <w:unhideWhenUsed/>
    <w:rsid w:val="00F8683F"/>
    <w:pPr>
      <w:tabs>
        <w:tab w:val="center" w:pos="4513"/>
        <w:tab w:val="right" w:pos="9026"/>
      </w:tabs>
      <w:spacing w:line="240" w:lineRule="auto"/>
    </w:pPr>
  </w:style>
  <w:style w:type="character" w:customStyle="1" w:styleId="HeaderChar">
    <w:name w:val="Header Char"/>
    <w:basedOn w:val="DefaultParagraphFont"/>
    <w:link w:val="Header"/>
    <w:uiPriority w:val="99"/>
    <w:rsid w:val="00F8683F"/>
  </w:style>
  <w:style w:type="paragraph" w:styleId="Footer">
    <w:name w:val="footer"/>
    <w:basedOn w:val="Normal"/>
    <w:link w:val="FooterChar"/>
    <w:uiPriority w:val="99"/>
    <w:unhideWhenUsed/>
    <w:rsid w:val="00F8683F"/>
    <w:pPr>
      <w:tabs>
        <w:tab w:val="center" w:pos="4513"/>
        <w:tab w:val="right" w:pos="9026"/>
      </w:tabs>
      <w:spacing w:line="240" w:lineRule="auto"/>
    </w:pPr>
  </w:style>
  <w:style w:type="character" w:customStyle="1" w:styleId="FooterChar">
    <w:name w:val="Footer Char"/>
    <w:basedOn w:val="DefaultParagraphFont"/>
    <w:link w:val="Footer"/>
    <w:uiPriority w:val="99"/>
    <w:rsid w:val="00F8683F"/>
  </w:style>
  <w:style w:type="paragraph" w:styleId="TOCHeading">
    <w:name w:val="TOC Heading"/>
    <w:basedOn w:val="Heading1"/>
    <w:next w:val="Normal"/>
    <w:uiPriority w:val="39"/>
    <w:semiHidden/>
    <w:unhideWhenUsed/>
    <w:qFormat/>
    <w:rsid w:val="006E7380"/>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6E7380"/>
    <w:pPr>
      <w:spacing w:after="100"/>
    </w:pPr>
  </w:style>
  <w:style w:type="paragraph" w:styleId="TOC2">
    <w:name w:val="toc 2"/>
    <w:basedOn w:val="Normal"/>
    <w:next w:val="Normal"/>
    <w:autoRedefine/>
    <w:uiPriority w:val="39"/>
    <w:unhideWhenUsed/>
    <w:rsid w:val="006E7380"/>
    <w:pPr>
      <w:spacing w:after="100"/>
      <w:ind w:left="220"/>
    </w:pPr>
  </w:style>
  <w:style w:type="character" w:styleId="Hyperlink">
    <w:name w:val="Hyperlink"/>
    <w:basedOn w:val="DefaultParagraphFont"/>
    <w:uiPriority w:val="99"/>
    <w:unhideWhenUsed/>
    <w:rsid w:val="006E7380"/>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2917A6-A1DB-4676-BFED-0EA0465CE4D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36</Pages>
  <Words>7063</Words>
  <Characters>42875</Characters>
  <Application>Microsoft Office Word</Application>
  <DocSecurity>0</DocSecurity>
  <Lines>1225</Lines>
  <Paragraphs>703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Student</dc:creator>
  <cp:lastModifiedBy>Rishiduth Bootna</cp:lastModifiedBy>
  <cp:revision>2</cp:revision>
  <dcterms:created xsi:type="dcterms:W3CDTF">2025-11-24T12:59:00Z</dcterms:created>
  <dcterms:modified xsi:type="dcterms:W3CDTF">2025-11-24T12:59:00Z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1bfb25df-3762-4bb7-b708-04f8f32be182</vt:lpwstr>
  </property>
</Properties>
</file>