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8BC3C" w14:textId="77777777" w:rsidR="00A75170" w:rsidRPr="00A75170" w:rsidRDefault="00A75170" w:rsidP="00A75170">
      <w:pPr>
        <w:pStyle w:val="NormalWeb"/>
        <w:spacing w:line="360" w:lineRule="auto"/>
        <w:jc w:val="center"/>
        <w:rPr>
          <w:rStyle w:val="Strong"/>
          <w:rFonts w:ascii="Arial" w:hAnsi="Arial" w:cs="Arial"/>
          <w:sz w:val="22"/>
          <w:szCs w:val="22"/>
        </w:rPr>
      </w:pPr>
    </w:p>
    <w:p w14:paraId="576F5231" w14:textId="77777777" w:rsidR="00A75170" w:rsidRPr="00A75170" w:rsidRDefault="00A75170" w:rsidP="00A75170">
      <w:pPr>
        <w:pStyle w:val="NormalWeb"/>
        <w:spacing w:line="360" w:lineRule="auto"/>
        <w:jc w:val="center"/>
        <w:rPr>
          <w:rStyle w:val="Strong"/>
          <w:rFonts w:ascii="Arial" w:hAnsi="Arial" w:cs="Arial"/>
          <w:sz w:val="22"/>
          <w:szCs w:val="22"/>
        </w:rPr>
      </w:pPr>
    </w:p>
    <w:p w14:paraId="76A6BDBF" w14:textId="77777777" w:rsidR="00A75170" w:rsidRPr="00A75170" w:rsidRDefault="00A75170" w:rsidP="00A75170">
      <w:pPr>
        <w:pStyle w:val="NormalWeb"/>
        <w:spacing w:line="360" w:lineRule="auto"/>
        <w:jc w:val="center"/>
        <w:rPr>
          <w:rStyle w:val="Strong"/>
          <w:rFonts w:ascii="Arial" w:hAnsi="Arial" w:cs="Arial"/>
          <w:sz w:val="22"/>
          <w:szCs w:val="22"/>
        </w:rPr>
      </w:pPr>
    </w:p>
    <w:p w14:paraId="3A97C537" w14:textId="78534EBB" w:rsidR="00A75170" w:rsidRPr="00A75170" w:rsidRDefault="00A75170" w:rsidP="00A75170">
      <w:pPr>
        <w:pStyle w:val="NormalWeb"/>
        <w:spacing w:line="360" w:lineRule="auto"/>
        <w:jc w:val="center"/>
        <w:rPr>
          <w:rFonts w:ascii="Arial" w:hAnsi="Arial" w:cs="Arial"/>
          <w:sz w:val="22"/>
          <w:szCs w:val="22"/>
        </w:rPr>
      </w:pPr>
      <w:r w:rsidRPr="00A75170">
        <w:rPr>
          <w:rStyle w:val="Strong"/>
          <w:rFonts w:ascii="Arial" w:hAnsi="Arial" w:cs="Arial"/>
          <w:sz w:val="22"/>
          <w:szCs w:val="22"/>
        </w:rPr>
        <w:t>UNDERSTANDING ASTHMA IN ADOLESCENTS: RESPIRATORY SYSTEM STRUCTURE, PATHOPHYSIOLOGY, RESPIRATORY FUNCTION MONITORING, AND EVIDENCE-BASED LIFESTYLE MANAGEMENT</w:t>
      </w:r>
    </w:p>
    <w:p w14:paraId="3DECB49D" w14:textId="48258973" w:rsidR="00A75170" w:rsidRPr="00A75170" w:rsidRDefault="00A75170" w:rsidP="00A75170">
      <w:pPr>
        <w:spacing w:after="120" w:line="360" w:lineRule="auto"/>
        <w:jc w:val="center"/>
        <w:rPr>
          <w:rFonts w:ascii="Arial" w:hAnsi="Arial" w:cs="Arial"/>
          <w:b/>
          <w:bCs/>
        </w:rPr>
      </w:pPr>
      <w:r w:rsidRPr="00A75170">
        <w:rPr>
          <w:rFonts w:ascii="Arial" w:eastAsia="Arial" w:hAnsi="Arial" w:cs="Arial"/>
          <w:b/>
          <w:bCs/>
        </w:rPr>
        <w:t>STUDENT NAME:</w:t>
      </w:r>
      <w:r w:rsidR="00833AB2">
        <w:rPr>
          <w:rFonts w:ascii="Arial" w:eastAsia="Arial" w:hAnsi="Arial" w:cs="Arial"/>
          <w:b/>
          <w:bCs/>
        </w:rPr>
        <w:t xml:space="preserve"> Farzana Hameed</w:t>
      </w:r>
    </w:p>
    <w:p w14:paraId="3CD9BF7B" w14:textId="51E000AE" w:rsidR="00A75170" w:rsidRPr="00A75170" w:rsidRDefault="00A75170" w:rsidP="00A75170">
      <w:pPr>
        <w:spacing w:after="120" w:line="360" w:lineRule="auto"/>
        <w:jc w:val="center"/>
        <w:rPr>
          <w:rFonts w:ascii="Arial" w:eastAsia="Arial" w:hAnsi="Arial" w:cs="Arial"/>
          <w:b/>
          <w:bCs/>
        </w:rPr>
      </w:pPr>
      <w:r w:rsidRPr="00A75170">
        <w:rPr>
          <w:rFonts w:ascii="Arial" w:eastAsia="Arial" w:hAnsi="Arial" w:cs="Arial"/>
          <w:b/>
          <w:bCs/>
        </w:rPr>
        <w:t>STUDENT NUMBER:</w:t>
      </w:r>
      <w:r w:rsidR="00833AB2">
        <w:rPr>
          <w:rFonts w:ascii="Arial" w:eastAsia="Arial" w:hAnsi="Arial" w:cs="Arial"/>
          <w:b/>
          <w:bCs/>
        </w:rPr>
        <w:t xml:space="preserve"> 2432703</w:t>
      </w:r>
    </w:p>
    <w:p w14:paraId="0893A05D" w14:textId="77777777" w:rsidR="00A75170" w:rsidRPr="00A75170" w:rsidRDefault="00A75170" w:rsidP="00A75170">
      <w:pPr>
        <w:spacing w:after="120" w:line="360" w:lineRule="auto"/>
        <w:jc w:val="center"/>
        <w:rPr>
          <w:rFonts w:ascii="Arial" w:eastAsia="Arial" w:hAnsi="Arial" w:cs="Arial"/>
          <w:b/>
          <w:bCs/>
        </w:rPr>
      </w:pPr>
    </w:p>
    <w:p w14:paraId="227BB8A0" w14:textId="77777777" w:rsidR="00A75170" w:rsidRPr="00A75170" w:rsidRDefault="00A75170" w:rsidP="00A75170">
      <w:pPr>
        <w:spacing w:after="120" w:line="360" w:lineRule="auto"/>
        <w:jc w:val="center"/>
        <w:rPr>
          <w:rFonts w:ascii="Arial" w:eastAsia="Arial" w:hAnsi="Arial" w:cs="Arial"/>
          <w:b/>
          <w:bCs/>
        </w:rPr>
      </w:pPr>
    </w:p>
    <w:p w14:paraId="7F66855F" w14:textId="75286AC5" w:rsidR="00A75170" w:rsidRPr="00A75170" w:rsidRDefault="00A75170" w:rsidP="00A75170">
      <w:pPr>
        <w:spacing w:after="120" w:line="360" w:lineRule="auto"/>
        <w:jc w:val="center"/>
        <w:rPr>
          <w:rFonts w:ascii="Arial" w:eastAsia="Arial" w:hAnsi="Arial" w:cs="Arial"/>
          <w:b/>
          <w:bCs/>
        </w:rPr>
      </w:pPr>
      <w:r w:rsidRPr="00A75170">
        <w:rPr>
          <w:rFonts w:ascii="Arial" w:eastAsia="Arial" w:hAnsi="Arial" w:cs="Arial"/>
          <w:b/>
          <w:bCs/>
        </w:rPr>
        <w:t>MODULE TITLE: INTRODUCTION TO PHYSIOLOGY</w:t>
      </w:r>
    </w:p>
    <w:p w14:paraId="7308E730" w14:textId="320A45BB" w:rsidR="00A75170" w:rsidRPr="00A75170" w:rsidRDefault="00A75170" w:rsidP="00A75170">
      <w:pPr>
        <w:spacing w:after="120" w:line="360" w:lineRule="auto"/>
        <w:jc w:val="center"/>
        <w:rPr>
          <w:rFonts w:ascii="Arial" w:eastAsia="Arial" w:hAnsi="Arial" w:cs="Arial"/>
          <w:b/>
          <w:bCs/>
        </w:rPr>
      </w:pPr>
      <w:r w:rsidRPr="00A75170">
        <w:rPr>
          <w:rFonts w:ascii="Arial" w:eastAsia="Arial" w:hAnsi="Arial" w:cs="Arial"/>
          <w:b/>
          <w:bCs/>
        </w:rPr>
        <w:t>MODULE CODE: BMHP5023</w:t>
      </w:r>
    </w:p>
    <w:p w14:paraId="379A16DF" w14:textId="637AD4F9" w:rsidR="00A75170" w:rsidRPr="00A75170" w:rsidRDefault="00A75170" w:rsidP="00A75170">
      <w:pPr>
        <w:spacing w:after="120" w:line="360" w:lineRule="auto"/>
        <w:jc w:val="center"/>
        <w:rPr>
          <w:rFonts w:ascii="Arial" w:hAnsi="Arial" w:cs="Arial"/>
          <w:b/>
          <w:bCs/>
        </w:rPr>
      </w:pPr>
      <w:r w:rsidRPr="00A75170">
        <w:rPr>
          <w:rFonts w:ascii="Arial" w:eastAsia="Arial" w:hAnsi="Arial" w:cs="Arial"/>
          <w:b/>
          <w:bCs/>
        </w:rPr>
        <w:t>COMPONENT 1: CASE STUDY REPORT</w:t>
      </w:r>
    </w:p>
    <w:p w14:paraId="2D6C3B5C" w14:textId="4D85451F" w:rsidR="00A75170" w:rsidRPr="00A75170" w:rsidRDefault="00A75170" w:rsidP="00A75170">
      <w:pPr>
        <w:spacing w:after="120" w:line="360" w:lineRule="auto"/>
        <w:jc w:val="center"/>
        <w:rPr>
          <w:rFonts w:ascii="Arial" w:eastAsia="Arial" w:hAnsi="Arial" w:cs="Arial"/>
          <w:b/>
          <w:bCs/>
        </w:rPr>
      </w:pPr>
      <w:r w:rsidRPr="00A75170">
        <w:rPr>
          <w:rFonts w:ascii="Arial" w:eastAsia="Arial" w:hAnsi="Arial" w:cs="Arial"/>
          <w:b/>
          <w:bCs/>
        </w:rPr>
        <w:t>SUBMISSION DEADLINE:</w:t>
      </w:r>
      <w:r w:rsidR="008658B4">
        <w:rPr>
          <w:rFonts w:ascii="Arial" w:eastAsia="Arial" w:hAnsi="Arial" w:cs="Arial"/>
          <w:b/>
          <w:bCs/>
        </w:rPr>
        <w:t xml:space="preserve"> 28.06.2026</w:t>
      </w:r>
    </w:p>
    <w:p w14:paraId="0C81B11F" w14:textId="5A6B3E83" w:rsidR="00A75170" w:rsidRPr="00A75170" w:rsidRDefault="00A75170" w:rsidP="00A75170">
      <w:pPr>
        <w:spacing w:line="360" w:lineRule="auto"/>
        <w:jc w:val="center"/>
        <w:rPr>
          <w:rFonts w:ascii="Arial" w:eastAsia="Arial" w:hAnsi="Arial" w:cs="Arial"/>
          <w:b/>
          <w:bCs/>
        </w:rPr>
      </w:pPr>
      <w:r w:rsidRPr="00A75170">
        <w:rPr>
          <w:rFonts w:ascii="Arial" w:eastAsia="Arial" w:hAnsi="Arial" w:cs="Arial"/>
          <w:b/>
          <w:bCs/>
        </w:rPr>
        <w:br w:type="page"/>
      </w:r>
    </w:p>
    <w:p w14:paraId="4F65CCD3" w14:textId="77777777" w:rsidR="00A75170" w:rsidRDefault="00A75170" w:rsidP="00A75170">
      <w:pPr>
        <w:spacing w:after="120" w:line="360" w:lineRule="auto"/>
        <w:jc w:val="center"/>
        <w:rPr>
          <w:rFonts w:ascii="Arial" w:eastAsia="Arial" w:hAnsi="Arial" w:cs="Arial"/>
          <w:b/>
          <w:bCs/>
        </w:rPr>
      </w:pPr>
    </w:p>
    <w:sdt>
      <w:sdtPr>
        <w:rPr>
          <w:rFonts w:asciiTheme="minorHAnsi" w:eastAsiaTheme="minorHAnsi" w:hAnsiTheme="minorHAnsi" w:cstheme="minorBidi"/>
          <w:color w:val="auto"/>
          <w:sz w:val="22"/>
          <w:szCs w:val="22"/>
          <w:lang w:val="en-GB"/>
        </w:rPr>
        <w:id w:val="451299671"/>
        <w:docPartObj>
          <w:docPartGallery w:val="Table of Contents"/>
          <w:docPartUnique/>
        </w:docPartObj>
      </w:sdtPr>
      <w:sdtEndPr>
        <w:rPr>
          <w:b/>
          <w:bCs/>
          <w:noProof/>
        </w:rPr>
      </w:sdtEndPr>
      <w:sdtContent>
        <w:p w14:paraId="5D89CF71" w14:textId="5DE74CA0" w:rsidR="00A75170" w:rsidRDefault="00A75170">
          <w:pPr>
            <w:pStyle w:val="TOCHeading"/>
          </w:pPr>
          <w:r>
            <w:t>Table of Contents</w:t>
          </w:r>
        </w:p>
        <w:p w14:paraId="67F4B672" w14:textId="24035B8E" w:rsidR="00A75170" w:rsidRDefault="00A75170">
          <w:pPr>
            <w:pStyle w:val="TOC1"/>
            <w:tabs>
              <w:tab w:val="right" w:leader="dot" w:pos="9016"/>
            </w:tabs>
            <w:rPr>
              <w:rFonts w:eastAsiaTheme="minorEastAsia"/>
              <w:noProof/>
              <w:lang/>
            </w:rPr>
          </w:pPr>
          <w:r>
            <w:fldChar w:fldCharType="begin"/>
          </w:r>
          <w:r>
            <w:instrText xml:space="preserve"> TOC \o "1-3" \h \z \u </w:instrText>
          </w:r>
          <w:r>
            <w:fldChar w:fldCharType="separate"/>
          </w:r>
          <w:hyperlink w:anchor="_Toc232291865" w:history="1">
            <w:r w:rsidRPr="003010D5">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_Toc232291865 \h </w:instrText>
            </w:r>
            <w:r>
              <w:rPr>
                <w:noProof/>
                <w:webHidden/>
              </w:rPr>
            </w:r>
            <w:r>
              <w:rPr>
                <w:noProof/>
                <w:webHidden/>
              </w:rPr>
              <w:fldChar w:fldCharType="separate"/>
            </w:r>
            <w:r>
              <w:rPr>
                <w:noProof/>
                <w:webHidden/>
              </w:rPr>
              <w:t>3</w:t>
            </w:r>
            <w:r>
              <w:rPr>
                <w:noProof/>
                <w:webHidden/>
              </w:rPr>
              <w:fldChar w:fldCharType="end"/>
            </w:r>
          </w:hyperlink>
        </w:p>
        <w:p w14:paraId="32081E1D" w14:textId="3DDEE24F" w:rsidR="00A75170" w:rsidRDefault="00A75170">
          <w:pPr>
            <w:pStyle w:val="TOC1"/>
            <w:tabs>
              <w:tab w:val="right" w:leader="dot" w:pos="9016"/>
            </w:tabs>
            <w:rPr>
              <w:rFonts w:eastAsiaTheme="minorEastAsia"/>
              <w:noProof/>
              <w:lang/>
            </w:rPr>
          </w:pPr>
          <w:hyperlink w:anchor="_Toc232291866" w:history="1">
            <w:r w:rsidRPr="003010D5">
              <w:rPr>
                <w:rStyle w:val="Hyperlink"/>
                <w:rFonts w:ascii="Arial" w:eastAsia="Arial" w:hAnsi="Arial" w:cs="Arial"/>
                <w:b/>
                <w:bCs/>
                <w:noProof/>
              </w:rPr>
              <w:t>Section 1: Structure of the Respiratory System and Mechanical Respiration</w:t>
            </w:r>
            <w:r>
              <w:rPr>
                <w:noProof/>
                <w:webHidden/>
              </w:rPr>
              <w:tab/>
            </w:r>
            <w:r>
              <w:rPr>
                <w:noProof/>
                <w:webHidden/>
              </w:rPr>
              <w:fldChar w:fldCharType="begin"/>
            </w:r>
            <w:r>
              <w:rPr>
                <w:noProof/>
                <w:webHidden/>
              </w:rPr>
              <w:instrText xml:space="preserve"> PAGEREF _Toc232291866 \h </w:instrText>
            </w:r>
            <w:r>
              <w:rPr>
                <w:noProof/>
                <w:webHidden/>
              </w:rPr>
            </w:r>
            <w:r>
              <w:rPr>
                <w:noProof/>
                <w:webHidden/>
              </w:rPr>
              <w:fldChar w:fldCharType="separate"/>
            </w:r>
            <w:r>
              <w:rPr>
                <w:noProof/>
                <w:webHidden/>
              </w:rPr>
              <w:t>3</w:t>
            </w:r>
            <w:r>
              <w:rPr>
                <w:noProof/>
                <w:webHidden/>
              </w:rPr>
              <w:fldChar w:fldCharType="end"/>
            </w:r>
          </w:hyperlink>
        </w:p>
        <w:p w14:paraId="7C780B2F" w14:textId="31F8438E" w:rsidR="00A75170" w:rsidRDefault="00A75170">
          <w:pPr>
            <w:pStyle w:val="TOC1"/>
            <w:tabs>
              <w:tab w:val="right" w:leader="dot" w:pos="9016"/>
            </w:tabs>
            <w:rPr>
              <w:rFonts w:eastAsiaTheme="minorEastAsia"/>
              <w:noProof/>
              <w:lang/>
            </w:rPr>
          </w:pPr>
          <w:hyperlink w:anchor="_Toc232291867" w:history="1">
            <w:r w:rsidRPr="003010D5">
              <w:rPr>
                <w:rStyle w:val="Hyperlink"/>
                <w:rFonts w:ascii="Arial" w:eastAsia="Arial" w:hAnsi="Arial" w:cs="Arial"/>
                <w:b/>
                <w:bCs/>
                <w:noProof/>
              </w:rPr>
              <w:t>Section 2: Gas Exchange in the Lungs</w:t>
            </w:r>
            <w:r>
              <w:rPr>
                <w:noProof/>
                <w:webHidden/>
              </w:rPr>
              <w:tab/>
            </w:r>
            <w:r>
              <w:rPr>
                <w:noProof/>
                <w:webHidden/>
              </w:rPr>
              <w:fldChar w:fldCharType="begin"/>
            </w:r>
            <w:r>
              <w:rPr>
                <w:noProof/>
                <w:webHidden/>
              </w:rPr>
              <w:instrText xml:space="preserve"> PAGEREF _Toc232291867 \h </w:instrText>
            </w:r>
            <w:r>
              <w:rPr>
                <w:noProof/>
                <w:webHidden/>
              </w:rPr>
            </w:r>
            <w:r>
              <w:rPr>
                <w:noProof/>
                <w:webHidden/>
              </w:rPr>
              <w:fldChar w:fldCharType="separate"/>
            </w:r>
            <w:r>
              <w:rPr>
                <w:noProof/>
                <w:webHidden/>
              </w:rPr>
              <w:t>5</w:t>
            </w:r>
            <w:r>
              <w:rPr>
                <w:noProof/>
                <w:webHidden/>
              </w:rPr>
              <w:fldChar w:fldCharType="end"/>
            </w:r>
          </w:hyperlink>
        </w:p>
        <w:p w14:paraId="2452034F" w14:textId="6EE39AD8" w:rsidR="00A75170" w:rsidRDefault="00A75170">
          <w:pPr>
            <w:pStyle w:val="TOC1"/>
            <w:tabs>
              <w:tab w:val="right" w:leader="dot" w:pos="9016"/>
            </w:tabs>
            <w:rPr>
              <w:rFonts w:eastAsiaTheme="minorEastAsia"/>
              <w:noProof/>
              <w:lang/>
            </w:rPr>
          </w:pPr>
          <w:hyperlink w:anchor="_Toc232291868" w:history="1">
            <w:r w:rsidRPr="003010D5">
              <w:rPr>
                <w:rStyle w:val="Hyperlink"/>
                <w:rFonts w:ascii="Arial" w:eastAsia="Arial" w:hAnsi="Arial" w:cs="Arial"/>
                <w:b/>
                <w:bCs/>
                <w:noProof/>
              </w:rPr>
              <w:t>Section 3: Pathophysiology of Asthma — Irritants, Inflammation, and Impact on Respiration</w:t>
            </w:r>
            <w:r>
              <w:rPr>
                <w:noProof/>
                <w:webHidden/>
              </w:rPr>
              <w:tab/>
            </w:r>
            <w:r>
              <w:rPr>
                <w:noProof/>
                <w:webHidden/>
              </w:rPr>
              <w:fldChar w:fldCharType="begin"/>
            </w:r>
            <w:r>
              <w:rPr>
                <w:noProof/>
                <w:webHidden/>
              </w:rPr>
              <w:instrText xml:space="preserve"> PAGEREF _Toc232291868 \h </w:instrText>
            </w:r>
            <w:r>
              <w:rPr>
                <w:noProof/>
                <w:webHidden/>
              </w:rPr>
            </w:r>
            <w:r>
              <w:rPr>
                <w:noProof/>
                <w:webHidden/>
              </w:rPr>
              <w:fldChar w:fldCharType="separate"/>
            </w:r>
            <w:r>
              <w:rPr>
                <w:noProof/>
                <w:webHidden/>
              </w:rPr>
              <w:t>6</w:t>
            </w:r>
            <w:r>
              <w:rPr>
                <w:noProof/>
                <w:webHidden/>
              </w:rPr>
              <w:fldChar w:fldCharType="end"/>
            </w:r>
          </w:hyperlink>
        </w:p>
        <w:p w14:paraId="7955C3A4" w14:textId="725F13C9" w:rsidR="00A75170" w:rsidRDefault="00A75170">
          <w:pPr>
            <w:pStyle w:val="TOC1"/>
            <w:tabs>
              <w:tab w:val="right" w:leader="dot" w:pos="9016"/>
            </w:tabs>
            <w:rPr>
              <w:rFonts w:eastAsiaTheme="minorEastAsia"/>
              <w:noProof/>
              <w:lang/>
            </w:rPr>
          </w:pPr>
          <w:hyperlink w:anchor="_Toc232291869" w:history="1">
            <w:r w:rsidRPr="003010D5">
              <w:rPr>
                <w:rStyle w:val="Hyperlink"/>
                <w:rFonts w:ascii="Arial" w:hAnsi="Arial" w:cs="Arial"/>
                <w:b/>
                <w:bCs/>
                <w:noProof/>
              </w:rPr>
              <w:t>Section 4: Monitoring and Tracking Respiratory Function - The Peak Flow.</w:t>
            </w:r>
            <w:r>
              <w:rPr>
                <w:noProof/>
                <w:webHidden/>
              </w:rPr>
              <w:tab/>
            </w:r>
            <w:r>
              <w:rPr>
                <w:noProof/>
                <w:webHidden/>
              </w:rPr>
              <w:fldChar w:fldCharType="begin"/>
            </w:r>
            <w:r>
              <w:rPr>
                <w:noProof/>
                <w:webHidden/>
              </w:rPr>
              <w:instrText xml:space="preserve"> PAGEREF _Toc232291869 \h </w:instrText>
            </w:r>
            <w:r>
              <w:rPr>
                <w:noProof/>
                <w:webHidden/>
              </w:rPr>
            </w:r>
            <w:r>
              <w:rPr>
                <w:noProof/>
                <w:webHidden/>
              </w:rPr>
              <w:fldChar w:fldCharType="separate"/>
            </w:r>
            <w:r>
              <w:rPr>
                <w:noProof/>
                <w:webHidden/>
              </w:rPr>
              <w:t>7</w:t>
            </w:r>
            <w:r>
              <w:rPr>
                <w:noProof/>
                <w:webHidden/>
              </w:rPr>
              <w:fldChar w:fldCharType="end"/>
            </w:r>
          </w:hyperlink>
        </w:p>
        <w:p w14:paraId="6A3F5187" w14:textId="406ADDEB" w:rsidR="00A75170" w:rsidRDefault="00A75170">
          <w:pPr>
            <w:pStyle w:val="TOC1"/>
            <w:tabs>
              <w:tab w:val="right" w:leader="dot" w:pos="9016"/>
            </w:tabs>
            <w:rPr>
              <w:rFonts w:eastAsiaTheme="minorEastAsia"/>
              <w:noProof/>
              <w:lang/>
            </w:rPr>
          </w:pPr>
          <w:hyperlink w:anchor="_Toc232291870" w:history="1">
            <w:r w:rsidRPr="003010D5">
              <w:rPr>
                <w:rStyle w:val="Hyperlink"/>
                <w:rFonts w:ascii="Arial" w:eastAsia="Arial" w:hAnsi="Arial" w:cs="Arial"/>
                <w:b/>
                <w:bCs/>
                <w:noProof/>
              </w:rPr>
              <w:t>Section 5: Evidence-Based Lifestyle Recommendations</w:t>
            </w:r>
            <w:r>
              <w:rPr>
                <w:noProof/>
                <w:webHidden/>
              </w:rPr>
              <w:tab/>
            </w:r>
            <w:r>
              <w:rPr>
                <w:noProof/>
                <w:webHidden/>
              </w:rPr>
              <w:fldChar w:fldCharType="begin"/>
            </w:r>
            <w:r>
              <w:rPr>
                <w:noProof/>
                <w:webHidden/>
              </w:rPr>
              <w:instrText xml:space="preserve"> PAGEREF _Toc232291870 \h </w:instrText>
            </w:r>
            <w:r>
              <w:rPr>
                <w:noProof/>
                <w:webHidden/>
              </w:rPr>
            </w:r>
            <w:r>
              <w:rPr>
                <w:noProof/>
                <w:webHidden/>
              </w:rPr>
              <w:fldChar w:fldCharType="separate"/>
            </w:r>
            <w:r>
              <w:rPr>
                <w:noProof/>
                <w:webHidden/>
              </w:rPr>
              <w:t>8</w:t>
            </w:r>
            <w:r>
              <w:rPr>
                <w:noProof/>
                <w:webHidden/>
              </w:rPr>
              <w:fldChar w:fldCharType="end"/>
            </w:r>
          </w:hyperlink>
        </w:p>
        <w:p w14:paraId="1A279810" w14:textId="2C9AB81A" w:rsidR="00A75170" w:rsidRDefault="00A75170">
          <w:pPr>
            <w:pStyle w:val="TOC1"/>
            <w:tabs>
              <w:tab w:val="right" w:leader="dot" w:pos="9016"/>
            </w:tabs>
            <w:rPr>
              <w:rFonts w:eastAsiaTheme="minorEastAsia"/>
              <w:noProof/>
              <w:lang/>
            </w:rPr>
          </w:pPr>
          <w:hyperlink w:anchor="_Toc232291871" w:history="1">
            <w:r w:rsidRPr="003010D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_Toc232291871 \h </w:instrText>
            </w:r>
            <w:r>
              <w:rPr>
                <w:noProof/>
                <w:webHidden/>
              </w:rPr>
            </w:r>
            <w:r>
              <w:rPr>
                <w:noProof/>
                <w:webHidden/>
              </w:rPr>
              <w:fldChar w:fldCharType="separate"/>
            </w:r>
            <w:r>
              <w:rPr>
                <w:noProof/>
                <w:webHidden/>
              </w:rPr>
              <w:t>9</w:t>
            </w:r>
            <w:r>
              <w:rPr>
                <w:noProof/>
                <w:webHidden/>
              </w:rPr>
              <w:fldChar w:fldCharType="end"/>
            </w:r>
          </w:hyperlink>
        </w:p>
        <w:p w14:paraId="7C01667D" w14:textId="57275D39" w:rsidR="00A75170" w:rsidRDefault="00A75170">
          <w:pPr>
            <w:pStyle w:val="TOC1"/>
            <w:tabs>
              <w:tab w:val="right" w:leader="dot" w:pos="9016"/>
            </w:tabs>
            <w:rPr>
              <w:rFonts w:eastAsiaTheme="minorEastAsia"/>
              <w:noProof/>
              <w:lang/>
            </w:rPr>
          </w:pPr>
          <w:hyperlink w:anchor="_Toc232291872" w:history="1">
            <w:r w:rsidRPr="003010D5">
              <w:rPr>
                <w:rStyle w:val="Hyperlink"/>
                <w:rFonts w:ascii="Arial" w:eastAsia="Arial" w:hAnsi="Arial" w:cs="Arial"/>
                <w:b/>
                <w:bCs/>
                <w:noProof/>
              </w:rPr>
              <w:t>Reference List</w:t>
            </w:r>
            <w:r>
              <w:rPr>
                <w:noProof/>
                <w:webHidden/>
              </w:rPr>
              <w:tab/>
            </w:r>
            <w:r>
              <w:rPr>
                <w:noProof/>
                <w:webHidden/>
              </w:rPr>
              <w:fldChar w:fldCharType="begin"/>
            </w:r>
            <w:r>
              <w:rPr>
                <w:noProof/>
                <w:webHidden/>
              </w:rPr>
              <w:instrText xml:space="preserve"> PAGEREF _Toc232291872 \h </w:instrText>
            </w:r>
            <w:r>
              <w:rPr>
                <w:noProof/>
                <w:webHidden/>
              </w:rPr>
            </w:r>
            <w:r>
              <w:rPr>
                <w:noProof/>
                <w:webHidden/>
              </w:rPr>
              <w:fldChar w:fldCharType="separate"/>
            </w:r>
            <w:r>
              <w:rPr>
                <w:noProof/>
                <w:webHidden/>
              </w:rPr>
              <w:t>10</w:t>
            </w:r>
            <w:r>
              <w:rPr>
                <w:noProof/>
                <w:webHidden/>
              </w:rPr>
              <w:fldChar w:fldCharType="end"/>
            </w:r>
          </w:hyperlink>
        </w:p>
        <w:p w14:paraId="0AE81BAA" w14:textId="5CC5D0F4" w:rsidR="00A75170" w:rsidRDefault="00A75170">
          <w:r>
            <w:rPr>
              <w:b/>
              <w:bCs/>
              <w:noProof/>
            </w:rPr>
            <w:fldChar w:fldCharType="end"/>
          </w:r>
        </w:p>
      </w:sdtContent>
    </w:sdt>
    <w:p w14:paraId="2717D207" w14:textId="77777777" w:rsidR="00A75170" w:rsidRPr="00966BA5" w:rsidRDefault="00A75170" w:rsidP="00A75170">
      <w:pPr>
        <w:spacing w:after="120" w:line="360" w:lineRule="auto"/>
        <w:jc w:val="center"/>
        <w:rPr>
          <w:rFonts w:ascii="Arial" w:hAnsi="Arial" w:cs="Arial"/>
          <w:b/>
          <w:bCs/>
        </w:rPr>
      </w:pPr>
    </w:p>
    <w:p w14:paraId="4FC4C859" w14:textId="77777777" w:rsidR="00A75170" w:rsidRDefault="00A75170" w:rsidP="00A75170"/>
    <w:p w14:paraId="768F90C9" w14:textId="77777777" w:rsidR="00A75170" w:rsidRDefault="00A75170" w:rsidP="00A75170"/>
    <w:p w14:paraId="48F65C8C" w14:textId="77777777" w:rsidR="00A75170" w:rsidRDefault="00A75170">
      <w:pPr>
        <w:rPr>
          <w:rFonts w:ascii="Arial" w:eastAsiaTheme="majorEastAsia" w:hAnsi="Arial" w:cs="Arial"/>
          <w:b/>
          <w:bCs/>
        </w:rPr>
      </w:pPr>
      <w:r>
        <w:rPr>
          <w:rFonts w:ascii="Arial" w:hAnsi="Arial" w:cs="Arial"/>
          <w:b/>
          <w:bCs/>
        </w:rPr>
        <w:br w:type="page"/>
      </w:r>
    </w:p>
    <w:p w14:paraId="32C6955D" w14:textId="0F6FA414" w:rsidR="00B40DE8" w:rsidRPr="006256B7" w:rsidRDefault="00B40DE8" w:rsidP="006256B7">
      <w:pPr>
        <w:pStyle w:val="Heading1"/>
        <w:spacing w:line="360" w:lineRule="auto"/>
        <w:jc w:val="both"/>
        <w:rPr>
          <w:rFonts w:ascii="Arial" w:hAnsi="Arial" w:cs="Arial"/>
          <w:b/>
          <w:bCs/>
          <w:color w:val="auto"/>
          <w:sz w:val="22"/>
          <w:szCs w:val="22"/>
        </w:rPr>
      </w:pPr>
      <w:bookmarkStart w:id="0" w:name="_Toc232291865"/>
      <w:r w:rsidRPr="006256B7">
        <w:rPr>
          <w:rFonts w:ascii="Arial" w:hAnsi="Arial" w:cs="Arial"/>
          <w:b/>
          <w:bCs/>
          <w:color w:val="auto"/>
          <w:sz w:val="22"/>
          <w:szCs w:val="22"/>
        </w:rPr>
        <w:lastRenderedPageBreak/>
        <w:t>Introduction</w:t>
      </w:r>
      <w:bookmarkEnd w:id="0"/>
    </w:p>
    <w:p w14:paraId="075CD7AC" w14:textId="77777777" w:rsidR="00B40DE8" w:rsidRPr="006256B7" w:rsidRDefault="00B40DE8" w:rsidP="006256B7">
      <w:pPr>
        <w:spacing w:line="360" w:lineRule="auto"/>
        <w:jc w:val="both"/>
        <w:rPr>
          <w:rFonts w:ascii="Arial" w:hAnsi="Arial" w:cs="Arial"/>
        </w:rPr>
      </w:pPr>
      <w:r w:rsidRPr="006256B7">
        <w:rPr>
          <w:rFonts w:ascii="Arial" w:hAnsi="Arial" w:cs="Arial"/>
        </w:rPr>
        <w:t>Asthma is a long-term inflammatory condition of the airways that is associated with recurring symptoms of wheezing, shortness of breath, chest tightness and coughing (Global Initiative for Asthma, 2023). These symptoms are caused by bronchospasm (narrowing of the bronchioles by contraction of the smooth muscle wall); swelling of the lining of the bronchioles; and the production of more mucus, which further narrows the bronchioles and reduces the flow of air (Asthma + Lung UK, 2023). At present there are 5.4 million people in the UK receiving treatment for their asthma, and young people are especially vulnerable when they make the transition from childhood to adult life (Asthma + Lung UK, 2023).</w:t>
      </w:r>
    </w:p>
    <w:p w14:paraId="0FCA8E85" w14:textId="77777777" w:rsidR="00B40DE8" w:rsidRPr="006256B7" w:rsidRDefault="00B40DE8" w:rsidP="006256B7">
      <w:pPr>
        <w:spacing w:line="360" w:lineRule="auto"/>
        <w:jc w:val="both"/>
        <w:rPr>
          <w:rFonts w:ascii="Arial" w:hAnsi="Arial" w:cs="Arial"/>
        </w:rPr>
      </w:pPr>
      <w:r w:rsidRPr="006256B7">
        <w:rPr>
          <w:rFonts w:ascii="Arial" w:hAnsi="Arial" w:cs="Arial"/>
        </w:rPr>
        <w:t>Asthma risk factors are multifactorial, between the genetic and environmental factors. Family history of atopy - eczema and allergic rhinitis - has a significant role in making an individual susceptible (Barnes, 2008). The environment triggers include allergens including house dust mites, animal dander, mould and pollen (NICE, 2017). Lifestyle factors are equally important, especially in adolescents: exposure to tobacco smoke (including second-hand smoke), vaping aerosols and air pollutants have been seen to trigger and exacerbate the condition (McNeill et al., 2022). Frequent causes of acute exacerbations in this age group are respiratory tract infections, such as influenza and rhinovirus (Johnston et al., 1995).</w:t>
      </w:r>
    </w:p>
    <w:p w14:paraId="68CA3E29" w14:textId="77777777" w:rsidR="00B40DE8" w:rsidRPr="006256B7" w:rsidRDefault="00B40DE8" w:rsidP="006256B7">
      <w:pPr>
        <w:spacing w:line="360" w:lineRule="auto"/>
        <w:jc w:val="both"/>
        <w:rPr>
          <w:rFonts w:ascii="Arial" w:hAnsi="Arial" w:cs="Arial"/>
        </w:rPr>
      </w:pPr>
      <w:r w:rsidRPr="006256B7">
        <w:rPr>
          <w:rFonts w:ascii="Arial" w:hAnsi="Arial" w:cs="Arial"/>
        </w:rPr>
        <w:t>The purpose of this report is to help adolescent asthma patients understand what the respiratory system is, the physiology of asthma, why it is important to keep track of respiratory function and ways to make lifestyle changes that decreases exacerbations and enhances the quality of life.</w:t>
      </w:r>
    </w:p>
    <w:p w14:paraId="381FFD47" w14:textId="0D9753C1" w:rsidR="00B40DE8" w:rsidRPr="00B37AA8" w:rsidRDefault="00B40DE8" w:rsidP="00B37AA8">
      <w:pPr>
        <w:pStyle w:val="Heading1"/>
        <w:spacing w:line="360" w:lineRule="auto"/>
        <w:jc w:val="both"/>
        <w:rPr>
          <w:rFonts w:ascii="Arial" w:eastAsia="Arial" w:hAnsi="Arial" w:cs="Arial"/>
          <w:b/>
          <w:bCs/>
          <w:color w:val="auto"/>
          <w:sz w:val="22"/>
          <w:szCs w:val="22"/>
        </w:rPr>
      </w:pPr>
      <w:bookmarkStart w:id="1" w:name="_Toc232291866"/>
      <w:r w:rsidRPr="006256B7">
        <w:rPr>
          <w:rFonts w:ascii="Arial" w:eastAsia="Arial" w:hAnsi="Arial" w:cs="Arial"/>
          <w:b/>
          <w:bCs/>
          <w:color w:val="auto"/>
          <w:sz w:val="22"/>
          <w:szCs w:val="22"/>
        </w:rPr>
        <w:t>Section 1: Structure of the Respiratory System and Mechanical Respiration</w:t>
      </w:r>
      <w:bookmarkEnd w:id="1"/>
    </w:p>
    <w:p w14:paraId="1CA162F8" w14:textId="6CA4A805" w:rsidR="00B40DE8" w:rsidRPr="006256B7" w:rsidRDefault="00B40DE8" w:rsidP="006256B7">
      <w:pPr>
        <w:spacing w:line="360" w:lineRule="auto"/>
        <w:jc w:val="both"/>
        <w:rPr>
          <w:rFonts w:ascii="Arial" w:hAnsi="Arial" w:cs="Arial"/>
        </w:rPr>
      </w:pPr>
      <w:r w:rsidRPr="006256B7">
        <w:rPr>
          <w:rFonts w:ascii="Arial" w:hAnsi="Arial" w:cs="Arial"/>
        </w:rPr>
        <w:t>The respiratory system has been divided into upper and lower respiratory tract (Waugh and Grant, 2022). The upper tract - which is the nasal cavity, pharynx, and larynx - filters, warms and humidifies air inhaled, and it passes to the lungs. The lower tract consists of the wind pipe (trachea), wind pipes (bronchi), smallest wind pipes (bronchioles) and the atom sized air bags (alveoli) which are the functional units of gas exchange.</w:t>
      </w:r>
    </w:p>
    <w:p w14:paraId="62E61F5F" w14:textId="526D14BB" w:rsidR="00680D8C" w:rsidRPr="006256B7" w:rsidRDefault="00B40DE8" w:rsidP="006256B7">
      <w:pPr>
        <w:spacing w:line="360" w:lineRule="auto"/>
        <w:jc w:val="both"/>
        <w:rPr>
          <w:rFonts w:ascii="Arial" w:hAnsi="Arial" w:cs="Arial"/>
        </w:rPr>
      </w:pPr>
      <w:r w:rsidRPr="006256B7">
        <w:rPr>
          <w:rFonts w:ascii="Arial" w:hAnsi="Arial" w:cs="Arial"/>
        </w:rPr>
        <w:t>The carina is where the trachea splits into the right and left primary bronchi that in their turn lead to the secondary and tertiary bronchi, and then to smaller and smaller bronchioles. Bronchioles do not have cartilage, unlike bronchi and are habitually enclosed by smooth muscle, which is especially prone to spasm (Marieb and Hoehn, 2019). Bronchial endings give way to the alveoli - thin-walled tubes with type I pneumocytes, which are capable of diffusion of gases, and type II pneumocytes producing surfactant: a phospholipid molecule that decreases the surface tension and prevents the alveolar collapse (Tortora and Derrickson, 2017). This is shown in the structure pathway below (Figure 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826"/>
        <w:gridCol w:w="2600"/>
      </w:tblGrid>
      <w:tr w:rsidR="006256B7" w:rsidRPr="006256B7" w14:paraId="101D6FF1"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314E6A5C"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lastRenderedPageBreak/>
              <w:t>Upper Respiratory Tract</w:t>
            </w:r>
          </w:p>
          <w:p w14:paraId="28532603"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Filters, warms &amp; humidifies air</w:t>
            </w:r>
          </w:p>
        </w:tc>
        <w:tc>
          <w:tcPr>
            <w:tcW w:w="3826" w:type="dxa"/>
            <w:tcBorders>
              <w:top w:val="single" w:sz="1" w:space="0" w:color="AAAAAA"/>
              <w:left w:val="single" w:sz="1" w:space="0" w:color="AAAAAA"/>
              <w:bottom w:val="single" w:sz="1" w:space="0" w:color="AAAAAA"/>
              <w:right w:val="single" w:sz="1" w:space="0" w:color="AAAAAA"/>
            </w:tcBorders>
            <w:shd w:val="clear" w:color="auto" w:fill="D6EAF8"/>
            <w:tcMar>
              <w:top w:w="60" w:type="dxa"/>
              <w:left w:w="120" w:type="dxa"/>
              <w:bottom w:w="60" w:type="dxa"/>
              <w:right w:w="120" w:type="dxa"/>
            </w:tcMar>
            <w:vAlign w:val="center"/>
          </w:tcPr>
          <w:p w14:paraId="18E60BB9"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NASAL CAVITY &amp; PHARYNX</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4C5C6863" w14:textId="77777777" w:rsidR="00680D8C" w:rsidRPr="006256B7" w:rsidRDefault="00680D8C" w:rsidP="006256B7">
            <w:pPr>
              <w:spacing w:line="360" w:lineRule="auto"/>
              <w:jc w:val="center"/>
              <w:rPr>
                <w:rFonts w:ascii="Arial" w:hAnsi="Arial" w:cs="Arial"/>
              </w:rPr>
            </w:pPr>
          </w:p>
        </w:tc>
      </w:tr>
      <w:tr w:rsidR="006256B7" w:rsidRPr="006256B7" w14:paraId="1C5EAA36" w14:textId="77777777" w:rsidTr="000E1CE2">
        <w:tc>
          <w:tcPr>
            <w:tcW w:w="2600" w:type="dxa"/>
            <w:tcBorders>
              <w:top w:val="none" w:sz="0" w:space="0" w:color="FFFFFF"/>
              <w:left w:val="none" w:sz="0" w:space="0" w:color="FFFFFF"/>
              <w:bottom w:val="none" w:sz="0" w:space="0" w:color="FFFFFF"/>
              <w:right w:val="none" w:sz="0" w:space="0" w:color="FFFFFF"/>
            </w:tcBorders>
          </w:tcPr>
          <w:p w14:paraId="545C1916"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6C3B4518"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38D69D55" w14:textId="77777777" w:rsidR="00680D8C" w:rsidRPr="006256B7" w:rsidRDefault="00680D8C" w:rsidP="006256B7">
            <w:pPr>
              <w:spacing w:line="360" w:lineRule="auto"/>
              <w:jc w:val="center"/>
              <w:rPr>
                <w:rFonts w:ascii="Arial" w:hAnsi="Arial" w:cs="Arial"/>
              </w:rPr>
            </w:pPr>
          </w:p>
        </w:tc>
      </w:tr>
      <w:tr w:rsidR="006256B7" w:rsidRPr="006256B7" w14:paraId="6B83F323"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76B49568" w14:textId="77777777" w:rsidR="00680D8C" w:rsidRPr="006256B7" w:rsidRDefault="00680D8C" w:rsidP="006256B7">
            <w:pPr>
              <w:spacing w:line="360" w:lineRule="auto"/>
              <w:jc w:val="center"/>
              <w:rPr>
                <w:rFonts w:ascii="Arial" w:hAnsi="Arial" w:cs="Arial"/>
              </w:rPr>
            </w:pPr>
          </w:p>
        </w:tc>
        <w:tc>
          <w:tcPr>
            <w:tcW w:w="3826" w:type="dxa"/>
            <w:tcBorders>
              <w:top w:val="single" w:sz="1" w:space="0" w:color="AAAAAA"/>
              <w:left w:val="single" w:sz="1" w:space="0" w:color="AAAAAA"/>
              <w:bottom w:val="single" w:sz="1" w:space="0" w:color="AAAAAA"/>
              <w:right w:val="single" w:sz="1" w:space="0" w:color="AAAAAA"/>
            </w:tcBorders>
            <w:shd w:val="clear" w:color="auto" w:fill="D6EAF8"/>
            <w:tcMar>
              <w:top w:w="60" w:type="dxa"/>
              <w:left w:w="120" w:type="dxa"/>
              <w:bottom w:w="60" w:type="dxa"/>
              <w:right w:w="120" w:type="dxa"/>
            </w:tcMar>
            <w:vAlign w:val="center"/>
          </w:tcPr>
          <w:p w14:paraId="08D4B50A"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LARYNX</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6331F6A7"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Epiglottis prevents</w:t>
            </w:r>
          </w:p>
          <w:p w14:paraId="0ED06373"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aspiration</w:t>
            </w:r>
          </w:p>
        </w:tc>
      </w:tr>
      <w:tr w:rsidR="006256B7" w:rsidRPr="006256B7" w14:paraId="49E4F803" w14:textId="77777777" w:rsidTr="000E1CE2">
        <w:tc>
          <w:tcPr>
            <w:tcW w:w="2600" w:type="dxa"/>
            <w:tcBorders>
              <w:top w:val="none" w:sz="0" w:space="0" w:color="FFFFFF"/>
              <w:left w:val="none" w:sz="0" w:space="0" w:color="FFFFFF"/>
              <w:bottom w:val="none" w:sz="0" w:space="0" w:color="FFFFFF"/>
              <w:right w:val="none" w:sz="0" w:space="0" w:color="FFFFFF"/>
            </w:tcBorders>
          </w:tcPr>
          <w:p w14:paraId="4013870B"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48307841"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0682257E" w14:textId="77777777" w:rsidR="00680D8C" w:rsidRPr="006256B7" w:rsidRDefault="00680D8C" w:rsidP="006256B7">
            <w:pPr>
              <w:spacing w:line="360" w:lineRule="auto"/>
              <w:jc w:val="center"/>
              <w:rPr>
                <w:rFonts w:ascii="Arial" w:hAnsi="Arial" w:cs="Arial"/>
              </w:rPr>
            </w:pPr>
          </w:p>
        </w:tc>
      </w:tr>
      <w:tr w:rsidR="006256B7" w:rsidRPr="006256B7" w14:paraId="28DA96ED"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700B6F7E"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Lower Respiratory Tract</w:t>
            </w:r>
          </w:p>
          <w:p w14:paraId="01C11DE7"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Conducts air to lungs</w:t>
            </w:r>
          </w:p>
        </w:tc>
        <w:tc>
          <w:tcPr>
            <w:tcW w:w="3826" w:type="dxa"/>
            <w:tcBorders>
              <w:top w:val="single" w:sz="1" w:space="0" w:color="AAAAAA"/>
              <w:left w:val="single" w:sz="1" w:space="0" w:color="AAAAAA"/>
              <w:bottom w:val="single" w:sz="1" w:space="0" w:color="AAAAAA"/>
              <w:right w:val="single" w:sz="1" w:space="0" w:color="AAAAAA"/>
            </w:tcBorders>
            <w:shd w:val="clear" w:color="auto" w:fill="EBF5FB"/>
            <w:tcMar>
              <w:top w:w="60" w:type="dxa"/>
              <w:left w:w="120" w:type="dxa"/>
              <w:bottom w:w="60" w:type="dxa"/>
              <w:right w:w="120" w:type="dxa"/>
            </w:tcMar>
            <w:vAlign w:val="center"/>
          </w:tcPr>
          <w:p w14:paraId="68A4D466"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TRACHEA</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167530B7" w14:textId="77777777" w:rsidR="00680D8C" w:rsidRPr="006256B7" w:rsidRDefault="00680D8C" w:rsidP="006256B7">
            <w:pPr>
              <w:spacing w:line="360" w:lineRule="auto"/>
              <w:jc w:val="center"/>
              <w:rPr>
                <w:rFonts w:ascii="Arial" w:hAnsi="Arial" w:cs="Arial"/>
              </w:rPr>
            </w:pPr>
          </w:p>
        </w:tc>
      </w:tr>
      <w:tr w:rsidR="006256B7" w:rsidRPr="006256B7" w14:paraId="443DA609" w14:textId="77777777" w:rsidTr="000E1CE2">
        <w:tc>
          <w:tcPr>
            <w:tcW w:w="2600" w:type="dxa"/>
            <w:tcBorders>
              <w:top w:val="none" w:sz="0" w:space="0" w:color="FFFFFF"/>
              <w:left w:val="none" w:sz="0" w:space="0" w:color="FFFFFF"/>
              <w:bottom w:val="none" w:sz="0" w:space="0" w:color="FFFFFF"/>
              <w:right w:val="none" w:sz="0" w:space="0" w:color="FFFFFF"/>
            </w:tcBorders>
          </w:tcPr>
          <w:p w14:paraId="64DCCFA6"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0616ED13"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3891963E" w14:textId="77777777" w:rsidR="00680D8C" w:rsidRPr="006256B7" w:rsidRDefault="00680D8C" w:rsidP="006256B7">
            <w:pPr>
              <w:spacing w:line="360" w:lineRule="auto"/>
              <w:jc w:val="center"/>
              <w:rPr>
                <w:rFonts w:ascii="Arial" w:hAnsi="Arial" w:cs="Arial"/>
              </w:rPr>
            </w:pPr>
          </w:p>
        </w:tc>
      </w:tr>
      <w:tr w:rsidR="006256B7" w:rsidRPr="006256B7" w14:paraId="21733F64"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0C177520" w14:textId="77777777" w:rsidR="00680D8C" w:rsidRPr="006256B7" w:rsidRDefault="00680D8C" w:rsidP="006256B7">
            <w:pPr>
              <w:spacing w:line="360" w:lineRule="auto"/>
              <w:jc w:val="center"/>
              <w:rPr>
                <w:rFonts w:ascii="Arial" w:hAnsi="Arial" w:cs="Arial"/>
              </w:rPr>
            </w:pPr>
          </w:p>
        </w:tc>
        <w:tc>
          <w:tcPr>
            <w:tcW w:w="3826" w:type="dxa"/>
            <w:tcBorders>
              <w:top w:val="single" w:sz="1" w:space="0" w:color="AAAAAA"/>
              <w:left w:val="single" w:sz="1" w:space="0" w:color="AAAAAA"/>
              <w:bottom w:val="single" w:sz="1" w:space="0" w:color="AAAAAA"/>
              <w:right w:val="single" w:sz="1" w:space="0" w:color="AAAAAA"/>
            </w:tcBorders>
            <w:shd w:val="clear" w:color="auto" w:fill="EBF5FB"/>
            <w:tcMar>
              <w:top w:w="60" w:type="dxa"/>
              <w:left w:w="120" w:type="dxa"/>
              <w:bottom w:w="60" w:type="dxa"/>
              <w:right w:w="120" w:type="dxa"/>
            </w:tcMar>
            <w:vAlign w:val="center"/>
          </w:tcPr>
          <w:p w14:paraId="7AF4F588"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PRIMARY BRONCHI (L &amp; R)</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227C695B"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Supported by</w:t>
            </w:r>
          </w:p>
          <w:p w14:paraId="19E280C8"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cartilaginous rings</w:t>
            </w:r>
          </w:p>
        </w:tc>
      </w:tr>
      <w:tr w:rsidR="006256B7" w:rsidRPr="006256B7" w14:paraId="32D53A5D" w14:textId="77777777" w:rsidTr="000E1CE2">
        <w:tc>
          <w:tcPr>
            <w:tcW w:w="2600" w:type="dxa"/>
            <w:tcBorders>
              <w:top w:val="none" w:sz="0" w:space="0" w:color="FFFFFF"/>
              <w:left w:val="none" w:sz="0" w:space="0" w:color="FFFFFF"/>
              <w:bottom w:val="none" w:sz="0" w:space="0" w:color="FFFFFF"/>
              <w:right w:val="none" w:sz="0" w:space="0" w:color="FFFFFF"/>
            </w:tcBorders>
          </w:tcPr>
          <w:p w14:paraId="5D53A4C9"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6CE59B78"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3F8A2C60" w14:textId="77777777" w:rsidR="00680D8C" w:rsidRPr="006256B7" w:rsidRDefault="00680D8C" w:rsidP="006256B7">
            <w:pPr>
              <w:spacing w:line="360" w:lineRule="auto"/>
              <w:jc w:val="center"/>
              <w:rPr>
                <w:rFonts w:ascii="Arial" w:hAnsi="Arial" w:cs="Arial"/>
              </w:rPr>
            </w:pPr>
          </w:p>
        </w:tc>
      </w:tr>
      <w:tr w:rsidR="006256B7" w:rsidRPr="006256B7" w14:paraId="166BBF39"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392CD34F" w14:textId="77777777" w:rsidR="00680D8C" w:rsidRPr="006256B7" w:rsidRDefault="00680D8C" w:rsidP="006256B7">
            <w:pPr>
              <w:spacing w:line="360" w:lineRule="auto"/>
              <w:jc w:val="center"/>
              <w:rPr>
                <w:rFonts w:ascii="Arial" w:hAnsi="Arial" w:cs="Arial"/>
              </w:rPr>
            </w:pPr>
          </w:p>
        </w:tc>
        <w:tc>
          <w:tcPr>
            <w:tcW w:w="3826" w:type="dxa"/>
            <w:tcBorders>
              <w:top w:val="single" w:sz="1" w:space="0" w:color="AAAAAA"/>
              <w:left w:val="single" w:sz="1" w:space="0" w:color="AAAAAA"/>
              <w:bottom w:val="single" w:sz="1" w:space="0" w:color="AAAAAA"/>
              <w:right w:val="single" w:sz="1" w:space="0" w:color="AAAAAA"/>
            </w:tcBorders>
            <w:shd w:val="clear" w:color="auto" w:fill="EBF5FB"/>
            <w:tcMar>
              <w:top w:w="60" w:type="dxa"/>
              <w:left w:w="120" w:type="dxa"/>
              <w:bottom w:w="60" w:type="dxa"/>
              <w:right w:w="120" w:type="dxa"/>
            </w:tcMar>
            <w:vAlign w:val="center"/>
          </w:tcPr>
          <w:p w14:paraId="07B34928"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SECONDARY &amp; TERTIARY BRONCHI</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040A33A4" w14:textId="77777777" w:rsidR="00680D8C" w:rsidRPr="006256B7" w:rsidRDefault="00680D8C" w:rsidP="006256B7">
            <w:pPr>
              <w:spacing w:line="360" w:lineRule="auto"/>
              <w:jc w:val="center"/>
              <w:rPr>
                <w:rFonts w:ascii="Arial" w:hAnsi="Arial" w:cs="Arial"/>
              </w:rPr>
            </w:pPr>
          </w:p>
        </w:tc>
      </w:tr>
      <w:tr w:rsidR="006256B7" w:rsidRPr="006256B7" w14:paraId="46989711" w14:textId="77777777" w:rsidTr="000E1CE2">
        <w:tc>
          <w:tcPr>
            <w:tcW w:w="2600" w:type="dxa"/>
            <w:tcBorders>
              <w:top w:val="none" w:sz="0" w:space="0" w:color="FFFFFF"/>
              <w:left w:val="none" w:sz="0" w:space="0" w:color="FFFFFF"/>
              <w:bottom w:val="none" w:sz="0" w:space="0" w:color="FFFFFF"/>
              <w:right w:val="none" w:sz="0" w:space="0" w:color="FFFFFF"/>
            </w:tcBorders>
          </w:tcPr>
          <w:p w14:paraId="3E939A5D"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3F95C584"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6FC729B9" w14:textId="77777777" w:rsidR="00680D8C" w:rsidRPr="006256B7" w:rsidRDefault="00680D8C" w:rsidP="006256B7">
            <w:pPr>
              <w:spacing w:line="360" w:lineRule="auto"/>
              <w:jc w:val="center"/>
              <w:rPr>
                <w:rFonts w:ascii="Arial" w:hAnsi="Arial" w:cs="Arial"/>
              </w:rPr>
            </w:pPr>
          </w:p>
        </w:tc>
      </w:tr>
      <w:tr w:rsidR="006256B7" w:rsidRPr="006256B7" w14:paraId="22B7EE50"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66E84090"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Smooth muscle (no cartilage)</w:t>
            </w:r>
          </w:p>
          <w:p w14:paraId="7701C8E6"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Susceptible to bronchospasm</w:t>
            </w:r>
          </w:p>
        </w:tc>
        <w:tc>
          <w:tcPr>
            <w:tcW w:w="3826" w:type="dxa"/>
            <w:tcBorders>
              <w:top w:val="single" w:sz="1" w:space="0" w:color="AAAAAA"/>
              <w:left w:val="single" w:sz="1" w:space="0" w:color="AAAAAA"/>
              <w:bottom w:val="single" w:sz="1" w:space="0" w:color="AAAAAA"/>
              <w:right w:val="single" w:sz="1" w:space="0" w:color="AAAAAA"/>
            </w:tcBorders>
            <w:shd w:val="clear" w:color="auto" w:fill="FEF9E7"/>
            <w:tcMar>
              <w:top w:w="60" w:type="dxa"/>
              <w:left w:w="120" w:type="dxa"/>
              <w:bottom w:w="60" w:type="dxa"/>
              <w:right w:w="120" w:type="dxa"/>
            </w:tcMar>
            <w:vAlign w:val="center"/>
          </w:tcPr>
          <w:p w14:paraId="1A8511AC"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BRONCHIOLES</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7E03BF88"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Asthma affects</w:t>
            </w:r>
          </w:p>
          <w:p w14:paraId="70D7D29E"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t>here primarily</w:t>
            </w:r>
          </w:p>
        </w:tc>
      </w:tr>
      <w:tr w:rsidR="006256B7" w:rsidRPr="006256B7" w14:paraId="7AC867DE" w14:textId="77777777" w:rsidTr="000E1CE2">
        <w:tc>
          <w:tcPr>
            <w:tcW w:w="2600" w:type="dxa"/>
            <w:tcBorders>
              <w:top w:val="none" w:sz="0" w:space="0" w:color="FFFFFF"/>
              <w:left w:val="none" w:sz="0" w:space="0" w:color="FFFFFF"/>
              <w:bottom w:val="none" w:sz="0" w:space="0" w:color="FFFFFF"/>
              <w:right w:val="none" w:sz="0" w:space="0" w:color="FFFFFF"/>
            </w:tcBorders>
          </w:tcPr>
          <w:p w14:paraId="053E30BB"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3DE03C37"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5E72F25B" w14:textId="77777777" w:rsidR="00680D8C" w:rsidRPr="006256B7" w:rsidRDefault="00680D8C" w:rsidP="006256B7">
            <w:pPr>
              <w:spacing w:line="360" w:lineRule="auto"/>
              <w:jc w:val="center"/>
              <w:rPr>
                <w:rFonts w:ascii="Arial" w:hAnsi="Arial" w:cs="Arial"/>
              </w:rPr>
            </w:pPr>
          </w:p>
        </w:tc>
      </w:tr>
      <w:tr w:rsidR="006256B7" w:rsidRPr="006256B7" w14:paraId="238B1408"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7545B58B" w14:textId="77777777" w:rsidR="00680D8C" w:rsidRPr="006256B7" w:rsidRDefault="00680D8C" w:rsidP="006256B7">
            <w:pPr>
              <w:spacing w:line="360" w:lineRule="auto"/>
              <w:jc w:val="center"/>
              <w:rPr>
                <w:rFonts w:ascii="Arial" w:hAnsi="Arial" w:cs="Arial"/>
              </w:rPr>
            </w:pPr>
          </w:p>
        </w:tc>
        <w:tc>
          <w:tcPr>
            <w:tcW w:w="3826" w:type="dxa"/>
            <w:tcBorders>
              <w:top w:val="single" w:sz="1" w:space="0" w:color="AAAAAA"/>
              <w:left w:val="single" w:sz="1" w:space="0" w:color="AAAAAA"/>
              <w:bottom w:val="single" w:sz="1" w:space="0" w:color="AAAAAA"/>
              <w:right w:val="single" w:sz="1" w:space="0" w:color="AAAAAA"/>
            </w:tcBorders>
            <w:shd w:val="clear" w:color="auto" w:fill="FEF9E7"/>
            <w:tcMar>
              <w:top w:w="60" w:type="dxa"/>
              <w:left w:w="120" w:type="dxa"/>
              <w:bottom w:w="60" w:type="dxa"/>
              <w:right w:w="120" w:type="dxa"/>
            </w:tcMar>
            <w:vAlign w:val="center"/>
          </w:tcPr>
          <w:p w14:paraId="0E52861E"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TERMINAL BRONCHIOLES</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0EEFE0AD" w14:textId="77777777" w:rsidR="00680D8C" w:rsidRPr="006256B7" w:rsidRDefault="00680D8C" w:rsidP="006256B7">
            <w:pPr>
              <w:spacing w:line="360" w:lineRule="auto"/>
              <w:jc w:val="center"/>
              <w:rPr>
                <w:rFonts w:ascii="Arial" w:hAnsi="Arial" w:cs="Arial"/>
              </w:rPr>
            </w:pPr>
          </w:p>
        </w:tc>
      </w:tr>
      <w:tr w:rsidR="006256B7" w:rsidRPr="006256B7" w14:paraId="5D0E3981" w14:textId="77777777" w:rsidTr="000E1CE2">
        <w:tc>
          <w:tcPr>
            <w:tcW w:w="2600" w:type="dxa"/>
            <w:tcBorders>
              <w:top w:val="none" w:sz="0" w:space="0" w:color="FFFFFF"/>
              <w:left w:val="none" w:sz="0" w:space="0" w:color="FFFFFF"/>
              <w:bottom w:val="none" w:sz="0" w:space="0" w:color="FFFFFF"/>
              <w:right w:val="none" w:sz="0" w:space="0" w:color="FFFFFF"/>
            </w:tcBorders>
          </w:tcPr>
          <w:p w14:paraId="298C3FD0" w14:textId="77777777" w:rsidR="00680D8C" w:rsidRPr="006256B7" w:rsidRDefault="00680D8C" w:rsidP="006256B7">
            <w:pPr>
              <w:spacing w:line="360" w:lineRule="auto"/>
              <w:jc w:val="center"/>
              <w:rPr>
                <w:rFonts w:ascii="Arial" w:hAnsi="Arial" w:cs="Arial"/>
              </w:rPr>
            </w:pPr>
          </w:p>
        </w:tc>
        <w:tc>
          <w:tcPr>
            <w:tcW w:w="3826" w:type="dxa"/>
            <w:tcBorders>
              <w:top w:val="none" w:sz="0" w:space="0" w:color="FFFFFF"/>
              <w:left w:val="none" w:sz="0" w:space="0" w:color="FFFFFF"/>
              <w:bottom w:val="none" w:sz="0" w:space="0" w:color="FFFFFF"/>
              <w:right w:val="none" w:sz="0" w:space="0" w:color="FFFFFF"/>
            </w:tcBorders>
          </w:tcPr>
          <w:p w14:paraId="0478DE4A"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w:t>
            </w:r>
          </w:p>
        </w:tc>
        <w:tc>
          <w:tcPr>
            <w:tcW w:w="2600" w:type="dxa"/>
            <w:tcBorders>
              <w:top w:val="none" w:sz="0" w:space="0" w:color="FFFFFF"/>
              <w:left w:val="none" w:sz="0" w:space="0" w:color="FFFFFF"/>
              <w:bottom w:val="none" w:sz="0" w:space="0" w:color="FFFFFF"/>
              <w:right w:val="none" w:sz="0" w:space="0" w:color="FFFFFF"/>
            </w:tcBorders>
          </w:tcPr>
          <w:p w14:paraId="2BF47A8D" w14:textId="77777777" w:rsidR="00680D8C" w:rsidRPr="006256B7" w:rsidRDefault="00680D8C" w:rsidP="006256B7">
            <w:pPr>
              <w:spacing w:line="360" w:lineRule="auto"/>
              <w:jc w:val="center"/>
              <w:rPr>
                <w:rFonts w:ascii="Arial" w:hAnsi="Arial" w:cs="Arial"/>
              </w:rPr>
            </w:pPr>
          </w:p>
        </w:tc>
      </w:tr>
      <w:tr w:rsidR="006256B7" w:rsidRPr="006256B7" w14:paraId="2DFDA67F" w14:textId="77777777" w:rsidTr="000E1CE2">
        <w:tc>
          <w:tcPr>
            <w:tcW w:w="26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vAlign w:val="center"/>
          </w:tcPr>
          <w:p w14:paraId="05C0F23E"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Type I: gas diffusion</w:t>
            </w:r>
          </w:p>
          <w:p w14:paraId="5619E8F9"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lastRenderedPageBreak/>
              <w:t>Type II: surfactant production</w:t>
            </w:r>
          </w:p>
        </w:tc>
        <w:tc>
          <w:tcPr>
            <w:tcW w:w="3826" w:type="dxa"/>
            <w:tcBorders>
              <w:top w:val="single" w:sz="1" w:space="0" w:color="AAAAAA"/>
              <w:left w:val="single" w:sz="1" w:space="0" w:color="AAAAAA"/>
              <w:bottom w:val="single" w:sz="1" w:space="0" w:color="AAAAAA"/>
              <w:right w:val="single" w:sz="1" w:space="0" w:color="AAAAAA"/>
            </w:tcBorders>
            <w:shd w:val="clear" w:color="auto" w:fill="E9F7EF"/>
            <w:tcMar>
              <w:top w:w="60" w:type="dxa"/>
              <w:left w:w="120" w:type="dxa"/>
              <w:bottom w:w="60" w:type="dxa"/>
              <w:right w:w="120" w:type="dxa"/>
            </w:tcMar>
            <w:vAlign w:val="center"/>
          </w:tcPr>
          <w:p w14:paraId="3B0B77FE"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lastRenderedPageBreak/>
              <w:t>ALVEOLI</w:t>
            </w:r>
          </w:p>
        </w:tc>
        <w:tc>
          <w:tcPr>
            <w:tcW w:w="2600"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vAlign w:val="center"/>
          </w:tcPr>
          <w:p w14:paraId="42071574" w14:textId="77777777" w:rsidR="00680D8C" w:rsidRPr="006256B7" w:rsidRDefault="00680D8C" w:rsidP="006256B7">
            <w:pPr>
              <w:spacing w:line="360" w:lineRule="auto"/>
              <w:jc w:val="center"/>
              <w:rPr>
                <w:rFonts w:ascii="Arial" w:hAnsi="Arial" w:cs="Arial"/>
              </w:rPr>
            </w:pPr>
            <w:r w:rsidRPr="006256B7">
              <w:rPr>
                <w:rFonts w:ascii="Arial" w:eastAsia="Arial" w:hAnsi="Arial" w:cs="Arial"/>
                <w:b/>
                <w:bCs/>
              </w:rPr>
              <w:t>Gas exchange</w:t>
            </w:r>
          </w:p>
          <w:p w14:paraId="24CED63D" w14:textId="77777777" w:rsidR="00680D8C" w:rsidRPr="006256B7" w:rsidRDefault="00680D8C" w:rsidP="006256B7">
            <w:pPr>
              <w:spacing w:line="360" w:lineRule="auto"/>
              <w:jc w:val="center"/>
              <w:rPr>
                <w:rFonts w:ascii="Arial" w:hAnsi="Arial" w:cs="Arial"/>
              </w:rPr>
            </w:pPr>
            <w:r w:rsidRPr="006256B7">
              <w:rPr>
                <w:rFonts w:ascii="Arial" w:eastAsia="Arial" w:hAnsi="Arial" w:cs="Arial"/>
                <w:i/>
                <w:iCs/>
              </w:rPr>
              <w:lastRenderedPageBreak/>
              <w:t>occurs here</w:t>
            </w:r>
          </w:p>
        </w:tc>
      </w:tr>
    </w:tbl>
    <w:p w14:paraId="3B48006F" w14:textId="7A03F040" w:rsidR="00B40DE8" w:rsidRPr="006256B7" w:rsidRDefault="00B40DE8" w:rsidP="006256B7">
      <w:pPr>
        <w:spacing w:line="360" w:lineRule="auto"/>
        <w:jc w:val="both"/>
        <w:rPr>
          <w:rFonts w:ascii="Arial" w:hAnsi="Arial" w:cs="Arial"/>
        </w:rPr>
      </w:pPr>
    </w:p>
    <w:p w14:paraId="6EE39920" w14:textId="77777777" w:rsidR="006256B7" w:rsidRPr="006256B7" w:rsidRDefault="006256B7" w:rsidP="006256B7">
      <w:pPr>
        <w:spacing w:before="80" w:line="360" w:lineRule="auto"/>
        <w:jc w:val="both"/>
        <w:rPr>
          <w:rFonts w:ascii="Arial" w:hAnsi="Arial" w:cs="Arial"/>
        </w:rPr>
      </w:pPr>
      <w:r w:rsidRPr="006256B7">
        <w:rPr>
          <w:rFonts w:ascii="Arial" w:eastAsia="Arial" w:hAnsi="Arial" w:cs="Arial"/>
          <w:b/>
          <w:bCs/>
          <w:i/>
          <w:iCs/>
        </w:rPr>
        <w:t>Figure 1: Structural Organisation of the Respiratory System</w:t>
      </w:r>
      <w:r w:rsidRPr="006256B7">
        <w:rPr>
          <w:rFonts w:ascii="Arial" w:hAnsi="Arial" w:cs="Arial"/>
        </w:rPr>
        <w:t xml:space="preserve"> </w:t>
      </w:r>
    </w:p>
    <w:p w14:paraId="12D5696B" w14:textId="71AC025D" w:rsidR="00B40DE8" w:rsidRPr="006256B7" w:rsidRDefault="00B40DE8" w:rsidP="006256B7">
      <w:pPr>
        <w:spacing w:before="80" w:line="360" w:lineRule="auto"/>
        <w:jc w:val="both"/>
        <w:rPr>
          <w:rFonts w:ascii="Arial" w:hAnsi="Arial" w:cs="Arial"/>
        </w:rPr>
      </w:pPr>
      <w:r w:rsidRPr="006256B7">
        <w:rPr>
          <w:rFonts w:ascii="Arial" w:hAnsi="Arial" w:cs="Arial"/>
        </w:rPr>
        <w:t>Adapted from Waugh and Grant (2022) &amp; Marieb and Hoehn (2019)</w:t>
      </w:r>
    </w:p>
    <w:p w14:paraId="2039E313" w14:textId="77777777" w:rsidR="00B40DE8" w:rsidRPr="006256B7" w:rsidRDefault="00B40DE8" w:rsidP="006256B7">
      <w:pPr>
        <w:spacing w:line="360" w:lineRule="auto"/>
        <w:jc w:val="both"/>
        <w:rPr>
          <w:rFonts w:ascii="Arial" w:hAnsi="Arial" w:cs="Arial"/>
        </w:rPr>
      </w:pPr>
      <w:r w:rsidRPr="006256B7">
        <w:rPr>
          <w:rFonts w:ascii="Arial" w:hAnsi="Arial" w:cs="Arial"/>
        </w:rPr>
        <w:t>There are two phases of mechanical respiration. When inhaling, the diaphragm muscle lowers and flattens out and the external intercostal muscles lift the ribcage, which creates a greater space in the thoracic cavity that decreases the intrapulmonary pressure below the atmospheric pressure and air rushes into the lungs (Waugh and Grant, 2022). These muscles relax during quiet exhalation, and the passive increase in intrapulmonary pressure as a result of the elastic recoil of lung tissue expels air. Forced exhalation - like during an asthma attack - also involves the internal intercostals and abdominal muscles (Marieb and Hoehn, 2019).</w:t>
      </w:r>
    </w:p>
    <w:p w14:paraId="4DE8F5FB" w14:textId="7D316D87" w:rsidR="006256B7" w:rsidRPr="006256B7" w:rsidRDefault="006256B7" w:rsidP="006256B7">
      <w:pPr>
        <w:pStyle w:val="Heading1"/>
        <w:spacing w:line="360" w:lineRule="auto"/>
        <w:jc w:val="both"/>
        <w:rPr>
          <w:rFonts w:ascii="Arial" w:eastAsia="Arial" w:hAnsi="Arial" w:cs="Arial"/>
          <w:b/>
          <w:bCs/>
          <w:color w:val="auto"/>
          <w:sz w:val="22"/>
          <w:szCs w:val="22"/>
        </w:rPr>
      </w:pPr>
      <w:bookmarkStart w:id="2" w:name="_Toc232291867"/>
      <w:r w:rsidRPr="006256B7">
        <w:rPr>
          <w:rFonts w:ascii="Arial" w:eastAsia="Arial" w:hAnsi="Arial" w:cs="Arial"/>
          <w:b/>
          <w:bCs/>
          <w:color w:val="auto"/>
          <w:sz w:val="22"/>
          <w:szCs w:val="22"/>
        </w:rPr>
        <w:t>Section 2: Gas Exchange in the Lungs</w:t>
      </w:r>
      <w:bookmarkEnd w:id="2"/>
    </w:p>
    <w:p w14:paraId="63925F00" w14:textId="5E5A661F" w:rsidR="00B40DE8" w:rsidRPr="006256B7" w:rsidRDefault="00B40DE8" w:rsidP="006256B7">
      <w:pPr>
        <w:spacing w:line="360" w:lineRule="auto"/>
        <w:jc w:val="both"/>
        <w:rPr>
          <w:rFonts w:ascii="Arial" w:hAnsi="Arial" w:cs="Arial"/>
        </w:rPr>
      </w:pPr>
      <w:r w:rsidRPr="006256B7">
        <w:rPr>
          <w:rFonts w:ascii="Arial" w:hAnsi="Arial" w:cs="Arial"/>
        </w:rPr>
        <w:t>The alveoli are the site of gas exchange by diffusion down the partial pressure gradient (Tortora and Derrickson, 2017). Alveolar epithelia, thin interstitial layer, and capillary endothelium make up the respiratory membrane, which is roughly 0.5 micrometres thick; this allows rapid diffusion to occur between the alveolar air and the blood with an estimated surface area of 70m2 in healthy adult (Marieb and Hoehn, 2019). This is a two-way process as shown in figure 2.</w:t>
      </w:r>
    </w:p>
    <w:p w14:paraId="015370D9" w14:textId="5CC3EC7A" w:rsidR="00B40DE8" w:rsidRPr="006256B7" w:rsidRDefault="00B40DE8" w:rsidP="006256B7">
      <w:pPr>
        <w:spacing w:line="360" w:lineRule="auto"/>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800"/>
        <w:gridCol w:w="2426"/>
        <w:gridCol w:w="800"/>
        <w:gridCol w:w="2000"/>
      </w:tblGrid>
      <w:tr w:rsidR="006256B7" w:rsidRPr="006256B7" w14:paraId="22CD6D92" w14:textId="77777777" w:rsidTr="000E1CE2">
        <w:tc>
          <w:tcPr>
            <w:tcW w:w="3000" w:type="dxa"/>
            <w:tcBorders>
              <w:top w:val="single" w:sz="1" w:space="0" w:color="AAAAAA"/>
              <w:left w:val="single" w:sz="1" w:space="0" w:color="AAAAAA"/>
              <w:bottom w:val="single" w:sz="1" w:space="0" w:color="AAAAAA"/>
              <w:right w:val="single" w:sz="1" w:space="0" w:color="AAAAAA"/>
            </w:tcBorders>
            <w:shd w:val="clear" w:color="auto" w:fill="D6EAF8"/>
            <w:tcMar>
              <w:top w:w="80" w:type="dxa"/>
              <w:left w:w="100" w:type="dxa"/>
              <w:bottom w:w="80" w:type="dxa"/>
              <w:right w:w="100" w:type="dxa"/>
            </w:tcMar>
            <w:vAlign w:val="center"/>
          </w:tcPr>
          <w:p w14:paraId="2CB40BF1"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ALVEOLUS</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00" w:type="dxa"/>
              <w:bottom w:w="80" w:type="dxa"/>
              <w:right w:w="100" w:type="dxa"/>
            </w:tcMar>
            <w:vAlign w:val="center"/>
          </w:tcPr>
          <w:p w14:paraId="123AF50B" w14:textId="77777777" w:rsidR="006256B7" w:rsidRPr="006256B7" w:rsidRDefault="006256B7" w:rsidP="006256B7">
            <w:pPr>
              <w:spacing w:line="360" w:lineRule="auto"/>
              <w:jc w:val="both"/>
              <w:rPr>
                <w:rFonts w:ascii="Arial" w:hAnsi="Arial" w:cs="Arial"/>
              </w:rPr>
            </w:pPr>
          </w:p>
        </w:tc>
        <w:tc>
          <w:tcPr>
            <w:tcW w:w="2426" w:type="dxa"/>
            <w:tcBorders>
              <w:top w:val="single" w:sz="1" w:space="0" w:color="AAAAAA"/>
              <w:left w:val="single" w:sz="1" w:space="0" w:color="AAAAAA"/>
              <w:bottom w:val="single" w:sz="1" w:space="0" w:color="AAAAAA"/>
              <w:right w:val="single" w:sz="1" w:space="0" w:color="AAAAAA"/>
            </w:tcBorders>
            <w:shd w:val="clear" w:color="auto" w:fill="F4F6F7"/>
            <w:tcMar>
              <w:top w:w="80" w:type="dxa"/>
              <w:left w:w="100" w:type="dxa"/>
              <w:bottom w:w="80" w:type="dxa"/>
              <w:right w:w="100" w:type="dxa"/>
            </w:tcMar>
            <w:vAlign w:val="center"/>
          </w:tcPr>
          <w:p w14:paraId="7AD76E53"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RESPIRATORY MEMBRANE (~0.5 µm thick)</w:t>
            </w:r>
          </w:p>
        </w:tc>
        <w:tc>
          <w:tcPr>
            <w:tcW w:w="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00" w:type="dxa"/>
              <w:bottom w:w="80" w:type="dxa"/>
              <w:right w:w="100" w:type="dxa"/>
            </w:tcMar>
            <w:vAlign w:val="center"/>
          </w:tcPr>
          <w:p w14:paraId="35B0635C" w14:textId="77777777" w:rsidR="006256B7" w:rsidRPr="006256B7" w:rsidRDefault="006256B7" w:rsidP="006256B7">
            <w:pPr>
              <w:spacing w:line="360" w:lineRule="auto"/>
              <w:jc w:val="both"/>
              <w:rPr>
                <w:rFonts w:ascii="Arial" w:hAnsi="Arial" w:cs="Arial"/>
              </w:rPr>
            </w:pPr>
          </w:p>
        </w:tc>
        <w:tc>
          <w:tcPr>
            <w:tcW w:w="2000" w:type="dxa"/>
            <w:tcBorders>
              <w:top w:val="single" w:sz="1" w:space="0" w:color="AAAAAA"/>
              <w:left w:val="single" w:sz="1" w:space="0" w:color="AAAAAA"/>
              <w:bottom w:val="single" w:sz="1" w:space="0" w:color="AAAAAA"/>
              <w:right w:val="single" w:sz="1" w:space="0" w:color="AAAAAA"/>
            </w:tcBorders>
            <w:shd w:val="clear" w:color="auto" w:fill="FDEBD0"/>
            <w:tcMar>
              <w:top w:w="80" w:type="dxa"/>
              <w:left w:w="100" w:type="dxa"/>
              <w:bottom w:w="80" w:type="dxa"/>
              <w:right w:w="100" w:type="dxa"/>
            </w:tcMar>
            <w:vAlign w:val="center"/>
          </w:tcPr>
          <w:p w14:paraId="4AE087FA"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PULMONARY CAPILLARY</w:t>
            </w:r>
          </w:p>
        </w:tc>
      </w:tr>
      <w:tr w:rsidR="006256B7" w:rsidRPr="006256B7" w14:paraId="1F86BF21" w14:textId="77777777" w:rsidTr="000E1CE2">
        <w:tc>
          <w:tcPr>
            <w:tcW w:w="3000" w:type="dxa"/>
            <w:tcBorders>
              <w:top w:val="single" w:sz="1" w:space="0" w:color="AAAAAA"/>
              <w:left w:val="single" w:sz="1" w:space="0" w:color="AAAAAA"/>
              <w:bottom w:val="single" w:sz="1" w:space="0" w:color="AAAAAA"/>
              <w:right w:val="single" w:sz="1" w:space="0" w:color="AAAAAA"/>
            </w:tcBorders>
            <w:shd w:val="clear" w:color="auto" w:fill="EBF5FB"/>
            <w:tcMar>
              <w:top w:w="80" w:type="dxa"/>
              <w:left w:w="100" w:type="dxa"/>
              <w:bottom w:w="80" w:type="dxa"/>
              <w:right w:w="100" w:type="dxa"/>
            </w:tcMar>
            <w:vAlign w:val="center"/>
          </w:tcPr>
          <w:p w14:paraId="3DF13528"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High pO</w:t>
            </w:r>
            <w:r w:rsidRPr="006256B7">
              <w:rPr>
                <w:rFonts w:ascii="Cambria Math" w:eastAsia="Arial" w:hAnsi="Cambria Math" w:cs="Cambria Math"/>
              </w:rPr>
              <w:t>₂</w:t>
            </w:r>
            <w:r w:rsidRPr="006256B7">
              <w:rPr>
                <w:rFonts w:ascii="Arial" w:eastAsia="Arial" w:hAnsi="Arial" w:cs="Arial"/>
              </w:rPr>
              <w:t xml:space="preserve"> (alveolar air)</w:t>
            </w:r>
          </w:p>
        </w:tc>
        <w:tc>
          <w:tcPr>
            <w:tcW w:w="800" w:type="dxa"/>
            <w:tcBorders>
              <w:top w:val="none" w:sz="0" w:space="0" w:color="FFFFFF"/>
              <w:left w:val="none" w:sz="0" w:space="0" w:color="FFFFFF"/>
              <w:bottom w:val="none" w:sz="0" w:space="0" w:color="FFFFFF"/>
              <w:right w:val="none" w:sz="0" w:space="0" w:color="FFFFFF"/>
            </w:tcBorders>
            <w:vAlign w:val="center"/>
          </w:tcPr>
          <w:p w14:paraId="6991256E"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O</w:t>
            </w:r>
            <w:r w:rsidRPr="006256B7">
              <w:rPr>
                <w:rFonts w:ascii="Cambria Math" w:eastAsia="Arial" w:hAnsi="Cambria Math" w:cs="Cambria Math"/>
                <w:b/>
                <w:bCs/>
              </w:rPr>
              <w:t>₂</w:t>
            </w:r>
            <w:r w:rsidRPr="006256B7">
              <w:rPr>
                <w:rFonts w:ascii="Arial" w:eastAsia="Arial" w:hAnsi="Arial" w:cs="Arial"/>
                <w:b/>
                <w:bCs/>
              </w:rPr>
              <w:t xml:space="preserve"> →</w:t>
            </w:r>
          </w:p>
        </w:tc>
        <w:tc>
          <w:tcPr>
            <w:tcW w:w="2426" w:type="dxa"/>
            <w:tcBorders>
              <w:top w:val="single" w:sz="1" w:space="0" w:color="AAAAAA"/>
              <w:left w:val="single" w:sz="1" w:space="0" w:color="AAAAAA"/>
              <w:bottom w:val="single" w:sz="1" w:space="0" w:color="AAAAAA"/>
              <w:right w:val="single" w:sz="1" w:space="0" w:color="AAAAAA"/>
            </w:tcBorders>
            <w:shd w:val="clear" w:color="auto" w:fill="F4F6F7"/>
            <w:tcMar>
              <w:top w:w="80" w:type="dxa"/>
              <w:left w:w="100" w:type="dxa"/>
              <w:bottom w:w="80" w:type="dxa"/>
              <w:right w:w="100" w:type="dxa"/>
            </w:tcMar>
            <w:vAlign w:val="center"/>
          </w:tcPr>
          <w:p w14:paraId="0055EE5E"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O</w:t>
            </w:r>
            <w:r w:rsidRPr="006256B7">
              <w:rPr>
                <w:rFonts w:ascii="Cambria Math" w:eastAsia="Arial" w:hAnsi="Cambria Math" w:cs="Cambria Math"/>
              </w:rPr>
              <w:t>₂</w:t>
            </w:r>
            <w:r w:rsidRPr="006256B7">
              <w:rPr>
                <w:rFonts w:ascii="Arial" w:eastAsia="Arial" w:hAnsi="Arial" w:cs="Arial"/>
              </w:rPr>
              <w:t xml:space="preserve"> diffuses down pressure gradient</w:t>
            </w:r>
          </w:p>
        </w:tc>
        <w:tc>
          <w:tcPr>
            <w:tcW w:w="800" w:type="dxa"/>
            <w:tcBorders>
              <w:top w:val="none" w:sz="0" w:space="0" w:color="FFFFFF"/>
              <w:left w:val="none" w:sz="0" w:space="0" w:color="FFFFFF"/>
              <w:bottom w:val="none" w:sz="0" w:space="0" w:color="FFFFFF"/>
              <w:right w:val="none" w:sz="0" w:space="0" w:color="FFFFFF"/>
            </w:tcBorders>
            <w:vAlign w:val="center"/>
          </w:tcPr>
          <w:p w14:paraId="7BA633DB"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00" w:type="dxa"/>
            <w:tcBorders>
              <w:top w:val="single" w:sz="1" w:space="0" w:color="AAAAAA"/>
              <w:left w:val="single" w:sz="1" w:space="0" w:color="AAAAAA"/>
              <w:bottom w:val="single" w:sz="1" w:space="0" w:color="AAAAAA"/>
              <w:right w:val="single" w:sz="1" w:space="0" w:color="AAAAAA"/>
            </w:tcBorders>
            <w:shd w:val="clear" w:color="auto" w:fill="FEF5E7"/>
            <w:tcMar>
              <w:top w:w="80" w:type="dxa"/>
              <w:left w:w="100" w:type="dxa"/>
              <w:bottom w:w="80" w:type="dxa"/>
              <w:right w:w="100" w:type="dxa"/>
            </w:tcMar>
            <w:vAlign w:val="center"/>
          </w:tcPr>
          <w:p w14:paraId="3220631B"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O</w:t>
            </w:r>
            <w:r w:rsidRPr="006256B7">
              <w:rPr>
                <w:rFonts w:ascii="Cambria Math" w:eastAsia="Arial" w:hAnsi="Cambria Math" w:cs="Cambria Math"/>
              </w:rPr>
              <w:t>₂</w:t>
            </w:r>
            <w:r w:rsidRPr="006256B7">
              <w:rPr>
                <w:rFonts w:ascii="Arial" w:eastAsia="Arial" w:hAnsi="Arial" w:cs="Arial"/>
              </w:rPr>
              <w:t xml:space="preserve"> binds haemoglobin → oxyhaemoglobin</w:t>
            </w:r>
          </w:p>
        </w:tc>
      </w:tr>
      <w:tr w:rsidR="006256B7" w:rsidRPr="006256B7" w14:paraId="4F93B79A" w14:textId="77777777" w:rsidTr="000E1CE2">
        <w:tc>
          <w:tcPr>
            <w:tcW w:w="3000" w:type="dxa"/>
            <w:tcBorders>
              <w:top w:val="single" w:sz="1" w:space="0" w:color="AAAAAA"/>
              <w:left w:val="single" w:sz="1" w:space="0" w:color="AAAAAA"/>
              <w:bottom w:val="single" w:sz="1" w:space="0" w:color="AAAAAA"/>
              <w:right w:val="single" w:sz="1" w:space="0" w:color="AAAAAA"/>
            </w:tcBorders>
            <w:shd w:val="clear" w:color="auto" w:fill="EBF5FB"/>
            <w:tcMar>
              <w:top w:w="80" w:type="dxa"/>
              <w:left w:w="100" w:type="dxa"/>
              <w:bottom w:w="80" w:type="dxa"/>
              <w:right w:w="100" w:type="dxa"/>
            </w:tcMar>
            <w:vAlign w:val="center"/>
          </w:tcPr>
          <w:p w14:paraId="0F5F10EF"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Low pCO</w:t>
            </w:r>
            <w:r w:rsidRPr="006256B7">
              <w:rPr>
                <w:rFonts w:ascii="Cambria Math" w:eastAsia="Arial" w:hAnsi="Cambria Math" w:cs="Cambria Math"/>
              </w:rPr>
              <w:t>₂</w:t>
            </w:r>
            <w:r w:rsidRPr="006256B7">
              <w:rPr>
                <w:rFonts w:ascii="Arial" w:eastAsia="Arial" w:hAnsi="Arial" w:cs="Arial"/>
              </w:rPr>
              <w:t xml:space="preserve"> (expelled on exhalation)</w:t>
            </w:r>
          </w:p>
        </w:tc>
        <w:tc>
          <w:tcPr>
            <w:tcW w:w="800" w:type="dxa"/>
            <w:tcBorders>
              <w:top w:val="none" w:sz="0" w:space="0" w:color="FFFFFF"/>
              <w:left w:val="none" w:sz="0" w:space="0" w:color="FFFFFF"/>
              <w:bottom w:val="none" w:sz="0" w:space="0" w:color="FFFFFF"/>
              <w:right w:val="none" w:sz="0" w:space="0" w:color="FFFFFF"/>
            </w:tcBorders>
            <w:vAlign w:val="center"/>
          </w:tcPr>
          <w:p w14:paraId="4D19604A"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 CO</w:t>
            </w:r>
            <w:r w:rsidRPr="006256B7">
              <w:rPr>
                <w:rFonts w:ascii="Cambria Math" w:eastAsia="Arial" w:hAnsi="Cambria Math" w:cs="Cambria Math"/>
                <w:b/>
                <w:bCs/>
              </w:rPr>
              <w:t>₂</w:t>
            </w:r>
          </w:p>
        </w:tc>
        <w:tc>
          <w:tcPr>
            <w:tcW w:w="2426" w:type="dxa"/>
            <w:tcBorders>
              <w:top w:val="single" w:sz="1" w:space="0" w:color="AAAAAA"/>
              <w:left w:val="single" w:sz="1" w:space="0" w:color="AAAAAA"/>
              <w:bottom w:val="single" w:sz="1" w:space="0" w:color="AAAAAA"/>
              <w:right w:val="single" w:sz="1" w:space="0" w:color="AAAAAA"/>
            </w:tcBorders>
            <w:shd w:val="clear" w:color="auto" w:fill="F4F6F7"/>
            <w:tcMar>
              <w:top w:w="80" w:type="dxa"/>
              <w:left w:w="100" w:type="dxa"/>
              <w:bottom w:w="80" w:type="dxa"/>
              <w:right w:w="100" w:type="dxa"/>
            </w:tcMar>
            <w:vAlign w:val="center"/>
          </w:tcPr>
          <w:p w14:paraId="618FCAF3"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CO</w:t>
            </w:r>
            <w:r w:rsidRPr="006256B7">
              <w:rPr>
                <w:rFonts w:ascii="Cambria Math" w:eastAsia="Arial" w:hAnsi="Cambria Math" w:cs="Cambria Math"/>
              </w:rPr>
              <w:t>₂</w:t>
            </w:r>
            <w:r w:rsidRPr="006256B7">
              <w:rPr>
                <w:rFonts w:ascii="Arial" w:eastAsia="Arial" w:hAnsi="Arial" w:cs="Arial"/>
              </w:rPr>
              <w:t xml:space="preserve"> diffuses down pressure gradient</w:t>
            </w:r>
          </w:p>
        </w:tc>
        <w:tc>
          <w:tcPr>
            <w:tcW w:w="800" w:type="dxa"/>
            <w:tcBorders>
              <w:top w:val="none" w:sz="0" w:space="0" w:color="FFFFFF"/>
              <w:left w:val="none" w:sz="0" w:space="0" w:color="FFFFFF"/>
              <w:bottom w:val="none" w:sz="0" w:space="0" w:color="FFFFFF"/>
              <w:right w:val="none" w:sz="0" w:space="0" w:color="FFFFFF"/>
            </w:tcBorders>
            <w:vAlign w:val="center"/>
          </w:tcPr>
          <w:p w14:paraId="6469C4D6"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00" w:type="dxa"/>
            <w:tcBorders>
              <w:top w:val="single" w:sz="1" w:space="0" w:color="AAAAAA"/>
              <w:left w:val="single" w:sz="1" w:space="0" w:color="AAAAAA"/>
              <w:bottom w:val="single" w:sz="1" w:space="0" w:color="AAAAAA"/>
              <w:right w:val="single" w:sz="1" w:space="0" w:color="AAAAAA"/>
            </w:tcBorders>
            <w:shd w:val="clear" w:color="auto" w:fill="FEF5E7"/>
            <w:tcMar>
              <w:top w:w="80" w:type="dxa"/>
              <w:left w:w="100" w:type="dxa"/>
              <w:bottom w:w="80" w:type="dxa"/>
              <w:right w:w="100" w:type="dxa"/>
            </w:tcMar>
            <w:vAlign w:val="center"/>
          </w:tcPr>
          <w:p w14:paraId="48B1298C"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High pCO</w:t>
            </w:r>
            <w:r w:rsidRPr="006256B7">
              <w:rPr>
                <w:rFonts w:ascii="Cambria Math" w:eastAsia="Arial" w:hAnsi="Cambria Math" w:cs="Cambria Math"/>
              </w:rPr>
              <w:t>₂</w:t>
            </w:r>
            <w:r w:rsidRPr="006256B7">
              <w:rPr>
                <w:rFonts w:ascii="Arial" w:eastAsia="Arial" w:hAnsi="Arial" w:cs="Arial"/>
              </w:rPr>
              <w:t xml:space="preserve"> in venous blood</w:t>
            </w:r>
          </w:p>
        </w:tc>
      </w:tr>
    </w:tbl>
    <w:p w14:paraId="791CF33F" w14:textId="77777777" w:rsidR="00B40DE8" w:rsidRPr="006256B7" w:rsidRDefault="00B40DE8" w:rsidP="006256B7">
      <w:pPr>
        <w:spacing w:line="360" w:lineRule="auto"/>
        <w:jc w:val="both"/>
        <w:rPr>
          <w:rFonts w:ascii="Arial" w:hAnsi="Arial" w:cs="Arial"/>
        </w:rPr>
      </w:pPr>
    </w:p>
    <w:p w14:paraId="6353EE7E" w14:textId="77777777" w:rsidR="006256B7" w:rsidRPr="006256B7" w:rsidRDefault="006256B7" w:rsidP="006256B7">
      <w:pPr>
        <w:spacing w:line="360" w:lineRule="auto"/>
        <w:jc w:val="both"/>
        <w:rPr>
          <w:rFonts w:ascii="Arial" w:hAnsi="Arial" w:cs="Arial"/>
          <w:b/>
          <w:bCs/>
          <w:i/>
          <w:iCs/>
        </w:rPr>
      </w:pPr>
      <w:r w:rsidRPr="006256B7">
        <w:rPr>
          <w:rFonts w:ascii="Arial" w:hAnsi="Arial" w:cs="Arial"/>
          <w:b/>
          <w:bCs/>
          <w:i/>
          <w:iCs/>
        </w:rPr>
        <w:t>Figure 2 - Gas Exchange in the Alveolar-Capillary Membrane</w:t>
      </w:r>
    </w:p>
    <w:p w14:paraId="59DC473A" w14:textId="3CEFB060" w:rsidR="00B40DE8" w:rsidRPr="006256B7" w:rsidRDefault="00B40DE8" w:rsidP="006256B7">
      <w:pPr>
        <w:spacing w:line="360" w:lineRule="auto"/>
        <w:jc w:val="both"/>
        <w:rPr>
          <w:rFonts w:ascii="Arial" w:hAnsi="Arial" w:cs="Arial"/>
          <w:b/>
          <w:bCs/>
          <w:i/>
          <w:iCs/>
        </w:rPr>
      </w:pPr>
      <w:r w:rsidRPr="006256B7">
        <w:rPr>
          <w:rFonts w:ascii="Arial" w:hAnsi="Arial" w:cs="Arial"/>
          <w:b/>
          <w:bCs/>
          <w:i/>
          <w:iCs/>
        </w:rPr>
        <w:lastRenderedPageBreak/>
        <w:t>Adapted from Tortora and Derrickson, 2017; Marieb and Hoehn, 2019)</w:t>
      </w:r>
    </w:p>
    <w:p w14:paraId="72A571B4" w14:textId="77777777" w:rsidR="00B40DE8" w:rsidRPr="006256B7" w:rsidRDefault="00B40DE8" w:rsidP="006256B7">
      <w:pPr>
        <w:spacing w:line="360" w:lineRule="auto"/>
        <w:jc w:val="both"/>
        <w:rPr>
          <w:rFonts w:ascii="Arial" w:hAnsi="Arial" w:cs="Arial"/>
        </w:rPr>
      </w:pPr>
      <w:r w:rsidRPr="006256B7">
        <w:rPr>
          <w:rFonts w:ascii="Arial" w:hAnsi="Arial" w:cs="Arial"/>
        </w:rPr>
        <w:t>The blood reaching the pulmonary capillaries is deoxygenated and thus, the partial pressure of oxygen (pO 2 ) in it is low and the partial pressure of carbon dioxide (pCO 2 ) is high. Alveolar air will have a relatively high pO2, so oxygen will diffuse from alveolus into the blood in the capillaries and bind to haemoglobin in the erythrocytes to form oxyhaemoglobin which can then be carried to the body tissues (Waugh and Grant, 2022). On the other side, the carbon dioxide that is present in the blood in the capillaries more than in the alveoli air diffuses to the alveoli and is eliminated during breathing (Tortora and Derrickson, 2017). Airway obstruction in asthma patients affects ventilation-perfusion matching, which disrupts the exchange and leads to the low blood oxygen levels experienced during an exacerbation.</w:t>
      </w:r>
    </w:p>
    <w:p w14:paraId="03404F0C" w14:textId="2554A848" w:rsidR="006256B7" w:rsidRPr="006256B7" w:rsidRDefault="006256B7" w:rsidP="006256B7">
      <w:pPr>
        <w:pStyle w:val="Heading1"/>
        <w:spacing w:line="360" w:lineRule="auto"/>
        <w:jc w:val="both"/>
        <w:rPr>
          <w:rFonts w:ascii="Arial" w:hAnsi="Arial" w:cs="Arial"/>
          <w:color w:val="auto"/>
          <w:sz w:val="22"/>
          <w:szCs w:val="22"/>
        </w:rPr>
      </w:pPr>
      <w:bookmarkStart w:id="3" w:name="_Toc232291868"/>
      <w:r w:rsidRPr="006256B7">
        <w:rPr>
          <w:rFonts w:ascii="Arial" w:eastAsia="Arial" w:hAnsi="Arial" w:cs="Arial"/>
          <w:b/>
          <w:bCs/>
          <w:color w:val="auto"/>
          <w:sz w:val="22"/>
          <w:szCs w:val="22"/>
        </w:rPr>
        <w:t>Section 3: Pathophysiology of Asthma — Irritants, Inflammation, and Impact on Respiration</w:t>
      </w:r>
      <w:bookmarkEnd w:id="3"/>
    </w:p>
    <w:p w14:paraId="51DEB8B5" w14:textId="6C43E1F4" w:rsidR="00B40DE8" w:rsidRPr="006256B7" w:rsidRDefault="00B40DE8" w:rsidP="006256B7">
      <w:pPr>
        <w:spacing w:line="360" w:lineRule="auto"/>
        <w:jc w:val="both"/>
        <w:rPr>
          <w:rFonts w:ascii="Arial" w:hAnsi="Arial" w:cs="Arial"/>
        </w:rPr>
      </w:pPr>
      <w:r w:rsidRPr="006256B7">
        <w:rPr>
          <w:rFonts w:ascii="Arial" w:hAnsi="Arial" w:cs="Arial"/>
        </w:rPr>
        <w:t>Exposure of the airways to a trigger (such as allergens, cold air, Tobacco smoke and viral infections) triggers an inflammatory response in susceptible people (NICE, 2017). Airway mucosa mast cells and dendritic cells become aware of the irritant and activate T-helper 2 (Th2) lymphocytes stimulating the production of immunoglobulin E (IgE) antibodies by B cells (Barnes, 2008). When the person is re-exposed to the same trigger, the IgE coated mast cells degranulate to release histamine, leukotrienes and prostaglandins. This cascade, and what it means for the airway is summarised in figure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12"/>
        <w:gridCol w:w="240"/>
        <w:gridCol w:w="2151"/>
        <w:gridCol w:w="240"/>
        <w:gridCol w:w="2202"/>
        <w:gridCol w:w="240"/>
        <w:gridCol w:w="1941"/>
      </w:tblGrid>
      <w:tr w:rsidR="006256B7" w:rsidRPr="006256B7" w14:paraId="2A03FC4B" w14:textId="77777777" w:rsidTr="000E1CE2">
        <w:tc>
          <w:tcPr>
            <w:tcW w:w="22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80" w:type="dxa"/>
              <w:bottom w:w="80" w:type="dxa"/>
              <w:right w:w="80" w:type="dxa"/>
            </w:tcMar>
            <w:vAlign w:val="center"/>
          </w:tcPr>
          <w:p w14:paraId="54F325D4"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TRIGGER (allergen, smoke, virus, cold air)</w:t>
            </w:r>
          </w:p>
        </w:tc>
        <w:tc>
          <w:tcPr>
            <w:tcW w:w="200" w:type="dxa"/>
            <w:tcBorders>
              <w:top w:val="none" w:sz="0" w:space="0" w:color="FFFFFF"/>
              <w:left w:val="none" w:sz="0" w:space="0" w:color="FFFFFF"/>
              <w:bottom w:val="none" w:sz="0" w:space="0" w:color="FFFFFF"/>
              <w:right w:val="none" w:sz="0" w:space="0" w:color="FFFFFF"/>
            </w:tcBorders>
            <w:vAlign w:val="center"/>
          </w:tcPr>
          <w:p w14:paraId="0EFF0BD0"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200" w:type="dxa"/>
            <w:tcBorders>
              <w:top w:val="single" w:sz="1" w:space="0" w:color="CCCCCC"/>
              <w:left w:val="single" w:sz="1" w:space="0" w:color="CCCCCC"/>
              <w:bottom w:val="single" w:sz="1" w:space="0" w:color="CCCCCC"/>
              <w:right w:val="single" w:sz="1" w:space="0" w:color="CCCCCC"/>
            </w:tcBorders>
            <w:shd w:val="clear" w:color="auto" w:fill="FDEBD0"/>
            <w:tcMar>
              <w:top w:w="80" w:type="dxa"/>
              <w:left w:w="80" w:type="dxa"/>
              <w:bottom w:w="80" w:type="dxa"/>
              <w:right w:w="80" w:type="dxa"/>
            </w:tcMar>
            <w:vAlign w:val="center"/>
          </w:tcPr>
          <w:p w14:paraId="6974DD36"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MAST CELL DEGRANULATION (histamine, leukotrienes, prostaglandins)</w:t>
            </w:r>
          </w:p>
        </w:tc>
        <w:tc>
          <w:tcPr>
            <w:tcW w:w="200" w:type="dxa"/>
            <w:tcBorders>
              <w:top w:val="none" w:sz="0" w:space="0" w:color="FFFFFF"/>
              <w:left w:val="none" w:sz="0" w:space="0" w:color="FFFFFF"/>
              <w:bottom w:val="none" w:sz="0" w:space="0" w:color="FFFFFF"/>
              <w:right w:val="none" w:sz="0" w:space="0" w:color="FFFFFF"/>
            </w:tcBorders>
            <w:vAlign w:val="center"/>
          </w:tcPr>
          <w:p w14:paraId="435758BA"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00" w:type="dxa"/>
            <w:tcBorders>
              <w:top w:val="single" w:sz="1" w:space="0" w:color="CCCCCC"/>
              <w:left w:val="single" w:sz="1" w:space="0" w:color="CCCCCC"/>
              <w:bottom w:val="single" w:sz="1" w:space="0" w:color="CCCCCC"/>
              <w:right w:val="single" w:sz="1" w:space="0" w:color="CCCCCC"/>
            </w:tcBorders>
            <w:shd w:val="clear" w:color="auto" w:fill="FADBD8"/>
            <w:tcMar>
              <w:top w:w="80" w:type="dxa"/>
              <w:left w:w="80" w:type="dxa"/>
              <w:bottom w:w="80" w:type="dxa"/>
              <w:right w:w="80" w:type="dxa"/>
            </w:tcMar>
            <w:vAlign w:val="center"/>
          </w:tcPr>
          <w:p w14:paraId="08F3B7EF"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BRONCHOSPASM (smooth muscle constriction)</w:t>
            </w:r>
          </w:p>
        </w:tc>
        <w:tc>
          <w:tcPr>
            <w:tcW w:w="200" w:type="dxa"/>
            <w:tcBorders>
              <w:top w:val="none" w:sz="0" w:space="0" w:color="FFFFFF"/>
              <w:left w:val="none" w:sz="0" w:space="0" w:color="FFFFFF"/>
              <w:bottom w:val="none" w:sz="0" w:space="0" w:color="FFFFFF"/>
              <w:right w:val="none" w:sz="0" w:space="0" w:color="FFFFFF"/>
            </w:tcBorders>
            <w:vAlign w:val="center"/>
          </w:tcPr>
          <w:p w14:paraId="08E3EF92"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26" w:type="dxa"/>
            <w:tcBorders>
              <w:top w:val="single" w:sz="1" w:space="0" w:color="CCCCCC"/>
              <w:left w:val="single" w:sz="1" w:space="0" w:color="CCCCCC"/>
              <w:bottom w:val="single" w:sz="1" w:space="0" w:color="CCCCCC"/>
              <w:right w:val="single" w:sz="1" w:space="0" w:color="CCCCCC"/>
            </w:tcBorders>
            <w:shd w:val="clear" w:color="auto" w:fill="F1948A"/>
            <w:tcMar>
              <w:top w:w="80" w:type="dxa"/>
              <w:left w:w="80" w:type="dxa"/>
              <w:bottom w:w="80" w:type="dxa"/>
              <w:right w:w="80" w:type="dxa"/>
            </w:tcMar>
            <w:vAlign w:val="center"/>
          </w:tcPr>
          <w:p w14:paraId="2B6A59CE"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SYMPTOMS Wheeze · Dyspnoea Chest tightness · Cough</w:t>
            </w:r>
          </w:p>
        </w:tc>
      </w:tr>
      <w:tr w:rsidR="006256B7" w:rsidRPr="006256B7" w14:paraId="765F0C12" w14:textId="77777777" w:rsidTr="000E1CE2">
        <w:tc>
          <w:tcPr>
            <w:tcW w:w="9026" w:type="dxa"/>
            <w:gridSpan w:val="7"/>
            <w:tcBorders>
              <w:top w:val="none" w:sz="0" w:space="0" w:color="FFFFFF"/>
              <w:left w:val="none" w:sz="0" w:space="0" w:color="FFFFFF"/>
              <w:bottom w:val="none" w:sz="0" w:space="0" w:color="FFFFFF"/>
              <w:right w:val="none" w:sz="0" w:space="0" w:color="FFFFFF"/>
            </w:tcBorders>
          </w:tcPr>
          <w:p w14:paraId="75F29585" w14:textId="77777777" w:rsidR="006256B7" w:rsidRPr="006256B7" w:rsidRDefault="006256B7" w:rsidP="006256B7">
            <w:pPr>
              <w:spacing w:line="360" w:lineRule="auto"/>
              <w:jc w:val="both"/>
              <w:rPr>
                <w:rFonts w:ascii="Arial" w:hAnsi="Arial" w:cs="Arial"/>
              </w:rPr>
            </w:pPr>
          </w:p>
        </w:tc>
      </w:tr>
      <w:tr w:rsidR="006256B7" w:rsidRPr="006256B7" w14:paraId="5728B53A" w14:textId="77777777" w:rsidTr="000E1CE2">
        <w:tc>
          <w:tcPr>
            <w:tcW w:w="2200" w:type="dxa"/>
            <w:tcBorders>
              <w:top w:val="single" w:sz="1" w:space="0" w:color="CCCCCC"/>
              <w:left w:val="single" w:sz="1" w:space="0" w:color="CCCCCC"/>
              <w:bottom w:val="single" w:sz="1" w:space="0" w:color="CCCCCC"/>
              <w:right w:val="single" w:sz="1" w:space="0" w:color="CCCCCC"/>
            </w:tcBorders>
            <w:shd w:val="clear" w:color="auto" w:fill="E8F8F5"/>
            <w:tcMar>
              <w:top w:w="80" w:type="dxa"/>
              <w:left w:w="80" w:type="dxa"/>
              <w:bottom w:w="80" w:type="dxa"/>
              <w:right w:w="80" w:type="dxa"/>
            </w:tcMar>
            <w:vAlign w:val="center"/>
          </w:tcPr>
          <w:p w14:paraId="375EF903"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IgE ANTIBODY PRODUCTION (B cell activation via Th2)</w:t>
            </w:r>
          </w:p>
        </w:tc>
        <w:tc>
          <w:tcPr>
            <w:tcW w:w="200" w:type="dxa"/>
            <w:tcBorders>
              <w:top w:val="none" w:sz="0" w:space="0" w:color="FFFFFF"/>
              <w:left w:val="none" w:sz="0" w:space="0" w:color="FFFFFF"/>
              <w:bottom w:val="none" w:sz="0" w:space="0" w:color="FFFFFF"/>
              <w:right w:val="none" w:sz="0" w:space="0" w:color="FFFFFF"/>
            </w:tcBorders>
            <w:vAlign w:val="center"/>
          </w:tcPr>
          <w:p w14:paraId="5183C646"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200" w:type="dxa"/>
            <w:tcBorders>
              <w:top w:val="single" w:sz="1" w:space="0" w:color="CCCCCC"/>
              <w:left w:val="single" w:sz="1" w:space="0" w:color="CCCCCC"/>
              <w:bottom w:val="single" w:sz="1" w:space="0" w:color="CCCCCC"/>
              <w:right w:val="single" w:sz="1" w:space="0" w:color="CCCCCC"/>
            </w:tcBorders>
            <w:shd w:val="clear" w:color="auto" w:fill="D5F5E3"/>
            <w:tcMar>
              <w:top w:w="80" w:type="dxa"/>
              <w:left w:w="80" w:type="dxa"/>
              <w:bottom w:w="80" w:type="dxa"/>
              <w:right w:w="80" w:type="dxa"/>
            </w:tcMar>
            <w:vAlign w:val="center"/>
          </w:tcPr>
          <w:p w14:paraId="475A51A2"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AIRWAY WALL OEDEMA (mucosal swelling)</w:t>
            </w:r>
          </w:p>
        </w:tc>
        <w:tc>
          <w:tcPr>
            <w:tcW w:w="200" w:type="dxa"/>
            <w:tcBorders>
              <w:top w:val="none" w:sz="0" w:space="0" w:color="FFFFFF"/>
              <w:left w:val="none" w:sz="0" w:space="0" w:color="FFFFFF"/>
              <w:bottom w:val="none" w:sz="0" w:space="0" w:color="FFFFFF"/>
              <w:right w:val="none" w:sz="0" w:space="0" w:color="FFFFFF"/>
            </w:tcBorders>
            <w:vAlign w:val="center"/>
          </w:tcPr>
          <w:p w14:paraId="6EFA8466"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00" w:type="dxa"/>
            <w:tcBorders>
              <w:top w:val="single" w:sz="1" w:space="0" w:color="CCCCCC"/>
              <w:left w:val="single" w:sz="1" w:space="0" w:color="CCCCCC"/>
              <w:bottom w:val="single" w:sz="1" w:space="0" w:color="CCCCCC"/>
              <w:right w:val="single" w:sz="1" w:space="0" w:color="CCCCCC"/>
            </w:tcBorders>
            <w:shd w:val="clear" w:color="auto" w:fill="A9DFBF"/>
            <w:tcMar>
              <w:top w:w="80" w:type="dxa"/>
              <w:left w:w="80" w:type="dxa"/>
              <w:bottom w:w="80" w:type="dxa"/>
              <w:right w:w="80" w:type="dxa"/>
            </w:tcMar>
            <w:vAlign w:val="center"/>
          </w:tcPr>
          <w:p w14:paraId="1BB62103" w14:textId="77777777" w:rsidR="006256B7" w:rsidRPr="006256B7" w:rsidRDefault="006256B7" w:rsidP="006256B7">
            <w:pPr>
              <w:spacing w:line="360" w:lineRule="auto"/>
              <w:jc w:val="both"/>
              <w:rPr>
                <w:rFonts w:ascii="Arial" w:hAnsi="Arial" w:cs="Arial"/>
              </w:rPr>
            </w:pPr>
            <w:r w:rsidRPr="006256B7">
              <w:rPr>
                <w:rFonts w:ascii="Arial" w:eastAsia="Arial" w:hAnsi="Arial" w:cs="Arial"/>
              </w:rPr>
              <w:t>MUCUS HYPERSECRETION (goblet cell hypertrophy)</w:t>
            </w:r>
          </w:p>
        </w:tc>
        <w:tc>
          <w:tcPr>
            <w:tcW w:w="200" w:type="dxa"/>
            <w:tcBorders>
              <w:top w:val="none" w:sz="0" w:space="0" w:color="FFFFFF"/>
              <w:left w:val="none" w:sz="0" w:space="0" w:color="FFFFFF"/>
              <w:bottom w:val="none" w:sz="0" w:space="0" w:color="FFFFFF"/>
              <w:right w:val="none" w:sz="0" w:space="0" w:color="FFFFFF"/>
            </w:tcBorders>
            <w:vAlign w:val="center"/>
          </w:tcPr>
          <w:p w14:paraId="351D2F8E"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w:t>
            </w:r>
          </w:p>
        </w:tc>
        <w:tc>
          <w:tcPr>
            <w:tcW w:w="2026" w:type="dxa"/>
            <w:tcBorders>
              <w:top w:val="single" w:sz="1" w:space="0" w:color="CCCCCC"/>
              <w:left w:val="single" w:sz="1" w:space="0" w:color="CCCCCC"/>
              <w:bottom w:val="single" w:sz="1" w:space="0" w:color="CCCCCC"/>
              <w:right w:val="single" w:sz="1" w:space="0" w:color="CCCCCC"/>
            </w:tcBorders>
            <w:shd w:val="clear" w:color="auto" w:fill="27AE60"/>
            <w:tcMar>
              <w:top w:w="80" w:type="dxa"/>
              <w:left w:w="80" w:type="dxa"/>
              <w:bottom w:w="80" w:type="dxa"/>
              <w:right w:w="80" w:type="dxa"/>
            </w:tcMar>
            <w:vAlign w:val="center"/>
          </w:tcPr>
          <w:p w14:paraId="3BB62EA8" w14:textId="77777777" w:rsidR="006256B7" w:rsidRPr="006256B7" w:rsidRDefault="006256B7" w:rsidP="006256B7">
            <w:pPr>
              <w:spacing w:line="360" w:lineRule="auto"/>
              <w:jc w:val="both"/>
              <w:rPr>
                <w:rFonts w:ascii="Arial" w:hAnsi="Arial" w:cs="Arial"/>
              </w:rPr>
            </w:pPr>
            <w:r w:rsidRPr="006256B7">
              <w:rPr>
                <w:rFonts w:ascii="Arial" w:eastAsia="Arial" w:hAnsi="Arial" w:cs="Arial"/>
                <w:b/>
                <w:bCs/>
              </w:rPr>
              <w:t>AIRFLOW OBSTRUCTION &amp; Air Trapping</w:t>
            </w:r>
          </w:p>
        </w:tc>
      </w:tr>
    </w:tbl>
    <w:p w14:paraId="11D91A45" w14:textId="77777777" w:rsidR="006256B7" w:rsidRPr="006256B7" w:rsidRDefault="006256B7" w:rsidP="006256B7">
      <w:pPr>
        <w:spacing w:line="360" w:lineRule="auto"/>
        <w:jc w:val="both"/>
        <w:rPr>
          <w:rFonts w:ascii="Arial" w:hAnsi="Arial" w:cs="Arial"/>
          <w:b/>
          <w:bCs/>
        </w:rPr>
      </w:pPr>
      <w:r w:rsidRPr="006256B7">
        <w:rPr>
          <w:rFonts w:ascii="Arial" w:hAnsi="Arial" w:cs="Arial"/>
          <w:b/>
          <w:bCs/>
        </w:rPr>
        <w:t xml:space="preserve"> Figure 3: Pathophysiology Cascade of Asthma - Trigger to Symptoms.</w:t>
      </w:r>
    </w:p>
    <w:p w14:paraId="1737A0C0" w14:textId="1389254B" w:rsidR="00B40DE8" w:rsidRPr="006256B7" w:rsidRDefault="00B40DE8" w:rsidP="006256B7">
      <w:pPr>
        <w:spacing w:line="360" w:lineRule="auto"/>
        <w:jc w:val="both"/>
        <w:rPr>
          <w:rFonts w:ascii="Arial" w:hAnsi="Arial" w:cs="Arial"/>
          <w:b/>
          <w:bCs/>
        </w:rPr>
      </w:pPr>
      <w:r w:rsidRPr="006256B7">
        <w:rPr>
          <w:rFonts w:ascii="Arial" w:hAnsi="Arial" w:cs="Arial"/>
          <w:b/>
          <w:bCs/>
        </w:rPr>
        <w:t>Adapted from Barnes, 2008; Global Initiative for Asthma, 2023</w:t>
      </w:r>
    </w:p>
    <w:p w14:paraId="4C1E957B" w14:textId="77777777" w:rsidR="00B40DE8" w:rsidRPr="006256B7" w:rsidRDefault="00B40DE8" w:rsidP="006256B7">
      <w:pPr>
        <w:spacing w:line="360" w:lineRule="auto"/>
        <w:jc w:val="both"/>
        <w:rPr>
          <w:rFonts w:ascii="Arial" w:hAnsi="Arial" w:cs="Arial"/>
        </w:rPr>
      </w:pPr>
      <w:r w:rsidRPr="006256B7">
        <w:rPr>
          <w:rFonts w:ascii="Arial" w:hAnsi="Arial" w:cs="Arial"/>
        </w:rPr>
        <w:lastRenderedPageBreak/>
        <w:t>The three main effects of these chemical mediators are: Bronchospasm causes narrowing of the bronchiolar lumen and subsequent increase in airflow resistance; Oedema of the bronchiolar wall further reducing the lumen diameter; and Goblet cell hypertrophy causes increased mucous secretion, which to some extent blocks the lumen and hinders mucociliary clearance (Global Initiative for Asthma, 2023; Tortora and Derrickson, 2017). Together, these processes lead to a decreased expiratory flow, trapping of air and ventilation-perfusion mismatch - leading to the characteristic symptoms of wheeze, cough, dyspnoea, and also chest tightness (Barnes, 2008).</w:t>
      </w:r>
    </w:p>
    <w:p w14:paraId="4C595E35" w14:textId="77777777" w:rsidR="00B40DE8" w:rsidRPr="006256B7" w:rsidRDefault="00B40DE8" w:rsidP="006256B7">
      <w:pPr>
        <w:spacing w:line="360" w:lineRule="auto"/>
        <w:jc w:val="both"/>
        <w:rPr>
          <w:rFonts w:ascii="Arial" w:hAnsi="Arial" w:cs="Arial"/>
        </w:rPr>
      </w:pPr>
      <w:r w:rsidRPr="006256B7">
        <w:rPr>
          <w:rFonts w:ascii="Arial" w:hAnsi="Arial" w:cs="Arial"/>
        </w:rPr>
        <w:t>These processes are greatly compounded by smoking and vaping. More than 7,000 chemicals are present in tobacco smoke, most of which are powerful respiratory irritants (McNeill et al., 2022). The stimulation of mast cell degranulation and increase in mucous production is caused by nicotine, while acrolein and other aldehyde components damage the ciliated epithelium resulting in increased contact between the mucous and the allergens (McNeill et al., 2022). While e-cigarettes contain less of the toxins that are definitively known to cause cancer, the aerosols from e-cigarettes do contain ultrafine particles, diacetyl, and flavouring chemicals that still cause oxidative stress, cytokine release, and airway inflammation (Bhatta and Glantz, 2020). The research has also revealed poor respiratory health in adolescents who vape, and it resembles obstructive airway disease (Bhatta and Glantz, 2020).</w:t>
      </w:r>
    </w:p>
    <w:p w14:paraId="1B7FFEE2" w14:textId="77777777" w:rsidR="00B40DE8" w:rsidRPr="006256B7" w:rsidRDefault="00B40DE8" w:rsidP="006256B7">
      <w:pPr>
        <w:spacing w:line="360" w:lineRule="auto"/>
        <w:jc w:val="both"/>
        <w:rPr>
          <w:rFonts w:ascii="Arial" w:hAnsi="Arial" w:cs="Arial"/>
        </w:rPr>
      </w:pPr>
      <w:r w:rsidRPr="006256B7">
        <w:rPr>
          <w:rFonts w:ascii="Arial" w:hAnsi="Arial" w:cs="Arial"/>
        </w:rPr>
        <w:t>In adolescents, respiratory infections, mainly due to rhinovirus and influenza, are by far the most important cause of acute exacerbation of asthma (Johnston et al., 1995). Viruses multiply in the airway epithelial cells and stimulate a larger than normal innate immune response which greatly increases the inflammatory environment in asthmatic airways and can lead to hospitalizations. Going to a crowded place like a bar and clubs presents high chances of virus transmission, which is directly associated with the changed social behaviours of the adolescents directly related to the deterioration of asthma control.</w:t>
      </w:r>
    </w:p>
    <w:p w14:paraId="1861DF99" w14:textId="77777777" w:rsidR="00B40DE8" w:rsidRPr="006256B7" w:rsidRDefault="00B40DE8" w:rsidP="006256B7">
      <w:pPr>
        <w:pStyle w:val="Heading1"/>
        <w:spacing w:line="360" w:lineRule="auto"/>
        <w:jc w:val="both"/>
        <w:rPr>
          <w:rFonts w:ascii="Arial" w:hAnsi="Arial" w:cs="Arial"/>
          <w:b/>
          <w:bCs/>
          <w:color w:val="auto"/>
          <w:sz w:val="22"/>
          <w:szCs w:val="22"/>
        </w:rPr>
      </w:pPr>
      <w:bookmarkStart w:id="4" w:name="_Toc232291869"/>
      <w:r w:rsidRPr="006256B7">
        <w:rPr>
          <w:rFonts w:ascii="Arial" w:hAnsi="Arial" w:cs="Arial"/>
          <w:b/>
          <w:bCs/>
          <w:color w:val="auto"/>
          <w:sz w:val="22"/>
          <w:szCs w:val="22"/>
        </w:rPr>
        <w:t>Section 4: Monitoring and Tracking Respiratory Function - The Peak Flow.</w:t>
      </w:r>
      <w:bookmarkEnd w:id="4"/>
    </w:p>
    <w:p w14:paraId="7DCBAC99" w14:textId="77777777" w:rsidR="00B40DE8" w:rsidRPr="006256B7" w:rsidRDefault="00B40DE8" w:rsidP="006256B7">
      <w:pPr>
        <w:spacing w:line="360" w:lineRule="auto"/>
        <w:jc w:val="both"/>
        <w:rPr>
          <w:rFonts w:ascii="Arial" w:hAnsi="Arial" w:cs="Arial"/>
        </w:rPr>
      </w:pPr>
      <w:r w:rsidRPr="006256B7">
        <w:rPr>
          <w:rFonts w:ascii="Arial" w:hAnsi="Arial" w:cs="Arial"/>
        </w:rPr>
        <w:t>Monitoring should be key to good asthma self-management and involve regular monitoring of peak expiratory flow rate (PEFR) which is measured using a peak flow meter (NICE, 2017). PEFR measures the fastest speed at which air can be blown out of the lungs, and is an indicator of how blocked the air passages are. Measured in litres per minute (L/min) and compared with an expected value, according to age, sex and height (Asthma + Lung UK, 2023).</w:t>
      </w:r>
    </w:p>
    <w:p w14:paraId="09A95662" w14:textId="77777777" w:rsidR="00B40DE8" w:rsidRPr="006256B7" w:rsidRDefault="00B40DE8" w:rsidP="006256B7">
      <w:pPr>
        <w:spacing w:line="360" w:lineRule="auto"/>
        <w:jc w:val="both"/>
        <w:rPr>
          <w:rFonts w:ascii="Arial" w:hAnsi="Arial" w:cs="Arial"/>
        </w:rPr>
      </w:pPr>
      <w:r w:rsidRPr="006256B7">
        <w:rPr>
          <w:rFonts w:ascii="Arial" w:hAnsi="Arial" w:cs="Arial"/>
        </w:rPr>
        <w:t xml:space="preserve">If peak flow is monitored daily (twice a day is ideal – morning and evening), patients will be able to recognise a gradual worsening of their lung function before symptoms become apparent (NICE, 2017). Asthma action plans use personalised PEFR zones, usually a traffic </w:t>
      </w:r>
      <w:r w:rsidRPr="006256B7">
        <w:rPr>
          <w:rFonts w:ascii="Arial" w:hAnsi="Arial" w:cs="Arial"/>
        </w:rPr>
        <w:lastRenderedPageBreak/>
        <w:t>light system with green &gt;80% predicted, amber 50–80% and red &lt;50% to show patients when to increase or decrease asthma medication, seek advice from their healthcare provider or call the emergency services (Global Initiative for Asthma, 2023). This proactive surveillance method has shown to have beneficial effects on the minimisation of unscheduled healthcare utilisation and better asthma control outcomes (NICE, 2017).</w:t>
      </w:r>
    </w:p>
    <w:p w14:paraId="40639730" w14:textId="3B995460" w:rsidR="00B40DE8" w:rsidRPr="006256B7" w:rsidRDefault="00B40DE8" w:rsidP="006256B7">
      <w:pPr>
        <w:spacing w:line="360" w:lineRule="auto"/>
        <w:jc w:val="both"/>
        <w:rPr>
          <w:rFonts w:ascii="Arial" w:hAnsi="Arial" w:cs="Arial"/>
        </w:rPr>
      </w:pPr>
      <w:r w:rsidRPr="006256B7">
        <w:rPr>
          <w:rFonts w:ascii="Arial" w:hAnsi="Arial" w:cs="Arial"/>
        </w:rPr>
        <w:t>Among the adolescents, now more of them can comply with the equipment since digital peak flow meters and smartphone applications have allowed them to easily monitor and visualise the trends of data logging. The longitudinal data can also help the clinician to assess the efficacy of preventer therapy at asthma reviews for step-up or step-down in accordance with GINA guidelines (Global Initiative for Asthma, 2023).</w:t>
      </w:r>
    </w:p>
    <w:p w14:paraId="0446AB23" w14:textId="3DC11FE0" w:rsidR="006256B7" w:rsidRPr="006256B7" w:rsidRDefault="006256B7" w:rsidP="006256B7">
      <w:pPr>
        <w:pStyle w:val="Heading1"/>
        <w:spacing w:line="360" w:lineRule="auto"/>
        <w:jc w:val="both"/>
        <w:rPr>
          <w:rFonts w:ascii="Arial" w:hAnsi="Arial" w:cs="Arial"/>
          <w:color w:val="auto"/>
          <w:sz w:val="22"/>
          <w:szCs w:val="22"/>
        </w:rPr>
      </w:pPr>
      <w:bookmarkStart w:id="5" w:name="_Toc232291870"/>
      <w:r w:rsidRPr="006256B7">
        <w:rPr>
          <w:rFonts w:ascii="Arial" w:eastAsia="Arial" w:hAnsi="Arial" w:cs="Arial"/>
          <w:b/>
          <w:bCs/>
          <w:color w:val="auto"/>
          <w:sz w:val="22"/>
          <w:szCs w:val="22"/>
        </w:rPr>
        <w:t>Section 5: Evidence-Based Lifestyle Recommendations</w:t>
      </w:r>
      <w:bookmarkEnd w:id="5"/>
    </w:p>
    <w:p w14:paraId="27973003" w14:textId="77777777" w:rsidR="00B40DE8" w:rsidRPr="006256B7" w:rsidRDefault="00B40DE8" w:rsidP="006256B7">
      <w:pPr>
        <w:spacing w:line="360" w:lineRule="auto"/>
        <w:jc w:val="both"/>
        <w:rPr>
          <w:rFonts w:ascii="Arial" w:hAnsi="Arial" w:cs="Arial"/>
        </w:rPr>
      </w:pPr>
      <w:r w:rsidRPr="006256B7">
        <w:rPr>
          <w:rFonts w:ascii="Arial" w:hAnsi="Arial" w:cs="Arial"/>
        </w:rPr>
        <w:t>Various evidence-based lifestyle modifications have the potential to significantly decrease the severity and occurrence of asthma exacerbations among the adolescents.</w:t>
      </w:r>
    </w:p>
    <w:p w14:paraId="6E19A639" w14:textId="77777777" w:rsidR="00B40DE8" w:rsidRPr="006256B7" w:rsidRDefault="00B40DE8" w:rsidP="006256B7">
      <w:pPr>
        <w:spacing w:line="360" w:lineRule="auto"/>
        <w:jc w:val="both"/>
        <w:rPr>
          <w:rFonts w:ascii="Arial" w:hAnsi="Arial" w:cs="Arial"/>
        </w:rPr>
      </w:pPr>
      <w:r w:rsidRPr="006256B7">
        <w:rPr>
          <w:rFonts w:ascii="Arial" w:hAnsi="Arial" w:cs="Arial"/>
        </w:rPr>
        <w:t>The biggest lifestyle change is to stop smoking and vaping. Nonsmokers are at half the risk for poorly controlled asthma as smokers (McNeill et al., 2022). The advice to give short-term cessation must be provided by all healthcare professionals to each clinical contact, and complemented by referral to specialist stop-smoking services as well as the offer of nicotine replacement therapy (where necessary) as suggested by NICE (2021). When supporting young people to quit, motivational interviewing is a particularly effective technique in helping to motivate them from within (NICE, 2021).</w:t>
      </w:r>
    </w:p>
    <w:p w14:paraId="690ACF51" w14:textId="77777777" w:rsidR="00B40DE8" w:rsidRPr="006256B7" w:rsidRDefault="00B40DE8" w:rsidP="006256B7">
      <w:pPr>
        <w:spacing w:line="360" w:lineRule="auto"/>
        <w:jc w:val="both"/>
        <w:rPr>
          <w:rFonts w:ascii="Arial" w:hAnsi="Arial" w:cs="Arial"/>
        </w:rPr>
      </w:pPr>
      <w:r w:rsidRPr="006256B7">
        <w:rPr>
          <w:rFonts w:ascii="Arial" w:hAnsi="Arial" w:cs="Arial"/>
        </w:rPr>
        <w:t>Moderate exercise of regular intensity is able to increase their cardiorespiratory fitness and decrease airway hyperresponsiveness in patients with asthma (Carson et al., 2013). The warm humidified conditions of swimming help reduce the effects of exercise induced bronchoconstriction and make swimming particularly tolerated. Patients should be counselled to use their Short Acting Beta-2 Agonist (SABA) inhaler 10-15 minutes before they exercise where it is known that their symptoms occur during exercise (Global Initiative for Asthma, 2023).</w:t>
      </w:r>
    </w:p>
    <w:p w14:paraId="5EC044F2" w14:textId="77777777" w:rsidR="00B40DE8" w:rsidRPr="006256B7" w:rsidRDefault="00B40DE8" w:rsidP="006256B7">
      <w:pPr>
        <w:spacing w:line="360" w:lineRule="auto"/>
        <w:jc w:val="both"/>
        <w:rPr>
          <w:rFonts w:ascii="Arial" w:hAnsi="Arial" w:cs="Arial"/>
        </w:rPr>
      </w:pPr>
      <w:r w:rsidRPr="006256B7">
        <w:rPr>
          <w:rFonts w:ascii="Arial" w:hAnsi="Arial" w:cs="Arial"/>
        </w:rPr>
        <w:t>Other considerations are diet and weight management. Obesity is a single risk factor to asthma severity and low corticosteroid responsiveness (Beuther and Sutherland, 2007). The evidence on the beneficial association of a Mediterranean diet, which contains high amount of fruit, vegetables, and omega-3 fatty acids, is of moderate quality (Barros et al., 2016) and is associated with decreasing bronchial inflammation and improving lung function; this should be discussed with patients in an honest manner.</w:t>
      </w:r>
    </w:p>
    <w:p w14:paraId="1121CEAF" w14:textId="77777777" w:rsidR="00B40DE8" w:rsidRPr="006256B7" w:rsidRDefault="00B40DE8" w:rsidP="006256B7">
      <w:pPr>
        <w:spacing w:line="360" w:lineRule="auto"/>
        <w:jc w:val="both"/>
        <w:rPr>
          <w:rFonts w:ascii="Arial" w:hAnsi="Arial" w:cs="Arial"/>
        </w:rPr>
      </w:pPr>
      <w:r w:rsidRPr="006256B7">
        <w:rPr>
          <w:rFonts w:ascii="Arial" w:hAnsi="Arial" w:cs="Arial"/>
        </w:rPr>
        <w:lastRenderedPageBreak/>
        <w:t>An individualised asthma action plan should include how to reduce exposure to known environmental triggers (NICE, 2017) using allergen-proof mattress covers, regular vacuuming and avoiding known allergens. All asthmatic patients are strongly encouraged to have their annual influenza vaccination, which decreases the chance of exacerbations, triggered by the virus (Johnston et al., 1995).</w:t>
      </w:r>
    </w:p>
    <w:p w14:paraId="5902D016" w14:textId="77777777" w:rsidR="00B40DE8" w:rsidRPr="006256B7" w:rsidRDefault="00B40DE8" w:rsidP="006256B7">
      <w:pPr>
        <w:pStyle w:val="Heading1"/>
        <w:spacing w:line="360" w:lineRule="auto"/>
        <w:jc w:val="both"/>
        <w:rPr>
          <w:rFonts w:ascii="Arial" w:hAnsi="Arial" w:cs="Arial"/>
          <w:b/>
          <w:bCs/>
          <w:color w:val="auto"/>
          <w:sz w:val="22"/>
          <w:szCs w:val="22"/>
        </w:rPr>
      </w:pPr>
      <w:bookmarkStart w:id="6" w:name="_Toc232291871"/>
      <w:r w:rsidRPr="006256B7">
        <w:rPr>
          <w:rFonts w:ascii="Arial" w:hAnsi="Arial" w:cs="Arial"/>
          <w:b/>
          <w:bCs/>
          <w:color w:val="auto"/>
          <w:sz w:val="22"/>
          <w:szCs w:val="22"/>
        </w:rPr>
        <w:t>Conclusion</w:t>
      </w:r>
      <w:bookmarkEnd w:id="6"/>
    </w:p>
    <w:p w14:paraId="5BF5C4E4" w14:textId="77777777" w:rsidR="00B40DE8" w:rsidRPr="006256B7" w:rsidRDefault="00B40DE8" w:rsidP="006256B7">
      <w:pPr>
        <w:spacing w:line="360" w:lineRule="auto"/>
        <w:jc w:val="both"/>
        <w:rPr>
          <w:rFonts w:ascii="Arial" w:hAnsi="Arial" w:cs="Arial"/>
        </w:rPr>
      </w:pPr>
      <w:r w:rsidRPr="006256B7">
        <w:rPr>
          <w:rFonts w:ascii="Arial" w:hAnsi="Arial" w:cs="Arial"/>
        </w:rPr>
        <w:t>Asthma is a multifaceted, chronic inflammatory disease of the airways which has profound effects on the respiratory health of teenagers, especially with the evolution of lifestyle behaviours with age. The insights of this report have shown that knowledge of the anatomy and physiology of respiration starting with the structures of the airway all the way to the processes of alveolar gas exchange is essential to understanding how and why symptoms occur and how some triggers can elicit such a great response.</w:t>
      </w:r>
    </w:p>
    <w:p w14:paraId="7E8F440E" w14:textId="77777777" w:rsidR="00B40DE8" w:rsidRPr="006256B7" w:rsidRDefault="00B40DE8" w:rsidP="006256B7">
      <w:pPr>
        <w:spacing w:line="360" w:lineRule="auto"/>
        <w:jc w:val="both"/>
        <w:rPr>
          <w:rFonts w:ascii="Arial" w:hAnsi="Arial" w:cs="Arial"/>
        </w:rPr>
      </w:pPr>
      <w:r w:rsidRPr="006256B7">
        <w:rPr>
          <w:rFonts w:ascii="Arial" w:hAnsi="Arial" w:cs="Arial"/>
        </w:rPr>
        <w:t>Smoking, vaping and exposure to respiratory infections are all behaviors that are more common in the teen social landscape and directly contribute to the pathophysiology of asthma, which includes IgE Mediated Inflammation, Bronchospasm, Oedema and Mucous Hypersecretion. By regularly monitoring via peak flow, patients can take a proactive approach to managing their asthma, rather than a reactive one and help to recognise when things are getting worse before it actually becomes an emergency.</w:t>
      </w:r>
    </w:p>
    <w:p w14:paraId="6EF7B834" w14:textId="211C8DAE" w:rsidR="00666549" w:rsidRPr="006256B7" w:rsidRDefault="00B40DE8" w:rsidP="006256B7">
      <w:pPr>
        <w:spacing w:line="360" w:lineRule="auto"/>
        <w:jc w:val="both"/>
        <w:rPr>
          <w:rFonts w:ascii="Arial" w:hAnsi="Arial" w:cs="Arial"/>
        </w:rPr>
      </w:pPr>
      <w:r w:rsidRPr="006256B7">
        <w:rPr>
          <w:rFonts w:ascii="Arial" w:hAnsi="Arial" w:cs="Arial"/>
        </w:rPr>
        <w:t>Evidence-based lifestyle changes, most importantly quitting smoking and vaping, as well as increasing regular exercise and making dietary changes and avoiding trigger foods, can give adolescents a chance to take control of their breathing. Healthcare professionals are an integral part, not just as a prescriber of medicine but as an educator and motivator. Having provided teenagers with the knowledge of their illness and practical means of its treatment, nurses in asthma clinics will be able to increase their interest in care plans and eventually enhance long-term health outcomes.</w:t>
      </w:r>
    </w:p>
    <w:p w14:paraId="00223A20" w14:textId="77777777" w:rsidR="006256B7" w:rsidRPr="006256B7" w:rsidRDefault="006256B7">
      <w:pPr>
        <w:rPr>
          <w:rFonts w:ascii="Arial" w:eastAsia="Arial" w:hAnsi="Arial" w:cs="Arial"/>
          <w:b/>
          <w:bCs/>
        </w:rPr>
      </w:pPr>
      <w:r w:rsidRPr="006256B7">
        <w:rPr>
          <w:rFonts w:ascii="Arial" w:eastAsia="Arial" w:hAnsi="Arial" w:cs="Arial"/>
          <w:b/>
          <w:bCs/>
        </w:rPr>
        <w:br w:type="page"/>
      </w:r>
    </w:p>
    <w:p w14:paraId="05747771" w14:textId="2B629606" w:rsidR="006256B7" w:rsidRPr="006256B7" w:rsidRDefault="006256B7" w:rsidP="006256B7">
      <w:pPr>
        <w:pStyle w:val="Heading1"/>
        <w:rPr>
          <w:color w:val="auto"/>
          <w:sz w:val="22"/>
          <w:szCs w:val="22"/>
        </w:rPr>
      </w:pPr>
      <w:bookmarkStart w:id="7" w:name="_Toc232291872"/>
      <w:r w:rsidRPr="006256B7">
        <w:rPr>
          <w:rFonts w:ascii="Arial" w:eastAsia="Arial" w:hAnsi="Arial" w:cs="Arial"/>
          <w:b/>
          <w:bCs/>
          <w:color w:val="auto"/>
          <w:sz w:val="22"/>
          <w:szCs w:val="22"/>
        </w:rPr>
        <w:lastRenderedPageBreak/>
        <w:t>Reference List</w:t>
      </w:r>
      <w:bookmarkEnd w:id="7"/>
    </w:p>
    <w:p w14:paraId="6016E458" w14:textId="77777777" w:rsidR="006256B7" w:rsidRPr="006256B7" w:rsidRDefault="006256B7" w:rsidP="006256B7">
      <w:pPr>
        <w:spacing w:after="120" w:line="276" w:lineRule="auto"/>
        <w:ind w:left="720" w:hanging="720"/>
        <w:jc w:val="both"/>
      </w:pPr>
      <w:r w:rsidRPr="006256B7">
        <w:rPr>
          <w:rFonts w:ascii="Arial" w:eastAsia="Arial" w:hAnsi="Arial" w:cs="Arial"/>
        </w:rPr>
        <w:t xml:space="preserve">Asthma + Lung UK (2023) Asthma facts and statistics. </w:t>
      </w:r>
      <w:hyperlink r:id="rId7" w:history="1">
        <w:r w:rsidRPr="006256B7">
          <w:rPr>
            <w:rStyle w:val="Hyperlink"/>
            <w:color w:val="auto"/>
          </w:rPr>
          <w:t>https://www.asthma.org.uk/about/media/facts-and-statistics/</w:t>
        </w:r>
      </w:hyperlink>
    </w:p>
    <w:p w14:paraId="6942E9F2" w14:textId="77777777" w:rsidR="006256B7" w:rsidRPr="006256B7" w:rsidRDefault="006256B7" w:rsidP="006256B7">
      <w:pPr>
        <w:spacing w:after="120" w:line="276" w:lineRule="auto"/>
        <w:ind w:left="720" w:hanging="720"/>
        <w:jc w:val="both"/>
        <w:rPr>
          <w:lang w:val="en-US"/>
        </w:rPr>
      </w:pPr>
      <w:r w:rsidRPr="006256B7">
        <w:rPr>
          <w:rFonts w:ascii="Arial" w:eastAsia="Arial" w:hAnsi="Arial" w:cs="Arial"/>
        </w:rPr>
        <w:t>Barnes, P.J. (2008) 'Immunology of asthma and chronic obstructive pulmonary disease', Nature Reviews Immunology, 8(3), pp. 183–192</w:t>
      </w:r>
      <w:r w:rsidRPr="006256B7">
        <w:rPr>
          <w:lang w:val="en-US"/>
        </w:rPr>
        <w:t>.</w:t>
      </w:r>
    </w:p>
    <w:p w14:paraId="4715CAEC" w14:textId="77777777" w:rsidR="006256B7" w:rsidRPr="006256B7" w:rsidRDefault="006256B7" w:rsidP="006256B7">
      <w:pPr>
        <w:spacing w:after="120" w:line="276" w:lineRule="auto"/>
        <w:ind w:left="720" w:hanging="720"/>
        <w:jc w:val="both"/>
      </w:pPr>
      <w:r w:rsidRPr="006256B7">
        <w:rPr>
          <w:rFonts w:ascii="Arial" w:eastAsia="Arial" w:hAnsi="Arial" w:cs="Arial"/>
        </w:rPr>
        <w:t>Barros, R., Moreira, A., Fonseca, J. and Delgado, L. (2016) 'Adherence to the Mediterranean diet and fresh fruit intake are associated with improved asthma control', Allergy, 71(7), pp. 1003–1011.</w:t>
      </w:r>
    </w:p>
    <w:p w14:paraId="2A1689B1" w14:textId="77777777" w:rsidR="006256B7" w:rsidRPr="006256B7" w:rsidRDefault="006256B7" w:rsidP="006256B7">
      <w:pPr>
        <w:spacing w:after="120" w:line="276" w:lineRule="auto"/>
        <w:ind w:left="720" w:hanging="720"/>
        <w:jc w:val="both"/>
      </w:pPr>
      <w:r w:rsidRPr="006256B7">
        <w:rPr>
          <w:rFonts w:ascii="Arial" w:eastAsia="Arial" w:hAnsi="Arial" w:cs="Arial"/>
        </w:rPr>
        <w:t>Beuther, D.A. and Sutherland, E.R. (2007) 'Overweight, obesity, and incident asthma: a meta-analysis of prospective epidemiologic studies', American Journal of Respiratory and Critical Care Medicine, 175(7), pp. 661–666.</w:t>
      </w:r>
    </w:p>
    <w:p w14:paraId="3DAD097E" w14:textId="77777777" w:rsidR="006256B7" w:rsidRPr="006256B7" w:rsidRDefault="006256B7" w:rsidP="006256B7">
      <w:pPr>
        <w:spacing w:after="120" w:line="276" w:lineRule="auto"/>
        <w:ind w:left="720" w:hanging="720"/>
        <w:jc w:val="both"/>
        <w:rPr>
          <w:lang w:val="en-US"/>
        </w:rPr>
      </w:pPr>
      <w:r w:rsidRPr="006256B7">
        <w:rPr>
          <w:rFonts w:ascii="Arial" w:eastAsia="Arial" w:hAnsi="Arial" w:cs="Arial"/>
        </w:rPr>
        <w:t>Bhatta, D.N. and Glantz, S.A. (2020) 'Association of e-cigarette use with respiratory disease among adults', American Journal of Preventive Medicine, 58(2), pp. 182–190</w:t>
      </w:r>
      <w:r w:rsidRPr="006256B7">
        <w:rPr>
          <w:lang w:val="en-US"/>
        </w:rPr>
        <w:t>.</w:t>
      </w:r>
    </w:p>
    <w:p w14:paraId="3251F779" w14:textId="77777777" w:rsidR="006256B7" w:rsidRPr="006256B7" w:rsidRDefault="006256B7" w:rsidP="006256B7">
      <w:pPr>
        <w:spacing w:after="120" w:line="276" w:lineRule="auto"/>
        <w:ind w:left="720" w:hanging="720"/>
        <w:jc w:val="both"/>
      </w:pPr>
      <w:r w:rsidRPr="006256B7">
        <w:rPr>
          <w:rFonts w:ascii="Arial" w:eastAsia="Arial" w:hAnsi="Arial" w:cs="Arial"/>
        </w:rPr>
        <w:t>Carson, K.V., Chandratilleke, M.G., Picot, J., Brinn, M.P., Esterman, A.J. and Smith, B.J. (2013) 'Physical training for asthma', Cochrane Database of Systematic Reviews, (9), art. no. CD001116.</w:t>
      </w:r>
    </w:p>
    <w:p w14:paraId="0D8FA87D" w14:textId="77777777" w:rsidR="006256B7" w:rsidRPr="006256B7" w:rsidRDefault="006256B7" w:rsidP="006256B7">
      <w:pPr>
        <w:spacing w:after="120" w:line="276" w:lineRule="auto"/>
        <w:ind w:left="720" w:hanging="720"/>
        <w:jc w:val="both"/>
      </w:pPr>
      <w:r w:rsidRPr="006256B7">
        <w:rPr>
          <w:rFonts w:ascii="Arial" w:eastAsia="Arial" w:hAnsi="Arial" w:cs="Arial"/>
        </w:rPr>
        <w:t xml:space="preserve">Global Initiative for Asthma (GINA) (2023) Global Strategy for Asthma Management and Prevention. Available at: </w:t>
      </w:r>
      <w:hyperlink r:id="rId8" w:history="1">
        <w:r w:rsidRPr="006256B7">
          <w:rPr>
            <w:rStyle w:val="Hyperlink"/>
            <w:color w:val="auto"/>
          </w:rPr>
          <w:t>https://ginasthma.org/gina-reports/</w:t>
        </w:r>
      </w:hyperlink>
    </w:p>
    <w:p w14:paraId="5B3F7A7B" w14:textId="77777777" w:rsidR="006256B7" w:rsidRPr="006256B7" w:rsidRDefault="006256B7" w:rsidP="006256B7">
      <w:pPr>
        <w:spacing w:after="120" w:line="276" w:lineRule="auto"/>
        <w:ind w:left="720" w:hanging="720"/>
        <w:jc w:val="both"/>
      </w:pPr>
      <w:r w:rsidRPr="006256B7">
        <w:rPr>
          <w:rFonts w:ascii="Arial" w:eastAsia="Arial" w:hAnsi="Arial" w:cs="Arial"/>
        </w:rPr>
        <w:t>Johnston, S.L., Pattemore, P.K., Sanderson, G., Smith, S., Lampe, F., Josephs, L., Symington, P., O'Toole, S., Myint, S.H., Tyrrell, D.A.J. and Holgate, S.T. (1995) 'Community study of role of viral infections in exacerbations of asthma in 9–11 year old children', British Medical Journal, 310(6989), pp. 1225–1229.</w:t>
      </w:r>
    </w:p>
    <w:p w14:paraId="2D4AADEE" w14:textId="77777777" w:rsidR="006256B7" w:rsidRPr="006256B7" w:rsidRDefault="006256B7" w:rsidP="006256B7">
      <w:pPr>
        <w:spacing w:after="120" w:line="276" w:lineRule="auto"/>
        <w:ind w:left="720" w:hanging="720"/>
        <w:jc w:val="both"/>
      </w:pPr>
      <w:r w:rsidRPr="006256B7">
        <w:rPr>
          <w:rFonts w:ascii="Arial" w:eastAsia="Arial" w:hAnsi="Arial" w:cs="Arial"/>
        </w:rPr>
        <w:t>Marieb, E.N. and Hoehn, K. (2019) Human Anatomy and Physiology. 11th edn. Harlow: Pearson.</w:t>
      </w:r>
    </w:p>
    <w:p w14:paraId="24FF56DC" w14:textId="77777777" w:rsidR="006256B7" w:rsidRPr="006256B7" w:rsidRDefault="006256B7" w:rsidP="006256B7">
      <w:pPr>
        <w:spacing w:after="120" w:line="276" w:lineRule="auto"/>
        <w:ind w:left="720" w:hanging="720"/>
        <w:jc w:val="both"/>
      </w:pPr>
      <w:r w:rsidRPr="006256B7">
        <w:rPr>
          <w:rFonts w:ascii="Arial" w:eastAsia="Arial" w:hAnsi="Arial" w:cs="Arial"/>
        </w:rPr>
        <w:t>McNeill, A., Brose, L.S., Calder, R., Bauld, L. and Robson, D. (2022) Vaping in England: evidence update including mental health and pregnancy, 2022. London: UK Health Security Agency.</w:t>
      </w:r>
    </w:p>
    <w:p w14:paraId="72B3EFC4" w14:textId="77777777" w:rsidR="006256B7" w:rsidRPr="006256B7" w:rsidRDefault="006256B7" w:rsidP="006256B7">
      <w:pPr>
        <w:spacing w:after="120" w:line="276" w:lineRule="auto"/>
        <w:ind w:left="720" w:hanging="720"/>
        <w:jc w:val="both"/>
      </w:pPr>
      <w:r w:rsidRPr="006256B7">
        <w:rPr>
          <w:rFonts w:ascii="Arial" w:eastAsia="Arial" w:hAnsi="Arial" w:cs="Arial"/>
        </w:rPr>
        <w:t>NICE (2017) Asthma: diagnosis, monitoring and chronic asthma management. NICE guideline NG80.</w:t>
      </w:r>
      <w:r w:rsidRPr="006256B7">
        <w:rPr>
          <w:lang w:val="en-US"/>
        </w:rPr>
        <w:t xml:space="preserve"> </w:t>
      </w:r>
      <w:hyperlink r:id="rId9" w:history="1">
        <w:r w:rsidRPr="006256B7">
          <w:rPr>
            <w:rStyle w:val="Hyperlink"/>
            <w:color w:val="auto"/>
          </w:rPr>
          <w:t>https://www.nice.org.uk/guidance/ng80</w:t>
        </w:r>
      </w:hyperlink>
    </w:p>
    <w:p w14:paraId="7C0214BB" w14:textId="77777777" w:rsidR="006256B7" w:rsidRPr="006256B7" w:rsidRDefault="006256B7" w:rsidP="006256B7">
      <w:pPr>
        <w:spacing w:after="120" w:line="276" w:lineRule="auto"/>
        <w:ind w:left="720" w:hanging="720"/>
        <w:jc w:val="both"/>
      </w:pPr>
      <w:r w:rsidRPr="006256B7">
        <w:rPr>
          <w:rFonts w:ascii="Arial" w:eastAsia="Arial" w:hAnsi="Arial" w:cs="Arial"/>
        </w:rPr>
        <w:t>NICE (2021) Stop smoking interventions and services. NICE guideline PH10.</w:t>
      </w:r>
      <w:r w:rsidRPr="006256B7">
        <w:rPr>
          <w:lang w:val="en-US"/>
        </w:rPr>
        <w:t xml:space="preserve"> </w:t>
      </w:r>
      <w:hyperlink r:id="rId10" w:history="1">
        <w:r w:rsidRPr="006256B7">
          <w:rPr>
            <w:rStyle w:val="Hyperlink"/>
            <w:color w:val="auto"/>
          </w:rPr>
          <w:t>https://www.nice.org.uk/guidance/ph10</w:t>
        </w:r>
      </w:hyperlink>
    </w:p>
    <w:p w14:paraId="76E244BD" w14:textId="77777777" w:rsidR="006256B7" w:rsidRPr="006256B7" w:rsidRDefault="006256B7" w:rsidP="006256B7">
      <w:pPr>
        <w:spacing w:after="120" w:line="276" w:lineRule="auto"/>
        <w:ind w:left="720" w:hanging="720"/>
        <w:jc w:val="both"/>
      </w:pPr>
      <w:r w:rsidRPr="006256B7">
        <w:rPr>
          <w:rFonts w:ascii="Arial" w:eastAsia="Arial" w:hAnsi="Arial" w:cs="Arial"/>
        </w:rPr>
        <w:t>Tortora, G.J. and Derrickson, B.H. (2017) Principles of Anatomy and Physiology. 15th edn. Chichester: Wiley.</w:t>
      </w:r>
    </w:p>
    <w:p w14:paraId="6173FBC5" w14:textId="77777777" w:rsidR="006256B7" w:rsidRPr="006256B7" w:rsidRDefault="006256B7" w:rsidP="006256B7">
      <w:pPr>
        <w:spacing w:after="120" w:line="276" w:lineRule="auto"/>
        <w:ind w:left="720" w:hanging="720"/>
        <w:jc w:val="both"/>
      </w:pPr>
      <w:r w:rsidRPr="006256B7">
        <w:rPr>
          <w:rFonts w:ascii="Arial" w:eastAsia="Arial" w:hAnsi="Arial" w:cs="Arial"/>
        </w:rPr>
        <w:t>Waugh, A. and Grant, A. (2022) Ross and Wilson Anatomy and Physiology in Health and Illness. 14th edn. Edinburgh: Elsevier.</w:t>
      </w:r>
    </w:p>
    <w:p w14:paraId="5F742320" w14:textId="77777777" w:rsidR="006256B7" w:rsidRPr="006256B7" w:rsidRDefault="006256B7" w:rsidP="006256B7">
      <w:pPr>
        <w:spacing w:line="360" w:lineRule="auto"/>
        <w:jc w:val="both"/>
        <w:rPr>
          <w:rFonts w:ascii="Arial" w:hAnsi="Arial" w:cs="Arial"/>
        </w:rPr>
      </w:pPr>
    </w:p>
    <w:sectPr w:rsidR="006256B7" w:rsidRPr="006256B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6A85B" w14:textId="77777777" w:rsidR="007D1E5F" w:rsidRDefault="007D1E5F" w:rsidP="006256B7">
      <w:pPr>
        <w:spacing w:after="0" w:line="240" w:lineRule="auto"/>
      </w:pPr>
      <w:r>
        <w:separator/>
      </w:r>
    </w:p>
  </w:endnote>
  <w:endnote w:type="continuationSeparator" w:id="0">
    <w:p w14:paraId="006428E9" w14:textId="77777777" w:rsidR="007D1E5F" w:rsidRDefault="007D1E5F" w:rsidP="00625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185224"/>
      <w:docPartObj>
        <w:docPartGallery w:val="Page Numbers (Bottom of Page)"/>
        <w:docPartUnique/>
      </w:docPartObj>
    </w:sdtPr>
    <w:sdtContent>
      <w:sdt>
        <w:sdtPr>
          <w:id w:val="-1705238520"/>
          <w:docPartObj>
            <w:docPartGallery w:val="Page Numbers (Top of Page)"/>
            <w:docPartUnique/>
          </w:docPartObj>
        </w:sdtPr>
        <w:sdtContent>
          <w:p w14:paraId="0B00648F" w14:textId="12CD6E47" w:rsidR="006256B7" w:rsidRDefault="006256B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9102EA3" w14:textId="77777777" w:rsidR="006256B7" w:rsidRDefault="00625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4AF1" w14:textId="77777777" w:rsidR="007D1E5F" w:rsidRDefault="007D1E5F" w:rsidP="006256B7">
      <w:pPr>
        <w:spacing w:after="0" w:line="240" w:lineRule="auto"/>
      </w:pPr>
      <w:r>
        <w:separator/>
      </w:r>
    </w:p>
  </w:footnote>
  <w:footnote w:type="continuationSeparator" w:id="0">
    <w:p w14:paraId="1BE02FFE" w14:textId="77777777" w:rsidR="007D1E5F" w:rsidRDefault="007D1E5F" w:rsidP="006256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E8"/>
    <w:rsid w:val="006256B7"/>
    <w:rsid w:val="00666549"/>
    <w:rsid w:val="00680D8C"/>
    <w:rsid w:val="007D1E5F"/>
    <w:rsid w:val="00833AB2"/>
    <w:rsid w:val="0085081A"/>
    <w:rsid w:val="008658B4"/>
    <w:rsid w:val="009E4627"/>
    <w:rsid w:val="00A75170"/>
    <w:rsid w:val="00B37AA8"/>
    <w:rsid w:val="00B40DE8"/>
    <w:rsid w:val="00BA124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F24C"/>
  <w15:chartTrackingRefBased/>
  <w15:docId w15:val="{2E70B23F-23F8-485B-A61F-C7A50242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40D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DE8"/>
    <w:rPr>
      <w:rFonts w:asciiTheme="majorHAnsi" w:eastAsiaTheme="majorEastAsia" w:hAnsiTheme="majorHAnsi" w:cstheme="majorBidi"/>
      <w:color w:val="2F5496" w:themeColor="accent1" w:themeShade="BF"/>
      <w:sz w:val="32"/>
      <w:szCs w:val="32"/>
      <w:lang w:val="en-GB"/>
    </w:rPr>
  </w:style>
  <w:style w:type="character" w:styleId="Hyperlink">
    <w:name w:val="Hyperlink"/>
    <w:uiPriority w:val="99"/>
    <w:unhideWhenUsed/>
    <w:rsid w:val="006256B7"/>
    <w:rPr>
      <w:color w:val="0563C1"/>
      <w:u w:val="single"/>
    </w:rPr>
  </w:style>
  <w:style w:type="paragraph" w:styleId="Header">
    <w:name w:val="header"/>
    <w:basedOn w:val="Normal"/>
    <w:link w:val="HeaderChar"/>
    <w:uiPriority w:val="99"/>
    <w:unhideWhenUsed/>
    <w:rsid w:val="006256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6B7"/>
    <w:rPr>
      <w:lang w:val="en-GB"/>
    </w:rPr>
  </w:style>
  <w:style w:type="paragraph" w:styleId="Footer">
    <w:name w:val="footer"/>
    <w:basedOn w:val="Normal"/>
    <w:link w:val="FooterChar"/>
    <w:uiPriority w:val="99"/>
    <w:unhideWhenUsed/>
    <w:rsid w:val="006256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6B7"/>
    <w:rPr>
      <w:lang w:val="en-GB"/>
    </w:rPr>
  </w:style>
  <w:style w:type="paragraph" w:styleId="NormalWeb">
    <w:name w:val="Normal (Web)"/>
    <w:basedOn w:val="Normal"/>
    <w:uiPriority w:val="99"/>
    <w:semiHidden/>
    <w:unhideWhenUsed/>
    <w:rsid w:val="00A75170"/>
    <w:pPr>
      <w:spacing w:before="100" w:beforeAutospacing="1" w:after="100" w:afterAutospacing="1" w:line="240" w:lineRule="auto"/>
    </w:pPr>
    <w:rPr>
      <w:rFonts w:ascii="Times New Roman" w:eastAsia="Times New Roman" w:hAnsi="Times New Roman" w:cs="Times New Roman"/>
      <w:sz w:val="24"/>
      <w:szCs w:val="24"/>
      <w:lang/>
    </w:rPr>
  </w:style>
  <w:style w:type="character" w:styleId="Strong">
    <w:name w:val="Strong"/>
    <w:basedOn w:val="DefaultParagraphFont"/>
    <w:uiPriority w:val="22"/>
    <w:qFormat/>
    <w:rsid w:val="00A75170"/>
    <w:rPr>
      <w:b/>
      <w:bCs/>
    </w:rPr>
  </w:style>
  <w:style w:type="paragraph" w:styleId="TOCHeading">
    <w:name w:val="TOC Heading"/>
    <w:basedOn w:val="Heading1"/>
    <w:next w:val="Normal"/>
    <w:uiPriority w:val="39"/>
    <w:unhideWhenUsed/>
    <w:qFormat/>
    <w:rsid w:val="00A75170"/>
    <w:pPr>
      <w:outlineLvl w:val="9"/>
    </w:pPr>
    <w:rPr>
      <w:lang w:val="en-US"/>
    </w:rPr>
  </w:style>
  <w:style w:type="paragraph" w:styleId="TOC1">
    <w:name w:val="toc 1"/>
    <w:basedOn w:val="Normal"/>
    <w:next w:val="Normal"/>
    <w:autoRedefine/>
    <w:uiPriority w:val="39"/>
    <w:unhideWhenUsed/>
    <w:rsid w:val="00A751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68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gina-repor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sthma.org.uk/about/media/facts-and-statist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ice.org.uk/guidance/ph10" TargetMode="External"/><Relationship Id="rId4" Type="http://schemas.openxmlformats.org/officeDocument/2006/relationships/webSettings" Target="webSettings.xml"/><Relationship Id="rId9" Type="http://schemas.openxmlformats.org/officeDocument/2006/relationships/hyperlink" Target="https://www.nice.org.uk/guidance/ng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C0584-94CC-47AB-828C-73A35E15D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Farzana Hameed (2432703)</cp:lastModifiedBy>
  <cp:revision>5</cp:revision>
  <dcterms:created xsi:type="dcterms:W3CDTF">2026-06-13T21:36:00Z</dcterms:created>
  <dcterms:modified xsi:type="dcterms:W3CDTF">2026-06-19T15:49:00Z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c0a97e7f-733e-4910-8f28-ce5177839fba</vt:lpwstr>
  </property>
</Properties>
</file>