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83E07C" w14:textId="77777777" w:rsidR="00940765" w:rsidRDefault="00C83A25" w:rsidP="00440227">
      <w:pPr>
        <w:spacing w:line="360" w:lineRule="auto"/>
        <w:jc w:val="center"/>
      </w:pPr>
      <w:r>
        <w:rPr>
          <w:noProof/>
        </w:rPr>
        <w:drawing>
          <wp:inline distT="0" distB="0" distL="0" distR="0" wp14:anchorId="2717CCD8" wp14:editId="571A3A9B">
            <wp:extent cx="2489200" cy="1040358"/>
            <wp:effectExtent l="0" t="0" r="6350" b="7620"/>
            <wp:docPr id="125727846" name="Picture 3"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27846"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2547502" cy="1064725"/>
                    </a:xfrm>
                    <a:prstGeom prst="rect">
                      <a:avLst/>
                    </a:prstGeom>
                    <a:noFill/>
                    <a:ln>
                      <a:noFill/>
                    </a:ln>
                  </pic:spPr>
                </pic:pic>
              </a:graphicData>
            </a:graphic>
          </wp:inline>
        </w:drawing>
      </w:r>
    </w:p>
    <w:p w14:paraId="0547D9E7" w14:textId="77777777" w:rsidR="00C240DE" w:rsidRDefault="00C83A25" w:rsidP="00440227">
      <w:pPr>
        <w:spacing w:line="360" w:lineRule="auto"/>
        <w:jc w:val="center"/>
        <w:rPr>
          <w:rFonts w:cs="Arial"/>
        </w:rPr>
      </w:pPr>
      <w:r w:rsidRPr="00893041">
        <w:rPr>
          <w:rFonts w:cs="Arial"/>
          <w:b/>
          <w:bCs/>
        </w:rPr>
        <w:t>Accurate Outline for LCHS4003 Component 2 Written Assignment (Report)</w:t>
      </w:r>
      <w:r w:rsidRPr="00893041">
        <w:rPr>
          <w:rFonts w:cs="Arial"/>
        </w:rPr>
        <w:t xml:space="preserve"> </w:t>
      </w:r>
    </w:p>
    <w:p w14:paraId="307F3921" w14:textId="68DDD3CC" w:rsidR="00C240DE" w:rsidRPr="00C240DE" w:rsidRDefault="00C240DE" w:rsidP="00440227">
      <w:pPr>
        <w:spacing w:line="360" w:lineRule="auto"/>
        <w:jc w:val="center"/>
        <w:rPr>
          <w:rFonts w:eastAsiaTheme="majorEastAsia" w:cstheme="majorBidi"/>
          <w:b/>
          <w:sz w:val="24"/>
          <w:szCs w:val="40"/>
        </w:rPr>
      </w:pPr>
    </w:p>
    <w:p w14:paraId="1BBF6209" w14:textId="3304A885" w:rsidR="00C240DE" w:rsidRPr="00893041" w:rsidRDefault="00C240DE" w:rsidP="00440227">
      <w:pPr>
        <w:spacing w:line="360" w:lineRule="auto"/>
        <w:jc w:val="center"/>
        <w:rPr>
          <w:rFonts w:cs="Arial"/>
        </w:rPr>
      </w:pPr>
    </w:p>
    <w:p w14:paraId="1820ABD8" w14:textId="77777777" w:rsidR="00C240DE" w:rsidRPr="00893041" w:rsidRDefault="00C83A25" w:rsidP="00440227">
      <w:pPr>
        <w:spacing w:line="360" w:lineRule="auto"/>
        <w:ind w:left="720"/>
        <w:jc w:val="center"/>
        <w:rPr>
          <w:rFonts w:cs="Arial"/>
        </w:rPr>
      </w:pPr>
      <w:r w:rsidRPr="00893041">
        <w:rPr>
          <w:rFonts w:cs="Arial"/>
        </w:rPr>
        <w:t>Module name: Introduction to Health and Social Care</w:t>
      </w:r>
    </w:p>
    <w:p w14:paraId="386D3644" w14:textId="77777777" w:rsidR="00C240DE" w:rsidRPr="00893041" w:rsidRDefault="00C83A25" w:rsidP="00440227">
      <w:pPr>
        <w:spacing w:line="360" w:lineRule="auto"/>
        <w:ind w:left="720"/>
        <w:jc w:val="center"/>
        <w:rPr>
          <w:rFonts w:cs="Arial"/>
        </w:rPr>
      </w:pPr>
      <w:r w:rsidRPr="00893041">
        <w:rPr>
          <w:rFonts w:cs="Arial"/>
        </w:rPr>
        <w:t>Module code: LCHS4003</w:t>
      </w:r>
    </w:p>
    <w:p w14:paraId="50C79C67" w14:textId="1EDE990B" w:rsidR="00C240DE" w:rsidRDefault="00C83A25" w:rsidP="00440227">
      <w:pPr>
        <w:spacing w:line="360" w:lineRule="auto"/>
        <w:ind w:left="360"/>
        <w:jc w:val="center"/>
        <w:rPr>
          <w:rFonts w:cs="Arial"/>
        </w:rPr>
      </w:pPr>
      <w:r w:rsidRPr="00893041">
        <w:rPr>
          <w:rFonts w:cs="Arial"/>
        </w:rPr>
        <w:t>Student name / Student ID</w:t>
      </w:r>
      <w:r w:rsidR="00DB2C4F">
        <w:rPr>
          <w:rFonts w:cs="Arial"/>
        </w:rPr>
        <w:t xml:space="preserve"> 2527919</w:t>
      </w:r>
    </w:p>
    <w:p w14:paraId="14C8031F" w14:textId="3F85EDA9" w:rsidR="00C240DE" w:rsidRPr="00893041" w:rsidRDefault="0013642C" w:rsidP="00440227">
      <w:pPr>
        <w:spacing w:line="360" w:lineRule="auto"/>
        <w:ind w:left="360"/>
        <w:jc w:val="center"/>
        <w:rPr>
          <w:rFonts w:cs="Arial"/>
        </w:rPr>
      </w:pPr>
      <w:r>
        <w:rPr>
          <w:rFonts w:cs="Arial"/>
        </w:rPr>
        <w:t>Lecturer's</w:t>
      </w:r>
      <w:r w:rsidRPr="00893041">
        <w:rPr>
          <w:rFonts w:cs="Arial"/>
        </w:rPr>
        <w:t xml:space="preserve"> name: </w:t>
      </w:r>
      <w:r w:rsidR="005635DE">
        <w:rPr>
          <w:rFonts w:cs="Arial"/>
        </w:rPr>
        <w:t xml:space="preserve">Sam </w:t>
      </w:r>
      <w:r w:rsidR="005D2640">
        <w:rPr>
          <w:rFonts w:cs="Arial"/>
        </w:rPr>
        <w:t>Parker</w:t>
      </w:r>
    </w:p>
    <w:p w14:paraId="582C7EB9" w14:textId="019FCC47" w:rsidR="00E45FD4" w:rsidRDefault="00C83A25" w:rsidP="00440227">
      <w:pPr>
        <w:spacing w:line="360" w:lineRule="auto"/>
        <w:ind w:left="720"/>
        <w:jc w:val="center"/>
        <w:rPr>
          <w:rFonts w:cs="Arial"/>
        </w:rPr>
      </w:pPr>
      <w:r w:rsidRPr="00893041">
        <w:rPr>
          <w:rFonts w:cs="Arial"/>
        </w:rPr>
        <w:t>Assignment title: Component 2 Written Assignment – Case Study: Mrs Thompson</w:t>
      </w:r>
    </w:p>
    <w:p w14:paraId="6A6C7EE1" w14:textId="77777777" w:rsidR="00E45FD4" w:rsidRDefault="00E45FD4" w:rsidP="00440227">
      <w:pPr>
        <w:spacing w:line="360" w:lineRule="auto"/>
        <w:rPr>
          <w:rFonts w:cs="Arial"/>
        </w:rPr>
      </w:pPr>
      <w:r>
        <w:rPr>
          <w:rFonts w:cs="Arial"/>
        </w:rPr>
        <w:br w:type="page"/>
      </w:r>
    </w:p>
    <w:sdt>
      <w:sdtPr>
        <w:rPr>
          <w:rFonts w:ascii="Arial" w:eastAsiaTheme="minorHAnsi" w:hAnsi="Arial" w:cs="Arial"/>
          <w:b/>
          <w:bCs/>
          <w:color w:val="000000" w:themeColor="text1"/>
          <w:kern w:val="2"/>
          <w:sz w:val="28"/>
          <w:szCs w:val="28"/>
          <w:lang w:val="en-GB"/>
          <w14:ligatures w14:val="standardContextual"/>
        </w:rPr>
        <w:id w:val="646097257"/>
        <w:docPartObj>
          <w:docPartGallery w:val="Table of Contents"/>
          <w:docPartUnique/>
        </w:docPartObj>
      </w:sdtPr>
      <w:sdtEndPr>
        <w:rPr>
          <w:rFonts w:cstheme="minorBidi"/>
          <w:noProof/>
          <w:sz w:val="22"/>
          <w:szCs w:val="22"/>
        </w:rPr>
      </w:sdtEndPr>
      <w:sdtContent>
        <w:p w14:paraId="1463A5DC" w14:textId="16C4B431" w:rsidR="00E45FD4" w:rsidRPr="00E45FD4" w:rsidRDefault="00E45FD4" w:rsidP="00440227">
          <w:pPr>
            <w:pStyle w:val="TOCHeading"/>
            <w:spacing w:after="160" w:line="360" w:lineRule="auto"/>
            <w:jc w:val="center"/>
            <w:rPr>
              <w:rFonts w:ascii="Arial" w:hAnsi="Arial" w:cs="Arial"/>
              <w:b/>
              <w:bCs/>
              <w:color w:val="000000" w:themeColor="text1"/>
              <w:sz w:val="28"/>
              <w:szCs w:val="28"/>
            </w:rPr>
          </w:pPr>
          <w:r w:rsidRPr="00E45FD4">
            <w:rPr>
              <w:rFonts w:ascii="Arial" w:hAnsi="Arial" w:cs="Arial"/>
              <w:b/>
              <w:bCs/>
              <w:color w:val="000000" w:themeColor="text1"/>
              <w:sz w:val="28"/>
              <w:szCs w:val="28"/>
            </w:rPr>
            <w:t>Table of Contents</w:t>
          </w:r>
        </w:p>
        <w:p w14:paraId="43D30321" w14:textId="6A1DC858" w:rsidR="00E45FD4" w:rsidRDefault="00E45FD4" w:rsidP="00440227">
          <w:pPr>
            <w:pStyle w:val="TOC1"/>
            <w:tabs>
              <w:tab w:val="left" w:pos="480"/>
              <w:tab w:val="right" w:leader="dot" w:pos="9350"/>
            </w:tabs>
            <w:spacing w:after="160" w:line="360" w:lineRule="auto"/>
            <w:rPr>
              <w:noProof/>
            </w:rPr>
          </w:pPr>
          <w:r>
            <w:fldChar w:fldCharType="begin"/>
          </w:r>
          <w:r>
            <w:instrText xml:space="preserve"> TOC \o "1-3" \h \z \u </w:instrText>
          </w:r>
          <w:r>
            <w:fldChar w:fldCharType="separate"/>
          </w:r>
          <w:hyperlink w:anchor="_Toc235801424" w:history="1">
            <w:r w:rsidRPr="008122C9">
              <w:rPr>
                <w:rStyle w:val="Hyperlink"/>
                <w:noProof/>
              </w:rPr>
              <w:t>1.</w:t>
            </w:r>
            <w:r>
              <w:rPr>
                <w:noProof/>
              </w:rPr>
              <w:tab/>
            </w:r>
            <w:r w:rsidRPr="008122C9">
              <w:rPr>
                <w:rStyle w:val="Hyperlink"/>
                <w:noProof/>
              </w:rPr>
              <w:t>Introduction</w:t>
            </w:r>
            <w:r>
              <w:rPr>
                <w:noProof/>
                <w:webHidden/>
              </w:rPr>
              <w:tab/>
            </w:r>
            <w:r>
              <w:rPr>
                <w:noProof/>
                <w:webHidden/>
              </w:rPr>
              <w:fldChar w:fldCharType="begin"/>
            </w:r>
            <w:r>
              <w:rPr>
                <w:noProof/>
                <w:webHidden/>
              </w:rPr>
              <w:instrText xml:space="preserve"> PAGEREF _Toc235801424 \h </w:instrText>
            </w:r>
            <w:r>
              <w:rPr>
                <w:noProof/>
                <w:webHidden/>
              </w:rPr>
            </w:r>
            <w:r>
              <w:rPr>
                <w:noProof/>
                <w:webHidden/>
              </w:rPr>
              <w:fldChar w:fldCharType="separate"/>
            </w:r>
            <w:r>
              <w:rPr>
                <w:noProof/>
                <w:webHidden/>
              </w:rPr>
              <w:t>3</w:t>
            </w:r>
            <w:r>
              <w:rPr>
                <w:noProof/>
                <w:webHidden/>
              </w:rPr>
              <w:fldChar w:fldCharType="end"/>
            </w:r>
          </w:hyperlink>
        </w:p>
        <w:p w14:paraId="112BEE38" w14:textId="58123795" w:rsidR="00E45FD4" w:rsidRDefault="00E45FD4" w:rsidP="00440227">
          <w:pPr>
            <w:pStyle w:val="TOC1"/>
            <w:tabs>
              <w:tab w:val="left" w:pos="480"/>
              <w:tab w:val="right" w:leader="dot" w:pos="9350"/>
            </w:tabs>
            <w:spacing w:after="160" w:line="360" w:lineRule="auto"/>
            <w:rPr>
              <w:noProof/>
            </w:rPr>
          </w:pPr>
          <w:hyperlink w:anchor="_Toc235801425" w:history="1">
            <w:r w:rsidRPr="008122C9">
              <w:rPr>
                <w:rStyle w:val="Hyperlink"/>
                <w:noProof/>
              </w:rPr>
              <w:t>2.</w:t>
            </w:r>
            <w:r>
              <w:rPr>
                <w:noProof/>
              </w:rPr>
              <w:tab/>
            </w:r>
            <w:r w:rsidRPr="008122C9">
              <w:rPr>
                <w:rStyle w:val="Hyperlink"/>
                <w:noProof/>
              </w:rPr>
              <w:t>Importance of Effective Communication</w:t>
            </w:r>
            <w:r>
              <w:rPr>
                <w:noProof/>
                <w:webHidden/>
              </w:rPr>
              <w:tab/>
            </w:r>
            <w:r>
              <w:rPr>
                <w:noProof/>
                <w:webHidden/>
              </w:rPr>
              <w:fldChar w:fldCharType="begin"/>
            </w:r>
            <w:r>
              <w:rPr>
                <w:noProof/>
                <w:webHidden/>
              </w:rPr>
              <w:instrText xml:space="preserve"> PAGEREF _Toc235801425 \h </w:instrText>
            </w:r>
            <w:r>
              <w:rPr>
                <w:noProof/>
                <w:webHidden/>
              </w:rPr>
            </w:r>
            <w:r>
              <w:rPr>
                <w:noProof/>
                <w:webHidden/>
              </w:rPr>
              <w:fldChar w:fldCharType="separate"/>
            </w:r>
            <w:r>
              <w:rPr>
                <w:noProof/>
                <w:webHidden/>
              </w:rPr>
              <w:t>3</w:t>
            </w:r>
            <w:r>
              <w:rPr>
                <w:noProof/>
                <w:webHidden/>
              </w:rPr>
              <w:fldChar w:fldCharType="end"/>
            </w:r>
          </w:hyperlink>
        </w:p>
        <w:p w14:paraId="5D5E9D07" w14:textId="56102FE8" w:rsidR="00E45FD4" w:rsidRDefault="00E45FD4" w:rsidP="00440227">
          <w:pPr>
            <w:pStyle w:val="TOC1"/>
            <w:tabs>
              <w:tab w:val="left" w:pos="480"/>
              <w:tab w:val="right" w:leader="dot" w:pos="9350"/>
            </w:tabs>
            <w:spacing w:after="160" w:line="360" w:lineRule="auto"/>
            <w:rPr>
              <w:noProof/>
            </w:rPr>
          </w:pPr>
          <w:hyperlink w:anchor="_Toc235801426" w:history="1">
            <w:r w:rsidRPr="008122C9">
              <w:rPr>
                <w:rStyle w:val="Hyperlink"/>
                <w:noProof/>
              </w:rPr>
              <w:t>3.</w:t>
            </w:r>
            <w:r>
              <w:rPr>
                <w:noProof/>
              </w:rPr>
              <w:tab/>
            </w:r>
            <w:r w:rsidRPr="008122C9">
              <w:rPr>
                <w:rStyle w:val="Hyperlink"/>
                <w:noProof/>
              </w:rPr>
              <w:t>Importance of Good Administrative Skills</w:t>
            </w:r>
            <w:r>
              <w:rPr>
                <w:noProof/>
                <w:webHidden/>
              </w:rPr>
              <w:tab/>
            </w:r>
            <w:r>
              <w:rPr>
                <w:noProof/>
                <w:webHidden/>
              </w:rPr>
              <w:fldChar w:fldCharType="begin"/>
            </w:r>
            <w:r>
              <w:rPr>
                <w:noProof/>
                <w:webHidden/>
              </w:rPr>
              <w:instrText xml:space="preserve"> PAGEREF _Toc235801426 \h </w:instrText>
            </w:r>
            <w:r>
              <w:rPr>
                <w:noProof/>
                <w:webHidden/>
              </w:rPr>
            </w:r>
            <w:r>
              <w:rPr>
                <w:noProof/>
                <w:webHidden/>
              </w:rPr>
              <w:fldChar w:fldCharType="separate"/>
            </w:r>
            <w:r>
              <w:rPr>
                <w:noProof/>
                <w:webHidden/>
              </w:rPr>
              <w:t>4</w:t>
            </w:r>
            <w:r>
              <w:rPr>
                <w:noProof/>
                <w:webHidden/>
              </w:rPr>
              <w:fldChar w:fldCharType="end"/>
            </w:r>
          </w:hyperlink>
        </w:p>
        <w:p w14:paraId="11BB08B6" w14:textId="22B869C1" w:rsidR="00E45FD4" w:rsidRDefault="00E45FD4" w:rsidP="00440227">
          <w:pPr>
            <w:pStyle w:val="TOC1"/>
            <w:tabs>
              <w:tab w:val="left" w:pos="480"/>
              <w:tab w:val="right" w:leader="dot" w:pos="9350"/>
            </w:tabs>
            <w:spacing w:after="160" w:line="360" w:lineRule="auto"/>
            <w:rPr>
              <w:noProof/>
            </w:rPr>
          </w:pPr>
          <w:hyperlink w:anchor="_Toc235801427" w:history="1">
            <w:r w:rsidRPr="008122C9">
              <w:rPr>
                <w:rStyle w:val="Hyperlink"/>
                <w:noProof/>
              </w:rPr>
              <w:t>4.</w:t>
            </w:r>
            <w:r>
              <w:rPr>
                <w:noProof/>
              </w:rPr>
              <w:tab/>
            </w:r>
            <w:r w:rsidRPr="008122C9">
              <w:rPr>
                <w:rStyle w:val="Hyperlink"/>
                <w:noProof/>
              </w:rPr>
              <w:t>Importance of Working Collaboratively</w:t>
            </w:r>
            <w:r>
              <w:rPr>
                <w:noProof/>
                <w:webHidden/>
              </w:rPr>
              <w:tab/>
            </w:r>
            <w:r>
              <w:rPr>
                <w:noProof/>
                <w:webHidden/>
              </w:rPr>
              <w:fldChar w:fldCharType="begin"/>
            </w:r>
            <w:r>
              <w:rPr>
                <w:noProof/>
                <w:webHidden/>
              </w:rPr>
              <w:instrText xml:space="preserve"> PAGEREF _Toc235801427 \h </w:instrText>
            </w:r>
            <w:r>
              <w:rPr>
                <w:noProof/>
                <w:webHidden/>
              </w:rPr>
            </w:r>
            <w:r>
              <w:rPr>
                <w:noProof/>
                <w:webHidden/>
              </w:rPr>
              <w:fldChar w:fldCharType="separate"/>
            </w:r>
            <w:r>
              <w:rPr>
                <w:noProof/>
                <w:webHidden/>
              </w:rPr>
              <w:t>5</w:t>
            </w:r>
            <w:r>
              <w:rPr>
                <w:noProof/>
                <w:webHidden/>
              </w:rPr>
              <w:fldChar w:fldCharType="end"/>
            </w:r>
          </w:hyperlink>
        </w:p>
        <w:p w14:paraId="4F49E890" w14:textId="6AE5D014" w:rsidR="00E45FD4" w:rsidRDefault="00E45FD4" w:rsidP="00440227">
          <w:pPr>
            <w:pStyle w:val="TOC1"/>
            <w:tabs>
              <w:tab w:val="left" w:pos="480"/>
              <w:tab w:val="right" w:leader="dot" w:pos="9350"/>
            </w:tabs>
            <w:spacing w:after="160" w:line="360" w:lineRule="auto"/>
            <w:rPr>
              <w:noProof/>
            </w:rPr>
          </w:pPr>
          <w:hyperlink w:anchor="_Toc235801428" w:history="1">
            <w:r w:rsidRPr="008122C9">
              <w:rPr>
                <w:rStyle w:val="Hyperlink"/>
                <w:noProof/>
              </w:rPr>
              <w:t>5.</w:t>
            </w:r>
            <w:r>
              <w:rPr>
                <w:noProof/>
              </w:rPr>
              <w:tab/>
            </w:r>
            <w:r w:rsidRPr="008122C9">
              <w:rPr>
                <w:rStyle w:val="Hyperlink"/>
                <w:noProof/>
              </w:rPr>
              <w:t>Conclusion</w:t>
            </w:r>
            <w:r>
              <w:rPr>
                <w:noProof/>
                <w:webHidden/>
              </w:rPr>
              <w:tab/>
            </w:r>
            <w:r>
              <w:rPr>
                <w:noProof/>
                <w:webHidden/>
              </w:rPr>
              <w:fldChar w:fldCharType="begin"/>
            </w:r>
            <w:r>
              <w:rPr>
                <w:noProof/>
                <w:webHidden/>
              </w:rPr>
              <w:instrText xml:space="preserve"> PAGEREF _Toc235801428 \h </w:instrText>
            </w:r>
            <w:r>
              <w:rPr>
                <w:noProof/>
                <w:webHidden/>
              </w:rPr>
            </w:r>
            <w:r>
              <w:rPr>
                <w:noProof/>
                <w:webHidden/>
              </w:rPr>
              <w:fldChar w:fldCharType="separate"/>
            </w:r>
            <w:r>
              <w:rPr>
                <w:noProof/>
                <w:webHidden/>
              </w:rPr>
              <w:t>6</w:t>
            </w:r>
            <w:r>
              <w:rPr>
                <w:noProof/>
                <w:webHidden/>
              </w:rPr>
              <w:fldChar w:fldCharType="end"/>
            </w:r>
          </w:hyperlink>
        </w:p>
        <w:p w14:paraId="616BA9DD" w14:textId="176CF011" w:rsidR="00E45FD4" w:rsidRDefault="00E45FD4" w:rsidP="00440227">
          <w:pPr>
            <w:pStyle w:val="TOC1"/>
            <w:tabs>
              <w:tab w:val="right" w:leader="dot" w:pos="9350"/>
            </w:tabs>
            <w:spacing w:after="160" w:line="360" w:lineRule="auto"/>
            <w:rPr>
              <w:noProof/>
            </w:rPr>
          </w:pPr>
          <w:hyperlink w:anchor="_Toc235801429" w:history="1">
            <w:r w:rsidRPr="008122C9">
              <w:rPr>
                <w:rStyle w:val="Hyperlink"/>
                <w:noProof/>
              </w:rPr>
              <w:t>References</w:t>
            </w:r>
            <w:r>
              <w:rPr>
                <w:noProof/>
                <w:webHidden/>
              </w:rPr>
              <w:tab/>
            </w:r>
            <w:r>
              <w:rPr>
                <w:noProof/>
                <w:webHidden/>
              </w:rPr>
              <w:fldChar w:fldCharType="begin"/>
            </w:r>
            <w:r>
              <w:rPr>
                <w:noProof/>
                <w:webHidden/>
              </w:rPr>
              <w:instrText xml:space="preserve"> PAGEREF _Toc235801429 \h </w:instrText>
            </w:r>
            <w:r>
              <w:rPr>
                <w:noProof/>
                <w:webHidden/>
              </w:rPr>
            </w:r>
            <w:r>
              <w:rPr>
                <w:noProof/>
                <w:webHidden/>
              </w:rPr>
              <w:fldChar w:fldCharType="separate"/>
            </w:r>
            <w:r>
              <w:rPr>
                <w:noProof/>
                <w:webHidden/>
              </w:rPr>
              <w:t>7</w:t>
            </w:r>
            <w:r>
              <w:rPr>
                <w:noProof/>
                <w:webHidden/>
              </w:rPr>
              <w:fldChar w:fldCharType="end"/>
            </w:r>
          </w:hyperlink>
        </w:p>
        <w:p w14:paraId="4DDEB832" w14:textId="49427D10" w:rsidR="00E45FD4" w:rsidRDefault="00E45FD4" w:rsidP="00440227">
          <w:pPr>
            <w:spacing w:line="360" w:lineRule="auto"/>
          </w:pPr>
          <w:r>
            <w:rPr>
              <w:b/>
              <w:bCs/>
              <w:noProof/>
            </w:rPr>
            <w:fldChar w:fldCharType="end"/>
          </w:r>
        </w:p>
      </w:sdtContent>
    </w:sdt>
    <w:p w14:paraId="59BB4DAD" w14:textId="77777777" w:rsidR="00C240DE" w:rsidRPr="00893041" w:rsidRDefault="00C240DE" w:rsidP="00440227">
      <w:pPr>
        <w:spacing w:line="360" w:lineRule="auto"/>
      </w:pPr>
    </w:p>
    <w:p w14:paraId="3E065D78" w14:textId="77777777" w:rsidR="00C240DE" w:rsidRPr="00893041" w:rsidRDefault="00C240DE" w:rsidP="00440227">
      <w:pPr>
        <w:spacing w:line="360" w:lineRule="auto"/>
        <w:jc w:val="both"/>
        <w:rPr>
          <w:rFonts w:cs="Arial"/>
        </w:rPr>
      </w:pPr>
    </w:p>
    <w:p w14:paraId="153C8B67" w14:textId="77777777" w:rsidR="00C240DE" w:rsidRDefault="00C83A25" w:rsidP="00440227">
      <w:pPr>
        <w:spacing w:line="360" w:lineRule="auto"/>
        <w:rPr>
          <w:rFonts w:eastAsiaTheme="majorEastAsia" w:cstheme="majorBidi"/>
          <w:b/>
          <w:sz w:val="24"/>
          <w:szCs w:val="40"/>
        </w:rPr>
      </w:pPr>
      <w:r>
        <w:br w:type="page"/>
      </w:r>
    </w:p>
    <w:p w14:paraId="4EBCBAD8" w14:textId="77777777" w:rsidR="000F6B01" w:rsidRDefault="00C83A25" w:rsidP="00440227">
      <w:pPr>
        <w:pStyle w:val="Heading1"/>
        <w:spacing w:after="160" w:line="360" w:lineRule="auto"/>
        <w:jc w:val="both"/>
      </w:pPr>
      <w:bookmarkStart w:id="0" w:name="_Toc235801424"/>
      <w:r>
        <w:t>1.</w:t>
      </w:r>
      <w:r>
        <w:tab/>
        <w:t>Introduction</w:t>
      </w:r>
      <w:bookmarkEnd w:id="0"/>
    </w:p>
    <w:p w14:paraId="3958D4CC" w14:textId="77777777" w:rsidR="00A97687" w:rsidRDefault="00C83A25" w:rsidP="00440227">
      <w:pPr>
        <w:spacing w:line="360" w:lineRule="auto"/>
        <w:ind w:firstLine="720"/>
        <w:jc w:val="both"/>
      </w:pPr>
      <w:r>
        <w:t xml:space="preserve">This report </w:t>
      </w:r>
      <w:r w:rsidR="005A6133">
        <w:t>describes</w:t>
      </w:r>
      <w:r>
        <w:t xml:space="preserve"> the activities that professionals need to undertake when providing health and social care, illustrated with the example of Mrs Thompson. Mrs Thompson is 84 years old and has a new case of pneumonia and was recently discharged from hospital. She is a single woman supported with twice-daily domiciliary care (TDC) and lives in sheltered housing, and has mild dementia. An increase in confusion was noted, and a medication review was requested after two days of no medication. She was later seen in the street without suitable clothing in freezing temperatures, and the local council is investigating her case.</w:t>
      </w:r>
    </w:p>
    <w:p w14:paraId="1FE87845" w14:textId="383A776B" w:rsidR="000F6B01" w:rsidRDefault="00C83A25" w:rsidP="00440227">
      <w:pPr>
        <w:spacing w:line="360" w:lineRule="auto"/>
        <w:ind w:firstLine="720"/>
        <w:jc w:val="both"/>
      </w:pPr>
      <w:r>
        <w:t xml:space="preserve">The report highlights three areas, </w:t>
      </w:r>
      <w:r w:rsidR="005A6133">
        <w:t>such as the</w:t>
      </w:r>
      <w:r>
        <w:t xml:space="preserve"> effective communication with the service user and their family members, including in relation to the Equality Act (2010) and a communication model</w:t>
      </w:r>
      <w:r w:rsidR="00A71B6A">
        <w:t xml:space="preserve">, </w:t>
      </w:r>
      <w:r>
        <w:t>good administration skills and the keeping of records in accordance with the Data Protection Act (2018)</w:t>
      </w:r>
      <w:r w:rsidR="00A71B6A">
        <w:t xml:space="preserve">, </w:t>
      </w:r>
      <w:r>
        <w:t xml:space="preserve">and a multi-agency approach to working with other professionals involved in her care. The principles of partnership working and </w:t>
      </w:r>
      <w:r w:rsidR="005A6133">
        <w:t>person-centred</w:t>
      </w:r>
      <w:r>
        <w:t xml:space="preserve"> care, and the Care Act (2014), are used to guide the discussion. </w:t>
      </w:r>
      <w:r w:rsidR="00867478">
        <w:t>T</w:t>
      </w:r>
      <w:r w:rsidR="005A6133">
        <w:t xml:space="preserve">he report </w:t>
      </w:r>
      <w:r>
        <w:t>explores the context of Mrs Thompson</w:t>
      </w:r>
      <w:r w:rsidR="0013642C">
        <w:t>, and implications for safe practice will be drawn</w:t>
      </w:r>
      <w:r>
        <w:t xml:space="preserve"> in the following sections.</w:t>
      </w:r>
    </w:p>
    <w:p w14:paraId="345AA098" w14:textId="77777777" w:rsidR="000F6B01" w:rsidRDefault="00C83A25" w:rsidP="00440227">
      <w:pPr>
        <w:pStyle w:val="Heading1"/>
        <w:spacing w:after="160" w:line="360" w:lineRule="auto"/>
        <w:jc w:val="both"/>
      </w:pPr>
      <w:bookmarkStart w:id="1" w:name="_Toc235801425"/>
      <w:r>
        <w:t>2.</w:t>
      </w:r>
      <w:r>
        <w:tab/>
      </w:r>
      <w:r w:rsidRPr="00893041">
        <w:t xml:space="preserve">Importance of </w:t>
      </w:r>
      <w:r>
        <w:t>E</w:t>
      </w:r>
      <w:r w:rsidRPr="00893041">
        <w:t xml:space="preserve">ffective </w:t>
      </w:r>
      <w:r>
        <w:t>C</w:t>
      </w:r>
      <w:r w:rsidRPr="00893041">
        <w:t>ommunication</w:t>
      </w:r>
      <w:bookmarkEnd w:id="1"/>
      <w:r w:rsidRPr="00893041">
        <w:t xml:space="preserve"> </w:t>
      </w:r>
    </w:p>
    <w:p w14:paraId="13CFC389" w14:textId="1ADFCCE4" w:rsidR="00A97687" w:rsidRDefault="00C83A25" w:rsidP="00440227">
      <w:pPr>
        <w:spacing w:line="360" w:lineRule="auto"/>
        <w:ind w:firstLine="720"/>
        <w:jc w:val="both"/>
      </w:pPr>
      <w:r>
        <w:t>Mrs Thompson has mild dementia, a recent hospital discharge following pneumonia, and issues with taking medication and falling out of the home; therefore, effective communication is crucial in the care of this individual. These factors can make for more mistakes, isolation, and the need for co-ordinated safeguarding responses</w:t>
      </w:r>
      <w:r w:rsidR="004B6F37">
        <w:t xml:space="preserve"> (Orr et al., 2026)</w:t>
      </w:r>
      <w:r>
        <w:t>. Person-centred practice is based on clear communication</w:t>
      </w:r>
      <w:r w:rsidR="00402FE2">
        <w:t xml:space="preserve">, </w:t>
      </w:r>
      <w:r>
        <w:t xml:space="preserve">clear communication means that her needs, preferences, and understanding are the focus of the communication, which means that she is better protected and less anxious (Glasby, </w:t>
      </w:r>
      <w:r w:rsidR="00402FE2">
        <w:t>2026</w:t>
      </w:r>
      <w:r>
        <w:t>).</w:t>
      </w:r>
    </w:p>
    <w:p w14:paraId="248D09DB" w14:textId="67DF8B04" w:rsidR="00A97687" w:rsidRDefault="00C83A25" w:rsidP="00440227">
      <w:pPr>
        <w:spacing w:line="360" w:lineRule="auto"/>
        <w:ind w:firstLine="720"/>
        <w:jc w:val="both"/>
      </w:pPr>
      <w:r>
        <w:t xml:space="preserve">Practitioners should use clear and simple language, in short sentences, with plenty of time for processing and responding when communicating with Mrs Thompson. </w:t>
      </w:r>
      <w:r w:rsidR="0013642C">
        <w:t>Use</w:t>
      </w:r>
      <w:r>
        <w:t xml:space="preserve"> non-verbal cues, a calm setting, and, if necessary, provide visual cues to aid understanding</w:t>
      </w:r>
      <w:r w:rsidR="00687562">
        <w:t xml:space="preserve"> (</w:t>
      </w:r>
      <w:r w:rsidR="00687562" w:rsidRPr="00687562">
        <w:t>Khuman</w:t>
      </w:r>
      <w:r w:rsidR="00A563C9">
        <w:t xml:space="preserve">, </w:t>
      </w:r>
      <w:r w:rsidR="00687562" w:rsidRPr="00687562">
        <w:t>2024</w:t>
      </w:r>
      <w:r w:rsidR="00687562">
        <w:t>)</w:t>
      </w:r>
      <w:r>
        <w:t>. Choices of communication of the need should be identified and honoured</w:t>
      </w:r>
      <w:r w:rsidR="00543F41">
        <w:t xml:space="preserve"> (</w:t>
      </w:r>
      <w:r w:rsidR="00543F41" w:rsidRPr="00543F41">
        <w:t>Turbitt</w:t>
      </w:r>
      <w:r w:rsidR="00543F41">
        <w:t xml:space="preserve"> et al., 2024)</w:t>
      </w:r>
      <w:r>
        <w:t>. She can discuss the medication and/or daily routine to answer any further questions and listen and convey some empathy about her ongoing concerns from the hospital discharge and recent events.</w:t>
      </w:r>
    </w:p>
    <w:p w14:paraId="51BFDB0B" w14:textId="62ED907B" w:rsidR="00A97687" w:rsidRDefault="00C83A25" w:rsidP="00440227">
      <w:pPr>
        <w:spacing w:line="360" w:lineRule="auto"/>
        <w:ind w:firstLine="720"/>
        <w:jc w:val="both"/>
      </w:pPr>
      <w:r>
        <w:t>If consent is given, family members should be engaged as partners. The information will be shared about the medication review, the outdoor incident and the local council process, as appropriate, and any successful and/or previous medication management issues will be discussed with practitioners</w:t>
      </w:r>
      <w:r w:rsidR="005F1D91">
        <w:t xml:space="preserve"> (Aung et al., 2022)</w:t>
      </w:r>
      <w:r>
        <w:t>. Professionals should be maintained as trusted without being compromised by breaking confidentiality and setting up false expectations.</w:t>
      </w:r>
    </w:p>
    <w:p w14:paraId="48430F96" w14:textId="431974CC" w:rsidR="00A97687" w:rsidRDefault="00C83A25" w:rsidP="00440227">
      <w:pPr>
        <w:spacing w:line="360" w:lineRule="auto"/>
        <w:ind w:firstLine="720"/>
        <w:jc w:val="both"/>
      </w:pPr>
      <w:r>
        <w:t xml:space="preserve">The Equality Act </w:t>
      </w:r>
      <w:r w:rsidR="007D3BC2">
        <w:t>(</w:t>
      </w:r>
      <w:r>
        <w:t>2010</w:t>
      </w:r>
      <w:r w:rsidR="007D3BC2">
        <w:t xml:space="preserve">) </w:t>
      </w:r>
      <w:r>
        <w:t>is the</w:t>
      </w:r>
      <w:r w:rsidR="007D3BC2">
        <w:t xml:space="preserve"> a</w:t>
      </w:r>
      <w:r>
        <w:t>ct that applies</w:t>
      </w:r>
      <w:r w:rsidR="007D3BC2">
        <w:t>, as t</w:t>
      </w:r>
      <w:r>
        <w:t>he protected characteristics include age</w:t>
      </w:r>
      <w:r w:rsidR="007D3BC2">
        <w:t xml:space="preserve"> and</w:t>
      </w:r>
      <w:r>
        <w:t xml:space="preserve"> disability (where the disability is as a result of dementia). Therefore, communication should support non-discrimination, equality of opportunity, and the promotion of good relations</w:t>
      </w:r>
      <w:r w:rsidR="007D3BC2">
        <w:t xml:space="preserve"> (Drake et al., 2022)</w:t>
      </w:r>
      <w:r>
        <w:t xml:space="preserve">. Practitioners avoid direct and indirect discrimination by treating Mrs Thompson with dignity and respect, making reasonable adjustments (such as changed language, extra time, etc.) and inclusive practice (not put at a disadvantage compared to other pupils) in line with the Equality Act </w:t>
      </w:r>
      <w:r w:rsidR="007D3BC2">
        <w:t>(</w:t>
      </w:r>
      <w:r>
        <w:t>2010</w:t>
      </w:r>
      <w:r w:rsidR="007D3BC2">
        <w:t>)</w:t>
      </w:r>
      <w:r>
        <w:t>.</w:t>
      </w:r>
    </w:p>
    <w:p w14:paraId="4FB9B81F" w14:textId="2B8FEFA8" w:rsidR="000F6B01" w:rsidRDefault="00C83A25" w:rsidP="00440227">
      <w:pPr>
        <w:spacing w:line="360" w:lineRule="auto"/>
        <w:ind w:firstLine="720"/>
        <w:jc w:val="both"/>
      </w:pPr>
      <w:r>
        <w:t xml:space="preserve">The SMCR model of Berlo </w:t>
      </w:r>
      <w:r w:rsidR="00C24281">
        <w:t xml:space="preserve">(1960) </w:t>
      </w:r>
      <w:r>
        <w:t>is helpful</w:t>
      </w:r>
      <w:r w:rsidR="00C24281">
        <w:t>, as t</w:t>
      </w:r>
      <w:r>
        <w:t>he source (care worker/nurse) needs to have good communication skills, respect, an understanding of dementia</w:t>
      </w:r>
      <w:r w:rsidR="0013642C">
        <w:t>,</w:t>
      </w:r>
      <w:r>
        <w:t xml:space="preserve"> and an understanding of culture. The message should be organi</w:t>
      </w:r>
      <w:r w:rsidR="00210815">
        <w:t>s</w:t>
      </w:r>
      <w:r>
        <w:t>ed, content correct, tone simple and matter-of-fact, and clear and, if appropriate, include some visual elements</w:t>
      </w:r>
      <w:r w:rsidR="00867478">
        <w:t xml:space="preserve"> (Latif et al., 2025)</w:t>
      </w:r>
      <w:r>
        <w:t>.</w:t>
      </w:r>
      <w:r w:rsidR="00B34E8F">
        <w:t xml:space="preserve"> </w:t>
      </w:r>
      <w:r>
        <w:t xml:space="preserve">The receiver (Mrs Thompson or family) and their cognitive changes, emotional state and previous knowledge should be considered. Medication compliance </w:t>
      </w:r>
      <w:r w:rsidR="004060A4">
        <w:t>should be addressed when discussing with patients why they are not taking their medication as prescribed, when explaining what has occurred outside the home, and when informing family, etc.</w:t>
      </w:r>
      <w:r w:rsidR="00147724">
        <w:t>;</w:t>
      </w:r>
      <w:r w:rsidR="00A71B6A">
        <w:t xml:space="preserve"> </w:t>
      </w:r>
      <w:r w:rsidR="004060A4">
        <w:t xml:space="preserve">there should be a feedback loop to ensure understanding and </w:t>
      </w:r>
      <w:r>
        <w:t>correct any misinformation</w:t>
      </w:r>
      <w:r w:rsidR="00B34E8F">
        <w:t xml:space="preserve"> (Lin et al., 2022)</w:t>
      </w:r>
      <w:r>
        <w:t xml:space="preserve">. </w:t>
      </w:r>
      <w:r w:rsidR="00867478">
        <w:t>T</w:t>
      </w:r>
      <w:r>
        <w:t xml:space="preserve">his will help to minimise the potential for further medication incidents and outdoor incidents, maximise continuity of the care provided and enable Mrs Thompson to be more involved in decisions that can impact her </w:t>
      </w:r>
      <w:r w:rsidR="00210815">
        <w:t>day-to-day</w:t>
      </w:r>
      <w:r>
        <w:t xml:space="preserve"> life.</w:t>
      </w:r>
    </w:p>
    <w:p w14:paraId="22D953CE" w14:textId="77777777" w:rsidR="000F6B01" w:rsidRDefault="00C83A25" w:rsidP="00440227">
      <w:pPr>
        <w:pStyle w:val="Heading1"/>
        <w:spacing w:after="160" w:line="360" w:lineRule="auto"/>
        <w:jc w:val="both"/>
      </w:pPr>
      <w:bookmarkStart w:id="2" w:name="_Toc235801426"/>
      <w:r w:rsidRPr="00CD33A8">
        <w:t>3.</w:t>
      </w:r>
      <w:r>
        <w:tab/>
        <w:t>I</w:t>
      </w:r>
      <w:r w:rsidRPr="008E3943">
        <w:t xml:space="preserve">mportance of </w:t>
      </w:r>
      <w:r>
        <w:t>G</w:t>
      </w:r>
      <w:r w:rsidRPr="008E3943">
        <w:t xml:space="preserve">ood </w:t>
      </w:r>
      <w:r>
        <w:t>A</w:t>
      </w:r>
      <w:r w:rsidRPr="008E3943">
        <w:t xml:space="preserve">dministrative </w:t>
      </w:r>
      <w:r>
        <w:t>S</w:t>
      </w:r>
      <w:r w:rsidRPr="008E3943">
        <w:t>kills</w:t>
      </w:r>
      <w:bookmarkEnd w:id="2"/>
      <w:r w:rsidRPr="008E3943">
        <w:t xml:space="preserve"> </w:t>
      </w:r>
    </w:p>
    <w:p w14:paraId="0670D7D0" w14:textId="460BAD9D" w:rsidR="00A97687" w:rsidRDefault="00C83A25" w:rsidP="00440227">
      <w:pPr>
        <w:spacing w:line="360" w:lineRule="auto"/>
        <w:ind w:firstLine="720"/>
        <w:jc w:val="both"/>
      </w:pPr>
      <w:r>
        <w:t xml:space="preserve">Implementing safe, accountable and </w:t>
      </w:r>
      <w:r w:rsidR="00210815">
        <w:t>person-centred</w:t>
      </w:r>
      <w:r>
        <w:t xml:space="preserve"> care is dependent on the correct and timely administration. For Mrs Thompson, it </w:t>
      </w:r>
      <w:r w:rsidR="00867478">
        <w:t>supports the formal incident process, her requested medication review, the review by the local council, continuity of care</w:t>
      </w:r>
      <w:r w:rsidR="0013642C">
        <w:t>,</w:t>
      </w:r>
      <w:r>
        <w:t xml:space="preserve"> and legal obligations.</w:t>
      </w:r>
      <w:r w:rsidR="001421B7">
        <w:t xml:space="preserve"> </w:t>
      </w:r>
      <w:r>
        <w:t>Record keeping details the facts of care received, medicines given, any changes in confusion (if applicable), actions</w:t>
      </w:r>
      <w:r w:rsidR="00710C75">
        <w:t xml:space="preserve"> </w:t>
      </w:r>
      <w:r>
        <w:t>taken when outdoors and/or incidents</w:t>
      </w:r>
      <w:r w:rsidR="0013642C">
        <w:t>,</w:t>
      </w:r>
      <w:r>
        <w:t xml:space="preserve"> and contacts with other agencies</w:t>
      </w:r>
      <w:r w:rsidR="007568BE">
        <w:t xml:space="preserve"> (Lucas et al., 2022)</w:t>
      </w:r>
      <w:r>
        <w:t>. Person-centred, accurate, timely, factual, evidence-based, holistic, professional, succinct and easily understood by colleagues are all characteristics of good records</w:t>
      </w:r>
      <w:r w:rsidR="00710C75">
        <w:t xml:space="preserve"> (</w:t>
      </w:r>
      <w:r w:rsidR="00710C75" w:rsidRPr="00A97687">
        <w:t>Care Institute for Excellence</w:t>
      </w:r>
      <w:r w:rsidR="00710C75">
        <w:t xml:space="preserve">, </w:t>
      </w:r>
      <w:r w:rsidR="00710C75" w:rsidRPr="00A97687">
        <w:t>2023</w:t>
      </w:r>
      <w:r w:rsidR="00710C75">
        <w:t>)</w:t>
      </w:r>
      <w:r>
        <w:t>. This was compared to a record of the two days of missing medication, the increased level of confusion following this, Mrs Thompson not being in an appropriate outfit</w:t>
      </w:r>
      <w:r w:rsidR="0013642C">
        <w:t>,</w:t>
      </w:r>
      <w:r>
        <w:t xml:space="preserve"> and a formal incident report and request for a medication review. This implies that different domiciliary workers can use the documentation to provide the same level of assistance and support, and it can be utilised as a fact base for the local council to take into account when considering the case.</w:t>
      </w:r>
    </w:p>
    <w:p w14:paraId="3213EF1A" w14:textId="48FACC3E" w:rsidR="00A97687" w:rsidRDefault="00C83A25" w:rsidP="00440227">
      <w:pPr>
        <w:spacing w:line="360" w:lineRule="auto"/>
        <w:ind w:firstLine="720"/>
        <w:jc w:val="both"/>
      </w:pPr>
      <w:r>
        <w:t xml:space="preserve">The obligations on personal data to be processed lawfully, fairly and transparently, for limited purposes, in an adequate, relevant and necessary way, be accurate and kept up to date, not remain longer than is necessary, be processed securely and be handled with accountability are detailed in the Data Protection Act </w:t>
      </w:r>
      <w:r w:rsidR="007568BE">
        <w:t>(</w:t>
      </w:r>
      <w:r>
        <w:t>2018</w:t>
      </w:r>
      <w:r w:rsidR="007568BE">
        <w:t>)</w:t>
      </w:r>
      <w:r>
        <w:t>. Only relevant information about Mrs Thompson's care/safety should be recorded</w:t>
      </w:r>
      <w:r w:rsidR="00A71B6A">
        <w:t xml:space="preserve">, as </w:t>
      </w:r>
      <w:r>
        <w:t>any entries should be made only if it is found to be inaccurate and should be recorded securely, only being shared with the GP, community nurse and the domiciliary team/council for a clear legal purpose. In addition to the common law duty of confidentiality and the UK GDPR principles discussed on this module, these requirements will ensure that sharing of information between different agencies, for care and safeguarding, is not inappropriate</w:t>
      </w:r>
      <w:r w:rsidR="007568BE">
        <w:t xml:space="preserve"> (</w:t>
      </w:r>
      <w:r w:rsidR="007568BE" w:rsidRPr="007568BE">
        <w:t>Snelling</w:t>
      </w:r>
      <w:r w:rsidR="007568BE">
        <w:t xml:space="preserve"> </w:t>
      </w:r>
      <w:r w:rsidR="007568BE" w:rsidRPr="007568BE">
        <w:t>and Quick</w:t>
      </w:r>
      <w:r w:rsidR="007568BE">
        <w:t xml:space="preserve">, </w:t>
      </w:r>
      <w:r w:rsidR="007568BE" w:rsidRPr="007568BE">
        <w:t>2022</w:t>
      </w:r>
      <w:r w:rsidR="007568BE">
        <w:t>)</w:t>
      </w:r>
      <w:r>
        <w:t>.</w:t>
      </w:r>
    </w:p>
    <w:p w14:paraId="41C87630" w14:textId="7F23ED3B" w:rsidR="00940765" w:rsidRDefault="00C83A25" w:rsidP="00440227">
      <w:pPr>
        <w:spacing w:line="360" w:lineRule="auto"/>
        <w:ind w:firstLine="720"/>
        <w:jc w:val="both"/>
      </w:pPr>
      <w:r>
        <w:t xml:space="preserve">There are suitable structures in place to support the above roles. The local authority has a duty under the Care Act </w:t>
      </w:r>
      <w:r w:rsidR="00402FE2">
        <w:t>(</w:t>
      </w:r>
      <w:r>
        <w:t>2014</w:t>
      </w:r>
      <w:r w:rsidR="00402FE2">
        <w:t xml:space="preserve">) </w:t>
      </w:r>
      <w:r>
        <w:t xml:space="preserve">to act in the interests of wellbeing, complete an assessment of needs, and pass information on when there are safeguarding concerns. Safe care, person-centred care, good governance, and a duty of candour are the key principles set out in the Care Quality Commission's </w:t>
      </w:r>
      <w:r w:rsidR="00710C75">
        <w:t xml:space="preserve">(2026) </w:t>
      </w:r>
      <w:r>
        <w:t>fundamental standards. Local authority and provider policies relating to the reporting of incidents, managing medication and record-keeping, and accountability are in line with these requirements and other agencies' professional standards (including Social Work England) in relation to record-keeping and accountability. The poor records have been a constant theme in serious case reviews as a factor causing harm</w:t>
      </w:r>
      <w:r w:rsidR="00402FE2">
        <w:t xml:space="preserve"> (Glasby, 2026)</w:t>
      </w:r>
      <w:r>
        <w:t>. On the other hand, disciplined practice ensures the safety of Mrs Thompson, protects the practitioners as they have followed the correct procedure, and protects the organisation with evidence that they have met expectations as detailed in statutes and regulations.</w:t>
      </w:r>
    </w:p>
    <w:p w14:paraId="426ADCB0" w14:textId="77777777" w:rsidR="00940765" w:rsidRDefault="00C83A25" w:rsidP="00440227">
      <w:pPr>
        <w:pStyle w:val="Heading1"/>
        <w:spacing w:after="160" w:line="360" w:lineRule="auto"/>
        <w:jc w:val="both"/>
      </w:pPr>
      <w:bookmarkStart w:id="3" w:name="_Toc235801427"/>
      <w:r w:rsidRPr="00CD33A8">
        <w:t>4.</w:t>
      </w:r>
      <w:r>
        <w:tab/>
        <w:t>I</w:t>
      </w:r>
      <w:r w:rsidRPr="008E3943">
        <w:t xml:space="preserve">mportance of </w:t>
      </w:r>
      <w:r>
        <w:t>W</w:t>
      </w:r>
      <w:r w:rsidRPr="008E3943">
        <w:t xml:space="preserve">orking </w:t>
      </w:r>
      <w:r>
        <w:t>C</w:t>
      </w:r>
      <w:r w:rsidRPr="008E3943">
        <w:t>ollaboratively</w:t>
      </w:r>
      <w:bookmarkEnd w:id="3"/>
    </w:p>
    <w:p w14:paraId="18A13032" w14:textId="2A361FBE" w:rsidR="00A97687" w:rsidRDefault="00C83A25" w:rsidP="00440227">
      <w:pPr>
        <w:spacing w:line="360" w:lineRule="auto"/>
        <w:ind w:firstLine="720"/>
        <w:jc w:val="both"/>
      </w:pPr>
      <w:r>
        <w:t>In Mrs Thompson's care, the working of more than one agency is important as she has needs that are both health and social care needs. Medical recovery/medication is discussed by the GP/community nurse, and the domiciliary workers / sheltered housing staff / local council discuss ongoing support, risk</w:t>
      </w:r>
      <w:r w:rsidR="0013642C">
        <w:t>,</w:t>
      </w:r>
      <w:r>
        <w:t xml:space="preserve"> and any safeguarding review. Single staff member puts patients at risk for additional medication errors and outdoor incidents/delayed response.</w:t>
      </w:r>
    </w:p>
    <w:p w14:paraId="7AC2A2FC" w14:textId="44DB702A" w:rsidR="00A97687" w:rsidRDefault="00C83A25" w:rsidP="00440227">
      <w:pPr>
        <w:spacing w:line="360" w:lineRule="auto"/>
        <w:ind w:firstLine="720"/>
        <w:jc w:val="both"/>
      </w:pPr>
      <w:r>
        <w:t>Key professionals include</w:t>
      </w:r>
      <w:r w:rsidR="0076023F">
        <w:t xml:space="preserve"> </w:t>
      </w:r>
      <w:r>
        <w:t>overall medical responsibility and leading the current medication review</w:t>
      </w:r>
      <w:r w:rsidR="00A71B6A">
        <w:t xml:space="preserve">, as </w:t>
      </w:r>
      <w:r>
        <w:t>community or district nurse will monitor the patient after pneumonia</w:t>
      </w:r>
      <w:r w:rsidR="00A71B6A">
        <w:t xml:space="preserve">, </w:t>
      </w:r>
      <w:r>
        <w:t>domiciliary care workers will see the patient daily and ensure they take their medication</w:t>
      </w:r>
      <w:r w:rsidR="0076023F">
        <w:t xml:space="preserve">. </w:t>
      </w:r>
      <w:r>
        <w:t>local authority adult social care team</w:t>
      </w:r>
      <w:r w:rsidR="0076023F">
        <w:t xml:space="preserve"> </w:t>
      </w:r>
      <w:r>
        <w:t>is leading the current review and may undertake a needs assessment (Care Act 2014). It is also possible to engage the pharmacist, staff in sheltered housing</w:t>
      </w:r>
      <w:r w:rsidR="004060A4">
        <w:t>,</w:t>
      </w:r>
      <w:r>
        <w:t xml:space="preserve"> and their families.</w:t>
      </w:r>
    </w:p>
    <w:p w14:paraId="17F39FED" w14:textId="6207A288" w:rsidR="00A97687" w:rsidRDefault="00C83A25" w:rsidP="00440227">
      <w:pPr>
        <w:spacing w:line="360" w:lineRule="auto"/>
        <w:ind w:firstLine="720"/>
        <w:jc w:val="both"/>
      </w:pPr>
      <w:r>
        <w:t>There is a good level of working together with a shared agenda, underpinned by the principles of the Care Act</w:t>
      </w:r>
      <w:r w:rsidR="0076023F">
        <w:t xml:space="preserve"> (2014)</w:t>
      </w:r>
      <w:r>
        <w:t xml:space="preserve">, and Mrs Thompson is at the centre of their work to promote her wellbeing and safety. The Data Protection Act </w:t>
      </w:r>
      <w:r w:rsidR="0076023F">
        <w:t>(</w:t>
      </w:r>
      <w:r>
        <w:t>2018</w:t>
      </w:r>
      <w:r w:rsidR="0076023F">
        <w:t xml:space="preserve">) </w:t>
      </w:r>
      <w:r>
        <w:t>should be followed in terms of the frequency that information is shared and meets, or is subject to, multi-disciplinary reviews. Ways of working and sharing care records should be clearly defined and, where supported by systems, should be used. A person-centred and strengths-based approach means that all professionals know what is important to Mrs Thompson. Trust, mutual respect and open communication between agencies also help to facilitate the partnership (Glasby and Dickinson, 2014).</w:t>
      </w:r>
    </w:p>
    <w:p w14:paraId="784AFCAB" w14:textId="67BFB9BB" w:rsidR="00940765" w:rsidRDefault="00C83A25" w:rsidP="00440227">
      <w:pPr>
        <w:spacing w:line="360" w:lineRule="auto"/>
        <w:ind w:firstLine="720"/>
        <w:jc w:val="both"/>
      </w:pPr>
      <w:r>
        <w:t>These problems include a lack of information sharing, ambiguous lines of responsibility, different cultures, and a lack of time. Problems identified can be addressed through agreed information-sharing processes (named co-ordinator), regular multi-agency meetings, joint case reviews, and agreed escalation procedures</w:t>
      </w:r>
      <w:r w:rsidR="0076023F">
        <w:t xml:space="preserve"> (</w:t>
      </w:r>
      <w:r w:rsidR="0076023F" w:rsidRPr="0076023F">
        <w:t>Driscoll</w:t>
      </w:r>
      <w:r w:rsidR="0076023F">
        <w:t xml:space="preserve"> et al., 2024)</w:t>
      </w:r>
      <w:r>
        <w:t xml:space="preserve">. A unifying purpose </w:t>
      </w:r>
      <w:r w:rsidR="0076023F">
        <w:t xml:space="preserve">involves </w:t>
      </w:r>
      <w:r>
        <w:t>Mrs Thompson staying safe and as independent as possible at home. There is a reduced risk of re-occurrence, continuity of care is enhanced, and the professional practice is shared in line with the partnership expectations, the backbone of health and social care in the 21st century.</w:t>
      </w:r>
    </w:p>
    <w:p w14:paraId="6FCC2773" w14:textId="77777777" w:rsidR="00940765" w:rsidRDefault="00C83A25" w:rsidP="00440227">
      <w:pPr>
        <w:pStyle w:val="Heading1"/>
        <w:spacing w:after="160" w:line="360" w:lineRule="auto"/>
      </w:pPr>
      <w:bookmarkStart w:id="4" w:name="_Toc235801428"/>
      <w:r>
        <w:t>5.</w:t>
      </w:r>
      <w:r>
        <w:tab/>
        <w:t>Conclusion</w:t>
      </w:r>
      <w:bookmarkEnd w:id="4"/>
    </w:p>
    <w:p w14:paraId="0AEE7DF8" w14:textId="63AD01B5" w:rsidR="00940765" w:rsidRPr="00940765" w:rsidRDefault="00C83A25" w:rsidP="00440227">
      <w:pPr>
        <w:spacing w:line="360" w:lineRule="auto"/>
        <w:ind w:firstLine="720"/>
        <w:jc w:val="both"/>
      </w:pPr>
      <w:r>
        <w:t>Mrs Thompson's safety, dignity and wellbeing are directly linked to the communication, the records and working with other agencies. There should be no 'split' between health and social care, and there is a real partnership between the GP, community nurse, domiciliary worker, and local authority.</w:t>
      </w:r>
      <w:r w:rsidR="0076023F">
        <w:t xml:space="preserve"> </w:t>
      </w:r>
      <w:r>
        <w:t>They also set out the principles of professional accountability and provide a framework for continuous development within services. In the community, minimising risk and avoiding unnecessary loss of independence for as long as possible are of paramount importance for older people with cognitive impairment and for whom integrated, rights-based approaches are of paramount importance.</w:t>
      </w:r>
    </w:p>
    <w:p w14:paraId="7A6347B1" w14:textId="77777777" w:rsidR="00940765" w:rsidRPr="00A97687" w:rsidRDefault="00C83A25" w:rsidP="00440227">
      <w:pPr>
        <w:pStyle w:val="Heading1"/>
        <w:spacing w:after="160" w:line="360" w:lineRule="auto"/>
        <w:jc w:val="center"/>
        <w:rPr>
          <w:bCs/>
        </w:rPr>
      </w:pPr>
      <w:r>
        <w:rPr>
          <w:bCs/>
        </w:rPr>
        <w:br w:type="page"/>
      </w:r>
      <w:bookmarkStart w:id="5" w:name="_Toc235801429"/>
      <w:r w:rsidRPr="00940765">
        <w:t>References</w:t>
      </w:r>
      <w:bookmarkEnd w:id="5"/>
    </w:p>
    <w:p w14:paraId="4CDBC3FD" w14:textId="77777777" w:rsidR="00867478" w:rsidRPr="00867478" w:rsidRDefault="00867478" w:rsidP="00440227">
      <w:pPr>
        <w:spacing w:line="360" w:lineRule="auto"/>
        <w:ind w:left="720" w:hanging="720"/>
        <w:jc w:val="both"/>
      </w:pPr>
      <w:r w:rsidRPr="00867478">
        <w:t xml:space="preserve">Aung, A.K., Walker, S., Khu, Y.L., Tang, M.J., Lee, J.I. and </w:t>
      </w:r>
      <w:proofErr w:type="spellStart"/>
      <w:r w:rsidRPr="00867478">
        <w:t>Graudins</w:t>
      </w:r>
      <w:proofErr w:type="spellEnd"/>
      <w:r w:rsidRPr="00867478">
        <w:t>, L.V., (2022). Adverse drug reaction management in hospital settings: review on practice variations, quality indicators and education focus. </w:t>
      </w:r>
      <w:r w:rsidRPr="00867478">
        <w:rPr>
          <w:i/>
          <w:iCs/>
        </w:rPr>
        <w:t>European Journal of Clinical Pharmacology</w:t>
      </w:r>
      <w:r w:rsidRPr="00867478">
        <w:t>, </w:t>
      </w:r>
      <w:r w:rsidRPr="00867478">
        <w:rPr>
          <w:i/>
          <w:iCs/>
        </w:rPr>
        <w:t>78</w:t>
      </w:r>
      <w:r w:rsidRPr="00867478">
        <w:t xml:space="preserve">(5), pp.781-791. [Online] Available at: </w:t>
      </w:r>
      <w:hyperlink r:id="rId9" w:history="1">
        <w:r w:rsidRPr="00867478">
          <w:rPr>
            <w:rStyle w:val="Hyperlink"/>
            <w:u w:val="none"/>
          </w:rPr>
          <w:t>https://link.springer.com/content/pdf/10.1007/s00228-022-03287-1.pdf</w:t>
        </w:r>
      </w:hyperlink>
      <w:r w:rsidRPr="00867478">
        <w:t>. [Accessed on 24</w:t>
      </w:r>
      <w:r w:rsidRPr="00867478">
        <w:rPr>
          <w:vertAlign w:val="superscript"/>
        </w:rPr>
        <w:t>th</w:t>
      </w:r>
      <w:r w:rsidRPr="00867478">
        <w:t xml:space="preserve"> July 2026]. </w:t>
      </w:r>
    </w:p>
    <w:p w14:paraId="25FA9A27" w14:textId="77777777" w:rsidR="00867478" w:rsidRPr="00867478" w:rsidRDefault="00867478" w:rsidP="00440227">
      <w:pPr>
        <w:spacing w:line="360" w:lineRule="auto"/>
        <w:ind w:left="720" w:hanging="720"/>
        <w:jc w:val="both"/>
      </w:pPr>
      <w:r w:rsidRPr="00867478">
        <w:t>Berlo, D.K., (1960). Communication: An introduction to theory and practice. </w:t>
      </w:r>
      <w:r w:rsidRPr="00867478">
        <w:rPr>
          <w:i/>
          <w:iCs/>
        </w:rPr>
        <w:t>Bolt, Rinehart, and Winston</w:t>
      </w:r>
      <w:r w:rsidRPr="00867478">
        <w:t xml:space="preserve">. [Online] Available at: </w:t>
      </w:r>
      <w:hyperlink r:id="rId10" w:history="1">
        <w:r w:rsidRPr="00867478">
          <w:rPr>
            <w:rStyle w:val="Hyperlink"/>
            <w:u w:val="none"/>
          </w:rPr>
          <w:t>https://www.scribd.com/document/493889048/235577-The-Process-Of-Communication</w:t>
        </w:r>
      </w:hyperlink>
      <w:r w:rsidRPr="00867478">
        <w:t>. [Accessed on 24</w:t>
      </w:r>
      <w:r w:rsidRPr="00867478">
        <w:rPr>
          <w:vertAlign w:val="superscript"/>
        </w:rPr>
        <w:t>th</w:t>
      </w:r>
      <w:r w:rsidRPr="00867478">
        <w:t xml:space="preserve"> July 2026]. </w:t>
      </w:r>
    </w:p>
    <w:p w14:paraId="19F88A76" w14:textId="77777777" w:rsidR="00867478" w:rsidRPr="00867478" w:rsidRDefault="00867478" w:rsidP="00440227">
      <w:pPr>
        <w:spacing w:line="360" w:lineRule="auto"/>
        <w:ind w:left="720" w:hanging="720"/>
        <w:jc w:val="both"/>
      </w:pPr>
      <w:r w:rsidRPr="00867478">
        <w:t xml:space="preserve">Care Act (2014). Legislation by the Government of the United Kingdom. [Online] Available at: </w:t>
      </w:r>
      <w:hyperlink r:id="rId11" w:history="1">
        <w:r w:rsidRPr="00867478">
          <w:rPr>
            <w:rStyle w:val="Hyperlink"/>
            <w:u w:val="none"/>
          </w:rPr>
          <w:t>https://www.legislation.gov.uk/ukpga/2014/23/pdfs/ukpga_20140023_en.pdf</w:t>
        </w:r>
      </w:hyperlink>
      <w:r w:rsidRPr="00867478">
        <w:t>. [Accessed on 24</w:t>
      </w:r>
      <w:r w:rsidRPr="00867478">
        <w:rPr>
          <w:vertAlign w:val="superscript"/>
        </w:rPr>
        <w:t>th</w:t>
      </w:r>
      <w:r w:rsidRPr="00867478">
        <w:t xml:space="preserve"> July 2026]. </w:t>
      </w:r>
    </w:p>
    <w:p w14:paraId="6EE47E7F" w14:textId="77777777" w:rsidR="00867478" w:rsidRPr="00867478" w:rsidRDefault="00867478" w:rsidP="00440227">
      <w:pPr>
        <w:spacing w:line="360" w:lineRule="auto"/>
        <w:ind w:left="720" w:hanging="720"/>
        <w:jc w:val="both"/>
      </w:pPr>
      <w:r w:rsidRPr="00867478">
        <w:t xml:space="preserve">Care Institute for Excellence (2023). </w:t>
      </w:r>
      <w:r w:rsidRPr="00867478">
        <w:rPr>
          <w:i/>
          <w:iCs/>
        </w:rPr>
        <w:t>Social care recording</w:t>
      </w:r>
      <w:r w:rsidRPr="00867478">
        <w:t xml:space="preserve">. [Online] Available at: </w:t>
      </w:r>
      <w:hyperlink r:id="rId12" w:history="1">
        <w:r w:rsidRPr="00867478">
          <w:rPr>
            <w:rStyle w:val="Hyperlink"/>
            <w:u w:val="none"/>
          </w:rPr>
          <w:t>https://www.scie.org.uk/providing-care/recording/</w:t>
        </w:r>
      </w:hyperlink>
      <w:r w:rsidRPr="00867478">
        <w:t>. [Accessed on 24</w:t>
      </w:r>
      <w:r w:rsidRPr="00867478">
        <w:rPr>
          <w:vertAlign w:val="superscript"/>
        </w:rPr>
        <w:t>th</w:t>
      </w:r>
      <w:r w:rsidRPr="00867478">
        <w:t xml:space="preserve"> July 2026]. </w:t>
      </w:r>
    </w:p>
    <w:p w14:paraId="4ED5BFBA" w14:textId="77777777" w:rsidR="00867478" w:rsidRPr="00867478" w:rsidRDefault="00867478" w:rsidP="00440227">
      <w:pPr>
        <w:spacing w:line="360" w:lineRule="auto"/>
        <w:ind w:left="720" w:hanging="720"/>
        <w:jc w:val="both"/>
      </w:pPr>
      <w:r w:rsidRPr="00867478">
        <w:t xml:space="preserve">Care Quality Commission (2026). </w:t>
      </w:r>
      <w:r w:rsidRPr="00867478">
        <w:rPr>
          <w:i/>
          <w:iCs/>
        </w:rPr>
        <w:t>The fundamental standards</w:t>
      </w:r>
      <w:r w:rsidRPr="00867478">
        <w:t xml:space="preserve">. [Online] Available at: </w:t>
      </w:r>
      <w:hyperlink r:id="rId13" w:tgtFrame="_blank" w:history="1">
        <w:r w:rsidRPr="00867478">
          <w:rPr>
            <w:rStyle w:val="Hyperlink"/>
            <w:u w:val="none"/>
          </w:rPr>
          <w:t>https://www.cqc.org.uk/about-us/fundamental-standards</w:t>
        </w:r>
      </w:hyperlink>
      <w:r w:rsidRPr="00867478">
        <w:t>. [Accessed on 24</w:t>
      </w:r>
      <w:r w:rsidRPr="00867478">
        <w:rPr>
          <w:vertAlign w:val="superscript"/>
        </w:rPr>
        <w:t>th</w:t>
      </w:r>
      <w:r w:rsidRPr="00867478">
        <w:t xml:space="preserve"> July 2026]. </w:t>
      </w:r>
    </w:p>
    <w:p w14:paraId="79292A7E" w14:textId="77777777" w:rsidR="00867478" w:rsidRPr="00867478" w:rsidRDefault="00867478" w:rsidP="00440227">
      <w:pPr>
        <w:spacing w:line="360" w:lineRule="auto"/>
        <w:ind w:left="720" w:hanging="720"/>
        <w:jc w:val="both"/>
      </w:pPr>
      <w:r w:rsidRPr="00867478">
        <w:t xml:space="preserve">Data Protection Act (2018). Legislation by the Government of the United Kingdom. [Online] Available at: </w:t>
      </w:r>
      <w:hyperlink r:id="rId14" w:history="1">
        <w:r w:rsidRPr="00867478">
          <w:rPr>
            <w:rStyle w:val="Hyperlink"/>
            <w:u w:val="none"/>
          </w:rPr>
          <w:t>https://www.legislation.gov.uk/ukpga/2018/12/pdfs/ukpga_20180012_en.pdf</w:t>
        </w:r>
      </w:hyperlink>
      <w:r w:rsidRPr="00867478">
        <w:t>. [Accessed on 24</w:t>
      </w:r>
      <w:r w:rsidRPr="00867478">
        <w:rPr>
          <w:vertAlign w:val="superscript"/>
        </w:rPr>
        <w:t>th</w:t>
      </w:r>
      <w:r w:rsidRPr="00867478">
        <w:t xml:space="preserve"> July 2026]. </w:t>
      </w:r>
    </w:p>
    <w:p w14:paraId="3B502181" w14:textId="77777777" w:rsidR="00867478" w:rsidRPr="00867478" w:rsidRDefault="00867478" w:rsidP="00440227">
      <w:pPr>
        <w:spacing w:line="360" w:lineRule="auto"/>
        <w:ind w:left="720" w:hanging="720"/>
        <w:jc w:val="both"/>
      </w:pPr>
      <w:r w:rsidRPr="00867478">
        <w:t>Drake, M., Juutilainen, P.K., Vanhanen-Nuutinen, L. and Aura, P. (2022). How can higher education promote gender equality, diversity and non-</w:t>
      </w:r>
      <w:proofErr w:type="gramStart"/>
      <w:r w:rsidRPr="00867478">
        <w:t>discrimination?.</w:t>
      </w:r>
      <w:proofErr w:type="gramEnd"/>
      <w:r w:rsidRPr="00867478">
        <w:t> </w:t>
      </w:r>
      <w:r w:rsidRPr="00867478">
        <w:rPr>
          <w:i/>
          <w:iCs/>
        </w:rPr>
        <w:t>EDULEARN Proceedings</w:t>
      </w:r>
      <w:r w:rsidRPr="00867478">
        <w:t xml:space="preserve">. [Online] Available at: </w:t>
      </w:r>
      <w:hyperlink r:id="rId15" w:history="1">
        <w:r w:rsidRPr="00867478">
          <w:rPr>
            <w:rStyle w:val="Hyperlink"/>
            <w:u w:val="none"/>
          </w:rPr>
          <w:t>https://www.theseus.fi/bitstream/handle/10024/784065/DrakeetalHowCanHigherEducation.pdf?sequence=1</w:t>
        </w:r>
      </w:hyperlink>
      <w:r w:rsidRPr="00867478">
        <w:t>. [Accessed on 24</w:t>
      </w:r>
      <w:r w:rsidRPr="00867478">
        <w:rPr>
          <w:vertAlign w:val="superscript"/>
        </w:rPr>
        <w:t>th</w:t>
      </w:r>
      <w:r w:rsidRPr="00867478">
        <w:t xml:space="preserve"> July 2026]. </w:t>
      </w:r>
    </w:p>
    <w:p w14:paraId="0C2223EA" w14:textId="77777777" w:rsidR="00867478" w:rsidRPr="00867478" w:rsidRDefault="00867478" w:rsidP="00440227">
      <w:pPr>
        <w:spacing w:line="360" w:lineRule="auto"/>
        <w:ind w:left="720" w:hanging="720"/>
        <w:jc w:val="both"/>
      </w:pPr>
      <w:r w:rsidRPr="00867478">
        <w:t xml:space="preserve">Driscoll, J., Bostock, L., </w:t>
      </w:r>
      <w:proofErr w:type="spellStart"/>
      <w:r w:rsidRPr="00867478">
        <w:t>Septien</w:t>
      </w:r>
      <w:proofErr w:type="spellEnd"/>
      <w:r w:rsidRPr="00867478">
        <w:t xml:space="preserve">, A.P.B., Thorpe, A., Pearce, J., Lorek, A., Miah, S., Reed, D. and Byford, S. (2024). Evaluation of the Multi-Agency Child Safeguarding Arrangements. [Online] Available at: </w:t>
      </w:r>
      <w:hyperlink r:id="rId16" w:history="1">
        <w:r w:rsidRPr="00867478">
          <w:rPr>
            <w:rStyle w:val="Hyperlink"/>
            <w:u w:val="none"/>
          </w:rPr>
          <w:t>https://www.kcl.ac.uk/ecs/assets/projects/evaluation-of-the-multi-agency-safeguarding-arrangements-2024-12-21-3.pdf</w:t>
        </w:r>
      </w:hyperlink>
      <w:r w:rsidRPr="00867478">
        <w:t>. [Accessed on 24</w:t>
      </w:r>
      <w:r w:rsidRPr="00867478">
        <w:rPr>
          <w:vertAlign w:val="superscript"/>
        </w:rPr>
        <w:t>th</w:t>
      </w:r>
      <w:r w:rsidRPr="00867478">
        <w:t xml:space="preserve"> July 2026]. </w:t>
      </w:r>
    </w:p>
    <w:p w14:paraId="14C87784" w14:textId="77777777" w:rsidR="00867478" w:rsidRPr="00867478" w:rsidRDefault="00867478" w:rsidP="00440227">
      <w:pPr>
        <w:spacing w:line="360" w:lineRule="auto"/>
        <w:ind w:left="720" w:hanging="720"/>
        <w:jc w:val="both"/>
      </w:pPr>
      <w:r w:rsidRPr="00867478">
        <w:t xml:space="preserve">Equality Act (2010). Legislation by the Government of the United Kingdom. [Online] Available at: </w:t>
      </w:r>
      <w:hyperlink r:id="rId17" w:history="1">
        <w:r w:rsidRPr="00867478">
          <w:rPr>
            <w:rStyle w:val="Hyperlink"/>
            <w:u w:val="none"/>
          </w:rPr>
          <w:t>https://www.legislation.gov.uk/ukpga/2010/15/pdfs/ukpga_20100015_en.pdf</w:t>
        </w:r>
      </w:hyperlink>
      <w:r w:rsidRPr="00867478">
        <w:t>. [Accessed on 24</w:t>
      </w:r>
      <w:r w:rsidRPr="00867478">
        <w:rPr>
          <w:vertAlign w:val="superscript"/>
        </w:rPr>
        <w:t>th</w:t>
      </w:r>
      <w:r w:rsidRPr="00867478">
        <w:t xml:space="preserve"> July 2026]. </w:t>
      </w:r>
    </w:p>
    <w:p w14:paraId="699DBC92" w14:textId="77777777" w:rsidR="00867478" w:rsidRPr="00867478" w:rsidRDefault="00867478" w:rsidP="00440227">
      <w:pPr>
        <w:spacing w:line="360" w:lineRule="auto"/>
        <w:ind w:left="720" w:hanging="720"/>
        <w:jc w:val="both"/>
      </w:pPr>
      <w:r w:rsidRPr="00867478">
        <w:t xml:space="preserve">Glasby, J. (2026). Understanding health and social care. In </w:t>
      </w:r>
      <w:r w:rsidRPr="00867478">
        <w:rPr>
          <w:i/>
          <w:iCs/>
        </w:rPr>
        <w:t>Understanding Health and Social Care</w:t>
      </w:r>
      <w:r w:rsidRPr="00867478">
        <w:t xml:space="preserve">. Policy Press. [Online] Available at: </w:t>
      </w:r>
      <w:hyperlink r:id="rId18" w:history="1">
        <w:r w:rsidRPr="00867478">
          <w:rPr>
            <w:rStyle w:val="Hyperlink"/>
            <w:u w:val="none"/>
          </w:rPr>
          <w:t>https://cmls.org.uk/online/wp-content/uploads/2019/07/Understanding-health-and-social-care.pdf</w:t>
        </w:r>
      </w:hyperlink>
      <w:r w:rsidRPr="00867478">
        <w:t>. [Accessed on 24</w:t>
      </w:r>
      <w:r w:rsidRPr="00867478">
        <w:rPr>
          <w:vertAlign w:val="superscript"/>
        </w:rPr>
        <w:t>th</w:t>
      </w:r>
      <w:r w:rsidRPr="00867478">
        <w:t xml:space="preserve"> July 2026]. </w:t>
      </w:r>
    </w:p>
    <w:p w14:paraId="63582107" w14:textId="77777777" w:rsidR="00867478" w:rsidRPr="00867478" w:rsidRDefault="00867478" w:rsidP="00440227">
      <w:pPr>
        <w:spacing w:line="360" w:lineRule="auto"/>
        <w:ind w:left="720" w:hanging="720"/>
        <w:jc w:val="both"/>
      </w:pPr>
      <w:r w:rsidRPr="00867478">
        <w:t xml:space="preserve">Glasby, J. and Dickinson, H. (2014). </w:t>
      </w:r>
      <w:r w:rsidRPr="00867478">
        <w:rPr>
          <w:i/>
          <w:iCs/>
        </w:rPr>
        <w:t>Partnership working in health and social care: what is integrated care and how can we deliver it?</w:t>
      </w:r>
      <w:r w:rsidRPr="00867478">
        <w:t xml:space="preserve">. Policy Press. [Online] Available at: </w:t>
      </w:r>
      <w:hyperlink r:id="rId19" w:history="1">
        <w:r w:rsidRPr="00867478">
          <w:rPr>
            <w:rStyle w:val="Hyperlink"/>
            <w:u w:val="none"/>
          </w:rPr>
          <w:t>https://ijic.org/articles/10.5334/ijic.4722</w:t>
        </w:r>
      </w:hyperlink>
      <w:r w:rsidRPr="00867478">
        <w:t>. [Accessed on 24</w:t>
      </w:r>
      <w:r w:rsidRPr="00867478">
        <w:rPr>
          <w:vertAlign w:val="superscript"/>
        </w:rPr>
        <w:t>th</w:t>
      </w:r>
      <w:r w:rsidRPr="00867478">
        <w:t xml:space="preserve"> July 2026]. </w:t>
      </w:r>
    </w:p>
    <w:p w14:paraId="46F7EA46" w14:textId="77777777" w:rsidR="00867478" w:rsidRPr="00867478" w:rsidRDefault="00867478" w:rsidP="00440227">
      <w:pPr>
        <w:spacing w:line="360" w:lineRule="auto"/>
        <w:ind w:left="720" w:hanging="720"/>
        <w:jc w:val="both"/>
      </w:pPr>
      <w:r w:rsidRPr="00867478">
        <w:t>Khuman, P. (2024). The impact of non-verbal communication in teaching: Enhancing educational effectiveness. </w:t>
      </w:r>
      <w:r w:rsidRPr="00867478">
        <w:rPr>
          <w:i/>
          <w:iCs/>
        </w:rPr>
        <w:t>A Global Journal of Humanities</w:t>
      </w:r>
      <w:r w:rsidRPr="00867478">
        <w:t>, </w:t>
      </w:r>
      <w:r w:rsidRPr="00867478">
        <w:rPr>
          <w:i/>
          <w:iCs/>
        </w:rPr>
        <w:t>7</w:t>
      </w:r>
      <w:r w:rsidRPr="00867478">
        <w:t xml:space="preserve">(89), pp.89-95. [Online] Available at: </w:t>
      </w:r>
      <w:hyperlink r:id="rId20" w:history="1">
        <w:r w:rsidRPr="00867478">
          <w:rPr>
            <w:rStyle w:val="Hyperlink"/>
            <w:u w:val="none"/>
          </w:rPr>
          <w:t>https://www.gapbodhitaru.org/res/articles/(89-95)%20THE%20IMPACT%20OF%20NON-VERBAL%20COMMUNICATION%20IN%20TEACHING%20ENHANCING%20EDUCATIONAL%20EFFECTIVENESS.pdf</w:t>
        </w:r>
      </w:hyperlink>
      <w:r w:rsidRPr="00867478">
        <w:t>. [Accessed on 24</w:t>
      </w:r>
      <w:r w:rsidRPr="00867478">
        <w:rPr>
          <w:vertAlign w:val="superscript"/>
        </w:rPr>
        <w:t>th</w:t>
      </w:r>
      <w:r w:rsidRPr="00867478">
        <w:t xml:space="preserve"> July 2026]. </w:t>
      </w:r>
    </w:p>
    <w:p w14:paraId="2FE36C60" w14:textId="77777777" w:rsidR="00867478" w:rsidRPr="00867478" w:rsidRDefault="00867478" w:rsidP="00440227">
      <w:pPr>
        <w:spacing w:line="360" w:lineRule="auto"/>
        <w:ind w:left="720" w:hanging="720"/>
        <w:jc w:val="both"/>
      </w:pPr>
      <w:r w:rsidRPr="00867478">
        <w:t>Latif, T., Rashid, A., Noor, N. and Noor, H., (2025). From words to images: The impact of visual vs. verbal communication in social and professional settings. </w:t>
      </w:r>
      <w:r w:rsidRPr="00867478">
        <w:rPr>
          <w:i/>
          <w:iCs/>
        </w:rPr>
        <w:t>International Journal of Linguistics and Culture</w:t>
      </w:r>
      <w:r w:rsidRPr="00867478">
        <w:t>, </w:t>
      </w:r>
      <w:r w:rsidRPr="00867478">
        <w:rPr>
          <w:i/>
          <w:iCs/>
        </w:rPr>
        <w:t>6</w:t>
      </w:r>
      <w:r w:rsidRPr="00867478">
        <w:t xml:space="preserve">(1), pp.51-85. [Online] Available at: </w:t>
      </w:r>
      <w:hyperlink r:id="rId21" w:history="1">
        <w:r w:rsidRPr="00867478">
          <w:rPr>
            <w:rStyle w:val="Hyperlink"/>
            <w:u w:val="none"/>
          </w:rPr>
          <w:t>http://ijlc.wum.edu.pk/index.php/ojs/article/download/285/114</w:t>
        </w:r>
      </w:hyperlink>
      <w:r w:rsidRPr="00867478">
        <w:t>. [Accessed on 24</w:t>
      </w:r>
      <w:r w:rsidRPr="00867478">
        <w:rPr>
          <w:vertAlign w:val="superscript"/>
        </w:rPr>
        <w:t>th</w:t>
      </w:r>
      <w:r w:rsidRPr="00867478">
        <w:t xml:space="preserve"> July 2026]. </w:t>
      </w:r>
    </w:p>
    <w:p w14:paraId="42C17CC3" w14:textId="77777777" w:rsidR="00867478" w:rsidRPr="00867478" w:rsidRDefault="00867478" w:rsidP="00440227">
      <w:pPr>
        <w:spacing w:line="360" w:lineRule="auto"/>
        <w:ind w:left="720" w:hanging="720"/>
        <w:jc w:val="both"/>
      </w:pPr>
      <w:r w:rsidRPr="00867478">
        <w:t>Lin, Y.Y., Yen, W.J., Hou, W.L., Liao, W.C. and Lin, M.L., (2022), March. Mental health nurses' tacit knowledge of strategies for improving medication adherence for schizophrenia: A qualitative study. In </w:t>
      </w:r>
      <w:r w:rsidRPr="00867478">
        <w:rPr>
          <w:i/>
          <w:iCs/>
        </w:rPr>
        <w:t>Healthcare</w:t>
      </w:r>
      <w:r w:rsidRPr="00867478">
        <w:t xml:space="preserve"> (Vol. 10, No. 3, p. 492). MDPI. [Online] Available at: </w:t>
      </w:r>
      <w:hyperlink r:id="rId22" w:history="1">
        <w:r w:rsidRPr="00867478">
          <w:rPr>
            <w:rStyle w:val="Hyperlink"/>
            <w:u w:val="none"/>
          </w:rPr>
          <w:t>https://www.mdpi.com/2227-9032/10/3/492</w:t>
        </w:r>
      </w:hyperlink>
      <w:r w:rsidRPr="00867478">
        <w:t>. [Accessed on 24</w:t>
      </w:r>
      <w:r w:rsidRPr="00867478">
        <w:rPr>
          <w:vertAlign w:val="superscript"/>
        </w:rPr>
        <w:t>th</w:t>
      </w:r>
      <w:r w:rsidRPr="00867478">
        <w:t xml:space="preserve"> July 2026]. </w:t>
      </w:r>
    </w:p>
    <w:p w14:paraId="13DC0F2C" w14:textId="77777777" w:rsidR="00867478" w:rsidRPr="00867478" w:rsidRDefault="00867478" w:rsidP="00440227">
      <w:pPr>
        <w:spacing w:line="360" w:lineRule="auto"/>
        <w:ind w:left="720" w:hanging="720"/>
        <w:jc w:val="both"/>
      </w:pPr>
      <w:r w:rsidRPr="00867478">
        <w:t>Lucas, S., Ailani, J., Smith, T.R., Abdrabboh, A., Xue, F. and Navetta, M.S. (2022). Pharmacovigilance: reporting requirements throughout a product's lifecycle. </w:t>
      </w:r>
      <w:r w:rsidRPr="00867478">
        <w:rPr>
          <w:i/>
          <w:iCs/>
        </w:rPr>
        <w:t>Therapeutic Advances in Drug Safety</w:t>
      </w:r>
      <w:r w:rsidRPr="00867478">
        <w:t>, </w:t>
      </w:r>
      <w:r w:rsidRPr="00867478">
        <w:rPr>
          <w:i/>
          <w:iCs/>
        </w:rPr>
        <w:t>13</w:t>
      </w:r>
      <w:r w:rsidRPr="00867478">
        <w:t xml:space="preserve">, p.20420986221125006. [Online] Available at: </w:t>
      </w:r>
      <w:hyperlink r:id="rId23" w:history="1">
        <w:r w:rsidRPr="00867478">
          <w:rPr>
            <w:rStyle w:val="Hyperlink"/>
            <w:u w:val="none"/>
          </w:rPr>
          <w:t>https://journals.sagepub.com/doi/pdf/10.1177/20420986221125006</w:t>
        </w:r>
      </w:hyperlink>
      <w:r w:rsidRPr="00867478">
        <w:t>. [Accessed on 24</w:t>
      </w:r>
      <w:r w:rsidRPr="00867478">
        <w:rPr>
          <w:vertAlign w:val="superscript"/>
        </w:rPr>
        <w:t>th</w:t>
      </w:r>
      <w:r w:rsidRPr="00867478">
        <w:t xml:space="preserve"> July 2026]. </w:t>
      </w:r>
    </w:p>
    <w:p w14:paraId="7C3EC5A6" w14:textId="77777777" w:rsidR="00867478" w:rsidRPr="00867478" w:rsidRDefault="00867478" w:rsidP="00440227">
      <w:pPr>
        <w:spacing w:line="360" w:lineRule="auto"/>
        <w:ind w:left="720" w:hanging="720"/>
        <w:jc w:val="both"/>
      </w:pPr>
      <w:r w:rsidRPr="00867478">
        <w:t xml:space="preserve">Orr, D., Morrison, C., </w:t>
      </w:r>
      <w:proofErr w:type="spellStart"/>
      <w:r w:rsidRPr="00867478">
        <w:t>Nasrawy</w:t>
      </w:r>
      <w:proofErr w:type="spellEnd"/>
      <w:r w:rsidRPr="00867478">
        <w:t xml:space="preserve">, M., </w:t>
      </w:r>
      <w:proofErr w:type="spellStart"/>
      <w:r w:rsidRPr="00867478">
        <w:t>Babashahi</w:t>
      </w:r>
      <w:proofErr w:type="spellEnd"/>
      <w:r w:rsidRPr="00867478">
        <w:t xml:space="preserve">, S., Selwyn, N. and </w:t>
      </w:r>
      <w:proofErr w:type="spellStart"/>
      <w:r w:rsidRPr="00867478">
        <w:t>Hounsome</w:t>
      </w:r>
      <w:proofErr w:type="spellEnd"/>
      <w:r w:rsidRPr="00867478">
        <w:t>, N. (2026). Improving collaborative inter-agency systems and practice in self-neglect: a realist review and interview study. </w:t>
      </w:r>
      <w:r w:rsidRPr="00867478">
        <w:rPr>
          <w:i/>
          <w:iCs/>
        </w:rPr>
        <w:t>Health and Social Care Delivery Research</w:t>
      </w:r>
      <w:r w:rsidRPr="00867478">
        <w:t>, </w:t>
      </w:r>
      <w:r w:rsidRPr="00867478">
        <w:rPr>
          <w:i/>
          <w:iCs/>
        </w:rPr>
        <w:t>14</w:t>
      </w:r>
      <w:r w:rsidRPr="00867478">
        <w:t xml:space="preserve">(10), pp.1-29. [Online] Available at: </w:t>
      </w:r>
      <w:hyperlink r:id="rId24" w:history="1">
        <w:r w:rsidRPr="00867478">
          <w:rPr>
            <w:rStyle w:val="Hyperlink"/>
            <w:u w:val="none"/>
          </w:rPr>
          <w:t>https://www.journalslibrary.nihr.ac.uk/hsdr/GJDO0815</w:t>
        </w:r>
      </w:hyperlink>
      <w:r w:rsidRPr="00867478">
        <w:t>. [Accessed on 24</w:t>
      </w:r>
      <w:r w:rsidRPr="00867478">
        <w:rPr>
          <w:vertAlign w:val="superscript"/>
        </w:rPr>
        <w:t>th</w:t>
      </w:r>
      <w:r w:rsidRPr="00867478">
        <w:t xml:space="preserve"> July 2026]. </w:t>
      </w:r>
    </w:p>
    <w:p w14:paraId="0F317A21" w14:textId="77777777" w:rsidR="00867478" w:rsidRPr="00867478" w:rsidRDefault="00867478" w:rsidP="00440227">
      <w:pPr>
        <w:spacing w:line="360" w:lineRule="auto"/>
        <w:ind w:left="720" w:hanging="720"/>
        <w:jc w:val="both"/>
      </w:pPr>
      <w:r w:rsidRPr="00867478">
        <w:t>Snelling, P. and Quick, O. (2022). Confidentiality and public interest disclosure: A framework to evaluate UK healthcare professional regulatory guidance. </w:t>
      </w:r>
      <w:r w:rsidRPr="00867478">
        <w:rPr>
          <w:i/>
          <w:iCs/>
        </w:rPr>
        <w:t>Medical Law International</w:t>
      </w:r>
      <w:r w:rsidRPr="00867478">
        <w:t>, </w:t>
      </w:r>
      <w:r w:rsidRPr="00867478">
        <w:rPr>
          <w:i/>
          <w:iCs/>
        </w:rPr>
        <w:t>22</w:t>
      </w:r>
      <w:r w:rsidRPr="00867478">
        <w:t xml:space="preserve">(1), pp.3-32. [Online] Available at: </w:t>
      </w:r>
      <w:hyperlink r:id="rId25" w:history="1">
        <w:r w:rsidRPr="00867478">
          <w:rPr>
            <w:rStyle w:val="Hyperlink"/>
            <w:u w:val="none"/>
          </w:rPr>
          <w:t>https://journals.sagepub.com/doi/pdf/10.1177/09685332221079124</w:t>
        </w:r>
      </w:hyperlink>
      <w:r w:rsidRPr="00867478">
        <w:t>. [Accessed on 24</w:t>
      </w:r>
      <w:r w:rsidRPr="00867478">
        <w:rPr>
          <w:vertAlign w:val="superscript"/>
        </w:rPr>
        <w:t>th</w:t>
      </w:r>
      <w:r w:rsidRPr="00867478">
        <w:t xml:space="preserve"> July 2026]. </w:t>
      </w:r>
    </w:p>
    <w:p w14:paraId="7826EB2C" w14:textId="77777777" w:rsidR="00867478" w:rsidRPr="00867478" w:rsidRDefault="00867478" w:rsidP="00440227">
      <w:pPr>
        <w:spacing w:line="360" w:lineRule="auto"/>
        <w:ind w:left="720" w:hanging="720"/>
        <w:jc w:val="both"/>
      </w:pPr>
      <w:r w:rsidRPr="00867478">
        <w:t>Turbitt, E., Callinan, E., Shakes, P., McEwen, A. and Amor, D.J. (2024). Fostering hope and acknowledging uncertainty: meeting parents' needs and preferences when communicating prognosis in genetic neurodevelopmental conditions. </w:t>
      </w:r>
      <w:r w:rsidRPr="00867478">
        <w:rPr>
          <w:i/>
          <w:iCs/>
        </w:rPr>
        <w:t>Current Developmental Disorders Reports</w:t>
      </w:r>
      <w:r w:rsidRPr="00867478">
        <w:t>, </w:t>
      </w:r>
      <w:r w:rsidRPr="00867478">
        <w:rPr>
          <w:i/>
          <w:iCs/>
        </w:rPr>
        <w:t>11</w:t>
      </w:r>
      <w:r w:rsidRPr="00867478">
        <w:t xml:space="preserve">(1), pp.21-31. [Online] Available at: </w:t>
      </w:r>
      <w:hyperlink r:id="rId26" w:history="1">
        <w:r w:rsidRPr="00867478">
          <w:rPr>
            <w:rStyle w:val="Hyperlink"/>
            <w:u w:val="none"/>
          </w:rPr>
          <w:t>https://link.springer.com/content/pdf/10.1007/s40474-024-00291-1.pdf</w:t>
        </w:r>
      </w:hyperlink>
      <w:r w:rsidRPr="00867478">
        <w:t>. [Accessed on 24</w:t>
      </w:r>
      <w:r w:rsidRPr="00867478">
        <w:rPr>
          <w:vertAlign w:val="superscript"/>
        </w:rPr>
        <w:t>th</w:t>
      </w:r>
      <w:r w:rsidRPr="00867478">
        <w:t xml:space="preserve"> July 2026]. </w:t>
      </w:r>
    </w:p>
    <w:p w14:paraId="64D6B780" w14:textId="2D84B686" w:rsidR="00867478" w:rsidRPr="00E45FD4" w:rsidRDefault="00867478" w:rsidP="00440227">
      <w:pPr>
        <w:spacing w:line="360" w:lineRule="auto"/>
        <w:ind w:left="720" w:hanging="720"/>
        <w:jc w:val="both"/>
      </w:pPr>
    </w:p>
    <w:p w14:paraId="4ED3C650" w14:textId="4964AF88" w:rsidR="00E36699" w:rsidRPr="0076023F" w:rsidRDefault="00E36699" w:rsidP="00440227">
      <w:pPr>
        <w:spacing w:line="360" w:lineRule="auto"/>
        <w:ind w:left="720" w:hanging="720"/>
        <w:jc w:val="both"/>
      </w:pPr>
    </w:p>
    <w:p w14:paraId="69CD04A9" w14:textId="172945CB" w:rsidR="00402FE2" w:rsidRDefault="00402FE2" w:rsidP="00440227">
      <w:pPr>
        <w:spacing w:line="360" w:lineRule="auto"/>
        <w:ind w:left="720" w:hanging="720"/>
        <w:jc w:val="both"/>
      </w:pPr>
    </w:p>
    <w:p w14:paraId="19FEDDC1" w14:textId="3E933633" w:rsidR="007568BE" w:rsidRDefault="007568BE" w:rsidP="00440227">
      <w:pPr>
        <w:spacing w:line="360" w:lineRule="auto"/>
        <w:ind w:left="720" w:hanging="720"/>
        <w:jc w:val="both"/>
      </w:pPr>
    </w:p>
    <w:p w14:paraId="13DA9483" w14:textId="4F14E041" w:rsidR="00B9231C" w:rsidRDefault="00B9231C" w:rsidP="00440227">
      <w:pPr>
        <w:spacing w:line="360" w:lineRule="auto"/>
        <w:ind w:left="720" w:hanging="720"/>
        <w:jc w:val="both"/>
      </w:pPr>
    </w:p>
    <w:p w14:paraId="5699DFD6" w14:textId="68F57846" w:rsidR="00C24281" w:rsidRDefault="00C24281" w:rsidP="00440227">
      <w:pPr>
        <w:spacing w:line="360" w:lineRule="auto"/>
        <w:ind w:left="720" w:hanging="720"/>
        <w:jc w:val="both"/>
      </w:pPr>
    </w:p>
    <w:p w14:paraId="6D563114" w14:textId="071CF523" w:rsidR="007D3BC2" w:rsidRDefault="007D3BC2" w:rsidP="00440227">
      <w:pPr>
        <w:spacing w:line="360" w:lineRule="auto"/>
        <w:ind w:left="720" w:hanging="720"/>
        <w:jc w:val="both"/>
      </w:pPr>
    </w:p>
    <w:p w14:paraId="363A9E70" w14:textId="187D53E3" w:rsidR="00687562" w:rsidRDefault="00687562" w:rsidP="00440227">
      <w:pPr>
        <w:spacing w:line="360" w:lineRule="auto"/>
        <w:ind w:left="720" w:hanging="720"/>
        <w:jc w:val="both"/>
      </w:pPr>
    </w:p>
    <w:p w14:paraId="4F10CD3C" w14:textId="57EC61DF" w:rsidR="00543F41" w:rsidRPr="00A97687" w:rsidRDefault="00543F41" w:rsidP="00440227">
      <w:pPr>
        <w:spacing w:line="360" w:lineRule="auto"/>
        <w:ind w:left="720" w:hanging="720"/>
        <w:jc w:val="both"/>
      </w:pPr>
    </w:p>
    <w:p w14:paraId="3CCD3284" w14:textId="77777777" w:rsidR="008415BA" w:rsidRDefault="008415BA" w:rsidP="00440227">
      <w:pPr>
        <w:spacing w:line="360" w:lineRule="auto"/>
        <w:jc w:val="both"/>
      </w:pPr>
    </w:p>
    <w:sectPr w:rsidR="008415BA" w:rsidSect="000F6B01">
      <w:footerReference w:type="default" r:id="rId27"/>
      <w:pgSz w:w="12240" w:h="15840"/>
      <w:pgMar w:top="1440" w:right="1440" w:bottom="1440" w:left="1440" w:header="720" w:footer="720" w:gutter="0"/>
      <w:pgBorders w:offsetFrom="page">
        <w:top w:val="inset" w:sz="6" w:space="24" w:color="auto"/>
        <w:left w:val="inset" w:sz="6" w:space="24" w:color="auto"/>
        <w:bottom w:val="outset" w:sz="6" w:space="24" w:color="auto"/>
        <w:right w:val="outset" w:sz="6"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FA7AA" w14:textId="77777777" w:rsidR="00C04AFD" w:rsidRDefault="00C04AFD">
      <w:pPr>
        <w:spacing w:after="0" w:line="240" w:lineRule="auto"/>
      </w:pPr>
      <w:r>
        <w:separator/>
      </w:r>
    </w:p>
  </w:endnote>
  <w:endnote w:type="continuationSeparator" w:id="0">
    <w:p w14:paraId="5D24FEEF" w14:textId="77777777" w:rsidR="00C04AFD" w:rsidRDefault="00C04A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5575693"/>
      <w:docPartObj>
        <w:docPartGallery w:val="Page Numbers (Bottom of Page)"/>
        <w:docPartUnique/>
      </w:docPartObj>
    </w:sdtPr>
    <w:sdtEndPr/>
    <w:sdtContent>
      <w:p w14:paraId="16929B23" w14:textId="77777777" w:rsidR="000F6B01" w:rsidRDefault="00C83A25">
        <w:pPr>
          <w:pStyle w:val="Footer"/>
        </w:pPr>
        <w:r>
          <w:rPr>
            <w:noProof/>
          </w:rPr>
          <mc:AlternateContent>
            <mc:Choice Requires="wps">
              <w:drawing>
                <wp:anchor distT="0" distB="0" distL="114300" distR="114300" simplePos="0" relativeHeight="251660288" behindDoc="0" locked="0" layoutInCell="1" allowOverlap="1" wp14:anchorId="11FCF501" wp14:editId="304FDB5D">
                  <wp:simplePos x="0" y="0"/>
                  <wp:positionH relativeFrom="margin">
                    <wp:align>center</wp:align>
                  </wp:positionH>
                  <wp:positionV relativeFrom="bottomMargin">
                    <wp:align>center</wp:align>
                  </wp:positionV>
                  <wp:extent cx="555625" cy="238760"/>
                  <wp:effectExtent l="19050" t="19050" r="19685" b="18415"/>
                  <wp:wrapNone/>
                  <wp:docPr id="940333776"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5625" cy="238760"/>
                          </a:xfrm>
                          <a:prstGeom prst="bracketPair">
                            <a:avLst>
                              <a:gd name="adj" fmla="val 16667"/>
                            </a:avLst>
                          </a:prstGeom>
                          <a:solidFill>
                            <a:srgbClr val="FFFFFF"/>
                          </a:solidFill>
                          <a:ln w="28575">
                            <a:solidFill>
                              <a:srgbClr val="808080"/>
                            </a:solidFill>
                            <a:round/>
                            <a:headEnd/>
                            <a:tailEnd/>
                          </a:ln>
                        </wps:spPr>
                        <wps:txbx>
                          <w:txbxContent>
                            <w:p w14:paraId="34FFAB39" w14:textId="77777777" w:rsidR="000F6B01" w:rsidRDefault="00C83A25">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wps:wsp>
                    </a:graphicData>
                  </a:graphic>
                  <wp14:sizeRelH relativeFrom="margin">
                    <wp14:pctWidth>10000</wp14:pctWidth>
                  </wp14:sizeRelH>
                  <wp14:sizeRelV relativeFrom="bottomMargin">
                    <wp14:pctHeight>0</wp14:pctHeight>
                  </wp14:sizeRelV>
                </wp:anchor>
              </w:drawing>
            </mc:Choice>
            <mc:Fallback>
              <w:pict>
                <v:shapetype w14:anchorId="11FCF50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margin-left:0;margin-top:0;width:43.7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" filled="t" strokecolor="gray" strokeweight="2.25pt">
                  <v:textbox inset=",0,,0">
                    <w:txbxContent>
                      <w:p w14:paraId="34FFAB39" w14:textId="77777777" w:rsidR="000F6B01" w:rsidRDefault="00C83A25">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029F5AE0" wp14:editId="366DFFEB">
                  <wp:simplePos x="0" y="0"/>
                  <wp:positionH relativeFrom="margin">
                    <wp:align>center</wp:align>
                  </wp:positionH>
                  <wp:positionV relativeFrom="bottomMargin">
                    <wp:align>center</wp:align>
                  </wp:positionV>
                  <wp:extent cx="5518150" cy="0"/>
                  <wp:effectExtent l="9525" t="9525" r="6350" b="9525"/>
                  <wp:wrapNone/>
                  <wp:docPr id="1264975274"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id="_x0000_t32" coordsize="21600,21600" o:spt="32" o:oned="t" path="m,l21600,21600e" filled="f">
                  <v:path arrowok="t" fillok="f" o:connecttype="none"/>
                  <o:lock v:ext="edit" shapetype="t"/>
                </v:shapetype>
                <v:shape id="Straight Arrow Connector 1" o:spid="_x0000_s2050" type="#_x0000_t32" style="width:434.5pt;height:0;margin-top:0;margin-left:0;mso-height-percent:0;mso-height-relative:bottom-margin-area;mso-position-horizontal:center;mso-position-horizontal-relative:margin;mso-position-vertical:center;mso-position-vertical-relative:bottom-margin-area;mso-width-percent:0;mso-width-relative:page;mso-wrap-distance-bottom:0;mso-wrap-distance-left:9pt;mso-wrap-distance-right:9pt;mso-wrap-distance-top:0;mso-wrap-style:square;position:absolute;visibility:visible;z-index:251659264" strokecolor="gray" strokeweight="1pt">
                  <w10:wrap anchorx="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CBE278" w14:textId="77777777" w:rsidR="00C04AFD" w:rsidRDefault="00C04AFD">
      <w:pPr>
        <w:spacing w:after="0" w:line="240" w:lineRule="auto"/>
      </w:pPr>
      <w:r>
        <w:separator/>
      </w:r>
    </w:p>
  </w:footnote>
  <w:footnote w:type="continuationSeparator" w:id="0">
    <w:p w14:paraId="572C1413" w14:textId="77777777" w:rsidR="00C04AFD" w:rsidRDefault="00C04AF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D519C0"/>
    <w:multiLevelType w:val="multilevel"/>
    <w:tmpl w:val="400696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71912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6B01"/>
    <w:rsid w:val="00016053"/>
    <w:rsid w:val="000253E1"/>
    <w:rsid w:val="000E04E4"/>
    <w:rsid w:val="000F6B01"/>
    <w:rsid w:val="0013642C"/>
    <w:rsid w:val="001421B7"/>
    <w:rsid w:val="00147724"/>
    <w:rsid w:val="001F503A"/>
    <w:rsid w:val="00210815"/>
    <w:rsid w:val="0037213A"/>
    <w:rsid w:val="003A734D"/>
    <w:rsid w:val="0040061F"/>
    <w:rsid w:val="00402FE2"/>
    <w:rsid w:val="004060A4"/>
    <w:rsid w:val="00440227"/>
    <w:rsid w:val="004B6F37"/>
    <w:rsid w:val="00543F41"/>
    <w:rsid w:val="00553A47"/>
    <w:rsid w:val="005635DE"/>
    <w:rsid w:val="005A6133"/>
    <w:rsid w:val="005D2640"/>
    <w:rsid w:val="005F1D91"/>
    <w:rsid w:val="0060531D"/>
    <w:rsid w:val="00635805"/>
    <w:rsid w:val="00687562"/>
    <w:rsid w:val="006944F4"/>
    <w:rsid w:val="006E1C99"/>
    <w:rsid w:val="00710C75"/>
    <w:rsid w:val="00720CAF"/>
    <w:rsid w:val="007568BE"/>
    <w:rsid w:val="0076023F"/>
    <w:rsid w:val="007D3BC2"/>
    <w:rsid w:val="008415BA"/>
    <w:rsid w:val="00867478"/>
    <w:rsid w:val="00893041"/>
    <w:rsid w:val="008E3943"/>
    <w:rsid w:val="00940765"/>
    <w:rsid w:val="00990094"/>
    <w:rsid w:val="009C6C41"/>
    <w:rsid w:val="00A36BA6"/>
    <w:rsid w:val="00A415E9"/>
    <w:rsid w:val="00A563C9"/>
    <w:rsid w:val="00A605FE"/>
    <w:rsid w:val="00A71B6A"/>
    <w:rsid w:val="00A97687"/>
    <w:rsid w:val="00AD531C"/>
    <w:rsid w:val="00B34E8F"/>
    <w:rsid w:val="00B41CBE"/>
    <w:rsid w:val="00B666C2"/>
    <w:rsid w:val="00B9231C"/>
    <w:rsid w:val="00B96BAA"/>
    <w:rsid w:val="00C04AFD"/>
    <w:rsid w:val="00C240DE"/>
    <w:rsid w:val="00C24281"/>
    <w:rsid w:val="00C83A25"/>
    <w:rsid w:val="00CD33A8"/>
    <w:rsid w:val="00DB2C4F"/>
    <w:rsid w:val="00E11EAD"/>
    <w:rsid w:val="00E36699"/>
    <w:rsid w:val="00E45FD4"/>
    <w:rsid w:val="00E93E6C"/>
    <w:rsid w:val="00EF4D79"/>
    <w:rsid w:val="00F84182"/>
    <w:rsid w:val="00FB3D2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7762C1"/>
  <w15:chartTrackingRefBased/>
  <w15:docId w15:val="{AE1AE9BF-A319-4D1F-8F75-07D2DC9197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7562"/>
    <w:rPr>
      <w:rFonts w:ascii="Arial" w:hAnsi="Arial"/>
      <w:color w:val="000000" w:themeColor="text1"/>
      <w:lang w:val="en-GB"/>
    </w:rPr>
  </w:style>
  <w:style w:type="paragraph" w:styleId="Heading1">
    <w:name w:val="heading 1"/>
    <w:basedOn w:val="Normal"/>
    <w:next w:val="Normal"/>
    <w:link w:val="Heading1Char"/>
    <w:uiPriority w:val="9"/>
    <w:qFormat/>
    <w:rsid w:val="000F6B01"/>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uiPriority w:val="9"/>
    <w:unhideWhenUsed/>
    <w:qFormat/>
    <w:rsid w:val="000F6B01"/>
    <w:pPr>
      <w:keepNext/>
      <w:keepLines/>
      <w:spacing w:before="160" w:after="80"/>
      <w:outlineLvl w:val="1"/>
    </w:pPr>
    <w:rPr>
      <w:rFonts w:eastAsiaTheme="majorEastAsia" w:cstheme="majorBidi"/>
      <w:b/>
      <w:i/>
      <w:szCs w:val="32"/>
    </w:rPr>
  </w:style>
  <w:style w:type="paragraph" w:styleId="Heading3">
    <w:name w:val="heading 3"/>
    <w:basedOn w:val="Normal"/>
    <w:next w:val="Normal"/>
    <w:link w:val="Heading3Char"/>
    <w:uiPriority w:val="9"/>
    <w:unhideWhenUsed/>
    <w:qFormat/>
    <w:rsid w:val="000F6B01"/>
    <w:pPr>
      <w:keepNext/>
      <w:keepLines/>
      <w:spacing w:before="160" w:after="80"/>
      <w:outlineLvl w:val="2"/>
    </w:pPr>
    <w:rPr>
      <w:rFonts w:eastAsiaTheme="majorEastAsia" w:cstheme="majorBidi"/>
      <w:b/>
      <w:i/>
      <w:szCs w:val="28"/>
      <w:u w:val="single"/>
    </w:rPr>
  </w:style>
  <w:style w:type="paragraph" w:styleId="Heading4">
    <w:name w:val="heading 4"/>
    <w:basedOn w:val="Normal"/>
    <w:next w:val="Normal"/>
    <w:link w:val="Heading4Char"/>
    <w:uiPriority w:val="9"/>
    <w:semiHidden/>
    <w:unhideWhenUsed/>
    <w:qFormat/>
    <w:rsid w:val="000F6B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F6B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F6B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F6B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F6B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F6B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B01"/>
    <w:rPr>
      <w:rFonts w:ascii="Arial" w:eastAsiaTheme="majorEastAsia" w:hAnsi="Arial" w:cstheme="majorBidi"/>
      <w:b/>
      <w:color w:val="000000" w:themeColor="text1"/>
      <w:sz w:val="24"/>
      <w:szCs w:val="40"/>
      <w:lang w:val="en-GB"/>
    </w:rPr>
  </w:style>
  <w:style w:type="character" w:customStyle="1" w:styleId="Heading2Char">
    <w:name w:val="Heading 2 Char"/>
    <w:basedOn w:val="DefaultParagraphFont"/>
    <w:link w:val="Heading2"/>
    <w:uiPriority w:val="9"/>
    <w:rsid w:val="000F6B01"/>
    <w:rPr>
      <w:rFonts w:ascii="Arial" w:eastAsiaTheme="majorEastAsia" w:hAnsi="Arial" w:cstheme="majorBidi"/>
      <w:b/>
      <w:i/>
      <w:color w:val="000000" w:themeColor="text1"/>
      <w:szCs w:val="32"/>
      <w:lang w:val="en-GB"/>
    </w:rPr>
  </w:style>
  <w:style w:type="character" w:customStyle="1" w:styleId="Heading3Char">
    <w:name w:val="Heading 3 Char"/>
    <w:basedOn w:val="DefaultParagraphFont"/>
    <w:link w:val="Heading3"/>
    <w:uiPriority w:val="9"/>
    <w:rsid w:val="000F6B01"/>
    <w:rPr>
      <w:rFonts w:ascii="Arial" w:eastAsiaTheme="majorEastAsia" w:hAnsi="Arial" w:cstheme="majorBidi"/>
      <w:b/>
      <w:i/>
      <w:color w:val="000000" w:themeColor="text1"/>
      <w:szCs w:val="28"/>
      <w:u w:val="single"/>
      <w:lang w:val="en-GB"/>
    </w:rPr>
  </w:style>
  <w:style w:type="character" w:customStyle="1" w:styleId="Heading4Char">
    <w:name w:val="Heading 4 Char"/>
    <w:basedOn w:val="DefaultParagraphFont"/>
    <w:link w:val="Heading4"/>
    <w:uiPriority w:val="9"/>
    <w:semiHidden/>
    <w:rsid w:val="000F6B01"/>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F6B01"/>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F6B01"/>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F6B01"/>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F6B01"/>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F6B01"/>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0F6B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6B01"/>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0F6B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F6B01"/>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0F6B01"/>
    <w:pPr>
      <w:spacing w:before="160"/>
      <w:jc w:val="center"/>
    </w:pPr>
    <w:rPr>
      <w:i/>
      <w:iCs/>
      <w:color w:val="404040" w:themeColor="text1" w:themeTint="BF"/>
    </w:rPr>
  </w:style>
  <w:style w:type="character" w:customStyle="1" w:styleId="QuoteChar">
    <w:name w:val="Quote Char"/>
    <w:basedOn w:val="DefaultParagraphFont"/>
    <w:link w:val="Quote"/>
    <w:uiPriority w:val="29"/>
    <w:rsid w:val="000F6B01"/>
    <w:rPr>
      <w:i/>
      <w:iCs/>
      <w:color w:val="404040" w:themeColor="text1" w:themeTint="BF"/>
      <w:lang w:val="en-GB"/>
    </w:rPr>
  </w:style>
  <w:style w:type="paragraph" w:styleId="ListParagraph">
    <w:name w:val="List Paragraph"/>
    <w:basedOn w:val="Normal"/>
    <w:uiPriority w:val="34"/>
    <w:qFormat/>
    <w:rsid w:val="000F6B01"/>
    <w:pPr>
      <w:ind w:left="720"/>
      <w:contextualSpacing/>
    </w:pPr>
  </w:style>
  <w:style w:type="character" w:styleId="IntenseEmphasis">
    <w:name w:val="Intense Emphasis"/>
    <w:basedOn w:val="DefaultParagraphFont"/>
    <w:uiPriority w:val="21"/>
    <w:qFormat/>
    <w:rsid w:val="000F6B01"/>
    <w:rPr>
      <w:i/>
      <w:iCs/>
      <w:color w:val="2F5496" w:themeColor="accent1" w:themeShade="BF"/>
    </w:rPr>
  </w:style>
  <w:style w:type="paragraph" w:styleId="IntenseQuote">
    <w:name w:val="Intense Quote"/>
    <w:basedOn w:val="Normal"/>
    <w:next w:val="Normal"/>
    <w:link w:val="IntenseQuoteChar"/>
    <w:uiPriority w:val="30"/>
    <w:qFormat/>
    <w:rsid w:val="000F6B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F6B01"/>
    <w:rPr>
      <w:i/>
      <w:iCs/>
      <w:color w:val="2F5496" w:themeColor="accent1" w:themeShade="BF"/>
      <w:lang w:val="en-GB"/>
    </w:rPr>
  </w:style>
  <w:style w:type="character" w:styleId="IntenseReference">
    <w:name w:val="Intense Reference"/>
    <w:basedOn w:val="DefaultParagraphFont"/>
    <w:uiPriority w:val="32"/>
    <w:qFormat/>
    <w:rsid w:val="000F6B01"/>
    <w:rPr>
      <w:b/>
      <w:bCs/>
      <w:smallCaps/>
      <w:color w:val="2F5496" w:themeColor="accent1" w:themeShade="BF"/>
      <w:spacing w:val="5"/>
    </w:rPr>
  </w:style>
  <w:style w:type="paragraph" w:styleId="Header">
    <w:name w:val="header"/>
    <w:basedOn w:val="Normal"/>
    <w:link w:val="HeaderChar"/>
    <w:uiPriority w:val="99"/>
    <w:unhideWhenUsed/>
    <w:rsid w:val="000F6B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B01"/>
    <w:rPr>
      <w:rFonts w:ascii="Arial" w:hAnsi="Arial"/>
      <w:color w:val="000000" w:themeColor="text1"/>
      <w:lang w:val="en-GB"/>
    </w:rPr>
  </w:style>
  <w:style w:type="paragraph" w:styleId="Footer">
    <w:name w:val="footer"/>
    <w:basedOn w:val="Normal"/>
    <w:link w:val="FooterChar"/>
    <w:uiPriority w:val="99"/>
    <w:unhideWhenUsed/>
    <w:rsid w:val="000F6B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B01"/>
    <w:rPr>
      <w:rFonts w:ascii="Arial" w:hAnsi="Arial"/>
      <w:color w:val="000000" w:themeColor="text1"/>
      <w:lang w:val="en-GB"/>
    </w:rPr>
  </w:style>
  <w:style w:type="character" w:styleId="Hyperlink">
    <w:name w:val="Hyperlink"/>
    <w:basedOn w:val="DefaultParagraphFont"/>
    <w:uiPriority w:val="99"/>
    <w:unhideWhenUsed/>
    <w:rsid w:val="000F6B01"/>
    <w:rPr>
      <w:color w:val="0563C1" w:themeColor="hyperlink"/>
      <w:u w:val="single"/>
    </w:rPr>
  </w:style>
  <w:style w:type="character" w:styleId="UnresolvedMention">
    <w:name w:val="Unresolved Mention"/>
    <w:basedOn w:val="DefaultParagraphFont"/>
    <w:uiPriority w:val="99"/>
    <w:semiHidden/>
    <w:unhideWhenUsed/>
    <w:rsid w:val="000F6B01"/>
    <w:rPr>
      <w:color w:val="605E5C"/>
      <w:shd w:val="clear" w:color="auto" w:fill="E1DFDD"/>
    </w:rPr>
  </w:style>
  <w:style w:type="paragraph" w:styleId="TOCHeading">
    <w:name w:val="TOC Heading"/>
    <w:basedOn w:val="Heading1"/>
    <w:next w:val="Normal"/>
    <w:uiPriority w:val="39"/>
    <w:unhideWhenUsed/>
    <w:qFormat/>
    <w:rsid w:val="00E45FD4"/>
    <w:pPr>
      <w:spacing w:before="240" w:after="0"/>
      <w:outlineLvl w:val="9"/>
    </w:pPr>
    <w:rPr>
      <w:rFonts w:asciiTheme="majorHAnsi" w:hAnsiTheme="majorHAnsi"/>
      <w:b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E45FD4"/>
    <w:pPr>
      <w:spacing w:after="100"/>
    </w:pPr>
  </w:style>
  <w:style w:type="character" w:styleId="CommentReference">
    <w:name w:val="annotation reference"/>
    <w:basedOn w:val="DefaultParagraphFont"/>
    <w:uiPriority w:val="99"/>
    <w:semiHidden/>
    <w:unhideWhenUsed/>
    <w:rsid w:val="00553A47"/>
    <w:rPr>
      <w:sz w:val="16"/>
      <w:szCs w:val="16"/>
    </w:rPr>
  </w:style>
  <w:style w:type="paragraph" w:styleId="CommentText">
    <w:name w:val="annotation text"/>
    <w:basedOn w:val="Normal"/>
    <w:link w:val="CommentTextChar"/>
    <w:uiPriority w:val="99"/>
    <w:semiHidden/>
    <w:unhideWhenUsed/>
    <w:rsid w:val="00553A47"/>
    <w:pPr>
      <w:spacing w:line="240" w:lineRule="auto"/>
    </w:pPr>
    <w:rPr>
      <w:sz w:val="20"/>
      <w:szCs w:val="20"/>
    </w:rPr>
  </w:style>
  <w:style w:type="character" w:customStyle="1" w:styleId="CommentTextChar">
    <w:name w:val="Comment Text Char"/>
    <w:basedOn w:val="DefaultParagraphFont"/>
    <w:link w:val="CommentText"/>
    <w:uiPriority w:val="99"/>
    <w:semiHidden/>
    <w:rsid w:val="00553A47"/>
    <w:rPr>
      <w:rFonts w:ascii="Arial" w:hAnsi="Arial"/>
      <w:color w:val="000000" w:themeColor="text1"/>
      <w:sz w:val="20"/>
      <w:szCs w:val="20"/>
      <w:lang w:val="en-GB"/>
    </w:rPr>
  </w:style>
  <w:style w:type="paragraph" w:styleId="CommentSubject">
    <w:name w:val="annotation subject"/>
    <w:basedOn w:val="CommentText"/>
    <w:next w:val="CommentText"/>
    <w:link w:val="CommentSubjectChar"/>
    <w:uiPriority w:val="99"/>
    <w:semiHidden/>
    <w:unhideWhenUsed/>
    <w:rsid w:val="00553A47"/>
    <w:rPr>
      <w:b/>
      <w:bCs/>
    </w:rPr>
  </w:style>
  <w:style w:type="character" w:customStyle="1" w:styleId="CommentSubjectChar">
    <w:name w:val="Comment Subject Char"/>
    <w:basedOn w:val="CommentTextChar"/>
    <w:link w:val="CommentSubject"/>
    <w:uiPriority w:val="99"/>
    <w:semiHidden/>
    <w:rsid w:val="00553A47"/>
    <w:rPr>
      <w:rFonts w:ascii="Arial" w:hAnsi="Arial"/>
      <w:b/>
      <w:bCs/>
      <w:color w:val="000000" w:themeColor="text1"/>
      <w:sz w:val="20"/>
      <w:szCs w:val="20"/>
      <w:lang w:val="en-GB"/>
    </w:rPr>
  </w:style>
  <w:style w:type="paragraph" w:styleId="BalloonText">
    <w:name w:val="Balloon Text"/>
    <w:basedOn w:val="Normal"/>
    <w:link w:val="BalloonTextChar"/>
    <w:uiPriority w:val="99"/>
    <w:semiHidden/>
    <w:unhideWhenUsed/>
    <w:rsid w:val="00553A4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53A47"/>
    <w:rPr>
      <w:rFonts w:ascii="Segoe UI" w:hAnsi="Segoe UI" w:cs="Segoe UI"/>
      <w:color w:val="000000" w:themeColor="text1"/>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yperlink" Target="https://www.cqc.org.uk/about-us/fundamental-standards" TargetMode="External" /><Relationship Id="rId18" Type="http://schemas.openxmlformats.org/officeDocument/2006/relationships/hyperlink" Target="https://cmls.org.uk/online/wp-content/uploads/2019/07/Understanding-health-and-social-care.pdf" TargetMode="External" /><Relationship Id="rId26" Type="http://schemas.openxmlformats.org/officeDocument/2006/relationships/hyperlink" Target="https://link.springer.com/content/pdf/10.1007/s40474-024-00291-1.pdf" TargetMode="External" /><Relationship Id="rId3" Type="http://schemas.openxmlformats.org/officeDocument/2006/relationships/styles" Target="styles.xml" /><Relationship Id="rId21" Type="http://schemas.openxmlformats.org/officeDocument/2006/relationships/hyperlink" Target="http://ijlc.wum.edu.pk/index.php/ojs/article/download/285/114" TargetMode="External" /><Relationship Id="rId7" Type="http://schemas.openxmlformats.org/officeDocument/2006/relationships/endnotes" Target="endnotes.xml" /><Relationship Id="rId12" Type="http://schemas.openxmlformats.org/officeDocument/2006/relationships/hyperlink" Target="https://www.scie.org.uk/providing-care/recording/" TargetMode="External" /><Relationship Id="rId17" Type="http://schemas.openxmlformats.org/officeDocument/2006/relationships/hyperlink" Target="https://www.legislation.gov.uk/ukpga/2010/15/pdfs/ukpga_20100015_en.pdf" TargetMode="External" /><Relationship Id="rId25" Type="http://schemas.openxmlformats.org/officeDocument/2006/relationships/hyperlink" Target="https://journals.sagepub.com/doi/pdf/10.1177/09685332221079124" TargetMode="External" /><Relationship Id="rId2" Type="http://schemas.openxmlformats.org/officeDocument/2006/relationships/numbering" Target="numbering.xml" /><Relationship Id="rId16" Type="http://schemas.openxmlformats.org/officeDocument/2006/relationships/hyperlink" Target="https://www.kcl.ac.uk/ecs/assets/projects/evaluation-of-the-multi-agency-safeguarding-arrangements-2024-12-21-3.pdf" TargetMode="External" /><Relationship Id="rId20" Type="http://schemas.openxmlformats.org/officeDocument/2006/relationships/hyperlink" Target="https://www.gapbodhitaru.org/res/articles/(89-95)%20THE%20IMPACT%20OF%20NON-VERBAL%20COMMUNICATION%20IN%20TEACHING%20ENHANCING%20EDUCATIONAL%20EFFECTIVENESS.pdf"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legislation.gov.uk/ukpga/2014/23/pdfs/ukpga_20140023_en.pdf" TargetMode="External" /><Relationship Id="rId24" Type="http://schemas.openxmlformats.org/officeDocument/2006/relationships/hyperlink" Target="https://www.journalslibrary.nihr.ac.uk/hsdr/GJDO0815" TargetMode="External" /><Relationship Id="rId5" Type="http://schemas.openxmlformats.org/officeDocument/2006/relationships/webSettings" Target="webSettings.xml" /><Relationship Id="rId15" Type="http://schemas.openxmlformats.org/officeDocument/2006/relationships/hyperlink" Target="https://www.theseus.fi/bitstream/handle/10024/784065/DrakeetalHowCanHigherEducation.pdf?sequence=1" TargetMode="External" /><Relationship Id="rId23" Type="http://schemas.openxmlformats.org/officeDocument/2006/relationships/hyperlink" Target="https://journals.sagepub.com/doi/pdf/10.1177/20420986221125006" TargetMode="External" /><Relationship Id="rId28" Type="http://schemas.openxmlformats.org/officeDocument/2006/relationships/fontTable" Target="fontTable.xml" /><Relationship Id="rId10" Type="http://schemas.openxmlformats.org/officeDocument/2006/relationships/hyperlink" Target="https://www.scribd.com/document/493889048/235577-The-Process-Of-Communication" TargetMode="External" /><Relationship Id="rId19" Type="http://schemas.openxmlformats.org/officeDocument/2006/relationships/hyperlink" Target="https://ijic.org/articles/10.5334/ijic.4722" TargetMode="External" /><Relationship Id="rId4" Type="http://schemas.openxmlformats.org/officeDocument/2006/relationships/settings" Target="settings.xml" /><Relationship Id="rId9" Type="http://schemas.openxmlformats.org/officeDocument/2006/relationships/hyperlink" Target="https://link.springer.com/content/pdf/10.1007/s00228-022-03287-1.pdf" TargetMode="External" /><Relationship Id="rId14" Type="http://schemas.openxmlformats.org/officeDocument/2006/relationships/hyperlink" Target="https://www.legislation.gov.uk/ukpga/2018/12/pdfs/ukpga_20180012_en.pdf" TargetMode="External" /><Relationship Id="rId22" Type="http://schemas.openxmlformats.org/officeDocument/2006/relationships/hyperlink" Target="https://www.mdpi.com/2227-9032/10/3/492" TargetMode="External"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88ED4C-C949-4C09-9E19-1DFBE8FA626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2772</Words>
  <Characters>15807</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Francisca IE</cp:lastModifiedBy>
  <cp:revision>2</cp:revision>
  <dcterms:created xsi:type="dcterms:W3CDTF">2026-07-27T12:02:00Z</dcterms:created>
  <dcterms:modified xsi:type="dcterms:W3CDTF">2026-07-27T12:02:00Z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228c94cd-7503-4d2b-958f-2400e5f55734</vt:lpwstr>
  </property>
</Properties>
</file>