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6731D3" w14:textId="77777777" w:rsidR="00454735" w:rsidRPr="00F52AB3" w:rsidRDefault="00454735" w:rsidP="00454735">
      <w:pPr>
        <w:spacing w:line="257" w:lineRule="auto"/>
        <w:rPr>
          <w:sz w:val="22"/>
          <w:szCs w:val="22"/>
        </w:rPr>
      </w:pPr>
      <w:r w:rsidRPr="00F52AB3">
        <w:rPr>
          <w:rFonts w:eastAsia="Calibri"/>
          <w:b/>
          <w:bCs/>
          <w:sz w:val="22"/>
          <w:szCs w:val="22"/>
        </w:rPr>
        <w:t>1000 words - Understanding the role of Constable/Maintaining Professional Standards</w:t>
      </w:r>
    </w:p>
    <w:p w14:paraId="1EEF5F6B" w14:textId="78C17EE5" w:rsidR="00454735" w:rsidRDefault="00454735" w:rsidP="00454735">
      <w:pPr>
        <w:spacing w:line="257" w:lineRule="auto"/>
        <w:rPr>
          <w:rFonts w:eastAsia="Calibri"/>
          <w:sz w:val="22"/>
          <w:szCs w:val="22"/>
        </w:rPr>
      </w:pPr>
      <w:r w:rsidRPr="00F52AB3">
        <w:rPr>
          <w:rFonts w:eastAsia="Calibri"/>
          <w:sz w:val="22"/>
          <w:szCs w:val="22"/>
        </w:rPr>
        <w:t xml:space="preserve">Critically evaluate the concept of ‘the professionalisation of the police service’ considering how ‘Maintaining Professional Standards’ ‘ethical and inclusive’ and ‘Coaching and Mentoring’ approaches contribute to this. </w:t>
      </w:r>
    </w:p>
    <w:p w14:paraId="322E17FF" w14:textId="77777777" w:rsidR="00F52AB3" w:rsidRPr="00F52AB3" w:rsidRDefault="00F52AB3" w:rsidP="00454735">
      <w:pPr>
        <w:spacing w:line="257" w:lineRule="auto"/>
        <w:rPr>
          <w:rFonts w:eastAsia="Calibri"/>
          <w:sz w:val="22"/>
          <w:szCs w:val="22"/>
        </w:rPr>
      </w:pPr>
    </w:p>
    <w:p w14:paraId="717DBBB7" w14:textId="7F9760B3" w:rsidR="00B66899" w:rsidRPr="00F52AB3" w:rsidRDefault="00B66899" w:rsidP="00454735">
      <w:pPr>
        <w:spacing w:line="257" w:lineRule="auto"/>
        <w:rPr>
          <w:rFonts w:eastAsia="Calibri"/>
          <w:sz w:val="22"/>
          <w:szCs w:val="22"/>
        </w:rPr>
      </w:pPr>
    </w:p>
    <w:p w14:paraId="716032C4" w14:textId="77777777" w:rsidR="00B66899" w:rsidRPr="00F52AB3" w:rsidRDefault="00B66899" w:rsidP="00B66899">
      <w:pPr>
        <w:rPr>
          <w:sz w:val="22"/>
          <w:szCs w:val="22"/>
        </w:rPr>
      </w:pPr>
      <w:r w:rsidRPr="00F52AB3">
        <w:rPr>
          <w:sz w:val="22"/>
          <w:szCs w:val="22"/>
        </w:rPr>
        <w:t xml:space="preserve">Over recent years, there has been a concerted effort to ‘professionalise’ British policing. The Neyroud Report (2011) is often identified as being the main catalyst for this change, citing a wide variety of drivers including damaging episodes that undermined public confidence in the police, cuts to police budgets and a transition towards more high-tech and complex crimes </w:t>
      </w:r>
      <w:sdt>
        <w:sdtPr>
          <w:rPr>
            <w:sz w:val="22"/>
            <w:szCs w:val="22"/>
          </w:rPr>
          <w:id w:val="910586940"/>
          <w:citation/>
        </w:sdtPr>
        <w:sdtContent>
          <w:r w:rsidRPr="00F52AB3">
            <w:rPr>
              <w:sz w:val="22"/>
              <w:szCs w:val="22"/>
            </w:rPr>
            <w:fldChar w:fldCharType="begin"/>
          </w:r>
          <w:r w:rsidRPr="00F52AB3">
            <w:rPr>
              <w:sz w:val="22"/>
              <w:szCs w:val="22"/>
            </w:rPr>
            <w:instrText xml:space="preserve"> CITATION Sim17 \l 2057 </w:instrText>
          </w:r>
          <w:r w:rsidRPr="00F52AB3">
            <w:rPr>
              <w:sz w:val="22"/>
              <w:szCs w:val="22"/>
            </w:rPr>
            <w:fldChar w:fldCharType="separate"/>
          </w:r>
          <w:r w:rsidRPr="00F52AB3">
            <w:rPr>
              <w:noProof/>
              <w:sz w:val="22"/>
              <w:szCs w:val="22"/>
            </w:rPr>
            <w:t>(Holdaway, 2017)</w:t>
          </w:r>
          <w:r w:rsidRPr="00F52AB3">
            <w:rPr>
              <w:sz w:val="22"/>
              <w:szCs w:val="22"/>
            </w:rPr>
            <w:fldChar w:fldCharType="end"/>
          </w:r>
        </w:sdtContent>
      </w:sdt>
      <w:r w:rsidRPr="00F52AB3">
        <w:rPr>
          <w:sz w:val="22"/>
          <w:szCs w:val="22"/>
        </w:rPr>
        <w:t>. This professionalization has occurred in a wide variety of ways, including the formation of new professional bodies, an adoption of evidence-based approaches and a structured education programme for new officers. However, the extent to which this professionalization is a new phenomenon and is of benefit to officers and the public can be critiqued in a variety of ways.</w:t>
      </w:r>
    </w:p>
    <w:p w14:paraId="12886F55" w14:textId="77777777" w:rsidR="00B66899" w:rsidRPr="00F52AB3" w:rsidRDefault="00B66899" w:rsidP="00B66899">
      <w:pPr>
        <w:rPr>
          <w:sz w:val="22"/>
          <w:szCs w:val="22"/>
        </w:rPr>
      </w:pPr>
    </w:p>
    <w:p w14:paraId="1723D989" w14:textId="77777777" w:rsidR="00B66899" w:rsidRPr="00F52AB3" w:rsidRDefault="00B66899" w:rsidP="00B66899">
      <w:pPr>
        <w:rPr>
          <w:sz w:val="22"/>
          <w:szCs w:val="22"/>
        </w:rPr>
      </w:pPr>
      <w:r w:rsidRPr="00F52AB3">
        <w:rPr>
          <w:sz w:val="22"/>
          <w:szCs w:val="22"/>
        </w:rPr>
        <w:t xml:space="preserve">In the labour market, certain employment types can claim to be ‘professional’. Traditionally, this has included roles such as doctors, solicitors or architects </w:t>
      </w:r>
      <w:sdt>
        <w:sdtPr>
          <w:rPr>
            <w:sz w:val="22"/>
            <w:szCs w:val="22"/>
          </w:rPr>
          <w:id w:val="-373618331"/>
          <w:citation/>
        </w:sdtPr>
        <w:sdtContent>
          <w:r w:rsidRPr="00F52AB3">
            <w:rPr>
              <w:sz w:val="22"/>
              <w:szCs w:val="22"/>
            </w:rPr>
            <w:fldChar w:fldCharType="begin"/>
          </w:r>
          <w:r w:rsidRPr="00F52AB3">
            <w:rPr>
              <w:sz w:val="22"/>
              <w:szCs w:val="22"/>
            </w:rPr>
            <w:instrText xml:space="preserve"> CITATION Kar17 \l 2057 </w:instrText>
          </w:r>
          <w:r w:rsidRPr="00F52AB3">
            <w:rPr>
              <w:sz w:val="22"/>
              <w:szCs w:val="22"/>
            </w:rPr>
            <w:fldChar w:fldCharType="separate"/>
          </w:r>
          <w:r w:rsidRPr="00F52AB3">
            <w:rPr>
              <w:noProof/>
              <w:sz w:val="22"/>
              <w:szCs w:val="22"/>
            </w:rPr>
            <w:t>(Lumsden, 2017)</w:t>
          </w:r>
          <w:r w:rsidRPr="00F52AB3">
            <w:rPr>
              <w:sz w:val="22"/>
              <w:szCs w:val="22"/>
            </w:rPr>
            <w:fldChar w:fldCharType="end"/>
          </w:r>
        </w:sdtContent>
      </w:sdt>
      <w:r w:rsidRPr="00F52AB3">
        <w:rPr>
          <w:sz w:val="22"/>
          <w:szCs w:val="22"/>
        </w:rPr>
        <w:t xml:space="preserve">. There are frequently claims made that policing either already does – or should – fall into a similar category. How professional roles are defined is subject to a substantial and active debate within sociological academia. However, Rohl (1990, quoted in Lumsden, 2017) suggests that policing can be identified as a profession due to possessing key characteristics such as a lengthy period of training or education, an organised body of knowledge, uniform standards of practice and a code of ethics and behaviour. This highlights the first issue with the recent trend towards professional policing. Policing has to a certain extent, always been considered professional. Indeed, the drive towards stamping out corruption in the 1970’s led Robert Mark, the Commissioner of the Metropolitan Police at the time, to declare that policing was a professional occupation </w:t>
      </w:r>
      <w:sdt>
        <w:sdtPr>
          <w:rPr>
            <w:sz w:val="22"/>
            <w:szCs w:val="22"/>
          </w:rPr>
          <w:id w:val="1917437741"/>
          <w:citation/>
        </w:sdtPr>
        <w:sdtContent>
          <w:r w:rsidRPr="00F52AB3">
            <w:rPr>
              <w:sz w:val="22"/>
              <w:szCs w:val="22"/>
            </w:rPr>
            <w:fldChar w:fldCharType="begin"/>
          </w:r>
          <w:r w:rsidRPr="00F52AB3">
            <w:rPr>
              <w:sz w:val="22"/>
              <w:szCs w:val="22"/>
            </w:rPr>
            <w:instrText xml:space="preserve"> CITATION Sim17 \l 2057 </w:instrText>
          </w:r>
          <w:r w:rsidRPr="00F52AB3">
            <w:rPr>
              <w:sz w:val="22"/>
              <w:szCs w:val="22"/>
            </w:rPr>
            <w:fldChar w:fldCharType="separate"/>
          </w:r>
          <w:r w:rsidRPr="00F52AB3">
            <w:rPr>
              <w:noProof/>
              <w:sz w:val="22"/>
              <w:szCs w:val="22"/>
            </w:rPr>
            <w:t>(Holdaway, 2017)</w:t>
          </w:r>
          <w:r w:rsidRPr="00F52AB3">
            <w:rPr>
              <w:sz w:val="22"/>
              <w:szCs w:val="22"/>
            </w:rPr>
            <w:fldChar w:fldCharType="end"/>
          </w:r>
        </w:sdtContent>
      </w:sdt>
      <w:r w:rsidRPr="00F52AB3">
        <w:rPr>
          <w:sz w:val="22"/>
          <w:szCs w:val="22"/>
        </w:rPr>
        <w:t>. Indeed, the origins of policing in the 19</w:t>
      </w:r>
      <w:r w:rsidRPr="00F52AB3">
        <w:rPr>
          <w:sz w:val="22"/>
          <w:szCs w:val="22"/>
          <w:vertAlign w:val="superscript"/>
        </w:rPr>
        <w:t>th</w:t>
      </w:r>
      <w:r w:rsidRPr="00F52AB3">
        <w:rPr>
          <w:sz w:val="22"/>
          <w:szCs w:val="22"/>
        </w:rPr>
        <w:t xml:space="preserve"> century and the introduction of Peelian principles that governed the way that they operated would lead some to suggest that policing has been professional since its inception </w:t>
      </w:r>
      <w:sdt>
        <w:sdtPr>
          <w:rPr>
            <w:sz w:val="22"/>
            <w:szCs w:val="22"/>
          </w:rPr>
          <w:id w:val="482197102"/>
          <w:citation/>
        </w:sdtPr>
        <w:sdtContent>
          <w:r w:rsidRPr="00F52AB3">
            <w:rPr>
              <w:sz w:val="22"/>
              <w:szCs w:val="22"/>
            </w:rPr>
            <w:fldChar w:fldCharType="begin"/>
          </w:r>
          <w:r w:rsidRPr="00F52AB3">
            <w:rPr>
              <w:sz w:val="22"/>
              <w:szCs w:val="22"/>
            </w:rPr>
            <w:instrText xml:space="preserve"> CITATION Kar17 \l 2057 </w:instrText>
          </w:r>
          <w:r w:rsidRPr="00F52AB3">
            <w:rPr>
              <w:sz w:val="22"/>
              <w:szCs w:val="22"/>
            </w:rPr>
            <w:fldChar w:fldCharType="separate"/>
          </w:r>
          <w:r w:rsidRPr="00F52AB3">
            <w:rPr>
              <w:noProof/>
              <w:sz w:val="22"/>
              <w:szCs w:val="22"/>
            </w:rPr>
            <w:t>(Lumsden, 2017)</w:t>
          </w:r>
          <w:r w:rsidRPr="00F52AB3">
            <w:rPr>
              <w:sz w:val="22"/>
              <w:szCs w:val="22"/>
            </w:rPr>
            <w:fldChar w:fldCharType="end"/>
          </w:r>
        </w:sdtContent>
      </w:sdt>
      <w:r w:rsidRPr="00F52AB3">
        <w:rPr>
          <w:sz w:val="22"/>
          <w:szCs w:val="22"/>
        </w:rPr>
        <w:t xml:space="preserve">. This suggests that the current trend towards professionalization may not be as novel as some may claim. Holdaway (2017) suggests that the police are periodically ‘re-professionalised’. However, this drive for professionalization often emerges out of significant negative incidents that draw into account police ethics and conduct. </w:t>
      </w:r>
    </w:p>
    <w:p w14:paraId="555D2573" w14:textId="77777777" w:rsidR="00B66899" w:rsidRPr="00F52AB3" w:rsidRDefault="00B66899" w:rsidP="00B66899">
      <w:pPr>
        <w:rPr>
          <w:sz w:val="22"/>
          <w:szCs w:val="22"/>
        </w:rPr>
      </w:pPr>
    </w:p>
    <w:p w14:paraId="71728DF5" w14:textId="77777777" w:rsidR="00B66899" w:rsidRPr="00F52AB3" w:rsidRDefault="00B66899" w:rsidP="00B66899">
      <w:pPr>
        <w:rPr>
          <w:sz w:val="22"/>
          <w:szCs w:val="22"/>
        </w:rPr>
      </w:pPr>
      <w:r w:rsidRPr="00F52AB3">
        <w:rPr>
          <w:sz w:val="22"/>
          <w:szCs w:val="22"/>
        </w:rPr>
        <w:t xml:space="preserve">Incidents such as the Hillsborough disaster in 1989 and the Plebgate scandal in 2012 caused significant reputational damage to policing and a loss of public confidence. Prior to the Neyroud Report in 2011, the management of standards in British policing was dealt with through a variety of different organisations, including Her Majesty’s Inspectorate of Constabulary (HMIC) and the Association of Chief Police Officers (ACPO). Following the report, the College of Policing (CoP) was created as a professional body through which to manage the professionalization of policing and in a drive to enhance the professional credentials of policing </w:t>
      </w:r>
      <w:sdt>
        <w:sdtPr>
          <w:rPr>
            <w:sz w:val="22"/>
            <w:szCs w:val="22"/>
          </w:rPr>
          <w:id w:val="-799693921"/>
          <w:citation/>
        </w:sdtPr>
        <w:sdtContent>
          <w:r w:rsidRPr="00F52AB3">
            <w:rPr>
              <w:sz w:val="22"/>
              <w:szCs w:val="22"/>
            </w:rPr>
            <w:fldChar w:fldCharType="begin"/>
          </w:r>
          <w:r w:rsidRPr="00F52AB3">
            <w:rPr>
              <w:sz w:val="22"/>
              <w:szCs w:val="22"/>
            </w:rPr>
            <w:instrText xml:space="preserve"> CITATION Sim17 \l 2057 </w:instrText>
          </w:r>
          <w:r w:rsidRPr="00F52AB3">
            <w:rPr>
              <w:sz w:val="22"/>
              <w:szCs w:val="22"/>
            </w:rPr>
            <w:fldChar w:fldCharType="separate"/>
          </w:r>
          <w:r w:rsidRPr="00F52AB3">
            <w:rPr>
              <w:noProof/>
              <w:sz w:val="22"/>
              <w:szCs w:val="22"/>
            </w:rPr>
            <w:t>(Holdaway, 2017)</w:t>
          </w:r>
          <w:r w:rsidRPr="00F52AB3">
            <w:rPr>
              <w:sz w:val="22"/>
              <w:szCs w:val="22"/>
            </w:rPr>
            <w:fldChar w:fldCharType="end"/>
          </w:r>
        </w:sdtContent>
      </w:sdt>
      <w:r w:rsidRPr="00F52AB3">
        <w:rPr>
          <w:sz w:val="22"/>
          <w:szCs w:val="22"/>
        </w:rPr>
        <w:t>. Professionalization is seen as a tactic to improve public confidence and credibility, especially in the wake of public scandals, and the CoP was quick to introduce a Code of Ethics in 2014. However, the extent to which a formalised Code has made a credible difference to maintaining professional standards in the police is debateable. The CoP code of ethics has had little impact on and done little to reassure the public following recent scandals over police handling of protests throughout 2020 and the murders of Sarah Everard, Nicole Smallman and Bibaa Henry. The code of ethics created by the CoP does little more than formalise the existing ethical framework established by Peelian Principles and the unwritten moral and ethical standards expected.</w:t>
      </w:r>
    </w:p>
    <w:p w14:paraId="52BCE065" w14:textId="77777777" w:rsidR="00B66899" w:rsidRPr="00F52AB3" w:rsidRDefault="00B66899" w:rsidP="00B66899">
      <w:pPr>
        <w:rPr>
          <w:sz w:val="22"/>
          <w:szCs w:val="22"/>
        </w:rPr>
      </w:pPr>
    </w:p>
    <w:p w14:paraId="32F96E37" w14:textId="77777777" w:rsidR="00B66899" w:rsidRPr="00F52AB3" w:rsidRDefault="00B66899" w:rsidP="00B66899">
      <w:pPr>
        <w:rPr>
          <w:sz w:val="22"/>
          <w:szCs w:val="22"/>
        </w:rPr>
      </w:pPr>
      <w:r w:rsidRPr="00F52AB3">
        <w:rPr>
          <w:sz w:val="22"/>
          <w:szCs w:val="22"/>
        </w:rPr>
        <w:t xml:space="preserve">Another key facet of the professionalization of British policing is the move towards a more formalised education process. Similar to other roles that have recently professionalised such as nursing, policing has introduced a requirement for degree-level education. This is delivered through the Police Education Qualifications Framework (PEQF), a combination of apprenticeships, graduate-entry and university course routes </w:t>
      </w:r>
      <w:sdt>
        <w:sdtPr>
          <w:rPr>
            <w:sz w:val="22"/>
            <w:szCs w:val="22"/>
          </w:rPr>
          <w:id w:val="1906186620"/>
          <w:citation/>
        </w:sdtPr>
        <w:sdtContent>
          <w:r w:rsidRPr="00F52AB3">
            <w:rPr>
              <w:sz w:val="22"/>
              <w:szCs w:val="22"/>
            </w:rPr>
            <w:fldChar w:fldCharType="begin"/>
          </w:r>
          <w:r w:rsidRPr="00F52AB3">
            <w:rPr>
              <w:sz w:val="22"/>
              <w:szCs w:val="22"/>
            </w:rPr>
            <w:instrText xml:space="preserve"> CITATION Ste17 \l 2057 </w:instrText>
          </w:r>
          <w:r w:rsidRPr="00F52AB3">
            <w:rPr>
              <w:sz w:val="22"/>
              <w:szCs w:val="22"/>
            </w:rPr>
            <w:fldChar w:fldCharType="separate"/>
          </w:r>
          <w:r w:rsidRPr="00F52AB3">
            <w:rPr>
              <w:noProof/>
              <w:sz w:val="22"/>
              <w:szCs w:val="22"/>
            </w:rPr>
            <w:t>(Tong, 2017)</w:t>
          </w:r>
          <w:r w:rsidRPr="00F52AB3">
            <w:rPr>
              <w:sz w:val="22"/>
              <w:szCs w:val="22"/>
            </w:rPr>
            <w:fldChar w:fldCharType="end"/>
          </w:r>
        </w:sdtContent>
      </w:sdt>
      <w:r w:rsidRPr="00F52AB3">
        <w:rPr>
          <w:sz w:val="22"/>
          <w:szCs w:val="22"/>
        </w:rPr>
        <w:t xml:space="preserve">. This approach seeks to improve professionalization through a standardisation of higher education qualification in policing </w:t>
      </w:r>
      <w:sdt>
        <w:sdtPr>
          <w:rPr>
            <w:sz w:val="22"/>
            <w:szCs w:val="22"/>
          </w:rPr>
          <w:id w:val="83729164"/>
          <w:citation/>
        </w:sdtPr>
        <w:sdtContent>
          <w:r w:rsidRPr="00F52AB3">
            <w:rPr>
              <w:sz w:val="22"/>
              <w:szCs w:val="22"/>
            </w:rPr>
            <w:fldChar w:fldCharType="begin"/>
          </w:r>
          <w:r w:rsidRPr="00F52AB3">
            <w:rPr>
              <w:sz w:val="22"/>
              <w:szCs w:val="22"/>
            </w:rPr>
            <w:instrText xml:space="preserve"> CITATION Jyo20 \l 2057 </w:instrText>
          </w:r>
          <w:r w:rsidRPr="00F52AB3">
            <w:rPr>
              <w:sz w:val="22"/>
              <w:szCs w:val="22"/>
            </w:rPr>
            <w:fldChar w:fldCharType="separate"/>
          </w:r>
          <w:r w:rsidRPr="00F52AB3">
            <w:rPr>
              <w:noProof/>
              <w:sz w:val="22"/>
              <w:szCs w:val="22"/>
            </w:rPr>
            <w:t>(Belur, et al., 2020)</w:t>
          </w:r>
          <w:r w:rsidRPr="00F52AB3">
            <w:rPr>
              <w:sz w:val="22"/>
              <w:szCs w:val="22"/>
            </w:rPr>
            <w:fldChar w:fldCharType="end"/>
          </w:r>
        </w:sdtContent>
      </w:sdt>
      <w:r w:rsidRPr="00F52AB3">
        <w:rPr>
          <w:sz w:val="22"/>
          <w:szCs w:val="22"/>
        </w:rPr>
        <w:t xml:space="preserve">. However, the PEQF approach has been heavily criticised for a number of reasons. Firstly, as with other similar vocational practices such as nursing, there is an argument that the role doesn’t require degree-level education. This is a view frequently reflected in policing, where this a general assumption that most learning is done ‘on the job’ and that higher education doesn’t necessarily equip officers with the necessary skills and experience </w:t>
      </w:r>
      <w:sdt>
        <w:sdtPr>
          <w:rPr>
            <w:sz w:val="22"/>
            <w:szCs w:val="22"/>
          </w:rPr>
          <w:id w:val="1312211773"/>
          <w:citation/>
        </w:sdtPr>
        <w:sdtContent>
          <w:r w:rsidRPr="00F52AB3">
            <w:rPr>
              <w:sz w:val="22"/>
              <w:szCs w:val="22"/>
            </w:rPr>
            <w:fldChar w:fldCharType="begin"/>
          </w:r>
          <w:r w:rsidRPr="00F52AB3">
            <w:rPr>
              <w:sz w:val="22"/>
              <w:szCs w:val="22"/>
            </w:rPr>
            <w:instrText xml:space="preserve"> CITATION Jyo20 \l 2057 </w:instrText>
          </w:r>
          <w:r w:rsidRPr="00F52AB3">
            <w:rPr>
              <w:sz w:val="22"/>
              <w:szCs w:val="22"/>
            </w:rPr>
            <w:fldChar w:fldCharType="separate"/>
          </w:r>
          <w:r w:rsidRPr="00F52AB3">
            <w:rPr>
              <w:noProof/>
              <w:sz w:val="22"/>
              <w:szCs w:val="22"/>
            </w:rPr>
            <w:t>(Belur, et al., 2020)</w:t>
          </w:r>
          <w:r w:rsidRPr="00F52AB3">
            <w:rPr>
              <w:sz w:val="22"/>
              <w:szCs w:val="22"/>
            </w:rPr>
            <w:fldChar w:fldCharType="end"/>
          </w:r>
        </w:sdtContent>
      </w:sdt>
      <w:r w:rsidRPr="00F52AB3">
        <w:rPr>
          <w:sz w:val="22"/>
          <w:szCs w:val="22"/>
        </w:rPr>
        <w:t xml:space="preserve">. The former Chief Constable of West Yorkshire Norman Bettison suggests that “The only degree a police officer needs is a degree in common sense – they’ll learn on the job… the public don’t care about police having degrees. They want someone competent, caring and capable” (Tong, 2016, p.718). </w:t>
      </w:r>
    </w:p>
    <w:p w14:paraId="2606008F" w14:textId="77777777" w:rsidR="00B66899" w:rsidRPr="00F52AB3" w:rsidRDefault="00B66899" w:rsidP="00B66899">
      <w:pPr>
        <w:rPr>
          <w:sz w:val="22"/>
          <w:szCs w:val="22"/>
        </w:rPr>
      </w:pPr>
    </w:p>
    <w:p w14:paraId="4F5039DA" w14:textId="77777777" w:rsidR="00B66899" w:rsidRPr="00F52AB3" w:rsidRDefault="00B66899" w:rsidP="00B66899">
      <w:pPr>
        <w:rPr>
          <w:sz w:val="22"/>
          <w:szCs w:val="22"/>
        </w:rPr>
      </w:pPr>
      <w:r w:rsidRPr="00F52AB3">
        <w:rPr>
          <w:sz w:val="22"/>
          <w:szCs w:val="22"/>
        </w:rPr>
        <w:t xml:space="preserve">Secondly, degree-approaches are criticised as exclusionary due to the way in which various groups find the requirement to complete this educational framework more difficult. Tong (2016) suggests that women and ethnic minorities are particularly excluded due to a combination of economic and social factors. For example, those with </w:t>
      </w:r>
      <w:r w:rsidRPr="00F52AB3">
        <w:rPr>
          <w:sz w:val="22"/>
          <w:szCs w:val="22"/>
        </w:rPr>
        <w:lastRenderedPageBreak/>
        <w:t>parental responsibilities may find completion of the PEQF more difficult due to the time demands of the programme, and the difficulty in balancing this against other time constraints such as bringing up children. Whilst the PEQF seeks to address this through the mixed routes approach, there is still an argument that the format will dissuade some applications prior to their entrance to the police service. This means that the police service risks failing to recruit the variety and diversity that is required of the modern service.</w:t>
      </w:r>
    </w:p>
    <w:p w14:paraId="53C83A1C" w14:textId="77777777" w:rsidR="00B66899" w:rsidRPr="00F52AB3" w:rsidRDefault="00B66899" w:rsidP="00B66899">
      <w:pPr>
        <w:rPr>
          <w:sz w:val="22"/>
          <w:szCs w:val="22"/>
        </w:rPr>
      </w:pPr>
    </w:p>
    <w:p w14:paraId="436A1CD0" w14:textId="77777777" w:rsidR="00B66899" w:rsidRPr="00F52AB3" w:rsidRDefault="00B66899" w:rsidP="00B66899">
      <w:pPr>
        <w:rPr>
          <w:sz w:val="22"/>
          <w:szCs w:val="22"/>
        </w:rPr>
      </w:pPr>
      <w:r w:rsidRPr="00F52AB3">
        <w:rPr>
          <w:sz w:val="22"/>
          <w:szCs w:val="22"/>
        </w:rPr>
        <w:t xml:space="preserve">The final key way that professionalization has been introduced to policing is through the use of ‘evidence-based’ approaches. This approach advocates the use of scientific research to identify strategies and ‘what works’ as a means of policing more effectively and more efficiently </w:t>
      </w:r>
      <w:sdt>
        <w:sdtPr>
          <w:rPr>
            <w:sz w:val="22"/>
            <w:szCs w:val="22"/>
          </w:rPr>
          <w:id w:val="490839800"/>
          <w:citation/>
        </w:sdtPr>
        <w:sdtContent>
          <w:r w:rsidRPr="00F52AB3">
            <w:rPr>
              <w:sz w:val="22"/>
              <w:szCs w:val="22"/>
            </w:rPr>
            <w:fldChar w:fldCharType="begin"/>
          </w:r>
          <w:r w:rsidRPr="00F52AB3">
            <w:rPr>
              <w:sz w:val="22"/>
              <w:szCs w:val="22"/>
            </w:rPr>
            <w:instrText xml:space="preserve"> CITATION Kar16 \l 2057 </w:instrText>
          </w:r>
          <w:r w:rsidRPr="00F52AB3">
            <w:rPr>
              <w:sz w:val="22"/>
              <w:szCs w:val="22"/>
            </w:rPr>
            <w:fldChar w:fldCharType="separate"/>
          </w:r>
          <w:r w:rsidRPr="00F52AB3">
            <w:rPr>
              <w:noProof/>
              <w:sz w:val="22"/>
              <w:szCs w:val="22"/>
            </w:rPr>
            <w:t>(Lumsden &amp; Goode, 2016)</w:t>
          </w:r>
          <w:r w:rsidRPr="00F52AB3">
            <w:rPr>
              <w:sz w:val="22"/>
              <w:szCs w:val="22"/>
            </w:rPr>
            <w:fldChar w:fldCharType="end"/>
          </w:r>
        </w:sdtContent>
      </w:sdt>
      <w:r w:rsidRPr="00F52AB3">
        <w:rPr>
          <w:sz w:val="22"/>
          <w:szCs w:val="22"/>
        </w:rPr>
        <w:t xml:space="preserve">. This approach takes its lead from the introduction of the PEQF and the concept of training officers that are confident in dealing with data and the scientific approach. However, this approach is criticised as excluding qualitative approaches and built knowledge of successful strategies and policies in favour of more quantitative approaches. </w:t>
      </w:r>
    </w:p>
    <w:p w14:paraId="58E02CD4" w14:textId="77777777" w:rsidR="00B66899" w:rsidRPr="00F52AB3" w:rsidRDefault="00B66899" w:rsidP="00B66899">
      <w:pPr>
        <w:rPr>
          <w:sz w:val="22"/>
          <w:szCs w:val="22"/>
        </w:rPr>
      </w:pPr>
    </w:p>
    <w:p w14:paraId="2B24B5FB" w14:textId="77777777" w:rsidR="00B66899" w:rsidRPr="00F52AB3" w:rsidRDefault="00B66899" w:rsidP="00B66899">
      <w:pPr>
        <w:rPr>
          <w:sz w:val="22"/>
          <w:szCs w:val="22"/>
        </w:rPr>
      </w:pPr>
      <w:r w:rsidRPr="00F52AB3">
        <w:rPr>
          <w:sz w:val="22"/>
          <w:szCs w:val="22"/>
        </w:rPr>
        <w:t xml:space="preserve">Overall, the police service has sought to professionalise itself in a wide variety of ways, as a means of improving professional standards, diversity and inclusion and the educational attainment of officers. This approach has a number of critics, but overall leads to a more modern and professional police service. </w:t>
      </w:r>
    </w:p>
    <w:p w14:paraId="3A66266A" w14:textId="77777777" w:rsidR="00B66899" w:rsidRPr="00F52AB3" w:rsidRDefault="00B66899" w:rsidP="00B66899">
      <w:pPr>
        <w:rPr>
          <w:sz w:val="22"/>
          <w:szCs w:val="22"/>
        </w:rPr>
      </w:pPr>
    </w:p>
    <w:p w14:paraId="6D65B1BB" w14:textId="400CDA95" w:rsidR="00B66899" w:rsidRPr="00F52AB3" w:rsidRDefault="00B66899" w:rsidP="00454735">
      <w:pPr>
        <w:spacing w:line="257" w:lineRule="auto"/>
        <w:rPr>
          <w:sz w:val="22"/>
          <w:szCs w:val="22"/>
        </w:rPr>
      </w:pPr>
      <w:r w:rsidRPr="00F52AB3">
        <w:rPr>
          <w:sz w:val="22"/>
          <w:szCs w:val="22"/>
        </w:rPr>
        <w:t>Word count: 1055</w:t>
      </w:r>
    </w:p>
    <w:p w14:paraId="6CEB04CB" w14:textId="0F23D144" w:rsidR="00B66899" w:rsidRPr="00F52AB3" w:rsidRDefault="00B66899" w:rsidP="00454735">
      <w:pPr>
        <w:spacing w:line="257" w:lineRule="auto"/>
        <w:rPr>
          <w:sz w:val="22"/>
          <w:szCs w:val="22"/>
        </w:rPr>
      </w:pPr>
    </w:p>
    <w:p w14:paraId="6C1FD85F" w14:textId="1CBC96F8" w:rsidR="00B66899" w:rsidRPr="00F52AB3" w:rsidRDefault="00B66899" w:rsidP="00454735">
      <w:pPr>
        <w:spacing w:line="257" w:lineRule="auto"/>
        <w:rPr>
          <w:sz w:val="22"/>
          <w:szCs w:val="22"/>
        </w:rPr>
      </w:pPr>
    </w:p>
    <w:p w14:paraId="09F875A6" w14:textId="1BC614B5" w:rsidR="00B66899" w:rsidRPr="00F52AB3" w:rsidRDefault="00B66899" w:rsidP="00454735">
      <w:pPr>
        <w:spacing w:line="257" w:lineRule="auto"/>
        <w:rPr>
          <w:sz w:val="22"/>
          <w:szCs w:val="22"/>
        </w:rPr>
      </w:pPr>
    </w:p>
    <w:p w14:paraId="1ED3934E" w14:textId="710E50ED" w:rsidR="00B66899" w:rsidRPr="00F52AB3" w:rsidRDefault="00B66899" w:rsidP="00454735">
      <w:pPr>
        <w:spacing w:line="257" w:lineRule="auto"/>
        <w:rPr>
          <w:sz w:val="22"/>
          <w:szCs w:val="22"/>
          <w:u w:val="single"/>
        </w:rPr>
      </w:pPr>
      <w:r w:rsidRPr="00F52AB3">
        <w:rPr>
          <w:sz w:val="22"/>
          <w:szCs w:val="22"/>
          <w:u w:val="single"/>
        </w:rPr>
        <w:t>References</w:t>
      </w:r>
    </w:p>
    <w:sdt>
      <w:sdtPr>
        <w:rPr>
          <w:sz w:val="22"/>
          <w:szCs w:val="22"/>
        </w:rPr>
        <w:id w:val="-573587230"/>
        <w:bibliography/>
      </w:sdtPr>
      <w:sdtContent>
        <w:p w14:paraId="289473E2" w14:textId="6DF5879F" w:rsidR="00B66899" w:rsidRDefault="00B66899" w:rsidP="00B66899">
          <w:pPr>
            <w:pStyle w:val="Bibliography"/>
            <w:rPr>
              <w:noProof/>
              <w:sz w:val="22"/>
              <w:szCs w:val="22"/>
              <w:lang w:val="en-US"/>
            </w:rPr>
          </w:pPr>
          <w:r w:rsidRPr="00F52AB3">
            <w:rPr>
              <w:sz w:val="22"/>
              <w:szCs w:val="22"/>
            </w:rPr>
            <w:fldChar w:fldCharType="begin"/>
          </w:r>
          <w:r w:rsidRPr="00F52AB3">
            <w:rPr>
              <w:sz w:val="22"/>
              <w:szCs w:val="22"/>
            </w:rPr>
            <w:instrText xml:space="preserve"> BIBLIOGRAPHY </w:instrText>
          </w:r>
          <w:r w:rsidRPr="00F52AB3">
            <w:rPr>
              <w:sz w:val="22"/>
              <w:szCs w:val="22"/>
            </w:rPr>
            <w:fldChar w:fldCharType="separate"/>
          </w:r>
          <w:r w:rsidRPr="00F52AB3">
            <w:rPr>
              <w:noProof/>
              <w:sz w:val="22"/>
              <w:szCs w:val="22"/>
              <w:lang w:val="en-US"/>
            </w:rPr>
            <w:t xml:space="preserve">Belur, J., Agnew-Pauley, W., McGinley, B. &amp; Tompson, L., 2020. A systematic review of police recruit training programmes. </w:t>
          </w:r>
          <w:r w:rsidRPr="00F52AB3">
            <w:rPr>
              <w:i/>
              <w:iCs/>
              <w:noProof/>
              <w:sz w:val="22"/>
              <w:szCs w:val="22"/>
              <w:lang w:val="en-US"/>
            </w:rPr>
            <w:t xml:space="preserve">Policing, </w:t>
          </w:r>
          <w:r w:rsidRPr="00F52AB3">
            <w:rPr>
              <w:noProof/>
              <w:sz w:val="22"/>
              <w:szCs w:val="22"/>
              <w:lang w:val="en-US"/>
            </w:rPr>
            <w:t>14(1), pp. 76-90.</w:t>
          </w:r>
        </w:p>
        <w:p w14:paraId="7F60DB37" w14:textId="77777777" w:rsidR="00F52AB3" w:rsidRPr="00F52AB3" w:rsidRDefault="00F52AB3" w:rsidP="00F52AB3">
          <w:pPr>
            <w:rPr>
              <w:lang w:val="en-US"/>
            </w:rPr>
          </w:pPr>
        </w:p>
        <w:p w14:paraId="622E7F9D" w14:textId="4BF4796C" w:rsidR="00B66899" w:rsidRDefault="00B66899" w:rsidP="00B66899">
          <w:pPr>
            <w:pStyle w:val="Bibliography"/>
            <w:rPr>
              <w:noProof/>
              <w:sz w:val="22"/>
              <w:szCs w:val="22"/>
              <w:lang w:val="en-US"/>
            </w:rPr>
          </w:pPr>
          <w:r w:rsidRPr="00F52AB3">
            <w:rPr>
              <w:noProof/>
              <w:sz w:val="22"/>
              <w:szCs w:val="22"/>
              <w:lang w:val="en-US"/>
            </w:rPr>
            <w:t xml:space="preserve">Holdaway, S., 2017. The re-professionalisation of the police in England and Wales. </w:t>
          </w:r>
          <w:r w:rsidRPr="00F52AB3">
            <w:rPr>
              <w:i/>
              <w:iCs/>
              <w:noProof/>
              <w:sz w:val="22"/>
              <w:szCs w:val="22"/>
              <w:lang w:val="en-US"/>
            </w:rPr>
            <w:t xml:space="preserve">Criminology and Criminal Justice, </w:t>
          </w:r>
          <w:r w:rsidRPr="00F52AB3">
            <w:rPr>
              <w:noProof/>
              <w:sz w:val="22"/>
              <w:szCs w:val="22"/>
              <w:lang w:val="en-US"/>
            </w:rPr>
            <w:t>17(5), pp. 588-604.</w:t>
          </w:r>
        </w:p>
        <w:p w14:paraId="7CE2F54E" w14:textId="77777777" w:rsidR="00F52AB3" w:rsidRPr="00F52AB3" w:rsidRDefault="00F52AB3" w:rsidP="00F52AB3">
          <w:pPr>
            <w:rPr>
              <w:lang w:val="en-US"/>
            </w:rPr>
          </w:pPr>
        </w:p>
        <w:p w14:paraId="2CE2940F" w14:textId="29E99FB5" w:rsidR="00B66899" w:rsidRDefault="00B66899" w:rsidP="00B66899">
          <w:pPr>
            <w:pStyle w:val="Bibliography"/>
            <w:rPr>
              <w:noProof/>
              <w:sz w:val="22"/>
              <w:szCs w:val="22"/>
              <w:lang w:val="en-US"/>
            </w:rPr>
          </w:pPr>
          <w:r w:rsidRPr="00F52AB3">
            <w:rPr>
              <w:noProof/>
              <w:sz w:val="22"/>
              <w:szCs w:val="22"/>
              <w:lang w:val="en-US"/>
            </w:rPr>
            <w:t xml:space="preserve">Lumsden, K., 2017. 'It's a profession, it isn't a job': Police Officers' views on the professionalisation of policing in England. </w:t>
          </w:r>
          <w:r w:rsidRPr="00F52AB3">
            <w:rPr>
              <w:i/>
              <w:iCs/>
              <w:noProof/>
              <w:sz w:val="22"/>
              <w:szCs w:val="22"/>
              <w:lang w:val="en-US"/>
            </w:rPr>
            <w:t xml:space="preserve">Sociological Research, </w:t>
          </w:r>
          <w:r w:rsidRPr="00F52AB3">
            <w:rPr>
              <w:noProof/>
              <w:sz w:val="22"/>
              <w:szCs w:val="22"/>
              <w:lang w:val="en-US"/>
            </w:rPr>
            <w:t>22(3), pp. 3-20.</w:t>
          </w:r>
        </w:p>
        <w:p w14:paraId="02A0ABAA" w14:textId="77777777" w:rsidR="00F52AB3" w:rsidRPr="00F52AB3" w:rsidRDefault="00F52AB3" w:rsidP="00F52AB3">
          <w:pPr>
            <w:rPr>
              <w:lang w:val="en-US"/>
            </w:rPr>
          </w:pPr>
        </w:p>
        <w:p w14:paraId="0B56DE1E" w14:textId="68E6421E" w:rsidR="00B66899" w:rsidRDefault="00B66899" w:rsidP="00B66899">
          <w:pPr>
            <w:pStyle w:val="Bibliography"/>
            <w:rPr>
              <w:noProof/>
              <w:sz w:val="22"/>
              <w:szCs w:val="22"/>
              <w:lang w:val="en-US"/>
            </w:rPr>
          </w:pPr>
          <w:r w:rsidRPr="00F52AB3">
            <w:rPr>
              <w:noProof/>
              <w:sz w:val="22"/>
              <w:szCs w:val="22"/>
              <w:lang w:val="en-US"/>
            </w:rPr>
            <w:t xml:space="preserve">Lumsden, K. &amp; Goode, J., 2016. Policing research and the rise of the 'evidence-base': police officer and staff understandings of research, its implementation and 'what works'. </w:t>
          </w:r>
          <w:r w:rsidRPr="00F52AB3">
            <w:rPr>
              <w:i/>
              <w:iCs/>
              <w:noProof/>
              <w:sz w:val="22"/>
              <w:szCs w:val="22"/>
              <w:lang w:val="en-US"/>
            </w:rPr>
            <w:t xml:space="preserve">Sociology, </w:t>
          </w:r>
          <w:r w:rsidRPr="00F52AB3">
            <w:rPr>
              <w:noProof/>
              <w:sz w:val="22"/>
              <w:szCs w:val="22"/>
              <w:lang w:val="en-US"/>
            </w:rPr>
            <w:t>52(4), pp. 813-829.</w:t>
          </w:r>
        </w:p>
        <w:p w14:paraId="64835CEE" w14:textId="77777777" w:rsidR="00F52AB3" w:rsidRPr="00F52AB3" w:rsidRDefault="00F52AB3" w:rsidP="00F52AB3">
          <w:pPr>
            <w:rPr>
              <w:lang w:val="en-US"/>
            </w:rPr>
          </w:pPr>
        </w:p>
        <w:p w14:paraId="1E93D022" w14:textId="77777777" w:rsidR="00B66899" w:rsidRPr="00F52AB3" w:rsidRDefault="00B66899" w:rsidP="00B66899">
          <w:pPr>
            <w:pStyle w:val="Bibliography"/>
            <w:rPr>
              <w:noProof/>
              <w:sz w:val="22"/>
              <w:szCs w:val="22"/>
              <w:lang w:val="en-US"/>
            </w:rPr>
          </w:pPr>
          <w:r w:rsidRPr="00F52AB3">
            <w:rPr>
              <w:noProof/>
              <w:sz w:val="22"/>
              <w:szCs w:val="22"/>
              <w:lang w:val="en-US"/>
            </w:rPr>
            <w:t xml:space="preserve">Tong, S., 2017. Professionalising policing: seeking viable and sustainable approaches to police education and learning. </w:t>
          </w:r>
          <w:r w:rsidRPr="00F52AB3">
            <w:rPr>
              <w:i/>
              <w:iCs/>
              <w:noProof/>
              <w:sz w:val="22"/>
              <w:szCs w:val="22"/>
              <w:lang w:val="en-US"/>
            </w:rPr>
            <w:t xml:space="preserve">European Police Science and Research Bulletin - Special Conference Edition, </w:t>
          </w:r>
          <w:r w:rsidRPr="00F52AB3">
            <w:rPr>
              <w:noProof/>
              <w:sz w:val="22"/>
              <w:szCs w:val="22"/>
              <w:lang w:val="en-US"/>
            </w:rPr>
            <w:t>pp. 171-178.</w:t>
          </w:r>
        </w:p>
        <w:p w14:paraId="27A47AC6" w14:textId="77777777" w:rsidR="00B66899" w:rsidRPr="00F52AB3" w:rsidRDefault="00B66899" w:rsidP="00B66899">
          <w:pPr>
            <w:rPr>
              <w:sz w:val="22"/>
              <w:szCs w:val="22"/>
            </w:rPr>
          </w:pPr>
          <w:r w:rsidRPr="00F52AB3">
            <w:rPr>
              <w:b/>
              <w:bCs/>
              <w:noProof/>
              <w:sz w:val="22"/>
              <w:szCs w:val="22"/>
            </w:rPr>
            <w:fldChar w:fldCharType="end"/>
          </w:r>
        </w:p>
      </w:sdtContent>
    </w:sdt>
    <w:p w14:paraId="2A89CF42" w14:textId="03E0CFA0" w:rsidR="00B66899" w:rsidRDefault="00B66899" w:rsidP="00454735">
      <w:pPr>
        <w:spacing w:line="257" w:lineRule="auto"/>
        <w:rPr>
          <w:sz w:val="22"/>
          <w:szCs w:val="22"/>
        </w:rPr>
      </w:pPr>
    </w:p>
    <w:p w14:paraId="6289ECE3" w14:textId="6051B068" w:rsidR="00B66899" w:rsidRDefault="00B66899" w:rsidP="00454735">
      <w:pPr>
        <w:spacing w:line="257" w:lineRule="auto"/>
        <w:rPr>
          <w:sz w:val="22"/>
          <w:szCs w:val="22"/>
        </w:rPr>
      </w:pPr>
    </w:p>
    <w:p w14:paraId="38E96DDB" w14:textId="6E284FDC" w:rsidR="00B66899" w:rsidRDefault="00B66899" w:rsidP="00454735">
      <w:pPr>
        <w:spacing w:line="257" w:lineRule="auto"/>
        <w:rPr>
          <w:sz w:val="22"/>
          <w:szCs w:val="22"/>
        </w:rPr>
      </w:pPr>
    </w:p>
    <w:p w14:paraId="1B8C9AF1" w14:textId="7C20D84E" w:rsidR="00B66899" w:rsidRDefault="00B66899" w:rsidP="00454735">
      <w:pPr>
        <w:spacing w:line="257" w:lineRule="auto"/>
        <w:rPr>
          <w:sz w:val="22"/>
          <w:szCs w:val="22"/>
        </w:rPr>
      </w:pPr>
    </w:p>
    <w:p w14:paraId="1317107D" w14:textId="76E05177" w:rsidR="00B66899" w:rsidRDefault="00B66899" w:rsidP="00454735">
      <w:pPr>
        <w:spacing w:line="257" w:lineRule="auto"/>
        <w:rPr>
          <w:sz w:val="22"/>
          <w:szCs w:val="22"/>
        </w:rPr>
      </w:pPr>
    </w:p>
    <w:p w14:paraId="16A23C11" w14:textId="68E71923" w:rsidR="00B66899" w:rsidRDefault="00B66899" w:rsidP="00454735">
      <w:pPr>
        <w:spacing w:line="257" w:lineRule="auto"/>
        <w:rPr>
          <w:sz w:val="22"/>
          <w:szCs w:val="22"/>
        </w:rPr>
      </w:pPr>
    </w:p>
    <w:p w14:paraId="04BC4011" w14:textId="44F27250" w:rsidR="00B66899" w:rsidRDefault="00B66899" w:rsidP="00454735">
      <w:pPr>
        <w:spacing w:line="257" w:lineRule="auto"/>
        <w:rPr>
          <w:sz w:val="22"/>
          <w:szCs w:val="22"/>
        </w:rPr>
      </w:pPr>
    </w:p>
    <w:p w14:paraId="2418525D" w14:textId="541C7175" w:rsidR="00B66899" w:rsidRDefault="00B66899" w:rsidP="00454735">
      <w:pPr>
        <w:spacing w:line="257" w:lineRule="auto"/>
        <w:rPr>
          <w:sz w:val="22"/>
          <w:szCs w:val="22"/>
        </w:rPr>
      </w:pPr>
    </w:p>
    <w:p w14:paraId="62396DC5" w14:textId="5034F75B" w:rsidR="00B66899" w:rsidRDefault="00B66899" w:rsidP="00454735">
      <w:pPr>
        <w:spacing w:line="257" w:lineRule="auto"/>
        <w:rPr>
          <w:sz w:val="22"/>
          <w:szCs w:val="22"/>
        </w:rPr>
      </w:pPr>
    </w:p>
    <w:p w14:paraId="1B024144" w14:textId="408E9410" w:rsidR="00B66899" w:rsidRDefault="00B66899" w:rsidP="00454735">
      <w:pPr>
        <w:spacing w:line="257" w:lineRule="auto"/>
        <w:rPr>
          <w:sz w:val="22"/>
          <w:szCs w:val="22"/>
        </w:rPr>
      </w:pPr>
    </w:p>
    <w:p w14:paraId="38D2F2CB" w14:textId="0FB92C71" w:rsidR="00B66899" w:rsidRDefault="00B66899" w:rsidP="00454735">
      <w:pPr>
        <w:spacing w:line="257" w:lineRule="auto"/>
        <w:rPr>
          <w:sz w:val="22"/>
          <w:szCs w:val="22"/>
        </w:rPr>
      </w:pPr>
    </w:p>
    <w:p w14:paraId="4DEAA498" w14:textId="3DB9483D" w:rsidR="00B66899" w:rsidRDefault="00B66899" w:rsidP="00454735">
      <w:pPr>
        <w:spacing w:line="257" w:lineRule="auto"/>
        <w:rPr>
          <w:sz w:val="22"/>
          <w:szCs w:val="22"/>
        </w:rPr>
      </w:pPr>
    </w:p>
    <w:p w14:paraId="08153104" w14:textId="30062CAA" w:rsidR="00B66899" w:rsidRDefault="00B66899" w:rsidP="00454735">
      <w:pPr>
        <w:spacing w:line="257" w:lineRule="auto"/>
        <w:rPr>
          <w:sz w:val="22"/>
          <w:szCs w:val="22"/>
        </w:rPr>
      </w:pPr>
    </w:p>
    <w:p w14:paraId="77EC30CC" w14:textId="3B190768" w:rsidR="00B66899" w:rsidRDefault="00B66899" w:rsidP="00454735">
      <w:pPr>
        <w:spacing w:line="257" w:lineRule="auto"/>
        <w:rPr>
          <w:sz w:val="22"/>
          <w:szCs w:val="22"/>
        </w:rPr>
      </w:pPr>
    </w:p>
    <w:p w14:paraId="4A3E0004" w14:textId="47936E1F" w:rsidR="00B66899" w:rsidRDefault="00B66899" w:rsidP="00454735">
      <w:pPr>
        <w:spacing w:line="257" w:lineRule="auto"/>
        <w:rPr>
          <w:sz w:val="22"/>
          <w:szCs w:val="22"/>
        </w:rPr>
      </w:pPr>
    </w:p>
    <w:p w14:paraId="7DF47ED7" w14:textId="27B2E74E" w:rsidR="00B66899" w:rsidRDefault="00B66899" w:rsidP="00454735">
      <w:pPr>
        <w:spacing w:line="257" w:lineRule="auto"/>
        <w:rPr>
          <w:sz w:val="22"/>
          <w:szCs w:val="22"/>
        </w:rPr>
      </w:pPr>
    </w:p>
    <w:p w14:paraId="15607614" w14:textId="309E8F78" w:rsidR="00B66899" w:rsidRDefault="00B66899" w:rsidP="00454735">
      <w:pPr>
        <w:spacing w:line="257" w:lineRule="auto"/>
        <w:rPr>
          <w:sz w:val="22"/>
          <w:szCs w:val="22"/>
        </w:rPr>
      </w:pPr>
    </w:p>
    <w:p w14:paraId="4DF2BCE5" w14:textId="74456FE9" w:rsidR="00B66899" w:rsidRDefault="00B66899" w:rsidP="00454735">
      <w:pPr>
        <w:spacing w:line="257" w:lineRule="auto"/>
        <w:rPr>
          <w:sz w:val="22"/>
          <w:szCs w:val="22"/>
        </w:rPr>
      </w:pPr>
    </w:p>
    <w:p w14:paraId="26E32BDE" w14:textId="74169E9D" w:rsidR="00B66899" w:rsidRDefault="00B66899" w:rsidP="00454735">
      <w:pPr>
        <w:spacing w:line="257" w:lineRule="auto"/>
        <w:rPr>
          <w:sz w:val="22"/>
          <w:szCs w:val="22"/>
        </w:rPr>
      </w:pPr>
    </w:p>
    <w:p w14:paraId="22CFEB5E" w14:textId="1D853238" w:rsidR="00B66899" w:rsidRDefault="00B66899" w:rsidP="00454735">
      <w:pPr>
        <w:spacing w:line="257" w:lineRule="auto"/>
        <w:rPr>
          <w:sz w:val="22"/>
          <w:szCs w:val="22"/>
        </w:rPr>
      </w:pPr>
    </w:p>
    <w:p w14:paraId="19E4433F" w14:textId="64F48480" w:rsidR="00B66899" w:rsidRDefault="00B66899" w:rsidP="00454735">
      <w:pPr>
        <w:spacing w:line="257" w:lineRule="auto"/>
        <w:rPr>
          <w:sz w:val="22"/>
          <w:szCs w:val="22"/>
        </w:rPr>
      </w:pPr>
    </w:p>
    <w:p w14:paraId="138C20AF" w14:textId="01CE888F" w:rsidR="00B66899" w:rsidRDefault="00B66899" w:rsidP="00454735">
      <w:pPr>
        <w:spacing w:line="257" w:lineRule="auto"/>
        <w:rPr>
          <w:sz w:val="22"/>
          <w:szCs w:val="22"/>
        </w:rPr>
      </w:pPr>
    </w:p>
    <w:p w14:paraId="602C57C6" w14:textId="22DBAB2C" w:rsidR="00454735" w:rsidRPr="00454735" w:rsidRDefault="00454735" w:rsidP="00454735">
      <w:pPr>
        <w:spacing w:line="257" w:lineRule="auto"/>
        <w:rPr>
          <w:rFonts w:ascii="Calibri" w:hAnsi="Calibri" w:cs="Calibri"/>
          <w:sz w:val="28"/>
          <w:szCs w:val="28"/>
        </w:rPr>
      </w:pPr>
    </w:p>
    <w:p w14:paraId="203020D9" w14:textId="77777777" w:rsidR="00454735" w:rsidRPr="00B66899" w:rsidRDefault="00454735" w:rsidP="00454735">
      <w:pPr>
        <w:spacing w:line="257" w:lineRule="auto"/>
        <w:rPr>
          <w:sz w:val="22"/>
          <w:szCs w:val="22"/>
        </w:rPr>
      </w:pPr>
      <w:r w:rsidRPr="00B66899">
        <w:rPr>
          <w:rFonts w:eastAsia="Calibri"/>
          <w:b/>
          <w:bCs/>
          <w:sz w:val="22"/>
          <w:szCs w:val="22"/>
        </w:rPr>
        <w:t>1000 words - Community/Response Policing/Policing roads/Conducting Investigations /Digital Policing</w:t>
      </w:r>
    </w:p>
    <w:p w14:paraId="71D40E12" w14:textId="371AFF1F" w:rsidR="00454735" w:rsidRDefault="00454735" w:rsidP="00B66899">
      <w:pPr>
        <w:spacing w:line="257" w:lineRule="auto"/>
        <w:rPr>
          <w:rFonts w:eastAsia="Arial"/>
          <w:sz w:val="22"/>
          <w:szCs w:val="22"/>
        </w:rPr>
      </w:pPr>
      <w:r w:rsidRPr="00B66899">
        <w:rPr>
          <w:rFonts w:eastAsia="Calibri"/>
          <w:sz w:val="22"/>
          <w:szCs w:val="22"/>
        </w:rPr>
        <w:t xml:space="preserve">Critically evaluate the role of the police in </w:t>
      </w:r>
      <w:r w:rsidRPr="00B66899">
        <w:rPr>
          <w:rFonts w:eastAsia="Calibri"/>
          <w:b/>
          <w:bCs/>
          <w:sz w:val="22"/>
          <w:szCs w:val="22"/>
          <w:u w:val="single"/>
        </w:rPr>
        <w:t>one</w:t>
      </w:r>
      <w:r w:rsidRPr="00B66899">
        <w:rPr>
          <w:rFonts w:eastAsia="Calibri"/>
          <w:sz w:val="22"/>
          <w:szCs w:val="22"/>
        </w:rPr>
        <w:t xml:space="preserve"> of the following areas:</w:t>
      </w:r>
      <w:r w:rsidR="00B66899" w:rsidRPr="00B66899">
        <w:rPr>
          <w:sz w:val="22"/>
          <w:szCs w:val="22"/>
        </w:rPr>
        <w:t xml:space="preserve"> </w:t>
      </w:r>
      <w:r w:rsidRPr="00B66899">
        <w:rPr>
          <w:rFonts w:eastAsia="Arial"/>
          <w:sz w:val="22"/>
          <w:szCs w:val="22"/>
        </w:rPr>
        <w:t xml:space="preserve">Counter Terrorism Policing (Structure/ Risks/Insider threat).  </w:t>
      </w:r>
    </w:p>
    <w:p w14:paraId="21BA0794" w14:textId="77777777" w:rsidR="00F52AB3" w:rsidRPr="00B66899" w:rsidRDefault="00F52AB3" w:rsidP="00B66899">
      <w:pPr>
        <w:spacing w:line="257" w:lineRule="auto"/>
        <w:rPr>
          <w:rFonts w:eastAsia="Arial"/>
          <w:sz w:val="22"/>
          <w:szCs w:val="22"/>
        </w:rPr>
      </w:pPr>
    </w:p>
    <w:p w14:paraId="2835B0A0" w14:textId="2EC5BD4C" w:rsidR="00B66899" w:rsidRPr="00B66899" w:rsidRDefault="00B66899" w:rsidP="00B66899">
      <w:pPr>
        <w:spacing w:line="257" w:lineRule="auto"/>
        <w:rPr>
          <w:rFonts w:eastAsia="Arial"/>
          <w:sz w:val="22"/>
          <w:szCs w:val="22"/>
        </w:rPr>
      </w:pPr>
    </w:p>
    <w:p w14:paraId="4296F48A" w14:textId="77777777" w:rsidR="00B66899" w:rsidRPr="00B66899" w:rsidRDefault="00B66899" w:rsidP="00B66899">
      <w:pPr>
        <w:rPr>
          <w:sz w:val="22"/>
          <w:szCs w:val="22"/>
        </w:rPr>
      </w:pPr>
      <w:r w:rsidRPr="00B66899">
        <w:rPr>
          <w:sz w:val="22"/>
          <w:szCs w:val="22"/>
        </w:rPr>
        <w:t>The police service plays a central role in counter-terror activities and investigations in the United Kingdom. Over recent decades, and especially over recent years, terrorism has grown as a threat towards the safety and security of the UK. The terror threat has evolved and changed in a wide variety of ways and with it the police and security response. This essay critically evaluates the structure of UK counter-terror policing (CTP), the UK counter-terrorism strategy and the nature of the threat currently posed to the UK by terrorism.</w:t>
      </w:r>
    </w:p>
    <w:p w14:paraId="34302561" w14:textId="77777777" w:rsidR="00B66899" w:rsidRPr="00B66899" w:rsidRDefault="00B66899" w:rsidP="00B66899">
      <w:pPr>
        <w:rPr>
          <w:sz w:val="22"/>
          <w:szCs w:val="22"/>
        </w:rPr>
      </w:pPr>
    </w:p>
    <w:p w14:paraId="3616CC83" w14:textId="77777777" w:rsidR="00B66899" w:rsidRPr="00B66899" w:rsidRDefault="00B66899" w:rsidP="00B66899">
      <w:pPr>
        <w:rPr>
          <w:sz w:val="22"/>
          <w:szCs w:val="22"/>
        </w:rPr>
      </w:pPr>
      <w:r w:rsidRPr="00B66899">
        <w:rPr>
          <w:sz w:val="22"/>
          <w:szCs w:val="22"/>
        </w:rPr>
        <w:t xml:space="preserve">The UK currently faces a substantial threat from terrorism in a variety of forms </w:t>
      </w:r>
      <w:sdt>
        <w:sdtPr>
          <w:rPr>
            <w:sz w:val="22"/>
            <w:szCs w:val="22"/>
          </w:rPr>
          <w:id w:val="2010246621"/>
          <w:citation/>
        </w:sdtPr>
        <w:sdtContent>
          <w:r w:rsidRPr="00B66899">
            <w:rPr>
              <w:sz w:val="22"/>
              <w:szCs w:val="22"/>
            </w:rPr>
            <w:fldChar w:fldCharType="begin"/>
          </w:r>
          <w:r w:rsidRPr="00B66899">
            <w:rPr>
              <w:sz w:val="22"/>
              <w:szCs w:val="22"/>
            </w:rPr>
            <w:instrText xml:space="preserve"> CITATION Mar08 \l 2057  \m HMG18</w:instrText>
          </w:r>
          <w:r w:rsidRPr="00B66899">
            <w:rPr>
              <w:sz w:val="22"/>
              <w:szCs w:val="22"/>
            </w:rPr>
            <w:fldChar w:fldCharType="separate"/>
          </w:r>
          <w:r w:rsidRPr="00B66899">
            <w:rPr>
              <w:noProof/>
              <w:sz w:val="22"/>
              <w:szCs w:val="22"/>
            </w:rPr>
            <w:t>(Innes &amp; Thiel, 2008; HM Government, 2018)</w:t>
          </w:r>
          <w:r w:rsidRPr="00B66899">
            <w:rPr>
              <w:sz w:val="22"/>
              <w:szCs w:val="22"/>
            </w:rPr>
            <w:fldChar w:fldCharType="end"/>
          </w:r>
        </w:sdtContent>
      </w:sdt>
      <w:r w:rsidRPr="00B66899">
        <w:rPr>
          <w:sz w:val="22"/>
          <w:szCs w:val="22"/>
        </w:rPr>
        <w:t xml:space="preserve">. This threat has varied over a number of years as terrorist methodologies and the technologies employed have changed. CTP formally came into being in the UK after the establishment of ‘Special Branches’ within the Metropolitan Police in 1833. These early counter-terror teams were created to tackle the threat of Northern Ireland related terrorism (NIRT) that was prevalent during this period. Irish nationalists engaged in a campaign of bombings and targeted assassinations as a result of British involvement in Ireland </w:t>
      </w:r>
      <w:sdt>
        <w:sdtPr>
          <w:rPr>
            <w:sz w:val="22"/>
            <w:szCs w:val="22"/>
          </w:rPr>
          <w:id w:val="-932282635"/>
          <w:citation/>
        </w:sdtPr>
        <w:sdtContent>
          <w:r w:rsidRPr="00B66899">
            <w:rPr>
              <w:sz w:val="22"/>
              <w:szCs w:val="22"/>
            </w:rPr>
            <w:fldChar w:fldCharType="begin"/>
          </w:r>
          <w:r w:rsidRPr="00B66899">
            <w:rPr>
              <w:sz w:val="22"/>
              <w:szCs w:val="22"/>
            </w:rPr>
            <w:instrText xml:space="preserve"> CITATION Mar08 \l 2057 </w:instrText>
          </w:r>
          <w:r w:rsidRPr="00B66899">
            <w:rPr>
              <w:sz w:val="22"/>
              <w:szCs w:val="22"/>
            </w:rPr>
            <w:fldChar w:fldCharType="separate"/>
          </w:r>
          <w:r w:rsidRPr="00B66899">
            <w:rPr>
              <w:noProof/>
              <w:sz w:val="22"/>
              <w:szCs w:val="22"/>
            </w:rPr>
            <w:t>(Innes &amp; Thiel, 2008)</w:t>
          </w:r>
          <w:r w:rsidRPr="00B66899">
            <w:rPr>
              <w:sz w:val="22"/>
              <w:szCs w:val="22"/>
            </w:rPr>
            <w:fldChar w:fldCharType="end"/>
          </w:r>
        </w:sdtContent>
      </w:sdt>
      <w:r w:rsidRPr="00B66899">
        <w:rPr>
          <w:sz w:val="22"/>
          <w:szCs w:val="22"/>
        </w:rPr>
        <w:t xml:space="preserve">. NIRT continued to be the main threat facing the UK until the emergence of Islamic extremism in the late 1990’s. The 9/11 attacks in 2001 the US and the subsequent 7/7 bombings in London in 2005 brought Islamic extremism to the fore, and the vast majority of UK counter-terror effort has been directed towards countering it over the last two decades </w:t>
      </w:r>
      <w:sdt>
        <w:sdtPr>
          <w:rPr>
            <w:sz w:val="22"/>
            <w:szCs w:val="22"/>
          </w:rPr>
          <w:id w:val="732365936"/>
          <w:citation/>
        </w:sdtPr>
        <w:sdtContent>
          <w:r w:rsidRPr="00B66899">
            <w:rPr>
              <w:sz w:val="22"/>
              <w:szCs w:val="22"/>
            </w:rPr>
            <w:fldChar w:fldCharType="begin"/>
          </w:r>
          <w:r w:rsidRPr="00B66899">
            <w:rPr>
              <w:sz w:val="22"/>
              <w:szCs w:val="22"/>
            </w:rPr>
            <w:instrText xml:space="preserve"> CITATION HMG18 \l 2057  \m The22</w:instrText>
          </w:r>
          <w:r w:rsidRPr="00B66899">
            <w:rPr>
              <w:sz w:val="22"/>
              <w:szCs w:val="22"/>
            </w:rPr>
            <w:fldChar w:fldCharType="separate"/>
          </w:r>
          <w:r w:rsidRPr="00B66899">
            <w:rPr>
              <w:noProof/>
              <w:sz w:val="22"/>
              <w:szCs w:val="22"/>
            </w:rPr>
            <w:t>(HM Government, 2018; Security Service, 2022)</w:t>
          </w:r>
          <w:r w:rsidRPr="00B66899">
            <w:rPr>
              <w:sz w:val="22"/>
              <w:szCs w:val="22"/>
            </w:rPr>
            <w:fldChar w:fldCharType="end"/>
          </w:r>
        </w:sdtContent>
      </w:sdt>
      <w:r w:rsidRPr="00B66899">
        <w:rPr>
          <w:sz w:val="22"/>
          <w:szCs w:val="22"/>
        </w:rPr>
        <w:t xml:space="preserve">. </w:t>
      </w:r>
    </w:p>
    <w:p w14:paraId="23B08200" w14:textId="77777777" w:rsidR="00B66899" w:rsidRPr="00B66899" w:rsidRDefault="00B66899" w:rsidP="00B66899">
      <w:pPr>
        <w:rPr>
          <w:sz w:val="22"/>
          <w:szCs w:val="22"/>
        </w:rPr>
      </w:pPr>
    </w:p>
    <w:p w14:paraId="45780D9F" w14:textId="77777777" w:rsidR="00B66899" w:rsidRPr="00B66899" w:rsidRDefault="00B66899" w:rsidP="00B66899">
      <w:pPr>
        <w:rPr>
          <w:sz w:val="22"/>
          <w:szCs w:val="22"/>
        </w:rPr>
      </w:pPr>
      <w:r w:rsidRPr="00B66899">
        <w:rPr>
          <w:sz w:val="22"/>
          <w:szCs w:val="22"/>
        </w:rPr>
        <w:t xml:space="preserve">However, the Islamic extremism threat has varied over the years. Throughout the 2000’s and early 2010’s, Al-Qaeda (AQ) was the pre-eminent threat, responsible for a number of sophisticated attacks in the UK, Europe and abroad. However, the rapid rise of the Islamic State of Iraq and the Levant (ISIL) and their capture of large areas of territory in Syria and Iraq brought this group to the centre of UK CTP efforts </w:t>
      </w:r>
      <w:sdt>
        <w:sdtPr>
          <w:rPr>
            <w:sz w:val="22"/>
            <w:szCs w:val="22"/>
          </w:rPr>
          <w:id w:val="695208353"/>
          <w:citation/>
        </w:sdtPr>
        <w:sdtContent>
          <w:r w:rsidRPr="00B66899">
            <w:rPr>
              <w:sz w:val="22"/>
              <w:szCs w:val="22"/>
            </w:rPr>
            <w:fldChar w:fldCharType="begin"/>
          </w:r>
          <w:r w:rsidRPr="00B66899">
            <w:rPr>
              <w:sz w:val="22"/>
              <w:szCs w:val="22"/>
            </w:rPr>
            <w:instrText xml:space="preserve"> CITATION HMG18 \l 2057 </w:instrText>
          </w:r>
          <w:r w:rsidRPr="00B66899">
            <w:rPr>
              <w:sz w:val="22"/>
              <w:szCs w:val="22"/>
            </w:rPr>
            <w:fldChar w:fldCharType="separate"/>
          </w:r>
          <w:r w:rsidRPr="00B66899">
            <w:rPr>
              <w:noProof/>
              <w:sz w:val="22"/>
              <w:szCs w:val="22"/>
            </w:rPr>
            <w:t>(HM Government, 2018)</w:t>
          </w:r>
          <w:r w:rsidRPr="00B66899">
            <w:rPr>
              <w:sz w:val="22"/>
              <w:szCs w:val="22"/>
            </w:rPr>
            <w:fldChar w:fldCharType="end"/>
          </w:r>
        </w:sdtContent>
      </w:sdt>
      <w:r w:rsidRPr="00B66899">
        <w:rPr>
          <w:sz w:val="22"/>
          <w:szCs w:val="22"/>
        </w:rPr>
        <w:t xml:space="preserve">. The loss of ISIL territory has reduced this risk to a certain extent by denying a safe space for the group to operate. However, the substantial online presence and reach of ISIL means this risk is still prevalent. The other key development over recent years is the rapid emergence of Right-wing terror (RWT). In particular, this has found traction amongst young, white men and has led to the proscription of groups such as National Action </w:t>
      </w:r>
      <w:sdt>
        <w:sdtPr>
          <w:rPr>
            <w:sz w:val="22"/>
            <w:szCs w:val="22"/>
          </w:rPr>
          <w:id w:val="-472066473"/>
          <w:citation/>
        </w:sdtPr>
        <w:sdtContent>
          <w:r w:rsidRPr="00B66899">
            <w:rPr>
              <w:sz w:val="22"/>
              <w:szCs w:val="22"/>
            </w:rPr>
            <w:fldChar w:fldCharType="begin"/>
          </w:r>
          <w:r w:rsidRPr="00B66899">
            <w:rPr>
              <w:sz w:val="22"/>
              <w:szCs w:val="22"/>
            </w:rPr>
            <w:instrText xml:space="preserve"> CITATION HMG18 \l 2057 </w:instrText>
          </w:r>
          <w:r w:rsidRPr="00B66899">
            <w:rPr>
              <w:sz w:val="22"/>
              <w:szCs w:val="22"/>
            </w:rPr>
            <w:fldChar w:fldCharType="separate"/>
          </w:r>
          <w:r w:rsidRPr="00B66899">
            <w:rPr>
              <w:noProof/>
              <w:sz w:val="22"/>
              <w:szCs w:val="22"/>
            </w:rPr>
            <w:t>(HM Government, 2018)</w:t>
          </w:r>
          <w:r w:rsidRPr="00B66899">
            <w:rPr>
              <w:sz w:val="22"/>
              <w:szCs w:val="22"/>
            </w:rPr>
            <w:fldChar w:fldCharType="end"/>
          </w:r>
        </w:sdtContent>
      </w:sdt>
      <w:r w:rsidRPr="00B66899">
        <w:rPr>
          <w:sz w:val="22"/>
          <w:szCs w:val="22"/>
        </w:rPr>
        <w:t xml:space="preserve">. Left-wing and single issue terrorism, such as the anti-LGBT bombings of David Copeland, has been a minor if persistent threat since the creation of counter-terror policing </w:t>
      </w:r>
      <w:sdt>
        <w:sdtPr>
          <w:rPr>
            <w:sz w:val="22"/>
            <w:szCs w:val="22"/>
          </w:rPr>
          <w:id w:val="-664633540"/>
          <w:citation/>
        </w:sdtPr>
        <w:sdtContent>
          <w:r w:rsidRPr="00B66899">
            <w:rPr>
              <w:sz w:val="22"/>
              <w:szCs w:val="22"/>
            </w:rPr>
            <w:fldChar w:fldCharType="begin"/>
          </w:r>
          <w:r w:rsidRPr="00B66899">
            <w:rPr>
              <w:sz w:val="22"/>
              <w:szCs w:val="22"/>
            </w:rPr>
            <w:instrText xml:space="preserve"> CITATION Mar08 \l 2057 </w:instrText>
          </w:r>
          <w:r w:rsidRPr="00B66899">
            <w:rPr>
              <w:sz w:val="22"/>
              <w:szCs w:val="22"/>
            </w:rPr>
            <w:fldChar w:fldCharType="separate"/>
          </w:r>
          <w:r w:rsidRPr="00B66899">
            <w:rPr>
              <w:noProof/>
              <w:sz w:val="22"/>
              <w:szCs w:val="22"/>
            </w:rPr>
            <w:t>(Innes &amp; Thiel, 2008)</w:t>
          </w:r>
          <w:r w:rsidRPr="00B66899">
            <w:rPr>
              <w:sz w:val="22"/>
              <w:szCs w:val="22"/>
            </w:rPr>
            <w:fldChar w:fldCharType="end"/>
          </w:r>
        </w:sdtContent>
      </w:sdt>
      <w:r w:rsidRPr="00B66899">
        <w:rPr>
          <w:sz w:val="22"/>
          <w:szCs w:val="22"/>
        </w:rPr>
        <w:t xml:space="preserve">. </w:t>
      </w:r>
    </w:p>
    <w:p w14:paraId="29AF5B83" w14:textId="77777777" w:rsidR="00B66899" w:rsidRPr="00B66899" w:rsidRDefault="00B66899" w:rsidP="00B66899">
      <w:pPr>
        <w:rPr>
          <w:sz w:val="22"/>
          <w:szCs w:val="22"/>
        </w:rPr>
      </w:pPr>
    </w:p>
    <w:p w14:paraId="475686C2" w14:textId="77777777" w:rsidR="00B66899" w:rsidRPr="00B66899" w:rsidRDefault="00B66899" w:rsidP="00B66899">
      <w:pPr>
        <w:rPr>
          <w:sz w:val="22"/>
          <w:szCs w:val="22"/>
        </w:rPr>
      </w:pPr>
      <w:r w:rsidRPr="00B66899">
        <w:rPr>
          <w:sz w:val="22"/>
          <w:szCs w:val="22"/>
        </w:rPr>
        <w:t xml:space="preserve">The methodologies of these groups has developed over the years, largely in response to CTP efforts to thwart attacks. During the late 1990’s and 2000’s, AQ aimed towards sophisticated, high-impact attacks. This can be clearly seen in the 7/7 bombings where multiple, complex TATP explosives were detonated in a coordinated attack at several different locations across London. However, CTP success in preventing these types of attacks has seen a divergence towards less sophisticated, lone actor attacks such as the 2017 Westminster Bridge attack. This attack involved a single self-radicalised actor and low sophisticated methodology consisting of a vehicle ramming followed by a bladed-weapon attack and is indicative of the types of attack that have been favoured over recent years. </w:t>
      </w:r>
    </w:p>
    <w:p w14:paraId="5D7C95F8" w14:textId="77777777" w:rsidR="00B66899" w:rsidRPr="00B66899" w:rsidRDefault="00B66899" w:rsidP="00B66899">
      <w:pPr>
        <w:rPr>
          <w:sz w:val="22"/>
          <w:szCs w:val="22"/>
        </w:rPr>
      </w:pPr>
    </w:p>
    <w:p w14:paraId="0F922E9A" w14:textId="77777777" w:rsidR="00B66899" w:rsidRPr="00B66899" w:rsidRDefault="00B66899" w:rsidP="00B66899">
      <w:pPr>
        <w:rPr>
          <w:sz w:val="22"/>
          <w:szCs w:val="22"/>
        </w:rPr>
      </w:pPr>
      <w:r w:rsidRPr="00B66899">
        <w:rPr>
          <w:sz w:val="22"/>
          <w:szCs w:val="22"/>
        </w:rPr>
        <w:t xml:space="preserve">In response to these threats, the UK has devised the CONTEST strategy </w:t>
      </w:r>
      <w:sdt>
        <w:sdtPr>
          <w:rPr>
            <w:sz w:val="22"/>
            <w:szCs w:val="22"/>
          </w:rPr>
          <w:id w:val="1337258502"/>
          <w:citation/>
        </w:sdtPr>
        <w:sdtContent>
          <w:r w:rsidRPr="00B66899">
            <w:rPr>
              <w:sz w:val="22"/>
              <w:szCs w:val="22"/>
            </w:rPr>
            <w:fldChar w:fldCharType="begin"/>
          </w:r>
          <w:r w:rsidRPr="00B66899">
            <w:rPr>
              <w:sz w:val="22"/>
              <w:szCs w:val="22"/>
            </w:rPr>
            <w:instrText xml:space="preserve"> CITATION HMG18 \l 2057 </w:instrText>
          </w:r>
          <w:r w:rsidRPr="00B66899">
            <w:rPr>
              <w:sz w:val="22"/>
              <w:szCs w:val="22"/>
            </w:rPr>
            <w:fldChar w:fldCharType="separate"/>
          </w:r>
          <w:r w:rsidRPr="00B66899">
            <w:rPr>
              <w:noProof/>
              <w:sz w:val="22"/>
              <w:szCs w:val="22"/>
            </w:rPr>
            <w:t>(HM Government, 2018)</w:t>
          </w:r>
          <w:r w:rsidRPr="00B66899">
            <w:rPr>
              <w:sz w:val="22"/>
              <w:szCs w:val="22"/>
            </w:rPr>
            <w:fldChar w:fldCharType="end"/>
          </w:r>
        </w:sdtContent>
      </w:sdt>
      <w:r w:rsidRPr="00B66899">
        <w:rPr>
          <w:sz w:val="22"/>
          <w:szCs w:val="22"/>
        </w:rPr>
        <w:t xml:space="preserve">. This is a ‘whole-of-government’ approach that combines all the different organisations and elements that work towards the CT mission. The strategy is combined of four workstreams. The ‘Pursue’ element aims to stop terrorist attacks through investigation of plots and the use of intelligence. The ‘Prevent’ element aims to prevent radicalisation whilst ‘Protect’ works to strengthen protection against terrorist attacks. Finally, ‘Prepare’ aims to mitigate the impact and aid recovery following an attack </w:t>
      </w:r>
      <w:sdt>
        <w:sdtPr>
          <w:rPr>
            <w:sz w:val="22"/>
            <w:szCs w:val="22"/>
          </w:rPr>
          <w:id w:val="68465353"/>
          <w:citation/>
        </w:sdtPr>
        <w:sdtContent>
          <w:r w:rsidRPr="00B66899">
            <w:rPr>
              <w:sz w:val="22"/>
              <w:szCs w:val="22"/>
            </w:rPr>
            <w:fldChar w:fldCharType="begin"/>
          </w:r>
          <w:r w:rsidRPr="00B66899">
            <w:rPr>
              <w:sz w:val="22"/>
              <w:szCs w:val="22"/>
            </w:rPr>
            <w:instrText xml:space="preserve"> CITATION HMG18 \l 2057 </w:instrText>
          </w:r>
          <w:r w:rsidRPr="00B66899">
            <w:rPr>
              <w:sz w:val="22"/>
              <w:szCs w:val="22"/>
            </w:rPr>
            <w:fldChar w:fldCharType="separate"/>
          </w:r>
          <w:r w:rsidRPr="00B66899">
            <w:rPr>
              <w:noProof/>
              <w:sz w:val="22"/>
              <w:szCs w:val="22"/>
            </w:rPr>
            <w:t>(HM Government, 2018)</w:t>
          </w:r>
          <w:r w:rsidRPr="00B66899">
            <w:rPr>
              <w:sz w:val="22"/>
              <w:szCs w:val="22"/>
            </w:rPr>
            <w:fldChar w:fldCharType="end"/>
          </w:r>
        </w:sdtContent>
      </w:sdt>
      <w:r w:rsidRPr="00B66899">
        <w:rPr>
          <w:sz w:val="22"/>
          <w:szCs w:val="22"/>
        </w:rPr>
        <w:t xml:space="preserve">. </w:t>
      </w:r>
    </w:p>
    <w:p w14:paraId="761285CF" w14:textId="77777777" w:rsidR="00B66899" w:rsidRPr="00B66899" w:rsidRDefault="00B66899" w:rsidP="00B66899">
      <w:pPr>
        <w:rPr>
          <w:sz w:val="22"/>
          <w:szCs w:val="22"/>
        </w:rPr>
      </w:pPr>
    </w:p>
    <w:p w14:paraId="3FA45B6C" w14:textId="77777777" w:rsidR="00B66899" w:rsidRPr="00B66899" w:rsidRDefault="00B66899" w:rsidP="00B66899">
      <w:pPr>
        <w:rPr>
          <w:sz w:val="22"/>
          <w:szCs w:val="22"/>
        </w:rPr>
      </w:pPr>
      <w:r w:rsidRPr="00B66899">
        <w:rPr>
          <w:sz w:val="22"/>
          <w:szCs w:val="22"/>
        </w:rPr>
        <w:t xml:space="preserve">UK policing has involvement in all four streams of CONTEST. In particular, it is heavily invested in Pursue and Prevent. Counter-terror policing is delivered by CTP – an alliance of UK police forces with intelligence and security agencies to prevent, deter and investigate terrorist activities </w:t>
      </w:r>
      <w:sdt>
        <w:sdtPr>
          <w:rPr>
            <w:sz w:val="22"/>
            <w:szCs w:val="22"/>
          </w:rPr>
          <w:id w:val="1531074718"/>
          <w:citation/>
        </w:sdtPr>
        <w:sdtContent>
          <w:r w:rsidRPr="00B66899">
            <w:rPr>
              <w:sz w:val="22"/>
              <w:szCs w:val="22"/>
            </w:rPr>
            <w:fldChar w:fldCharType="begin"/>
          </w:r>
          <w:r w:rsidRPr="00B66899">
            <w:rPr>
              <w:sz w:val="22"/>
              <w:szCs w:val="22"/>
            </w:rPr>
            <w:instrText xml:space="preserve"> CITATION NPC22 \l 2057 </w:instrText>
          </w:r>
          <w:r w:rsidRPr="00B66899">
            <w:rPr>
              <w:sz w:val="22"/>
              <w:szCs w:val="22"/>
            </w:rPr>
            <w:fldChar w:fldCharType="separate"/>
          </w:r>
          <w:r w:rsidRPr="00B66899">
            <w:rPr>
              <w:noProof/>
              <w:sz w:val="22"/>
              <w:szCs w:val="22"/>
            </w:rPr>
            <w:t>(NPCC, 2022)</w:t>
          </w:r>
          <w:r w:rsidRPr="00B66899">
            <w:rPr>
              <w:sz w:val="22"/>
              <w:szCs w:val="22"/>
            </w:rPr>
            <w:fldChar w:fldCharType="end"/>
          </w:r>
        </w:sdtContent>
      </w:sdt>
      <w:r w:rsidRPr="00B66899">
        <w:rPr>
          <w:sz w:val="22"/>
          <w:szCs w:val="22"/>
        </w:rPr>
        <w:t xml:space="preserve">. Eleven regional counter-terror units and intelligence units work alongside the Security Service (MI5) to investigate both pre-attack in an effort to prevent and deter, and post-attack to find those responsible and bring them into the criminal justice system </w:t>
      </w:r>
      <w:sdt>
        <w:sdtPr>
          <w:rPr>
            <w:sz w:val="22"/>
            <w:szCs w:val="22"/>
          </w:rPr>
          <w:id w:val="2006932129"/>
          <w:citation/>
        </w:sdtPr>
        <w:sdtContent>
          <w:r w:rsidRPr="00B66899">
            <w:rPr>
              <w:sz w:val="22"/>
              <w:szCs w:val="22"/>
            </w:rPr>
            <w:fldChar w:fldCharType="begin"/>
          </w:r>
          <w:r w:rsidRPr="00B66899">
            <w:rPr>
              <w:sz w:val="22"/>
              <w:szCs w:val="22"/>
            </w:rPr>
            <w:instrText xml:space="preserve"> CITATION Mar08 \l 2057  \m NPC22</w:instrText>
          </w:r>
          <w:r w:rsidRPr="00B66899">
            <w:rPr>
              <w:sz w:val="22"/>
              <w:szCs w:val="22"/>
            </w:rPr>
            <w:fldChar w:fldCharType="separate"/>
          </w:r>
          <w:r w:rsidRPr="00B66899">
            <w:rPr>
              <w:noProof/>
              <w:sz w:val="22"/>
              <w:szCs w:val="22"/>
            </w:rPr>
            <w:t>(Innes &amp; Thiel, 2008; NPCC, 2022)</w:t>
          </w:r>
          <w:r w:rsidRPr="00B66899">
            <w:rPr>
              <w:sz w:val="22"/>
              <w:szCs w:val="22"/>
            </w:rPr>
            <w:fldChar w:fldCharType="end"/>
          </w:r>
        </w:sdtContent>
      </w:sdt>
      <w:r w:rsidRPr="00B66899">
        <w:rPr>
          <w:sz w:val="22"/>
          <w:szCs w:val="22"/>
        </w:rPr>
        <w:t xml:space="preserve">. This work is predominantly based on intelligence, in contrast to routine police work that is based </w:t>
      </w:r>
      <w:r w:rsidRPr="00B66899">
        <w:rPr>
          <w:sz w:val="22"/>
          <w:szCs w:val="22"/>
        </w:rPr>
        <w:lastRenderedPageBreak/>
        <w:t xml:space="preserve">predominantly on evidence. This is because much investigation is aimed at detecting and preventing acts that are still in the planning stage, and occurs under a degree of secrecy from both the subjects involved and the police </w:t>
      </w:r>
      <w:sdt>
        <w:sdtPr>
          <w:rPr>
            <w:sz w:val="22"/>
            <w:szCs w:val="22"/>
          </w:rPr>
          <w:id w:val="840589422"/>
          <w:citation/>
        </w:sdtPr>
        <w:sdtContent>
          <w:r w:rsidRPr="00B66899">
            <w:rPr>
              <w:sz w:val="22"/>
              <w:szCs w:val="22"/>
            </w:rPr>
            <w:fldChar w:fldCharType="begin"/>
          </w:r>
          <w:r w:rsidRPr="00B66899">
            <w:rPr>
              <w:sz w:val="22"/>
              <w:szCs w:val="22"/>
            </w:rPr>
            <w:instrText xml:space="preserve"> CITATION Mar08 \l 2057 </w:instrText>
          </w:r>
          <w:r w:rsidRPr="00B66899">
            <w:rPr>
              <w:sz w:val="22"/>
              <w:szCs w:val="22"/>
            </w:rPr>
            <w:fldChar w:fldCharType="separate"/>
          </w:r>
          <w:r w:rsidRPr="00B66899">
            <w:rPr>
              <w:noProof/>
              <w:sz w:val="22"/>
              <w:szCs w:val="22"/>
            </w:rPr>
            <w:t>(Innes &amp; Thiel, 2008)</w:t>
          </w:r>
          <w:r w:rsidRPr="00B66899">
            <w:rPr>
              <w:sz w:val="22"/>
              <w:szCs w:val="22"/>
            </w:rPr>
            <w:fldChar w:fldCharType="end"/>
          </w:r>
        </w:sdtContent>
      </w:sdt>
      <w:r w:rsidRPr="00B66899">
        <w:rPr>
          <w:sz w:val="22"/>
          <w:szCs w:val="22"/>
        </w:rPr>
        <w:t>.</w:t>
      </w:r>
    </w:p>
    <w:p w14:paraId="1F541694" w14:textId="77777777" w:rsidR="00B66899" w:rsidRPr="00B66899" w:rsidRDefault="00B66899" w:rsidP="00B66899">
      <w:pPr>
        <w:rPr>
          <w:sz w:val="22"/>
          <w:szCs w:val="22"/>
        </w:rPr>
      </w:pPr>
    </w:p>
    <w:p w14:paraId="77F2E528" w14:textId="77777777" w:rsidR="00B66899" w:rsidRPr="00B66899" w:rsidRDefault="00B66899" w:rsidP="00B66899">
      <w:pPr>
        <w:rPr>
          <w:sz w:val="22"/>
          <w:szCs w:val="22"/>
        </w:rPr>
      </w:pPr>
      <w:r w:rsidRPr="00B66899">
        <w:rPr>
          <w:sz w:val="22"/>
          <w:szCs w:val="22"/>
        </w:rPr>
        <w:t xml:space="preserve">However, CT activities can be seen across the whole of policing. Whilst investigation occurs within ‘high policing’ areas such as the CTP network and special branches within forces, ‘low policing’ still has a key role to play. Response officers are key to deterring attacks with routine patrols of key sites, such as the ‘government secure zone’ in central London. Furthermore, neighbourhood policing is able to gather additional intelligence through its integration into communities, in particular those that are vulnerable to radicalisation and less likely to engage with policing </w:t>
      </w:r>
      <w:sdt>
        <w:sdtPr>
          <w:rPr>
            <w:sz w:val="22"/>
            <w:szCs w:val="22"/>
          </w:rPr>
          <w:id w:val="1815374096"/>
          <w:citation/>
        </w:sdtPr>
        <w:sdtContent>
          <w:r w:rsidRPr="00B66899">
            <w:rPr>
              <w:sz w:val="22"/>
              <w:szCs w:val="22"/>
            </w:rPr>
            <w:fldChar w:fldCharType="begin"/>
          </w:r>
          <w:r w:rsidRPr="00B66899">
            <w:rPr>
              <w:sz w:val="22"/>
              <w:szCs w:val="22"/>
            </w:rPr>
            <w:instrText xml:space="preserve"> CITATION Ken19 \l 2057 </w:instrText>
          </w:r>
          <w:r w:rsidRPr="00B66899">
            <w:rPr>
              <w:sz w:val="22"/>
              <w:szCs w:val="22"/>
            </w:rPr>
            <w:fldChar w:fldCharType="separate"/>
          </w:r>
          <w:r w:rsidRPr="00B66899">
            <w:rPr>
              <w:noProof/>
              <w:sz w:val="22"/>
              <w:szCs w:val="22"/>
            </w:rPr>
            <w:t>(Goldberg &amp; Christopher, 2019)</w:t>
          </w:r>
          <w:r w:rsidRPr="00B66899">
            <w:rPr>
              <w:sz w:val="22"/>
              <w:szCs w:val="22"/>
            </w:rPr>
            <w:fldChar w:fldCharType="end"/>
          </w:r>
        </w:sdtContent>
      </w:sdt>
      <w:r w:rsidRPr="00B66899">
        <w:rPr>
          <w:sz w:val="22"/>
          <w:szCs w:val="22"/>
        </w:rPr>
        <w:t xml:space="preserve">. Whilst dedicated officers are assigned as liaison with vulnerable groups such as local mosques, neighbourhood officers are also able to integrate and develop relationships with the wider community leading to better intelligence gathering and ‘community protection’ against radicalisation and terrorist planning </w:t>
      </w:r>
      <w:sdt>
        <w:sdtPr>
          <w:rPr>
            <w:sz w:val="22"/>
            <w:szCs w:val="22"/>
          </w:rPr>
          <w:id w:val="-730152960"/>
          <w:citation/>
        </w:sdtPr>
        <w:sdtContent>
          <w:r w:rsidRPr="00B66899">
            <w:rPr>
              <w:sz w:val="22"/>
              <w:szCs w:val="22"/>
            </w:rPr>
            <w:fldChar w:fldCharType="begin"/>
          </w:r>
          <w:r w:rsidRPr="00B66899">
            <w:rPr>
              <w:sz w:val="22"/>
              <w:szCs w:val="22"/>
            </w:rPr>
            <w:instrText xml:space="preserve"> CITATION Ken19 \l 2057 </w:instrText>
          </w:r>
          <w:r w:rsidRPr="00B66899">
            <w:rPr>
              <w:sz w:val="22"/>
              <w:szCs w:val="22"/>
            </w:rPr>
            <w:fldChar w:fldCharType="separate"/>
          </w:r>
          <w:r w:rsidRPr="00B66899">
            <w:rPr>
              <w:noProof/>
              <w:sz w:val="22"/>
              <w:szCs w:val="22"/>
            </w:rPr>
            <w:t>(Goldberg &amp; Christopher, 2019)</w:t>
          </w:r>
          <w:r w:rsidRPr="00B66899">
            <w:rPr>
              <w:sz w:val="22"/>
              <w:szCs w:val="22"/>
            </w:rPr>
            <w:fldChar w:fldCharType="end"/>
          </w:r>
        </w:sdtContent>
      </w:sdt>
      <w:r w:rsidRPr="00B66899">
        <w:rPr>
          <w:sz w:val="22"/>
          <w:szCs w:val="22"/>
        </w:rPr>
        <w:t xml:space="preserve">. This shows the value played by different elements of policing in contributing towards the CTP mission. </w:t>
      </w:r>
    </w:p>
    <w:p w14:paraId="3C4E34FB" w14:textId="77777777" w:rsidR="00B66899" w:rsidRPr="00B66899" w:rsidRDefault="00B66899" w:rsidP="00B66899">
      <w:pPr>
        <w:rPr>
          <w:sz w:val="22"/>
          <w:szCs w:val="22"/>
        </w:rPr>
      </w:pPr>
    </w:p>
    <w:p w14:paraId="1F5347FE" w14:textId="12796F9B" w:rsidR="00B66899" w:rsidRDefault="00B66899" w:rsidP="00B66899">
      <w:pPr>
        <w:rPr>
          <w:sz w:val="22"/>
          <w:szCs w:val="22"/>
        </w:rPr>
      </w:pPr>
      <w:r w:rsidRPr="00B66899">
        <w:rPr>
          <w:sz w:val="22"/>
          <w:szCs w:val="22"/>
        </w:rPr>
        <w:t>Overall, the UK CTP is a well-developed, active and highly successful element of UK policing. It differs from routine policing in its secretive nature, as well as its engagement with other non-police organisations such as the Security Service that play an active role in policing CT. The UK faces a broad and rapidly changing threat, but the policing of this threat has evolved and developed to counter it. This is an activity that is central to UK policing in the 21</w:t>
      </w:r>
      <w:r w:rsidRPr="00B66899">
        <w:rPr>
          <w:sz w:val="22"/>
          <w:szCs w:val="22"/>
          <w:vertAlign w:val="superscript"/>
        </w:rPr>
        <w:t>st</w:t>
      </w:r>
      <w:r w:rsidRPr="00B66899">
        <w:rPr>
          <w:sz w:val="22"/>
          <w:szCs w:val="22"/>
        </w:rPr>
        <w:t xml:space="preserve"> century. </w:t>
      </w:r>
    </w:p>
    <w:p w14:paraId="57BB5709" w14:textId="4906EA48" w:rsidR="00B66899" w:rsidRDefault="00B66899" w:rsidP="00B66899">
      <w:pPr>
        <w:rPr>
          <w:sz w:val="22"/>
          <w:szCs w:val="22"/>
        </w:rPr>
      </w:pPr>
    </w:p>
    <w:p w14:paraId="2956A938" w14:textId="0A6BF1EE" w:rsidR="00B66899" w:rsidRPr="00B66899" w:rsidRDefault="00B66899" w:rsidP="00B66899">
      <w:pPr>
        <w:rPr>
          <w:sz w:val="22"/>
          <w:szCs w:val="22"/>
        </w:rPr>
      </w:pPr>
      <w:r>
        <w:rPr>
          <w:sz w:val="22"/>
          <w:szCs w:val="22"/>
        </w:rPr>
        <w:t>Word count: 1031</w:t>
      </w:r>
    </w:p>
    <w:p w14:paraId="72FBD7E9" w14:textId="77777777" w:rsidR="00B66899" w:rsidRPr="00454735" w:rsidRDefault="00B66899" w:rsidP="00B66899">
      <w:pPr>
        <w:spacing w:line="257" w:lineRule="auto"/>
        <w:rPr>
          <w:rFonts w:ascii="Calibri" w:hAnsi="Calibri" w:cs="Calibri"/>
          <w:sz w:val="28"/>
          <w:szCs w:val="28"/>
        </w:rPr>
      </w:pPr>
    </w:p>
    <w:sdt>
      <w:sdtPr>
        <w:id w:val="1825233477"/>
        <w:bibliography/>
      </w:sdtPr>
      <w:sdtContent>
        <w:p w14:paraId="706EFC55" w14:textId="0D17B522" w:rsidR="00B66899" w:rsidRDefault="00B66899" w:rsidP="00B66899">
          <w:pPr>
            <w:pStyle w:val="Bibliography"/>
            <w:rPr>
              <w:noProof/>
              <w:lang w:val="en-US"/>
            </w:rPr>
          </w:pPr>
          <w:r>
            <w:fldChar w:fldCharType="begin"/>
          </w:r>
          <w:r>
            <w:instrText xml:space="preserve"> BIBLIOGRAPHY </w:instrText>
          </w:r>
          <w:r>
            <w:fldChar w:fldCharType="separate"/>
          </w:r>
          <w:r>
            <w:rPr>
              <w:noProof/>
              <w:lang w:val="en-US"/>
            </w:rPr>
            <w:t xml:space="preserve">CPNI, 2022. </w:t>
          </w:r>
          <w:r>
            <w:rPr>
              <w:i/>
              <w:iCs/>
              <w:noProof/>
              <w:lang w:val="en-US"/>
            </w:rPr>
            <w:t xml:space="preserve">About CPNI. </w:t>
          </w:r>
          <w:r>
            <w:rPr>
              <w:noProof/>
              <w:lang w:val="en-US"/>
            </w:rPr>
            <w:t xml:space="preserve">[Online] </w:t>
          </w:r>
          <w:r>
            <w:rPr>
              <w:noProof/>
              <w:lang w:val="en-US"/>
            </w:rPr>
            <w:t xml:space="preserve">Available at: </w:t>
          </w:r>
          <w:r>
            <w:rPr>
              <w:noProof/>
              <w:u w:val="single"/>
              <w:lang w:val="en-US"/>
            </w:rPr>
            <w:t>https://www.cpni.gov.uk/about-cpni</w:t>
          </w:r>
          <w:r>
            <w:rPr>
              <w:noProof/>
              <w:lang w:val="en-US"/>
            </w:rPr>
            <w:t xml:space="preserve"> </w:t>
          </w:r>
          <w:r>
            <w:rPr>
              <w:noProof/>
              <w:lang w:val="en-US"/>
            </w:rPr>
            <w:t>[Accessed 15 2 2022].</w:t>
          </w:r>
        </w:p>
        <w:p w14:paraId="618C9CA3" w14:textId="77777777" w:rsidR="00B66899" w:rsidRPr="00B66899" w:rsidRDefault="00B66899" w:rsidP="00B66899">
          <w:pPr>
            <w:rPr>
              <w:lang w:val="en-US"/>
            </w:rPr>
          </w:pPr>
        </w:p>
        <w:p w14:paraId="6CD34EA0" w14:textId="3071EFD9" w:rsidR="00B66899" w:rsidRDefault="00B66899" w:rsidP="00B66899">
          <w:pPr>
            <w:pStyle w:val="Bibliography"/>
            <w:rPr>
              <w:noProof/>
              <w:lang w:val="en-US"/>
            </w:rPr>
          </w:pPr>
          <w:r>
            <w:rPr>
              <w:noProof/>
              <w:lang w:val="en-US"/>
            </w:rPr>
            <w:t xml:space="preserve">Goldberg, K. &amp; Christopher, K., 2019. Community orientated policing: security in the domestic counter-terrorism environment. </w:t>
          </w:r>
          <w:r>
            <w:rPr>
              <w:i/>
              <w:iCs/>
              <w:noProof/>
              <w:lang w:val="en-US"/>
            </w:rPr>
            <w:t xml:space="preserve">Journal of Business and Behavioural Sciences, </w:t>
          </w:r>
          <w:r>
            <w:rPr>
              <w:noProof/>
              <w:lang w:val="en-US"/>
            </w:rPr>
            <w:t>31(1), pp. 114-124.</w:t>
          </w:r>
        </w:p>
        <w:p w14:paraId="1E0B2A08" w14:textId="77777777" w:rsidR="00B66899" w:rsidRPr="00B66899" w:rsidRDefault="00B66899" w:rsidP="00B66899">
          <w:pPr>
            <w:rPr>
              <w:lang w:val="en-US"/>
            </w:rPr>
          </w:pPr>
        </w:p>
        <w:p w14:paraId="017C32CF" w14:textId="77777777" w:rsidR="00B66899" w:rsidRDefault="00B66899" w:rsidP="00B66899">
          <w:pPr>
            <w:pStyle w:val="Bibliography"/>
            <w:rPr>
              <w:noProof/>
              <w:lang w:val="en-US"/>
            </w:rPr>
          </w:pPr>
          <w:r>
            <w:rPr>
              <w:noProof/>
              <w:lang w:val="en-US"/>
            </w:rPr>
            <w:t xml:space="preserve">HM Government, 2018. </w:t>
          </w:r>
          <w:r>
            <w:rPr>
              <w:i/>
              <w:iCs/>
              <w:noProof/>
              <w:lang w:val="en-US"/>
            </w:rPr>
            <w:t xml:space="preserve">Contest: The United Kingdom's strategy for countering terrorism, </w:t>
          </w:r>
          <w:r>
            <w:rPr>
              <w:noProof/>
              <w:lang w:val="en-US"/>
            </w:rPr>
            <w:t>London: Home Office.</w:t>
          </w:r>
        </w:p>
        <w:p w14:paraId="14B5EB38" w14:textId="2D583259" w:rsidR="00B66899" w:rsidRDefault="00B66899" w:rsidP="00B66899">
          <w:pPr>
            <w:pStyle w:val="Bibliography"/>
            <w:rPr>
              <w:noProof/>
              <w:lang w:val="en-US"/>
            </w:rPr>
          </w:pPr>
          <w:r>
            <w:rPr>
              <w:noProof/>
              <w:lang w:val="en-US"/>
            </w:rPr>
            <w:t xml:space="preserve">Innes, M. &amp; Thiel, D., 2008. Policing terror. In: T. Newburn, ed. </w:t>
          </w:r>
          <w:r>
            <w:rPr>
              <w:i/>
              <w:iCs/>
              <w:noProof/>
              <w:lang w:val="en-US"/>
            </w:rPr>
            <w:t xml:space="preserve">The Handbook of Policing. </w:t>
          </w:r>
          <w:r>
            <w:rPr>
              <w:noProof/>
              <w:lang w:val="en-US"/>
            </w:rPr>
            <w:t>London: Willan Publishing, pp. 553-579.</w:t>
          </w:r>
        </w:p>
        <w:p w14:paraId="2B905813" w14:textId="77777777" w:rsidR="00B66899" w:rsidRPr="00B66899" w:rsidRDefault="00B66899" w:rsidP="00B66899">
          <w:pPr>
            <w:rPr>
              <w:lang w:val="en-US"/>
            </w:rPr>
          </w:pPr>
        </w:p>
        <w:p w14:paraId="220D89C8" w14:textId="28C97217" w:rsidR="00B66899" w:rsidRDefault="00B66899" w:rsidP="00B66899">
          <w:pPr>
            <w:pStyle w:val="Bibliography"/>
            <w:rPr>
              <w:noProof/>
              <w:lang w:val="en-US"/>
            </w:rPr>
          </w:pPr>
          <w:r>
            <w:rPr>
              <w:noProof/>
              <w:lang w:val="en-US"/>
            </w:rPr>
            <w:t xml:space="preserve">NPCC, 2022. </w:t>
          </w:r>
          <w:r>
            <w:rPr>
              <w:i/>
              <w:iCs/>
              <w:noProof/>
              <w:lang w:val="en-US"/>
            </w:rPr>
            <w:t xml:space="preserve">Terrorism in the UK. </w:t>
          </w:r>
          <w:r>
            <w:rPr>
              <w:noProof/>
              <w:lang w:val="en-US"/>
            </w:rPr>
            <w:t xml:space="preserve">[Online] </w:t>
          </w:r>
          <w:r>
            <w:rPr>
              <w:noProof/>
              <w:lang w:val="en-US"/>
            </w:rPr>
            <w:t xml:space="preserve">Available at: </w:t>
          </w:r>
          <w:r>
            <w:rPr>
              <w:noProof/>
              <w:u w:val="single"/>
              <w:lang w:val="en-US"/>
            </w:rPr>
            <w:t>https://www.npcc.police.uk/CounterTerrorism/HomePage.aspx</w:t>
          </w:r>
          <w:r>
            <w:rPr>
              <w:noProof/>
              <w:lang w:val="en-US"/>
            </w:rPr>
            <w:t xml:space="preserve"> </w:t>
          </w:r>
          <w:r>
            <w:rPr>
              <w:noProof/>
              <w:lang w:val="en-US"/>
            </w:rPr>
            <w:t>[Accessed 15 2 2022].</w:t>
          </w:r>
        </w:p>
        <w:p w14:paraId="532AA70F" w14:textId="77777777" w:rsidR="00B66899" w:rsidRPr="00B66899" w:rsidRDefault="00B66899" w:rsidP="00B66899">
          <w:pPr>
            <w:rPr>
              <w:lang w:val="en-US"/>
            </w:rPr>
          </w:pPr>
        </w:p>
        <w:p w14:paraId="7C6B72BD" w14:textId="3D58919E" w:rsidR="00B66899" w:rsidRPr="00B66899" w:rsidRDefault="00B66899" w:rsidP="00B66899">
          <w:pPr>
            <w:pStyle w:val="Bibliography"/>
            <w:rPr>
              <w:noProof/>
              <w:sz w:val="22"/>
              <w:lang w:val="en-US"/>
            </w:rPr>
          </w:pPr>
          <w:r>
            <w:rPr>
              <w:noProof/>
              <w:lang w:val="en-US"/>
            </w:rPr>
            <w:t xml:space="preserve">Security Service, 2022. </w:t>
          </w:r>
          <w:r>
            <w:rPr>
              <w:i/>
              <w:iCs/>
              <w:noProof/>
              <w:lang w:val="en-US"/>
            </w:rPr>
            <w:t xml:space="preserve">MI5: What we do. </w:t>
          </w:r>
          <w:r>
            <w:rPr>
              <w:noProof/>
              <w:lang w:val="en-US"/>
            </w:rPr>
            <w:t xml:space="preserve">[Online]  </w:t>
          </w:r>
          <w:r>
            <w:rPr>
              <w:noProof/>
              <w:lang w:val="en-US"/>
            </w:rPr>
            <w:t xml:space="preserve">Available at: </w:t>
          </w:r>
          <w:r>
            <w:rPr>
              <w:noProof/>
              <w:u w:val="single"/>
              <w:lang w:val="en-US"/>
            </w:rPr>
            <w:t>https://www.mi5.gov.uk/what-we-do</w:t>
          </w:r>
          <w:r>
            <w:rPr>
              <w:noProof/>
              <w:lang w:val="en-US"/>
            </w:rPr>
            <w:br/>
            <w:t>[Accessed 15 2 2022].</w:t>
          </w:r>
        </w:p>
        <w:p w14:paraId="411DC43E" w14:textId="77777777" w:rsidR="00B66899" w:rsidRDefault="00B66899" w:rsidP="00B66899">
          <w:r>
            <w:rPr>
              <w:b/>
              <w:bCs/>
              <w:noProof/>
            </w:rPr>
            <w:fldChar w:fldCharType="end"/>
          </w:r>
        </w:p>
      </w:sdtContent>
    </w:sdt>
    <w:p w14:paraId="509CAF37" w14:textId="482A63B7" w:rsidR="00B66899" w:rsidRDefault="00B66899" w:rsidP="00B66899">
      <w:pPr>
        <w:contextualSpacing/>
        <w:rPr>
          <w:rFonts w:ascii="Calibri" w:hAnsi="Calibri" w:cs="Calibri"/>
          <w:sz w:val="28"/>
          <w:szCs w:val="28"/>
        </w:rPr>
      </w:pPr>
    </w:p>
    <w:p w14:paraId="1D404F4E" w14:textId="472F256C" w:rsidR="00B66899" w:rsidRDefault="00B66899" w:rsidP="00B66899">
      <w:pPr>
        <w:contextualSpacing/>
        <w:rPr>
          <w:rFonts w:ascii="Calibri" w:hAnsi="Calibri" w:cs="Calibri"/>
          <w:sz w:val="28"/>
          <w:szCs w:val="28"/>
        </w:rPr>
      </w:pPr>
    </w:p>
    <w:p w14:paraId="76BB8203" w14:textId="09D73AFC" w:rsidR="00B66899" w:rsidRDefault="00B66899" w:rsidP="00B66899">
      <w:pPr>
        <w:contextualSpacing/>
        <w:rPr>
          <w:rFonts w:ascii="Calibri" w:hAnsi="Calibri" w:cs="Calibri"/>
          <w:sz w:val="28"/>
          <w:szCs w:val="28"/>
        </w:rPr>
      </w:pPr>
    </w:p>
    <w:p w14:paraId="20FE8E32" w14:textId="60A1D3ED" w:rsidR="00B66899" w:rsidRDefault="00B66899" w:rsidP="00B66899">
      <w:pPr>
        <w:contextualSpacing/>
        <w:rPr>
          <w:rFonts w:ascii="Calibri" w:hAnsi="Calibri" w:cs="Calibri"/>
          <w:sz w:val="28"/>
          <w:szCs w:val="28"/>
        </w:rPr>
      </w:pPr>
    </w:p>
    <w:p w14:paraId="3B4C1B0B" w14:textId="71B636B5" w:rsidR="00B66899" w:rsidRDefault="00B66899" w:rsidP="00B66899">
      <w:pPr>
        <w:contextualSpacing/>
        <w:rPr>
          <w:rFonts w:ascii="Calibri" w:hAnsi="Calibri" w:cs="Calibri"/>
          <w:sz w:val="28"/>
          <w:szCs w:val="28"/>
        </w:rPr>
      </w:pPr>
    </w:p>
    <w:p w14:paraId="765DA30E" w14:textId="0145401C" w:rsidR="00B66899" w:rsidRDefault="00B66899" w:rsidP="00B66899">
      <w:pPr>
        <w:contextualSpacing/>
        <w:rPr>
          <w:rFonts w:ascii="Calibri" w:hAnsi="Calibri" w:cs="Calibri"/>
          <w:sz w:val="28"/>
          <w:szCs w:val="28"/>
        </w:rPr>
      </w:pPr>
    </w:p>
    <w:p w14:paraId="58B91490" w14:textId="4F56C077" w:rsidR="00B66899" w:rsidRDefault="00B66899" w:rsidP="00B66899">
      <w:pPr>
        <w:contextualSpacing/>
        <w:rPr>
          <w:rFonts w:ascii="Calibri" w:hAnsi="Calibri" w:cs="Calibri"/>
          <w:sz w:val="28"/>
          <w:szCs w:val="28"/>
        </w:rPr>
      </w:pPr>
    </w:p>
    <w:p w14:paraId="4E22669A" w14:textId="18C705D4" w:rsidR="00B66899" w:rsidRDefault="00B66899" w:rsidP="00B66899">
      <w:pPr>
        <w:contextualSpacing/>
        <w:rPr>
          <w:rFonts w:ascii="Calibri" w:hAnsi="Calibri" w:cs="Calibri"/>
          <w:sz w:val="28"/>
          <w:szCs w:val="28"/>
        </w:rPr>
      </w:pPr>
    </w:p>
    <w:p w14:paraId="26374E5D" w14:textId="32C6100A" w:rsidR="00B66899" w:rsidRDefault="00B66899" w:rsidP="00B66899">
      <w:pPr>
        <w:contextualSpacing/>
        <w:rPr>
          <w:rFonts w:ascii="Calibri" w:hAnsi="Calibri" w:cs="Calibri"/>
          <w:sz w:val="28"/>
          <w:szCs w:val="28"/>
        </w:rPr>
      </w:pPr>
    </w:p>
    <w:p w14:paraId="736229B2" w14:textId="17E6783E" w:rsidR="00B66899" w:rsidRDefault="00B66899" w:rsidP="00B66899">
      <w:pPr>
        <w:contextualSpacing/>
        <w:rPr>
          <w:rFonts w:ascii="Calibri" w:hAnsi="Calibri" w:cs="Calibri"/>
          <w:sz w:val="28"/>
          <w:szCs w:val="28"/>
        </w:rPr>
      </w:pPr>
    </w:p>
    <w:p w14:paraId="7F9FAF9F" w14:textId="2C216372" w:rsidR="00B66899" w:rsidRDefault="00B66899" w:rsidP="00B66899">
      <w:pPr>
        <w:contextualSpacing/>
        <w:rPr>
          <w:rFonts w:ascii="Calibri" w:hAnsi="Calibri" w:cs="Calibri"/>
          <w:sz w:val="28"/>
          <w:szCs w:val="28"/>
        </w:rPr>
      </w:pPr>
    </w:p>
    <w:p w14:paraId="17F0C97C" w14:textId="0B6E4EF3" w:rsidR="00B66899" w:rsidRDefault="00B66899" w:rsidP="00B66899">
      <w:pPr>
        <w:contextualSpacing/>
        <w:rPr>
          <w:rFonts w:ascii="Calibri" w:hAnsi="Calibri" w:cs="Calibri"/>
          <w:sz w:val="28"/>
          <w:szCs w:val="28"/>
        </w:rPr>
      </w:pPr>
    </w:p>
    <w:p w14:paraId="21D77CE6" w14:textId="62DF3501" w:rsidR="00B66899" w:rsidRDefault="00B66899" w:rsidP="00B66899">
      <w:pPr>
        <w:contextualSpacing/>
        <w:rPr>
          <w:rFonts w:ascii="Calibri" w:hAnsi="Calibri" w:cs="Calibri"/>
          <w:sz w:val="28"/>
          <w:szCs w:val="28"/>
        </w:rPr>
      </w:pPr>
    </w:p>
    <w:p w14:paraId="28016312" w14:textId="58427F1B" w:rsidR="00B66899" w:rsidRDefault="00B66899" w:rsidP="00B66899">
      <w:pPr>
        <w:contextualSpacing/>
        <w:rPr>
          <w:rFonts w:ascii="Calibri" w:hAnsi="Calibri" w:cs="Calibri"/>
          <w:sz w:val="28"/>
          <w:szCs w:val="28"/>
        </w:rPr>
      </w:pPr>
    </w:p>
    <w:p w14:paraId="0A131949" w14:textId="19BDBD45" w:rsidR="00B66899" w:rsidRDefault="00B66899" w:rsidP="00B66899">
      <w:pPr>
        <w:contextualSpacing/>
        <w:rPr>
          <w:rFonts w:ascii="Calibri" w:hAnsi="Calibri" w:cs="Calibri"/>
          <w:sz w:val="28"/>
          <w:szCs w:val="28"/>
        </w:rPr>
      </w:pPr>
    </w:p>
    <w:p w14:paraId="1F12B8F0" w14:textId="2C4DA3DC" w:rsidR="00B66899" w:rsidRDefault="00B66899" w:rsidP="00B66899">
      <w:pPr>
        <w:contextualSpacing/>
        <w:rPr>
          <w:rFonts w:ascii="Calibri" w:hAnsi="Calibri" w:cs="Calibri"/>
          <w:sz w:val="28"/>
          <w:szCs w:val="28"/>
        </w:rPr>
      </w:pPr>
    </w:p>
    <w:p w14:paraId="3993EC24" w14:textId="77777777" w:rsidR="00B66899" w:rsidRDefault="00B66899" w:rsidP="00B66899">
      <w:pPr>
        <w:contextualSpacing/>
        <w:rPr>
          <w:rFonts w:ascii="Calibri" w:hAnsi="Calibri" w:cs="Calibri"/>
          <w:sz w:val="28"/>
          <w:szCs w:val="28"/>
        </w:rPr>
      </w:pPr>
    </w:p>
    <w:p w14:paraId="147C4534" w14:textId="19844A9A" w:rsidR="00B66899" w:rsidRDefault="00B66899" w:rsidP="00B66899">
      <w:pPr>
        <w:contextualSpacing/>
        <w:rPr>
          <w:rFonts w:ascii="Calibri" w:hAnsi="Calibri" w:cs="Calibri"/>
          <w:sz w:val="28"/>
          <w:szCs w:val="28"/>
        </w:rPr>
      </w:pPr>
    </w:p>
    <w:p w14:paraId="032EA36E" w14:textId="2F407041" w:rsidR="00F52AB3" w:rsidRDefault="00F52AB3" w:rsidP="00B66899">
      <w:pPr>
        <w:contextualSpacing/>
        <w:rPr>
          <w:rFonts w:ascii="Calibri" w:hAnsi="Calibri" w:cs="Calibri"/>
          <w:sz w:val="28"/>
          <w:szCs w:val="28"/>
        </w:rPr>
      </w:pPr>
    </w:p>
    <w:p w14:paraId="561F376B" w14:textId="069DF17F" w:rsidR="00F52AB3" w:rsidRDefault="00F52AB3" w:rsidP="00B66899">
      <w:pPr>
        <w:contextualSpacing/>
        <w:rPr>
          <w:rFonts w:ascii="Calibri" w:hAnsi="Calibri" w:cs="Calibri"/>
          <w:sz w:val="28"/>
          <w:szCs w:val="28"/>
        </w:rPr>
      </w:pPr>
    </w:p>
    <w:p w14:paraId="74463EA5" w14:textId="77777777" w:rsidR="00F52AB3" w:rsidRDefault="00F52AB3" w:rsidP="00B66899">
      <w:pPr>
        <w:contextualSpacing/>
        <w:rPr>
          <w:rFonts w:ascii="Calibri" w:hAnsi="Calibri" w:cs="Calibri"/>
          <w:sz w:val="28"/>
          <w:szCs w:val="28"/>
        </w:rPr>
      </w:pPr>
    </w:p>
    <w:p w14:paraId="1DCAD459" w14:textId="72D2164F" w:rsidR="00B66899" w:rsidRDefault="00B66899" w:rsidP="00B66899">
      <w:pPr>
        <w:contextualSpacing/>
        <w:rPr>
          <w:rFonts w:ascii="Calibri" w:hAnsi="Calibri" w:cs="Calibri"/>
          <w:sz w:val="28"/>
          <w:szCs w:val="28"/>
        </w:rPr>
      </w:pPr>
    </w:p>
    <w:p w14:paraId="00AEB822" w14:textId="77777777" w:rsidR="00F52AB3" w:rsidRPr="00B66899" w:rsidRDefault="00F52AB3" w:rsidP="00B66899">
      <w:pPr>
        <w:contextualSpacing/>
        <w:rPr>
          <w:rFonts w:ascii="Calibri" w:hAnsi="Calibri" w:cs="Calibri"/>
          <w:sz w:val="28"/>
          <w:szCs w:val="28"/>
        </w:rPr>
      </w:pPr>
    </w:p>
    <w:p w14:paraId="01C83E3F" w14:textId="77777777" w:rsidR="00454735" w:rsidRPr="00B66899" w:rsidRDefault="00454735" w:rsidP="00454735">
      <w:pPr>
        <w:spacing w:line="257" w:lineRule="auto"/>
        <w:rPr>
          <w:sz w:val="22"/>
          <w:szCs w:val="22"/>
        </w:rPr>
      </w:pPr>
      <w:r w:rsidRPr="00B66899">
        <w:rPr>
          <w:rFonts w:eastAsia="Calibri"/>
          <w:b/>
          <w:bCs/>
          <w:sz w:val="22"/>
          <w:szCs w:val="22"/>
        </w:rPr>
        <w:t>1000 words - Information and Intelligence/Communication Skills</w:t>
      </w:r>
    </w:p>
    <w:p w14:paraId="7A0897C7" w14:textId="09A11CDF" w:rsidR="00454735" w:rsidRDefault="00454735" w:rsidP="00454735">
      <w:pPr>
        <w:spacing w:line="257" w:lineRule="auto"/>
        <w:rPr>
          <w:rFonts w:eastAsia="Calibri"/>
          <w:sz w:val="22"/>
          <w:szCs w:val="22"/>
        </w:rPr>
      </w:pPr>
      <w:r w:rsidRPr="00B66899">
        <w:rPr>
          <w:rFonts w:eastAsia="Calibri"/>
          <w:sz w:val="22"/>
          <w:szCs w:val="22"/>
        </w:rPr>
        <w:t xml:space="preserve">Critically evaluate the methods used by police in gathering information and intelligence, how information contributes to the ‘tasking and coordinating’ process and how information and intelligence is communicated. </w:t>
      </w:r>
    </w:p>
    <w:p w14:paraId="04DD4133" w14:textId="77777777" w:rsidR="00F52AB3" w:rsidRPr="00B66899" w:rsidRDefault="00F52AB3" w:rsidP="00454735">
      <w:pPr>
        <w:spacing w:line="257" w:lineRule="auto"/>
        <w:rPr>
          <w:rFonts w:eastAsia="Calibri"/>
          <w:sz w:val="22"/>
          <w:szCs w:val="22"/>
        </w:rPr>
      </w:pPr>
    </w:p>
    <w:p w14:paraId="04D8E938" w14:textId="1077CECE" w:rsidR="00B66899" w:rsidRPr="00B66899" w:rsidRDefault="00B66899" w:rsidP="00454735">
      <w:pPr>
        <w:spacing w:line="257" w:lineRule="auto"/>
        <w:rPr>
          <w:rFonts w:eastAsia="Calibri"/>
          <w:sz w:val="22"/>
          <w:szCs w:val="22"/>
        </w:rPr>
      </w:pPr>
    </w:p>
    <w:p w14:paraId="06F01D85" w14:textId="77777777" w:rsidR="00B66899" w:rsidRPr="00B66899" w:rsidRDefault="00B66899" w:rsidP="00B66899">
      <w:pPr>
        <w:rPr>
          <w:sz w:val="22"/>
          <w:szCs w:val="22"/>
        </w:rPr>
      </w:pPr>
      <w:r w:rsidRPr="00B66899">
        <w:rPr>
          <w:sz w:val="22"/>
          <w:szCs w:val="22"/>
        </w:rPr>
        <w:t xml:space="preserve">The collection, analysis and dissemination of intelligence is a key part of policing. Intelligence has been considered to be an important part of how policing is conducted for a substantial period of time, but a recent trend towards intelligence-led policing has placed it firmly at the centre of the business </w:t>
      </w:r>
      <w:sdt>
        <w:sdtPr>
          <w:rPr>
            <w:sz w:val="22"/>
            <w:szCs w:val="22"/>
          </w:rPr>
          <w:id w:val="-1979906627"/>
          <w:citation/>
        </w:sdtPr>
        <w:sdtContent>
          <w:r w:rsidRPr="00B66899">
            <w:rPr>
              <w:sz w:val="22"/>
              <w:szCs w:val="22"/>
            </w:rPr>
            <w:fldChar w:fldCharType="begin"/>
          </w:r>
          <w:r w:rsidRPr="00B66899">
            <w:rPr>
              <w:sz w:val="22"/>
              <w:szCs w:val="22"/>
            </w:rPr>
            <w:instrText xml:space="preserve"> CITATION Adr17 \l 2057 </w:instrText>
          </w:r>
          <w:r w:rsidRPr="00B66899">
            <w:rPr>
              <w:sz w:val="22"/>
              <w:szCs w:val="22"/>
            </w:rPr>
            <w:fldChar w:fldCharType="separate"/>
          </w:r>
          <w:r w:rsidRPr="00B66899">
            <w:rPr>
              <w:noProof/>
              <w:sz w:val="22"/>
              <w:szCs w:val="22"/>
            </w:rPr>
            <w:t>(James, et al., 2017)</w:t>
          </w:r>
          <w:r w:rsidRPr="00B66899">
            <w:rPr>
              <w:sz w:val="22"/>
              <w:szCs w:val="22"/>
            </w:rPr>
            <w:fldChar w:fldCharType="end"/>
          </w:r>
        </w:sdtContent>
      </w:sdt>
      <w:r w:rsidRPr="00B66899">
        <w:rPr>
          <w:sz w:val="22"/>
          <w:szCs w:val="22"/>
        </w:rPr>
        <w:t xml:space="preserve">. This essay critically evaluates how intelligence is gathered and analysed, how it influences the tasking and coordination process and how information and intelligence is communicated. </w:t>
      </w:r>
    </w:p>
    <w:p w14:paraId="44A92C5E" w14:textId="77777777" w:rsidR="00B66899" w:rsidRPr="00B66899" w:rsidRDefault="00B66899" w:rsidP="00B66899">
      <w:pPr>
        <w:rPr>
          <w:sz w:val="22"/>
          <w:szCs w:val="22"/>
        </w:rPr>
      </w:pPr>
    </w:p>
    <w:p w14:paraId="2917DCB4" w14:textId="77777777" w:rsidR="00B66899" w:rsidRPr="00B66899" w:rsidRDefault="00B66899" w:rsidP="00B66899">
      <w:pPr>
        <w:rPr>
          <w:sz w:val="22"/>
          <w:szCs w:val="22"/>
        </w:rPr>
      </w:pPr>
      <w:r w:rsidRPr="00B66899">
        <w:rPr>
          <w:sz w:val="22"/>
          <w:szCs w:val="22"/>
        </w:rPr>
        <w:t xml:space="preserve">There is a long history of the use of intelligence within policing. James et. al., (2017) trace this back to the creation of the Special Irish Branch of the Metropolitan Police in 1883 who were tasked with combatting Irish extremism. Throughout most of its history however, intelligence has been confined to the more specialist elements of policing. Only in recent decades has intelligence use made its way into mainstream policing as a cornerstone of police work </w:t>
      </w:r>
      <w:sdt>
        <w:sdtPr>
          <w:rPr>
            <w:sz w:val="22"/>
            <w:szCs w:val="22"/>
          </w:rPr>
          <w:id w:val="-1763605139"/>
          <w:citation/>
        </w:sdtPr>
        <w:sdtContent>
          <w:r w:rsidRPr="00B66899">
            <w:rPr>
              <w:sz w:val="22"/>
              <w:szCs w:val="22"/>
            </w:rPr>
            <w:fldChar w:fldCharType="begin"/>
          </w:r>
          <w:r w:rsidRPr="00B66899">
            <w:rPr>
              <w:sz w:val="22"/>
              <w:szCs w:val="22"/>
            </w:rPr>
            <w:instrText xml:space="preserve"> CITATION Tim07 \l 2057  \m Adr17</w:instrText>
          </w:r>
          <w:r w:rsidRPr="00B66899">
            <w:rPr>
              <w:sz w:val="22"/>
              <w:szCs w:val="22"/>
            </w:rPr>
            <w:fldChar w:fldCharType="separate"/>
          </w:r>
          <w:r w:rsidRPr="00B66899">
            <w:rPr>
              <w:noProof/>
              <w:sz w:val="22"/>
              <w:szCs w:val="22"/>
            </w:rPr>
            <w:t>(John &amp; Maguire, 2007; James, et al., 2017)</w:t>
          </w:r>
          <w:r w:rsidRPr="00B66899">
            <w:rPr>
              <w:sz w:val="22"/>
              <w:szCs w:val="22"/>
            </w:rPr>
            <w:fldChar w:fldCharType="end"/>
          </w:r>
        </w:sdtContent>
      </w:sdt>
      <w:r w:rsidRPr="00B66899">
        <w:rPr>
          <w:sz w:val="22"/>
          <w:szCs w:val="22"/>
        </w:rPr>
        <w:t xml:space="preserve">. Intelligence is considered in both police and academic literature to be notably different from information. Innes and Sheptycki (2004, p.6), define information as “bits of data that, when combined and viewed together with relevant background knowledge, may be used to produce intelligence”. Information is data which is gathered from multiple different sources and collated. However, as suggested by Innes and Sheptycki (2004), in order to become intelligence, information must be processed and analysed to produce an output. Whilst this appears to be a clear delineation, the increasing use of high-technology collection methods means that much information gathered could be considered to be ‘covert’ intelligence, rather than simply information. This is because the nature of the sources such as covert audio and visual recording, telecoms interception and so on means that this data is already more refined than general information </w:t>
      </w:r>
      <w:sdt>
        <w:sdtPr>
          <w:rPr>
            <w:sz w:val="22"/>
            <w:szCs w:val="22"/>
          </w:rPr>
          <w:id w:val="160203871"/>
          <w:citation/>
        </w:sdtPr>
        <w:sdtContent>
          <w:r w:rsidRPr="00B66899">
            <w:rPr>
              <w:sz w:val="22"/>
              <w:szCs w:val="22"/>
            </w:rPr>
            <w:fldChar w:fldCharType="begin"/>
          </w:r>
          <w:r w:rsidRPr="00B66899">
            <w:rPr>
              <w:sz w:val="22"/>
              <w:szCs w:val="22"/>
            </w:rPr>
            <w:instrText xml:space="preserve"> CITATION Tim07 \l 2057 </w:instrText>
          </w:r>
          <w:r w:rsidRPr="00B66899">
            <w:rPr>
              <w:sz w:val="22"/>
              <w:szCs w:val="22"/>
            </w:rPr>
            <w:fldChar w:fldCharType="separate"/>
          </w:r>
          <w:r w:rsidRPr="00B66899">
            <w:rPr>
              <w:noProof/>
              <w:sz w:val="22"/>
              <w:szCs w:val="22"/>
            </w:rPr>
            <w:t>(John &amp; Maguire, 2007)</w:t>
          </w:r>
          <w:r w:rsidRPr="00B66899">
            <w:rPr>
              <w:sz w:val="22"/>
              <w:szCs w:val="22"/>
            </w:rPr>
            <w:fldChar w:fldCharType="end"/>
          </w:r>
        </w:sdtContent>
      </w:sdt>
      <w:r w:rsidRPr="00B66899">
        <w:rPr>
          <w:sz w:val="22"/>
          <w:szCs w:val="22"/>
        </w:rPr>
        <w:t xml:space="preserve">. </w:t>
      </w:r>
    </w:p>
    <w:p w14:paraId="137AB4F8" w14:textId="77777777" w:rsidR="00B66899" w:rsidRPr="00B66899" w:rsidRDefault="00B66899" w:rsidP="00B66899">
      <w:pPr>
        <w:rPr>
          <w:sz w:val="22"/>
          <w:szCs w:val="22"/>
        </w:rPr>
      </w:pPr>
    </w:p>
    <w:p w14:paraId="657D3DD2" w14:textId="77777777" w:rsidR="00B66899" w:rsidRPr="00B66899" w:rsidRDefault="00B66899" w:rsidP="00B66899">
      <w:pPr>
        <w:rPr>
          <w:sz w:val="22"/>
          <w:szCs w:val="22"/>
        </w:rPr>
      </w:pPr>
      <w:r w:rsidRPr="00B66899">
        <w:rPr>
          <w:sz w:val="22"/>
          <w:szCs w:val="22"/>
        </w:rPr>
        <w:t xml:space="preserve">As indicated, information and intelligence for policing purposes is gathered from a wide variety of sources. These include technical means such as communications intercept, access to databases and repositories of information such as call data as well as more traditional human intelligence in the form of Covert Human Intelligence Sources (CHIS) managed by local police source units and information gathered by frontline police officers </w:t>
      </w:r>
      <w:sdt>
        <w:sdtPr>
          <w:rPr>
            <w:sz w:val="22"/>
            <w:szCs w:val="22"/>
          </w:rPr>
          <w:id w:val="-1722974200"/>
          <w:citation/>
        </w:sdtPr>
        <w:sdtContent>
          <w:r w:rsidRPr="00B66899">
            <w:rPr>
              <w:sz w:val="22"/>
              <w:szCs w:val="22"/>
            </w:rPr>
            <w:fldChar w:fldCharType="begin"/>
          </w:r>
          <w:r w:rsidRPr="00B66899">
            <w:rPr>
              <w:sz w:val="22"/>
              <w:szCs w:val="22"/>
            </w:rPr>
            <w:instrText xml:space="preserve"> CITATION Tim07 \l 2057 </w:instrText>
          </w:r>
          <w:r w:rsidRPr="00B66899">
            <w:rPr>
              <w:sz w:val="22"/>
              <w:szCs w:val="22"/>
            </w:rPr>
            <w:fldChar w:fldCharType="separate"/>
          </w:r>
          <w:r w:rsidRPr="00B66899">
            <w:rPr>
              <w:noProof/>
              <w:sz w:val="22"/>
              <w:szCs w:val="22"/>
            </w:rPr>
            <w:t>(John &amp; Maguire, 2007)</w:t>
          </w:r>
          <w:r w:rsidRPr="00B66899">
            <w:rPr>
              <w:sz w:val="22"/>
              <w:szCs w:val="22"/>
            </w:rPr>
            <w:fldChar w:fldCharType="end"/>
          </w:r>
        </w:sdtContent>
      </w:sdt>
      <w:r w:rsidRPr="00B66899">
        <w:rPr>
          <w:sz w:val="22"/>
          <w:szCs w:val="22"/>
        </w:rPr>
        <w:t xml:space="preserve">. Information is processed and becomes intelligence primarily through the standardised ‘3x5x2’ model </w:t>
      </w:r>
      <w:sdt>
        <w:sdtPr>
          <w:rPr>
            <w:sz w:val="22"/>
            <w:szCs w:val="22"/>
          </w:rPr>
          <w:id w:val="1743445613"/>
          <w:citation/>
        </w:sdtPr>
        <w:sdtContent>
          <w:r w:rsidRPr="00B66899">
            <w:rPr>
              <w:sz w:val="22"/>
              <w:szCs w:val="22"/>
            </w:rPr>
            <w:fldChar w:fldCharType="begin"/>
          </w:r>
          <w:r w:rsidRPr="00B66899">
            <w:rPr>
              <w:sz w:val="22"/>
              <w:szCs w:val="22"/>
            </w:rPr>
            <w:instrText xml:space="preserve">CITATION Col152 \l 2057 </w:instrText>
          </w:r>
          <w:r w:rsidRPr="00B66899">
            <w:rPr>
              <w:sz w:val="22"/>
              <w:szCs w:val="22"/>
            </w:rPr>
            <w:fldChar w:fldCharType="separate"/>
          </w:r>
          <w:r w:rsidRPr="00B66899">
            <w:rPr>
              <w:noProof/>
              <w:sz w:val="22"/>
              <w:szCs w:val="22"/>
            </w:rPr>
            <w:t>(College of Policing, 2022)</w:t>
          </w:r>
          <w:r w:rsidRPr="00B66899">
            <w:rPr>
              <w:sz w:val="22"/>
              <w:szCs w:val="22"/>
            </w:rPr>
            <w:fldChar w:fldCharType="end"/>
          </w:r>
        </w:sdtContent>
      </w:sdt>
      <w:r w:rsidRPr="00B66899">
        <w:rPr>
          <w:sz w:val="22"/>
          <w:szCs w:val="22"/>
        </w:rPr>
        <w:t xml:space="preserve">. This model is devised to create a uniform and nationally applicable method of evaluating intelligence. The first part of the model is the ‘source evaluation’. This refers to an assessment of the credibility of the source that has provided the information. Following this, an assessment of the intelligence is made and this looks at whether the information is known directly to the source or is indirect knowledge, and whether it is corroborated by other intelligence streams. Finally, the intelligence is assigned a handling code, which details how the intelligence should be disseminated and controlled </w:t>
      </w:r>
      <w:sdt>
        <w:sdtPr>
          <w:rPr>
            <w:sz w:val="22"/>
            <w:szCs w:val="22"/>
          </w:rPr>
          <w:id w:val="1105085481"/>
          <w:citation/>
        </w:sdtPr>
        <w:sdtContent>
          <w:r w:rsidRPr="00B66899">
            <w:rPr>
              <w:sz w:val="22"/>
              <w:szCs w:val="22"/>
            </w:rPr>
            <w:fldChar w:fldCharType="begin"/>
          </w:r>
          <w:r w:rsidRPr="00B66899">
            <w:rPr>
              <w:sz w:val="22"/>
              <w:szCs w:val="22"/>
            </w:rPr>
            <w:instrText xml:space="preserve"> CITATION Col152 \l 2057 </w:instrText>
          </w:r>
          <w:r w:rsidRPr="00B66899">
            <w:rPr>
              <w:sz w:val="22"/>
              <w:szCs w:val="22"/>
            </w:rPr>
            <w:fldChar w:fldCharType="separate"/>
          </w:r>
          <w:r w:rsidRPr="00B66899">
            <w:rPr>
              <w:noProof/>
              <w:sz w:val="22"/>
              <w:szCs w:val="22"/>
            </w:rPr>
            <w:t>(College of Policing, 2022)</w:t>
          </w:r>
          <w:r w:rsidRPr="00B66899">
            <w:rPr>
              <w:sz w:val="22"/>
              <w:szCs w:val="22"/>
            </w:rPr>
            <w:fldChar w:fldCharType="end"/>
          </w:r>
        </w:sdtContent>
      </w:sdt>
      <w:r w:rsidRPr="00B66899">
        <w:rPr>
          <w:sz w:val="22"/>
          <w:szCs w:val="22"/>
        </w:rPr>
        <w:t xml:space="preserve">. This processing system ensures that intelligence is evaluated, categorised and understood in a single uniform way and is unified across various other organisations that engage in intelligence work related to security and policing including HM Revenue and Customs, Border Force and the NCA </w:t>
      </w:r>
      <w:sdt>
        <w:sdtPr>
          <w:rPr>
            <w:sz w:val="22"/>
            <w:szCs w:val="22"/>
          </w:rPr>
          <w:id w:val="-1789186765"/>
          <w:citation/>
        </w:sdtPr>
        <w:sdtContent>
          <w:r w:rsidRPr="00B66899">
            <w:rPr>
              <w:sz w:val="22"/>
              <w:szCs w:val="22"/>
            </w:rPr>
            <w:fldChar w:fldCharType="begin"/>
          </w:r>
          <w:r w:rsidRPr="00B66899">
            <w:rPr>
              <w:sz w:val="22"/>
              <w:szCs w:val="22"/>
            </w:rPr>
            <w:instrText xml:space="preserve"> CITATION NCA22 \l 2057 </w:instrText>
          </w:r>
          <w:r w:rsidRPr="00B66899">
            <w:rPr>
              <w:sz w:val="22"/>
              <w:szCs w:val="22"/>
            </w:rPr>
            <w:fldChar w:fldCharType="separate"/>
          </w:r>
          <w:r w:rsidRPr="00B66899">
            <w:rPr>
              <w:noProof/>
              <w:sz w:val="22"/>
              <w:szCs w:val="22"/>
            </w:rPr>
            <w:t>(NCA, 2022)</w:t>
          </w:r>
          <w:r w:rsidRPr="00B66899">
            <w:rPr>
              <w:sz w:val="22"/>
              <w:szCs w:val="22"/>
            </w:rPr>
            <w:fldChar w:fldCharType="end"/>
          </w:r>
        </w:sdtContent>
      </w:sdt>
      <w:r w:rsidRPr="00B66899">
        <w:rPr>
          <w:sz w:val="22"/>
          <w:szCs w:val="22"/>
        </w:rPr>
        <w:t xml:space="preserve">. </w:t>
      </w:r>
    </w:p>
    <w:p w14:paraId="10B9962E" w14:textId="77777777" w:rsidR="00B66899" w:rsidRPr="00B66899" w:rsidRDefault="00B66899" w:rsidP="00B66899">
      <w:pPr>
        <w:rPr>
          <w:sz w:val="22"/>
          <w:szCs w:val="22"/>
        </w:rPr>
      </w:pPr>
    </w:p>
    <w:p w14:paraId="3AC323F9" w14:textId="77777777" w:rsidR="00B66899" w:rsidRPr="00B66899" w:rsidRDefault="00B66899" w:rsidP="00B66899">
      <w:pPr>
        <w:rPr>
          <w:sz w:val="22"/>
          <w:szCs w:val="22"/>
        </w:rPr>
      </w:pPr>
      <w:r w:rsidRPr="00B66899">
        <w:rPr>
          <w:sz w:val="22"/>
          <w:szCs w:val="22"/>
        </w:rPr>
        <w:t xml:space="preserve">However, whilst this system sets a universal standard for intelligence processing and evaluation, it does little to tell us how useful intelligence is or if it conveys any wider meaning or benefit to the police service. In order to construct an intelligence picture, intelligence must go through a process of analysis. This is often done by trained police analysts, or analysts based in partner agencies or intelligence organisations </w:t>
      </w:r>
      <w:sdt>
        <w:sdtPr>
          <w:rPr>
            <w:sz w:val="22"/>
            <w:szCs w:val="22"/>
          </w:rPr>
          <w:id w:val="-2025693854"/>
          <w:citation/>
        </w:sdtPr>
        <w:sdtContent>
          <w:r w:rsidRPr="00B66899">
            <w:rPr>
              <w:sz w:val="22"/>
              <w:szCs w:val="22"/>
            </w:rPr>
            <w:fldChar w:fldCharType="begin"/>
          </w:r>
          <w:r w:rsidRPr="00B66899">
            <w:rPr>
              <w:sz w:val="22"/>
              <w:szCs w:val="22"/>
            </w:rPr>
            <w:instrText xml:space="preserve"> CITATION Mar04 \l 2057  \m Col151</w:instrText>
          </w:r>
          <w:r w:rsidRPr="00B66899">
            <w:rPr>
              <w:sz w:val="22"/>
              <w:szCs w:val="22"/>
            </w:rPr>
            <w:fldChar w:fldCharType="separate"/>
          </w:r>
          <w:r w:rsidRPr="00B66899">
            <w:rPr>
              <w:noProof/>
              <w:sz w:val="22"/>
              <w:szCs w:val="22"/>
            </w:rPr>
            <w:t>(Innes &amp; Sheptycki, 2004; College of Policing, 2015)</w:t>
          </w:r>
          <w:r w:rsidRPr="00B66899">
            <w:rPr>
              <w:sz w:val="22"/>
              <w:szCs w:val="22"/>
            </w:rPr>
            <w:fldChar w:fldCharType="end"/>
          </w:r>
        </w:sdtContent>
      </w:sdt>
      <w:r w:rsidRPr="00B66899">
        <w:rPr>
          <w:sz w:val="22"/>
          <w:szCs w:val="22"/>
        </w:rPr>
        <w:t xml:space="preserve">. Intelligence can be considered as existing within three distinct tiers; operational, tactical and strategic intelligence. Operational intelligence relates specifically to individual criminal entities or cases, whilst tactical intelligence is used on a regional basis for planning of activities, resource allocation and deployments. Strategic intelligence is broader again and relates to general trends and a the creation of a wider ‘intelligence picture’ </w:t>
      </w:r>
      <w:sdt>
        <w:sdtPr>
          <w:rPr>
            <w:sz w:val="22"/>
            <w:szCs w:val="22"/>
          </w:rPr>
          <w:id w:val="-939677370"/>
          <w:citation/>
        </w:sdtPr>
        <w:sdtContent>
          <w:r w:rsidRPr="00B66899">
            <w:rPr>
              <w:sz w:val="22"/>
              <w:szCs w:val="22"/>
            </w:rPr>
            <w:fldChar w:fldCharType="begin"/>
          </w:r>
          <w:r w:rsidRPr="00B66899">
            <w:rPr>
              <w:sz w:val="22"/>
              <w:szCs w:val="22"/>
            </w:rPr>
            <w:instrText xml:space="preserve"> CITATION Mar04 \l 2057 </w:instrText>
          </w:r>
          <w:r w:rsidRPr="00B66899">
            <w:rPr>
              <w:sz w:val="22"/>
              <w:szCs w:val="22"/>
            </w:rPr>
            <w:fldChar w:fldCharType="separate"/>
          </w:r>
          <w:r w:rsidRPr="00B66899">
            <w:rPr>
              <w:noProof/>
              <w:sz w:val="22"/>
              <w:szCs w:val="22"/>
            </w:rPr>
            <w:t xml:space="preserve">(Innes &amp; </w:t>
          </w:r>
          <w:r w:rsidRPr="00B66899">
            <w:rPr>
              <w:noProof/>
              <w:sz w:val="22"/>
              <w:szCs w:val="22"/>
            </w:rPr>
            <w:lastRenderedPageBreak/>
            <w:t>Sheptycki, 2004)</w:t>
          </w:r>
          <w:r w:rsidRPr="00B66899">
            <w:rPr>
              <w:sz w:val="22"/>
              <w:szCs w:val="22"/>
            </w:rPr>
            <w:fldChar w:fldCharType="end"/>
          </w:r>
        </w:sdtContent>
      </w:sdt>
      <w:r w:rsidRPr="00B66899">
        <w:rPr>
          <w:sz w:val="22"/>
          <w:szCs w:val="22"/>
        </w:rPr>
        <w:t>. Analysis can be undertaken on these forms of intelligence in a variety of ways. Strategic and tactical-level analysis involves examining intelligence on a broad scale to understand general trends and variations within criminality or within a regional area. A variety of structured analytic techniques, such as ‘backcasting’ or ‘red-teaming’, can be applied to intelligence in order to develop a deeper understanding from the information gathered. For example, the use of a ‘backcasting’ technique could involve analysts identifying an end-goal of a criminal organisation, and then working backwards to identify key steps would allow the organisation to achieve their goal. The subsequent identification of these steps in the intelligence can indicate the progress of the criminal organisation’s activities.</w:t>
      </w:r>
    </w:p>
    <w:p w14:paraId="6B47E950" w14:textId="77777777" w:rsidR="00B66899" w:rsidRPr="00B66899" w:rsidRDefault="00B66899" w:rsidP="00B66899">
      <w:pPr>
        <w:rPr>
          <w:sz w:val="22"/>
          <w:szCs w:val="22"/>
        </w:rPr>
      </w:pPr>
    </w:p>
    <w:p w14:paraId="40CE8472" w14:textId="77777777" w:rsidR="00B66899" w:rsidRPr="00B66899" w:rsidRDefault="00B66899" w:rsidP="00B66899">
      <w:pPr>
        <w:rPr>
          <w:sz w:val="22"/>
          <w:szCs w:val="22"/>
        </w:rPr>
      </w:pPr>
      <w:r w:rsidRPr="00B66899">
        <w:rPr>
          <w:sz w:val="22"/>
          <w:szCs w:val="22"/>
        </w:rPr>
        <w:t xml:space="preserve">Intelligence in general, and in particular tactical and strategic intelligence, is of particular importance to the tasking and coordinating process. The National Intelligence Model (NIM), organises intelligence into three applicable levels. This can be thought of as a formalisation of the operational, tactical and strategic levels and therefore not a particularly new phenomenon. Level One intelligence refers to that held and used at a local BCU level, whilst Level Two refers to force regional issues and Level Three to national or international issues </w:t>
      </w:r>
      <w:sdt>
        <w:sdtPr>
          <w:rPr>
            <w:sz w:val="22"/>
            <w:szCs w:val="22"/>
          </w:rPr>
          <w:id w:val="458163428"/>
          <w:citation/>
        </w:sdtPr>
        <w:sdtContent>
          <w:r w:rsidRPr="00B66899">
            <w:rPr>
              <w:sz w:val="22"/>
              <w:szCs w:val="22"/>
            </w:rPr>
            <w:fldChar w:fldCharType="begin"/>
          </w:r>
          <w:r w:rsidRPr="00B66899">
            <w:rPr>
              <w:sz w:val="22"/>
              <w:szCs w:val="22"/>
            </w:rPr>
            <w:instrText xml:space="preserve"> CITATION Tim07 \l 2057 </w:instrText>
          </w:r>
          <w:r w:rsidRPr="00B66899">
            <w:rPr>
              <w:sz w:val="22"/>
              <w:szCs w:val="22"/>
            </w:rPr>
            <w:fldChar w:fldCharType="separate"/>
          </w:r>
          <w:r w:rsidRPr="00B66899">
            <w:rPr>
              <w:noProof/>
              <w:sz w:val="22"/>
              <w:szCs w:val="22"/>
            </w:rPr>
            <w:t>(John &amp; Maguire, 2007)</w:t>
          </w:r>
          <w:r w:rsidRPr="00B66899">
            <w:rPr>
              <w:sz w:val="22"/>
              <w:szCs w:val="22"/>
            </w:rPr>
            <w:fldChar w:fldCharType="end"/>
          </w:r>
        </w:sdtContent>
      </w:sdt>
      <w:r w:rsidRPr="00B66899">
        <w:rPr>
          <w:sz w:val="22"/>
          <w:szCs w:val="22"/>
        </w:rPr>
        <w:t xml:space="preserve">. This intelligence is then fed into the tasking and coordination process. The organisation of a tasking and coordination group (TCG) is a key element of the NIM, where business managers meet to discuss the intelligence picture and what that indicates the current trends and dynamics within their business area are. Based on this, decisions regarding resource allocation and deployment can be made, and critically, how intelligence gathering requirements will be tasked in future </w:t>
      </w:r>
      <w:sdt>
        <w:sdtPr>
          <w:rPr>
            <w:sz w:val="22"/>
            <w:szCs w:val="22"/>
          </w:rPr>
          <w:id w:val="-1347707844"/>
          <w:citation/>
        </w:sdtPr>
        <w:sdtContent>
          <w:r w:rsidRPr="00B66899">
            <w:rPr>
              <w:sz w:val="22"/>
              <w:szCs w:val="22"/>
            </w:rPr>
            <w:fldChar w:fldCharType="begin"/>
          </w:r>
          <w:r w:rsidRPr="00B66899">
            <w:rPr>
              <w:sz w:val="22"/>
              <w:szCs w:val="22"/>
            </w:rPr>
            <w:instrText xml:space="preserve"> CITATION Tim07 \l 2057 </w:instrText>
          </w:r>
          <w:r w:rsidRPr="00B66899">
            <w:rPr>
              <w:sz w:val="22"/>
              <w:szCs w:val="22"/>
            </w:rPr>
            <w:fldChar w:fldCharType="separate"/>
          </w:r>
          <w:r w:rsidRPr="00B66899">
            <w:rPr>
              <w:noProof/>
              <w:sz w:val="22"/>
              <w:szCs w:val="22"/>
            </w:rPr>
            <w:t>(John &amp; Maguire, 2007)</w:t>
          </w:r>
          <w:r w:rsidRPr="00B66899">
            <w:rPr>
              <w:sz w:val="22"/>
              <w:szCs w:val="22"/>
            </w:rPr>
            <w:fldChar w:fldCharType="end"/>
          </w:r>
        </w:sdtContent>
      </w:sdt>
      <w:r w:rsidRPr="00B66899">
        <w:rPr>
          <w:sz w:val="22"/>
          <w:szCs w:val="22"/>
        </w:rPr>
        <w:t xml:space="preserve">. This occurs across all levels of the NIM, but is of particular importance at regional and national levels were a developed understanding of strategic changes and trends enables a better understanding of how and where resources should be deployed. </w:t>
      </w:r>
    </w:p>
    <w:p w14:paraId="4DBBCFEC" w14:textId="77777777" w:rsidR="00B66899" w:rsidRPr="00B66899" w:rsidRDefault="00B66899" w:rsidP="00B66899">
      <w:pPr>
        <w:rPr>
          <w:sz w:val="22"/>
          <w:szCs w:val="22"/>
        </w:rPr>
      </w:pPr>
    </w:p>
    <w:p w14:paraId="392467A7" w14:textId="77777777" w:rsidR="00B66899" w:rsidRPr="00B66899" w:rsidRDefault="00B66899" w:rsidP="00B66899">
      <w:pPr>
        <w:rPr>
          <w:sz w:val="22"/>
          <w:szCs w:val="22"/>
        </w:rPr>
      </w:pPr>
      <w:r w:rsidRPr="00B66899">
        <w:rPr>
          <w:sz w:val="22"/>
          <w:szCs w:val="22"/>
        </w:rPr>
        <w:t>Overall, the collection, analysis and dissemination of police intelligence is key to the successful execution of the policing mission. Intelligence is essential for directing the allocation of resources and strategic direction of policing, whilst also playing a key role in operational and local matters. Robust evaluation and analysis of intelligence is essential in ensuring that a quality product is delivered for the policing requirement.</w:t>
      </w:r>
    </w:p>
    <w:p w14:paraId="5F4576EC" w14:textId="44A9401E" w:rsidR="00B66899" w:rsidRPr="00B66899" w:rsidRDefault="00B66899" w:rsidP="00454735">
      <w:pPr>
        <w:spacing w:line="257" w:lineRule="auto"/>
        <w:rPr>
          <w:sz w:val="22"/>
          <w:szCs w:val="22"/>
        </w:rPr>
      </w:pPr>
    </w:p>
    <w:p w14:paraId="2C0D9F8F" w14:textId="3B6D3786" w:rsidR="00B66899" w:rsidRPr="00B66899" w:rsidRDefault="00B66899" w:rsidP="00454735">
      <w:pPr>
        <w:spacing w:line="257" w:lineRule="auto"/>
        <w:rPr>
          <w:sz w:val="22"/>
          <w:szCs w:val="22"/>
        </w:rPr>
      </w:pPr>
      <w:r w:rsidRPr="00B66899">
        <w:rPr>
          <w:sz w:val="22"/>
          <w:szCs w:val="22"/>
        </w:rPr>
        <w:t>Word count: 1058</w:t>
      </w:r>
    </w:p>
    <w:p w14:paraId="67F7E76B" w14:textId="2C75E89C" w:rsidR="00B66899" w:rsidRPr="00B66899" w:rsidRDefault="00B66899" w:rsidP="00454735">
      <w:pPr>
        <w:spacing w:line="257" w:lineRule="auto"/>
        <w:rPr>
          <w:sz w:val="22"/>
          <w:szCs w:val="22"/>
        </w:rPr>
      </w:pPr>
    </w:p>
    <w:sdt>
      <w:sdtPr>
        <w:rPr>
          <w:rFonts w:eastAsia="Calibri"/>
          <w:sz w:val="22"/>
          <w:szCs w:val="22"/>
          <w:lang w:eastAsia="en-US"/>
        </w:rPr>
        <w:id w:val="-1598861809"/>
        <w:bibliography/>
      </w:sdtPr>
      <w:sdtEndPr>
        <w:rPr>
          <w:rFonts w:ascii="Calibri" w:hAnsi="Calibri"/>
        </w:rPr>
      </w:sdtEndPr>
      <w:sdtContent>
        <w:p w14:paraId="70231DEA" w14:textId="77777777" w:rsidR="00B66899" w:rsidRPr="00B66899" w:rsidRDefault="00B66899" w:rsidP="00B66899">
          <w:pPr>
            <w:spacing w:after="160" w:line="259" w:lineRule="auto"/>
            <w:rPr>
              <w:rFonts w:eastAsia="Calibri"/>
              <w:noProof/>
              <w:sz w:val="22"/>
              <w:szCs w:val="22"/>
              <w:lang w:val="en-US" w:eastAsia="en-US"/>
            </w:rPr>
          </w:pPr>
          <w:r w:rsidRPr="00B66899">
            <w:rPr>
              <w:rFonts w:eastAsia="Calibri"/>
              <w:sz w:val="22"/>
              <w:szCs w:val="22"/>
              <w:lang w:eastAsia="en-US"/>
            </w:rPr>
            <w:fldChar w:fldCharType="begin"/>
          </w:r>
          <w:r w:rsidRPr="00B66899">
            <w:rPr>
              <w:rFonts w:eastAsia="Calibri"/>
              <w:sz w:val="22"/>
              <w:szCs w:val="22"/>
              <w:lang w:eastAsia="en-US"/>
            </w:rPr>
            <w:instrText xml:space="preserve"> BIBLIOGRAPHY </w:instrText>
          </w:r>
          <w:r w:rsidRPr="00B66899">
            <w:rPr>
              <w:rFonts w:eastAsia="Calibri"/>
              <w:sz w:val="22"/>
              <w:szCs w:val="22"/>
              <w:lang w:eastAsia="en-US"/>
            </w:rPr>
            <w:fldChar w:fldCharType="separate"/>
          </w:r>
          <w:r w:rsidRPr="00B66899">
            <w:rPr>
              <w:rFonts w:eastAsia="Calibri"/>
              <w:noProof/>
              <w:sz w:val="22"/>
              <w:szCs w:val="22"/>
              <w:lang w:val="en-US" w:eastAsia="en-US"/>
            </w:rPr>
            <w:t xml:space="preserve">College of Policing, 2015. </w:t>
          </w:r>
          <w:r w:rsidRPr="00B66899">
            <w:rPr>
              <w:rFonts w:eastAsia="Calibri"/>
              <w:i/>
              <w:iCs/>
              <w:noProof/>
              <w:sz w:val="22"/>
              <w:szCs w:val="22"/>
              <w:lang w:val="en-US" w:eastAsia="en-US"/>
            </w:rPr>
            <w:t xml:space="preserve">Intelligence Management. </w:t>
          </w:r>
          <w:r w:rsidRPr="00B66899">
            <w:rPr>
              <w:rFonts w:eastAsia="Calibri"/>
              <w:noProof/>
              <w:sz w:val="22"/>
              <w:szCs w:val="22"/>
              <w:lang w:val="en-US" w:eastAsia="en-US"/>
            </w:rPr>
            <w:t xml:space="preserve">[Online] </w:t>
          </w:r>
          <w:r w:rsidRPr="00B66899">
            <w:rPr>
              <w:rFonts w:eastAsia="Calibri"/>
              <w:noProof/>
              <w:sz w:val="22"/>
              <w:szCs w:val="22"/>
              <w:lang w:val="en-US" w:eastAsia="en-US"/>
            </w:rPr>
            <w:br/>
            <w:t xml:space="preserve">Available at: </w:t>
          </w:r>
          <w:r w:rsidRPr="00B66899">
            <w:rPr>
              <w:rFonts w:eastAsia="Calibri"/>
              <w:noProof/>
              <w:sz w:val="22"/>
              <w:szCs w:val="22"/>
              <w:u w:val="single"/>
              <w:lang w:val="en-US" w:eastAsia="en-US"/>
            </w:rPr>
            <w:t>https://www.app.college.police.uk/app-content/intelligence-management/intelligence-cycle/#dissemination</w:t>
          </w:r>
          <w:r w:rsidRPr="00B66899">
            <w:rPr>
              <w:rFonts w:eastAsia="Calibri"/>
              <w:noProof/>
              <w:sz w:val="22"/>
              <w:szCs w:val="22"/>
              <w:lang w:val="en-US" w:eastAsia="en-US"/>
            </w:rPr>
            <w:br/>
            <w:t>[Accessed 18 2 2022].</w:t>
          </w:r>
        </w:p>
        <w:p w14:paraId="0E3F956B" w14:textId="77777777" w:rsidR="00B66899" w:rsidRPr="00B66899" w:rsidRDefault="00B66899" w:rsidP="00B66899">
          <w:pPr>
            <w:spacing w:after="160" w:line="259" w:lineRule="auto"/>
            <w:rPr>
              <w:rFonts w:eastAsia="Calibri"/>
              <w:noProof/>
              <w:sz w:val="22"/>
              <w:szCs w:val="22"/>
              <w:lang w:val="en-US" w:eastAsia="en-US"/>
            </w:rPr>
          </w:pPr>
          <w:r w:rsidRPr="00B66899">
            <w:rPr>
              <w:rFonts w:eastAsia="Calibri"/>
              <w:noProof/>
              <w:sz w:val="22"/>
              <w:szCs w:val="22"/>
              <w:lang w:val="en-US" w:eastAsia="en-US"/>
            </w:rPr>
            <w:t xml:space="preserve">College of Policing, 2022. </w:t>
          </w:r>
          <w:r w:rsidRPr="00B66899">
            <w:rPr>
              <w:rFonts w:eastAsia="Calibri"/>
              <w:i/>
              <w:iCs/>
              <w:noProof/>
              <w:sz w:val="22"/>
              <w:szCs w:val="22"/>
              <w:lang w:val="en-US" w:eastAsia="en-US"/>
            </w:rPr>
            <w:t xml:space="preserve">Intelligence Report. </w:t>
          </w:r>
          <w:r w:rsidRPr="00B66899">
            <w:rPr>
              <w:rFonts w:eastAsia="Calibri"/>
              <w:noProof/>
              <w:sz w:val="22"/>
              <w:szCs w:val="22"/>
              <w:lang w:val="en-US" w:eastAsia="en-US"/>
            </w:rPr>
            <w:t xml:space="preserve">[Online] </w:t>
          </w:r>
          <w:r w:rsidRPr="00B66899">
            <w:rPr>
              <w:rFonts w:eastAsia="Calibri"/>
              <w:noProof/>
              <w:sz w:val="22"/>
              <w:szCs w:val="22"/>
              <w:lang w:val="en-US" w:eastAsia="en-US"/>
            </w:rPr>
            <w:br/>
            <w:t xml:space="preserve">Available at: </w:t>
          </w:r>
          <w:r w:rsidRPr="00B66899">
            <w:rPr>
              <w:rFonts w:eastAsia="Calibri"/>
              <w:noProof/>
              <w:sz w:val="22"/>
              <w:szCs w:val="22"/>
              <w:u w:val="single"/>
              <w:lang w:val="en-US" w:eastAsia="en-US"/>
            </w:rPr>
            <w:t>https://www.app.college.police.uk/app-content/intelligence-management/intelligence-report/</w:t>
          </w:r>
          <w:r w:rsidRPr="00B66899">
            <w:rPr>
              <w:rFonts w:eastAsia="Calibri"/>
              <w:noProof/>
              <w:sz w:val="22"/>
              <w:szCs w:val="22"/>
              <w:lang w:val="en-US" w:eastAsia="en-US"/>
            </w:rPr>
            <w:br/>
            <w:t>[Accessed 18 2 2022].</w:t>
          </w:r>
        </w:p>
        <w:p w14:paraId="3853E3A4" w14:textId="77777777" w:rsidR="00B66899" w:rsidRPr="00B66899" w:rsidRDefault="00B66899" w:rsidP="00B66899">
          <w:pPr>
            <w:spacing w:after="160" w:line="259" w:lineRule="auto"/>
            <w:rPr>
              <w:rFonts w:eastAsia="Calibri"/>
              <w:noProof/>
              <w:sz w:val="22"/>
              <w:szCs w:val="22"/>
              <w:lang w:val="en-US" w:eastAsia="en-US"/>
            </w:rPr>
          </w:pPr>
          <w:r w:rsidRPr="00B66899">
            <w:rPr>
              <w:rFonts w:eastAsia="Calibri"/>
              <w:noProof/>
              <w:sz w:val="22"/>
              <w:szCs w:val="22"/>
              <w:lang w:val="en-US" w:eastAsia="en-US"/>
            </w:rPr>
            <w:t xml:space="preserve">Innes, M. &amp; Sheptycki, J., 2004. From detection and disruption: intelligence and the changing logic of police crime control in the United Kingdom. </w:t>
          </w:r>
          <w:r w:rsidRPr="00B66899">
            <w:rPr>
              <w:rFonts w:eastAsia="Calibri"/>
              <w:i/>
              <w:iCs/>
              <w:noProof/>
              <w:sz w:val="22"/>
              <w:szCs w:val="22"/>
              <w:lang w:val="en-US" w:eastAsia="en-US"/>
            </w:rPr>
            <w:t xml:space="preserve">International Criminal Justice Review, </w:t>
          </w:r>
          <w:r w:rsidRPr="00B66899">
            <w:rPr>
              <w:rFonts w:eastAsia="Calibri"/>
              <w:noProof/>
              <w:sz w:val="22"/>
              <w:szCs w:val="22"/>
              <w:lang w:val="en-US" w:eastAsia="en-US"/>
            </w:rPr>
            <w:t>14(1), pp. 1-24.</w:t>
          </w:r>
        </w:p>
        <w:p w14:paraId="0550E625" w14:textId="77777777" w:rsidR="00B66899" w:rsidRPr="00B66899" w:rsidRDefault="00B66899" w:rsidP="00B66899">
          <w:pPr>
            <w:spacing w:after="160" w:line="259" w:lineRule="auto"/>
            <w:rPr>
              <w:rFonts w:eastAsia="Calibri"/>
              <w:noProof/>
              <w:sz w:val="22"/>
              <w:szCs w:val="22"/>
              <w:lang w:val="en-US" w:eastAsia="en-US"/>
            </w:rPr>
          </w:pPr>
          <w:r w:rsidRPr="00B66899">
            <w:rPr>
              <w:rFonts w:eastAsia="Calibri"/>
              <w:noProof/>
              <w:sz w:val="22"/>
              <w:szCs w:val="22"/>
              <w:lang w:val="en-US" w:eastAsia="en-US"/>
            </w:rPr>
            <w:t xml:space="preserve">James, A., Phythian, M., Wadie, F. &amp; Richards, J., 2017. The road not taken: understanding barriers to the development of police intelligence practice. </w:t>
          </w:r>
          <w:r w:rsidRPr="00B66899">
            <w:rPr>
              <w:rFonts w:eastAsia="Calibri"/>
              <w:i/>
              <w:iCs/>
              <w:noProof/>
              <w:sz w:val="22"/>
              <w:szCs w:val="22"/>
              <w:lang w:val="en-US" w:eastAsia="en-US"/>
            </w:rPr>
            <w:t xml:space="preserve">The International Journal of Intelligence, Security and Public Affairs, </w:t>
          </w:r>
          <w:r w:rsidRPr="00B66899">
            <w:rPr>
              <w:rFonts w:eastAsia="Calibri"/>
              <w:noProof/>
              <w:sz w:val="22"/>
              <w:szCs w:val="22"/>
              <w:lang w:val="en-US" w:eastAsia="en-US"/>
            </w:rPr>
            <w:t>19(2), pp. 77-91.</w:t>
          </w:r>
        </w:p>
        <w:p w14:paraId="0B99CB92" w14:textId="77777777" w:rsidR="00B66899" w:rsidRPr="00B66899" w:rsidRDefault="00B66899" w:rsidP="00B66899">
          <w:pPr>
            <w:spacing w:after="160" w:line="259" w:lineRule="auto"/>
            <w:rPr>
              <w:rFonts w:eastAsia="Calibri"/>
              <w:noProof/>
              <w:sz w:val="22"/>
              <w:szCs w:val="22"/>
              <w:lang w:val="en-US" w:eastAsia="en-US"/>
            </w:rPr>
          </w:pPr>
          <w:r w:rsidRPr="00B66899">
            <w:rPr>
              <w:rFonts w:eastAsia="Calibri"/>
              <w:noProof/>
              <w:sz w:val="22"/>
              <w:szCs w:val="22"/>
              <w:lang w:val="en-US" w:eastAsia="en-US"/>
            </w:rPr>
            <w:t xml:space="preserve">John, T. &amp; Maguire, M., 2007. Criminal intelligence and the National Intelligence Model. In: T. Newburn, T. Williamson &amp; A. Wright, eds. </w:t>
          </w:r>
          <w:r w:rsidRPr="00B66899">
            <w:rPr>
              <w:rFonts w:eastAsia="Calibri"/>
              <w:i/>
              <w:iCs/>
              <w:noProof/>
              <w:sz w:val="22"/>
              <w:szCs w:val="22"/>
              <w:lang w:val="en-US" w:eastAsia="en-US"/>
            </w:rPr>
            <w:t xml:space="preserve">Handbook of Criminal Investigation. </w:t>
          </w:r>
          <w:r w:rsidRPr="00B66899">
            <w:rPr>
              <w:rFonts w:eastAsia="Calibri"/>
              <w:noProof/>
              <w:sz w:val="22"/>
              <w:szCs w:val="22"/>
              <w:lang w:val="en-US" w:eastAsia="en-US"/>
            </w:rPr>
            <w:t>Abingdon: Willan Publishing, pp. 199-255.</w:t>
          </w:r>
        </w:p>
        <w:p w14:paraId="2623675F" w14:textId="77777777" w:rsidR="00B66899" w:rsidRPr="00B66899" w:rsidRDefault="00B66899" w:rsidP="00B66899">
          <w:pPr>
            <w:spacing w:after="160" w:line="259" w:lineRule="auto"/>
            <w:rPr>
              <w:rFonts w:eastAsia="Calibri"/>
              <w:noProof/>
              <w:sz w:val="22"/>
              <w:szCs w:val="22"/>
              <w:lang w:val="en-US" w:eastAsia="en-US"/>
            </w:rPr>
          </w:pPr>
          <w:r w:rsidRPr="00B66899">
            <w:rPr>
              <w:rFonts w:eastAsia="Calibri"/>
              <w:noProof/>
              <w:sz w:val="22"/>
              <w:szCs w:val="22"/>
              <w:lang w:val="en-US" w:eastAsia="en-US"/>
            </w:rPr>
            <w:t xml:space="preserve">NCA, 2022. </w:t>
          </w:r>
          <w:r w:rsidRPr="00B66899">
            <w:rPr>
              <w:rFonts w:eastAsia="Calibri"/>
              <w:i/>
              <w:iCs/>
              <w:noProof/>
              <w:sz w:val="22"/>
              <w:szCs w:val="22"/>
              <w:lang w:val="en-US" w:eastAsia="en-US"/>
            </w:rPr>
            <w:t xml:space="preserve">Intelligence: enhancing the picture of serious organised crime affecting the UK. </w:t>
          </w:r>
          <w:r w:rsidRPr="00B66899">
            <w:rPr>
              <w:rFonts w:eastAsia="Calibri"/>
              <w:noProof/>
              <w:sz w:val="22"/>
              <w:szCs w:val="22"/>
              <w:lang w:val="en-US" w:eastAsia="en-US"/>
            </w:rPr>
            <w:t xml:space="preserve">[Online] </w:t>
          </w:r>
          <w:r w:rsidRPr="00B66899">
            <w:rPr>
              <w:rFonts w:eastAsia="Calibri"/>
              <w:noProof/>
              <w:sz w:val="22"/>
              <w:szCs w:val="22"/>
              <w:lang w:val="en-US" w:eastAsia="en-US"/>
            </w:rPr>
            <w:br/>
            <w:t xml:space="preserve">Available at: </w:t>
          </w:r>
          <w:r w:rsidRPr="00B66899">
            <w:rPr>
              <w:rFonts w:eastAsia="Calibri"/>
              <w:noProof/>
              <w:sz w:val="22"/>
              <w:szCs w:val="22"/>
              <w:u w:val="single"/>
              <w:lang w:val="en-US" w:eastAsia="en-US"/>
            </w:rPr>
            <w:t>https://nationalcrimeagency.gov.uk/what-we-do/how-we-work/intelligence-enhancing-the-picture-of-serious-organised-crime-affecting-the-uk</w:t>
          </w:r>
          <w:r w:rsidRPr="00B66899">
            <w:rPr>
              <w:rFonts w:eastAsia="Calibri"/>
              <w:noProof/>
              <w:sz w:val="22"/>
              <w:szCs w:val="22"/>
              <w:lang w:val="en-US" w:eastAsia="en-US"/>
            </w:rPr>
            <w:br/>
            <w:t>[Accessed 18 2 2022].</w:t>
          </w:r>
        </w:p>
        <w:p w14:paraId="37417E5B" w14:textId="77777777" w:rsidR="00B66899" w:rsidRPr="00B66899" w:rsidRDefault="00B66899" w:rsidP="00B66899">
          <w:pPr>
            <w:spacing w:after="160" w:line="259" w:lineRule="auto"/>
            <w:rPr>
              <w:rFonts w:ascii="Calibri" w:eastAsia="Calibri" w:hAnsi="Calibri"/>
              <w:sz w:val="22"/>
              <w:szCs w:val="22"/>
              <w:lang w:eastAsia="en-US"/>
            </w:rPr>
          </w:pPr>
          <w:r w:rsidRPr="00B66899">
            <w:rPr>
              <w:rFonts w:eastAsia="Calibri"/>
              <w:b/>
              <w:bCs/>
              <w:noProof/>
              <w:sz w:val="22"/>
              <w:szCs w:val="22"/>
              <w:lang w:eastAsia="en-US"/>
            </w:rPr>
            <w:fldChar w:fldCharType="end"/>
          </w:r>
        </w:p>
      </w:sdtContent>
    </w:sdt>
    <w:p w14:paraId="4269825C" w14:textId="77777777" w:rsidR="00B66899" w:rsidRPr="00454735" w:rsidRDefault="00B66899" w:rsidP="00454735">
      <w:pPr>
        <w:spacing w:line="257" w:lineRule="auto"/>
        <w:rPr>
          <w:rFonts w:ascii="Calibri" w:hAnsi="Calibri" w:cs="Calibri"/>
          <w:sz w:val="28"/>
          <w:szCs w:val="28"/>
        </w:rPr>
      </w:pPr>
    </w:p>
    <w:p w14:paraId="36B3A388" w14:textId="4CCCA782"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 </w:t>
      </w:r>
    </w:p>
    <w:p w14:paraId="6242FD25" w14:textId="315D4876" w:rsidR="00B66899" w:rsidRDefault="00B66899" w:rsidP="00454735">
      <w:pPr>
        <w:spacing w:line="257" w:lineRule="auto"/>
        <w:rPr>
          <w:rFonts w:ascii="Calibri" w:eastAsia="Calibri" w:hAnsi="Calibri" w:cs="Calibri"/>
          <w:sz w:val="28"/>
          <w:szCs w:val="28"/>
        </w:rPr>
      </w:pPr>
    </w:p>
    <w:p w14:paraId="62B1926F" w14:textId="514B95AC" w:rsidR="00B66899" w:rsidRDefault="00B66899" w:rsidP="00454735">
      <w:pPr>
        <w:spacing w:line="257" w:lineRule="auto"/>
        <w:rPr>
          <w:rFonts w:ascii="Calibri" w:eastAsia="Calibri" w:hAnsi="Calibri" w:cs="Calibri"/>
          <w:sz w:val="28"/>
          <w:szCs w:val="28"/>
        </w:rPr>
      </w:pPr>
    </w:p>
    <w:p w14:paraId="5BB9D028" w14:textId="02738539" w:rsidR="00B66899" w:rsidRDefault="00B66899" w:rsidP="00454735">
      <w:pPr>
        <w:spacing w:line="257" w:lineRule="auto"/>
        <w:rPr>
          <w:rFonts w:ascii="Calibri" w:eastAsia="Calibri" w:hAnsi="Calibri" w:cs="Calibri"/>
          <w:sz w:val="28"/>
          <w:szCs w:val="28"/>
        </w:rPr>
      </w:pPr>
    </w:p>
    <w:p w14:paraId="24CA8465" w14:textId="0845E260" w:rsidR="00B66899" w:rsidRDefault="00B66899" w:rsidP="00454735">
      <w:pPr>
        <w:spacing w:line="257" w:lineRule="auto"/>
        <w:rPr>
          <w:rFonts w:ascii="Calibri" w:eastAsia="Calibri" w:hAnsi="Calibri" w:cs="Calibri"/>
          <w:sz w:val="28"/>
          <w:szCs w:val="28"/>
        </w:rPr>
      </w:pPr>
    </w:p>
    <w:p w14:paraId="7C0A3285" w14:textId="2E411A9E" w:rsidR="00B66899" w:rsidRDefault="00B66899" w:rsidP="00454735">
      <w:pPr>
        <w:spacing w:line="257" w:lineRule="auto"/>
        <w:rPr>
          <w:rFonts w:ascii="Calibri" w:eastAsia="Calibri" w:hAnsi="Calibri" w:cs="Calibri"/>
          <w:sz w:val="28"/>
          <w:szCs w:val="28"/>
        </w:rPr>
      </w:pPr>
    </w:p>
    <w:p w14:paraId="12A6F472" w14:textId="29FC731C" w:rsidR="00B66899" w:rsidRDefault="00B66899" w:rsidP="00454735">
      <w:pPr>
        <w:spacing w:line="257" w:lineRule="auto"/>
        <w:rPr>
          <w:rFonts w:ascii="Calibri" w:eastAsia="Calibri" w:hAnsi="Calibri" w:cs="Calibri"/>
          <w:sz w:val="28"/>
          <w:szCs w:val="28"/>
        </w:rPr>
      </w:pPr>
    </w:p>
    <w:p w14:paraId="54D8CDC4" w14:textId="1C5AB4D1" w:rsidR="00B66899" w:rsidRDefault="00B66899" w:rsidP="00454735">
      <w:pPr>
        <w:spacing w:line="257" w:lineRule="auto"/>
        <w:rPr>
          <w:rFonts w:ascii="Calibri" w:eastAsia="Calibri" w:hAnsi="Calibri" w:cs="Calibri"/>
          <w:sz w:val="28"/>
          <w:szCs w:val="28"/>
        </w:rPr>
      </w:pPr>
    </w:p>
    <w:p w14:paraId="5ED77CE2" w14:textId="0BDEC478" w:rsidR="00B66899" w:rsidRDefault="00B66899" w:rsidP="00454735">
      <w:pPr>
        <w:spacing w:line="257" w:lineRule="auto"/>
        <w:rPr>
          <w:rFonts w:ascii="Calibri" w:eastAsia="Calibri" w:hAnsi="Calibri" w:cs="Calibri"/>
          <w:sz w:val="28"/>
          <w:szCs w:val="28"/>
        </w:rPr>
      </w:pPr>
    </w:p>
    <w:p w14:paraId="7C23E550" w14:textId="08213756" w:rsidR="00B66899" w:rsidRDefault="00B66899" w:rsidP="00454735">
      <w:pPr>
        <w:spacing w:line="257" w:lineRule="auto"/>
        <w:rPr>
          <w:rFonts w:ascii="Calibri" w:eastAsia="Calibri" w:hAnsi="Calibri" w:cs="Calibri"/>
          <w:sz w:val="28"/>
          <w:szCs w:val="28"/>
        </w:rPr>
      </w:pPr>
    </w:p>
    <w:p w14:paraId="7D5488B9" w14:textId="2F0E2109" w:rsidR="00B66899" w:rsidRDefault="00B66899" w:rsidP="00454735">
      <w:pPr>
        <w:spacing w:line="257" w:lineRule="auto"/>
        <w:rPr>
          <w:rFonts w:ascii="Calibri" w:eastAsia="Calibri" w:hAnsi="Calibri" w:cs="Calibri"/>
          <w:sz w:val="28"/>
          <w:szCs w:val="28"/>
        </w:rPr>
      </w:pPr>
    </w:p>
    <w:p w14:paraId="4C162B9D" w14:textId="77777777" w:rsidR="00B66899" w:rsidRPr="00454735" w:rsidRDefault="00B66899" w:rsidP="00454735">
      <w:pPr>
        <w:spacing w:line="257" w:lineRule="auto"/>
        <w:rPr>
          <w:rFonts w:ascii="Calibri" w:hAnsi="Calibri" w:cs="Calibri"/>
          <w:sz w:val="28"/>
          <w:szCs w:val="28"/>
        </w:rPr>
      </w:pPr>
    </w:p>
    <w:p w14:paraId="24957B17" w14:textId="77777777" w:rsidR="00454735" w:rsidRPr="00F52AB3" w:rsidRDefault="00454735" w:rsidP="00454735">
      <w:pPr>
        <w:spacing w:line="257" w:lineRule="auto"/>
        <w:rPr>
          <w:sz w:val="22"/>
          <w:szCs w:val="22"/>
        </w:rPr>
      </w:pPr>
      <w:r w:rsidRPr="00F52AB3">
        <w:rPr>
          <w:rFonts w:eastAsia="Calibri"/>
          <w:b/>
          <w:bCs/>
          <w:sz w:val="22"/>
          <w:szCs w:val="22"/>
        </w:rPr>
        <w:t>1000 words - Public Protection</w:t>
      </w:r>
    </w:p>
    <w:p w14:paraId="159FDD4D" w14:textId="16485860" w:rsidR="00454735" w:rsidRDefault="00454735" w:rsidP="00454735">
      <w:pPr>
        <w:spacing w:line="257" w:lineRule="auto"/>
        <w:rPr>
          <w:rFonts w:eastAsia="Calibri"/>
          <w:sz w:val="22"/>
          <w:szCs w:val="22"/>
        </w:rPr>
      </w:pPr>
      <w:r w:rsidRPr="00F52AB3">
        <w:rPr>
          <w:rFonts w:eastAsia="Calibri"/>
          <w:sz w:val="22"/>
          <w:szCs w:val="22"/>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707312B2" w14:textId="77777777" w:rsidR="00F52AB3" w:rsidRPr="00F52AB3" w:rsidRDefault="00F52AB3" w:rsidP="00454735">
      <w:pPr>
        <w:spacing w:line="257" w:lineRule="auto"/>
        <w:rPr>
          <w:rFonts w:eastAsia="Calibri"/>
          <w:sz w:val="22"/>
          <w:szCs w:val="22"/>
        </w:rPr>
      </w:pPr>
    </w:p>
    <w:p w14:paraId="00CF83DC" w14:textId="34023AE8" w:rsidR="00F52AB3" w:rsidRPr="00F52AB3" w:rsidRDefault="00F52AB3" w:rsidP="00454735">
      <w:pPr>
        <w:spacing w:line="257" w:lineRule="auto"/>
        <w:rPr>
          <w:rFonts w:eastAsia="Calibri"/>
          <w:sz w:val="22"/>
          <w:szCs w:val="22"/>
        </w:rPr>
      </w:pPr>
    </w:p>
    <w:p w14:paraId="4B38AB65" w14:textId="77777777" w:rsidR="00F52AB3" w:rsidRPr="00F52AB3" w:rsidRDefault="00F52AB3" w:rsidP="00F52AB3">
      <w:pPr>
        <w:rPr>
          <w:sz w:val="22"/>
          <w:szCs w:val="22"/>
        </w:rPr>
      </w:pPr>
      <w:r w:rsidRPr="00F52AB3">
        <w:rPr>
          <w:sz w:val="22"/>
          <w:szCs w:val="22"/>
        </w:rPr>
        <w:t xml:space="preserve">Policing is heavily involved in matters of public protection. A substantial amount of police time is spent dealing with vulnerable persons, victims and witnesses </w:t>
      </w:r>
      <w:sdt>
        <w:sdtPr>
          <w:rPr>
            <w:sz w:val="22"/>
            <w:szCs w:val="22"/>
          </w:rPr>
          <w:id w:val="-1601720863"/>
          <w:citation/>
        </w:sdtPr>
        <w:sdtContent>
          <w:r w:rsidRPr="00F52AB3">
            <w:rPr>
              <w:sz w:val="22"/>
              <w:szCs w:val="22"/>
            </w:rPr>
            <w:fldChar w:fldCharType="begin"/>
          </w:r>
          <w:r w:rsidRPr="00F52AB3">
            <w:rPr>
              <w:sz w:val="22"/>
              <w:szCs w:val="22"/>
            </w:rPr>
            <w:instrText xml:space="preserve"> CITATION Pet04 \l 2057  \m Min20</w:instrText>
          </w:r>
          <w:r w:rsidRPr="00F52AB3">
            <w:rPr>
              <w:sz w:val="22"/>
              <w:szCs w:val="22"/>
            </w:rPr>
            <w:fldChar w:fldCharType="separate"/>
          </w:r>
          <w:r w:rsidRPr="00F52AB3">
            <w:rPr>
              <w:noProof/>
              <w:sz w:val="22"/>
              <w:szCs w:val="22"/>
            </w:rPr>
            <w:t>(Garrett, 2004; Ministry of Justice, 2020)</w:t>
          </w:r>
          <w:r w:rsidRPr="00F52AB3">
            <w:rPr>
              <w:sz w:val="22"/>
              <w:szCs w:val="22"/>
            </w:rPr>
            <w:fldChar w:fldCharType="end"/>
          </w:r>
        </w:sdtContent>
      </w:sdt>
      <w:r w:rsidRPr="00F52AB3">
        <w:rPr>
          <w:sz w:val="22"/>
          <w:szCs w:val="22"/>
        </w:rPr>
        <w:t xml:space="preserve">. Police failings in the arena of public protection have resulted in well published and extremely public scandals, such as the death of Victoria Climbie or ‘Baby P’ </w:t>
      </w:r>
      <w:sdt>
        <w:sdtPr>
          <w:rPr>
            <w:sz w:val="22"/>
            <w:szCs w:val="22"/>
          </w:rPr>
          <w:id w:val="1468701997"/>
          <w:citation/>
        </w:sdtPr>
        <w:sdtContent>
          <w:r w:rsidRPr="00F52AB3">
            <w:rPr>
              <w:sz w:val="22"/>
              <w:szCs w:val="22"/>
            </w:rPr>
            <w:fldChar w:fldCharType="begin"/>
          </w:r>
          <w:r w:rsidRPr="00F52AB3">
            <w:rPr>
              <w:sz w:val="22"/>
              <w:szCs w:val="22"/>
            </w:rPr>
            <w:instrText xml:space="preserve"> CITATION Pet04 \l 2057 </w:instrText>
          </w:r>
          <w:r w:rsidRPr="00F52AB3">
            <w:rPr>
              <w:sz w:val="22"/>
              <w:szCs w:val="22"/>
            </w:rPr>
            <w:fldChar w:fldCharType="separate"/>
          </w:r>
          <w:r w:rsidRPr="00F52AB3">
            <w:rPr>
              <w:noProof/>
              <w:sz w:val="22"/>
              <w:szCs w:val="22"/>
            </w:rPr>
            <w:t>(Garrett, 2004)</w:t>
          </w:r>
          <w:r w:rsidRPr="00F52AB3">
            <w:rPr>
              <w:sz w:val="22"/>
              <w:szCs w:val="22"/>
            </w:rPr>
            <w:fldChar w:fldCharType="end"/>
          </w:r>
        </w:sdtContent>
      </w:sdt>
      <w:r w:rsidRPr="00F52AB3">
        <w:rPr>
          <w:sz w:val="22"/>
          <w:szCs w:val="22"/>
        </w:rPr>
        <w:t xml:space="preserve">. As a result, there is a significant focus on improving strategies to deal with vulnerable persons who come into contact with police and to prevent harm coming to them. Over recent years, there’s been a growing understanding of the close connection between vulnerable persons, public protection issues and serious organised crime. The importance of this is reflected in the creation of a public protection lead within the National Police Chiefs Council to devise strategy in relation to this </w:t>
      </w:r>
      <w:sdt>
        <w:sdtPr>
          <w:rPr>
            <w:sz w:val="22"/>
            <w:szCs w:val="22"/>
          </w:rPr>
          <w:id w:val="970407721"/>
          <w:citation/>
        </w:sdtPr>
        <w:sdtContent>
          <w:r w:rsidRPr="00F52AB3">
            <w:rPr>
              <w:sz w:val="22"/>
              <w:szCs w:val="22"/>
            </w:rPr>
            <w:fldChar w:fldCharType="begin"/>
          </w:r>
          <w:r w:rsidRPr="00F52AB3">
            <w:rPr>
              <w:sz w:val="22"/>
              <w:szCs w:val="22"/>
            </w:rPr>
            <w:instrText xml:space="preserve"> CITATION Col20 \l 2057 </w:instrText>
          </w:r>
          <w:r w:rsidRPr="00F52AB3">
            <w:rPr>
              <w:sz w:val="22"/>
              <w:szCs w:val="22"/>
            </w:rPr>
            <w:fldChar w:fldCharType="separate"/>
          </w:r>
          <w:r w:rsidRPr="00F52AB3">
            <w:rPr>
              <w:noProof/>
              <w:sz w:val="22"/>
              <w:szCs w:val="22"/>
            </w:rPr>
            <w:t>(College of Policing, 2020)</w:t>
          </w:r>
          <w:r w:rsidRPr="00F52AB3">
            <w:rPr>
              <w:sz w:val="22"/>
              <w:szCs w:val="22"/>
            </w:rPr>
            <w:fldChar w:fldCharType="end"/>
          </w:r>
        </w:sdtContent>
      </w:sdt>
      <w:r w:rsidRPr="00F52AB3">
        <w:rPr>
          <w:sz w:val="22"/>
          <w:szCs w:val="22"/>
        </w:rPr>
        <w:t xml:space="preserve">. This essay critically evaluates some of the strategies used by police to deal with public protection issues and various impacts upon it, and the link between serious organised crime and public protection. </w:t>
      </w:r>
    </w:p>
    <w:p w14:paraId="58141F80" w14:textId="77777777" w:rsidR="00F52AB3" w:rsidRPr="00F52AB3" w:rsidRDefault="00F52AB3" w:rsidP="00F52AB3">
      <w:pPr>
        <w:rPr>
          <w:sz w:val="22"/>
          <w:szCs w:val="22"/>
        </w:rPr>
      </w:pPr>
    </w:p>
    <w:p w14:paraId="17095B3A" w14:textId="77777777" w:rsidR="00F52AB3" w:rsidRPr="00F52AB3" w:rsidRDefault="00F52AB3" w:rsidP="00F52AB3">
      <w:pPr>
        <w:rPr>
          <w:sz w:val="22"/>
          <w:szCs w:val="22"/>
        </w:rPr>
      </w:pPr>
      <w:r w:rsidRPr="00F52AB3">
        <w:rPr>
          <w:sz w:val="22"/>
          <w:szCs w:val="22"/>
        </w:rPr>
        <w:t xml:space="preserve">Public protection can be thought of as the duty imposed upon police to keep vulnerable persons safe. The most obvious way that these persons come into contact with the police service is through their involvement in the criminal justice system either as victims or witnesses to crimes. A victim is “a person who has suffered harm, including physical, mental or emotional harm, or economic loss, which was directly caused by a criminal offence” </w:t>
      </w:r>
      <w:sdt>
        <w:sdtPr>
          <w:rPr>
            <w:sz w:val="22"/>
            <w:szCs w:val="22"/>
          </w:rPr>
          <w:id w:val="-448860023"/>
          <w:citation/>
        </w:sdtPr>
        <w:sdtContent>
          <w:r w:rsidRPr="00F52AB3">
            <w:rPr>
              <w:sz w:val="22"/>
              <w:szCs w:val="22"/>
            </w:rPr>
            <w:fldChar w:fldCharType="begin"/>
          </w:r>
          <w:r w:rsidRPr="00F52AB3">
            <w:rPr>
              <w:sz w:val="22"/>
              <w:szCs w:val="22"/>
            </w:rPr>
            <w:instrText xml:space="preserve"> CITATION Col213 \l 2057 </w:instrText>
          </w:r>
          <w:r w:rsidRPr="00F52AB3">
            <w:rPr>
              <w:sz w:val="22"/>
              <w:szCs w:val="22"/>
            </w:rPr>
            <w:fldChar w:fldCharType="separate"/>
          </w:r>
          <w:r w:rsidRPr="00F52AB3">
            <w:rPr>
              <w:noProof/>
              <w:sz w:val="22"/>
              <w:szCs w:val="22"/>
            </w:rPr>
            <w:t>(College of Policing, 2021)</w:t>
          </w:r>
          <w:r w:rsidRPr="00F52AB3">
            <w:rPr>
              <w:sz w:val="22"/>
              <w:szCs w:val="22"/>
            </w:rPr>
            <w:fldChar w:fldCharType="end"/>
          </w:r>
        </w:sdtContent>
      </w:sdt>
      <w:r w:rsidRPr="00F52AB3">
        <w:rPr>
          <w:sz w:val="22"/>
          <w:szCs w:val="22"/>
        </w:rPr>
        <w:t>. However, not all victims are necessarily vulnerable, and the vulnerability they experience is contingent on their personal circumstances</w:t>
      </w:r>
      <w:sdt>
        <w:sdtPr>
          <w:rPr>
            <w:sz w:val="22"/>
            <w:szCs w:val="22"/>
          </w:rPr>
          <w:id w:val="-528570791"/>
          <w:citation/>
        </w:sdtPr>
        <w:sdtContent>
          <w:r w:rsidRPr="00F52AB3">
            <w:rPr>
              <w:sz w:val="22"/>
              <w:szCs w:val="22"/>
            </w:rPr>
            <w:fldChar w:fldCharType="begin"/>
          </w:r>
          <w:r w:rsidRPr="00F52AB3">
            <w:rPr>
              <w:sz w:val="22"/>
              <w:szCs w:val="22"/>
            </w:rPr>
            <w:instrText xml:space="preserve"> CITATION Min20 \l 2057 </w:instrText>
          </w:r>
          <w:r w:rsidRPr="00F52AB3">
            <w:rPr>
              <w:sz w:val="22"/>
              <w:szCs w:val="22"/>
            </w:rPr>
            <w:fldChar w:fldCharType="separate"/>
          </w:r>
          <w:r w:rsidRPr="00F52AB3">
            <w:rPr>
              <w:noProof/>
              <w:sz w:val="22"/>
              <w:szCs w:val="22"/>
            </w:rPr>
            <w:t xml:space="preserve"> (Ministry of Justice, 2020)</w:t>
          </w:r>
          <w:r w:rsidRPr="00F52AB3">
            <w:rPr>
              <w:sz w:val="22"/>
              <w:szCs w:val="22"/>
            </w:rPr>
            <w:fldChar w:fldCharType="end"/>
          </w:r>
        </w:sdtContent>
      </w:sdt>
      <w:r w:rsidRPr="00F52AB3">
        <w:rPr>
          <w:sz w:val="22"/>
          <w:szCs w:val="22"/>
        </w:rPr>
        <w:t xml:space="preserve">. Vulnerability is defined by the College of Policing (2020) as “if, as a result of their situation or circumstances, they are unable to take care of or protect themselves or others from harm or exploitation”. This highlights that vulnerability is based on an individual’s particular circumstances and is context dependent. Victims are not the only vulnerable members of society that police deal with. In addition to this, offenders can often be considered vulnerable persons and many people that are involved in non-crime police incidents experience vulnerability. For example, those suffering from mental health issues often come into contact with police through a variety of incidents and also fall within the public protection remit </w:t>
      </w:r>
      <w:sdt>
        <w:sdtPr>
          <w:rPr>
            <w:sz w:val="22"/>
            <w:szCs w:val="22"/>
          </w:rPr>
          <w:id w:val="-695766175"/>
          <w:citation/>
        </w:sdtPr>
        <w:sdtContent>
          <w:r w:rsidRPr="00F52AB3">
            <w:rPr>
              <w:sz w:val="22"/>
              <w:szCs w:val="22"/>
            </w:rPr>
            <w:fldChar w:fldCharType="begin"/>
          </w:r>
          <w:r w:rsidRPr="00F52AB3">
            <w:rPr>
              <w:sz w:val="22"/>
              <w:szCs w:val="22"/>
            </w:rPr>
            <w:instrText xml:space="preserve"> CITATION Col213 \l 2057 </w:instrText>
          </w:r>
          <w:r w:rsidRPr="00F52AB3">
            <w:rPr>
              <w:sz w:val="22"/>
              <w:szCs w:val="22"/>
            </w:rPr>
            <w:fldChar w:fldCharType="separate"/>
          </w:r>
          <w:r w:rsidRPr="00F52AB3">
            <w:rPr>
              <w:noProof/>
              <w:sz w:val="22"/>
              <w:szCs w:val="22"/>
            </w:rPr>
            <w:t>(College of Policing, 2021)</w:t>
          </w:r>
          <w:r w:rsidRPr="00F52AB3">
            <w:rPr>
              <w:sz w:val="22"/>
              <w:szCs w:val="22"/>
            </w:rPr>
            <w:fldChar w:fldCharType="end"/>
          </w:r>
        </w:sdtContent>
      </w:sdt>
      <w:r w:rsidRPr="00F52AB3">
        <w:rPr>
          <w:sz w:val="22"/>
          <w:szCs w:val="22"/>
        </w:rPr>
        <w:t>.</w:t>
      </w:r>
    </w:p>
    <w:p w14:paraId="5CFD7EDC" w14:textId="77777777" w:rsidR="00F52AB3" w:rsidRPr="00F52AB3" w:rsidRDefault="00F52AB3" w:rsidP="00F52AB3">
      <w:pPr>
        <w:rPr>
          <w:sz w:val="22"/>
          <w:szCs w:val="22"/>
        </w:rPr>
      </w:pPr>
    </w:p>
    <w:p w14:paraId="03F8A002" w14:textId="77777777" w:rsidR="00F52AB3" w:rsidRPr="00F52AB3" w:rsidRDefault="00F52AB3" w:rsidP="00F52AB3">
      <w:pPr>
        <w:rPr>
          <w:sz w:val="22"/>
          <w:szCs w:val="22"/>
        </w:rPr>
      </w:pPr>
      <w:r w:rsidRPr="00F52AB3">
        <w:rPr>
          <w:sz w:val="22"/>
          <w:szCs w:val="22"/>
        </w:rPr>
        <w:t xml:space="preserve">There are a wide variety of strategies used by police to deal with public protection issues. One of the most common strategies to deal with vulnerable persons is through the use of police Public Protection Notices to refer vulnerable persons to other statutory agencies including social or health services, or relevant support agencies or charities. However, a much more complex strategy deployed nationally is ‘MAPPA’. The Multi-Agency Public Protection Arrangements, a set of legislation and inter-agency working arrangements to facilitate the safe management of sexual and violent offenders were introduced in 2000. They aimed to reduce the risk of sexual and violent offenders in the community following a variety of public revelations regarding sex abuse within sporting and religious groups </w:t>
      </w:r>
      <w:sdt>
        <w:sdtPr>
          <w:rPr>
            <w:sz w:val="22"/>
            <w:szCs w:val="22"/>
          </w:rPr>
          <w:id w:val="-1025399538"/>
          <w:citation/>
        </w:sdtPr>
        <w:sdtContent>
          <w:r w:rsidRPr="00F52AB3">
            <w:rPr>
              <w:sz w:val="22"/>
              <w:szCs w:val="22"/>
            </w:rPr>
            <w:fldChar w:fldCharType="begin"/>
          </w:r>
          <w:r w:rsidRPr="00F52AB3">
            <w:rPr>
              <w:sz w:val="22"/>
              <w:szCs w:val="22"/>
            </w:rPr>
            <w:instrText xml:space="preserve"> CITATION Ric19 \l 2057 </w:instrText>
          </w:r>
          <w:r w:rsidRPr="00F52AB3">
            <w:rPr>
              <w:sz w:val="22"/>
              <w:szCs w:val="22"/>
            </w:rPr>
            <w:fldChar w:fldCharType="separate"/>
          </w:r>
          <w:r w:rsidRPr="00F52AB3">
            <w:rPr>
              <w:noProof/>
              <w:sz w:val="22"/>
              <w:szCs w:val="22"/>
            </w:rPr>
            <w:t>(Taylor &amp; Yakely, 2019)</w:t>
          </w:r>
          <w:r w:rsidRPr="00F52AB3">
            <w:rPr>
              <w:sz w:val="22"/>
              <w:szCs w:val="22"/>
            </w:rPr>
            <w:fldChar w:fldCharType="end"/>
          </w:r>
        </w:sdtContent>
      </w:sdt>
      <w:r w:rsidRPr="00F52AB3">
        <w:rPr>
          <w:sz w:val="22"/>
          <w:szCs w:val="22"/>
        </w:rPr>
        <w:t xml:space="preserve">. MAPPA indicates that whilst strategies to deal directly with vulnerable persons are important, strategies that aim to manage and mitigate the risks posed by offenders that target vulnerable persons are also key. Within MAPPA, the police, prison service and probation are identified as the ‘responsible authority’, whilst a duty to cooperate is imposed on a variety of other stakeholders including youth offending services, Jobcentre, health services and social services </w:t>
      </w:r>
      <w:sdt>
        <w:sdtPr>
          <w:rPr>
            <w:sz w:val="22"/>
            <w:szCs w:val="22"/>
          </w:rPr>
          <w:id w:val="-1811481021"/>
          <w:citation/>
        </w:sdtPr>
        <w:sdtContent>
          <w:r w:rsidRPr="00F52AB3">
            <w:rPr>
              <w:sz w:val="22"/>
              <w:szCs w:val="22"/>
            </w:rPr>
            <w:fldChar w:fldCharType="begin"/>
          </w:r>
          <w:r w:rsidRPr="00F52AB3">
            <w:rPr>
              <w:sz w:val="22"/>
              <w:szCs w:val="22"/>
            </w:rPr>
            <w:instrText xml:space="preserve"> CITATION Ric19 \l 2057 </w:instrText>
          </w:r>
          <w:r w:rsidRPr="00F52AB3">
            <w:rPr>
              <w:sz w:val="22"/>
              <w:szCs w:val="22"/>
            </w:rPr>
            <w:fldChar w:fldCharType="separate"/>
          </w:r>
          <w:r w:rsidRPr="00F52AB3">
            <w:rPr>
              <w:noProof/>
              <w:sz w:val="22"/>
              <w:szCs w:val="22"/>
            </w:rPr>
            <w:t>(Taylor &amp; Yakely, 2019)</w:t>
          </w:r>
          <w:r w:rsidRPr="00F52AB3">
            <w:rPr>
              <w:sz w:val="22"/>
              <w:szCs w:val="22"/>
            </w:rPr>
            <w:fldChar w:fldCharType="end"/>
          </w:r>
        </w:sdtContent>
      </w:sdt>
      <w:r w:rsidRPr="00F52AB3">
        <w:rPr>
          <w:sz w:val="22"/>
          <w:szCs w:val="22"/>
        </w:rPr>
        <w:t xml:space="preserve">. Subjects of MAPPA are managed through the use of inter-agency </w:t>
      </w:r>
      <w:r w:rsidRPr="00F52AB3">
        <w:rPr>
          <w:sz w:val="22"/>
          <w:szCs w:val="22"/>
        </w:rPr>
        <w:lastRenderedPageBreak/>
        <w:t xml:space="preserve">conferences and panels where offenders are risk-assessed, information is shared between agencies and strategies for managing the risks are developed </w:t>
      </w:r>
      <w:sdt>
        <w:sdtPr>
          <w:rPr>
            <w:sz w:val="22"/>
            <w:szCs w:val="22"/>
          </w:rPr>
          <w:id w:val="290713209"/>
          <w:citation/>
        </w:sdtPr>
        <w:sdtContent>
          <w:r w:rsidRPr="00F52AB3">
            <w:rPr>
              <w:sz w:val="22"/>
              <w:szCs w:val="22"/>
            </w:rPr>
            <w:fldChar w:fldCharType="begin"/>
          </w:r>
          <w:r w:rsidRPr="00F52AB3">
            <w:rPr>
              <w:sz w:val="22"/>
              <w:szCs w:val="22"/>
            </w:rPr>
            <w:instrText xml:space="preserve"> CITATION Col20 \l 2057 </w:instrText>
          </w:r>
          <w:r w:rsidRPr="00F52AB3">
            <w:rPr>
              <w:sz w:val="22"/>
              <w:szCs w:val="22"/>
            </w:rPr>
            <w:fldChar w:fldCharType="separate"/>
          </w:r>
          <w:r w:rsidRPr="00F52AB3">
            <w:rPr>
              <w:noProof/>
              <w:sz w:val="22"/>
              <w:szCs w:val="22"/>
            </w:rPr>
            <w:t>(College of Policing, 2020)</w:t>
          </w:r>
          <w:r w:rsidRPr="00F52AB3">
            <w:rPr>
              <w:sz w:val="22"/>
              <w:szCs w:val="22"/>
            </w:rPr>
            <w:fldChar w:fldCharType="end"/>
          </w:r>
        </w:sdtContent>
      </w:sdt>
      <w:r w:rsidRPr="00F52AB3">
        <w:rPr>
          <w:sz w:val="22"/>
          <w:szCs w:val="22"/>
        </w:rPr>
        <w:t xml:space="preserve">. </w:t>
      </w:r>
    </w:p>
    <w:p w14:paraId="741F1748" w14:textId="77777777" w:rsidR="00F52AB3" w:rsidRPr="00F52AB3" w:rsidRDefault="00F52AB3" w:rsidP="00F52AB3">
      <w:pPr>
        <w:rPr>
          <w:sz w:val="22"/>
          <w:szCs w:val="22"/>
        </w:rPr>
      </w:pPr>
      <w:r w:rsidRPr="00F52AB3">
        <w:rPr>
          <w:sz w:val="22"/>
          <w:szCs w:val="22"/>
        </w:rPr>
        <w:t xml:space="preserve">However, whilst MAPPA is a useful model it can be criticised as being excessively bureaucratic. The inclusion of a wide and diverse range of agencies has benefits for information and expertise sharing, but naturally a competing range of opinions and interests can lead to poor decision-making and comprises. Furthermore, failures within the MAPPA structure can lead to the creation of a ‘blame culture’, where all errors are blamed on one or some of the stakeholders involved and agencies can compete to absolve themselves of blame </w:t>
      </w:r>
      <w:sdt>
        <w:sdtPr>
          <w:rPr>
            <w:sz w:val="22"/>
            <w:szCs w:val="22"/>
          </w:rPr>
          <w:id w:val="630366345"/>
          <w:citation/>
        </w:sdtPr>
        <w:sdtContent>
          <w:r w:rsidRPr="00F52AB3">
            <w:rPr>
              <w:sz w:val="22"/>
              <w:szCs w:val="22"/>
            </w:rPr>
            <w:fldChar w:fldCharType="begin"/>
          </w:r>
          <w:r w:rsidRPr="00F52AB3">
            <w:rPr>
              <w:sz w:val="22"/>
              <w:szCs w:val="22"/>
            </w:rPr>
            <w:instrText xml:space="preserve"> CITATION Ric19 \l 2057 </w:instrText>
          </w:r>
          <w:r w:rsidRPr="00F52AB3">
            <w:rPr>
              <w:sz w:val="22"/>
              <w:szCs w:val="22"/>
            </w:rPr>
            <w:fldChar w:fldCharType="separate"/>
          </w:r>
          <w:r w:rsidRPr="00F52AB3">
            <w:rPr>
              <w:noProof/>
              <w:sz w:val="22"/>
              <w:szCs w:val="22"/>
            </w:rPr>
            <w:t>(Taylor &amp; Yakely, 2019)</w:t>
          </w:r>
          <w:r w:rsidRPr="00F52AB3">
            <w:rPr>
              <w:sz w:val="22"/>
              <w:szCs w:val="22"/>
            </w:rPr>
            <w:fldChar w:fldCharType="end"/>
          </w:r>
        </w:sdtContent>
      </w:sdt>
      <w:r w:rsidRPr="00F52AB3">
        <w:rPr>
          <w:sz w:val="22"/>
          <w:szCs w:val="22"/>
        </w:rPr>
        <w:t>. This is a theme found throughout public protection measures, where a ‘blame culture’ following failure leads to excessive bureaucracy in order to prevent criticism. This impacts on the efficiency and effectiveness of frontline policing.</w:t>
      </w:r>
    </w:p>
    <w:p w14:paraId="67CD2BF3" w14:textId="77777777" w:rsidR="00F52AB3" w:rsidRPr="00F52AB3" w:rsidRDefault="00F52AB3" w:rsidP="00F52AB3">
      <w:pPr>
        <w:rPr>
          <w:sz w:val="22"/>
          <w:szCs w:val="22"/>
        </w:rPr>
      </w:pPr>
    </w:p>
    <w:p w14:paraId="451C00CA" w14:textId="77777777" w:rsidR="00F52AB3" w:rsidRPr="00F52AB3" w:rsidRDefault="00F52AB3" w:rsidP="00F52AB3">
      <w:pPr>
        <w:rPr>
          <w:sz w:val="22"/>
          <w:szCs w:val="22"/>
        </w:rPr>
      </w:pPr>
      <w:r w:rsidRPr="00F52AB3">
        <w:rPr>
          <w:sz w:val="22"/>
          <w:szCs w:val="22"/>
        </w:rPr>
        <w:t xml:space="preserve">Public protection is also intrinsically linked to serious and organised crime groups (OCG). This can be clearly seen through the recent operational shift within drug supply groups to a ‘county lines’ model. County lines dealing is a new model of supply where urban drug dealers cross police borders to exploit provincial drug markets in suburban and rural areas </w:t>
      </w:r>
      <w:sdt>
        <w:sdtPr>
          <w:rPr>
            <w:sz w:val="22"/>
            <w:szCs w:val="22"/>
          </w:rPr>
          <w:id w:val="822854194"/>
          <w:citation/>
        </w:sdtPr>
        <w:sdtContent>
          <w:r w:rsidRPr="00F52AB3">
            <w:rPr>
              <w:sz w:val="22"/>
              <w:szCs w:val="22"/>
            </w:rPr>
            <w:fldChar w:fldCharType="begin"/>
          </w:r>
          <w:r w:rsidRPr="00F52AB3">
            <w:rPr>
              <w:sz w:val="22"/>
              <w:szCs w:val="22"/>
            </w:rPr>
            <w:instrText xml:space="preserve"> CITATION Jam20 \l 2057 </w:instrText>
          </w:r>
          <w:r w:rsidRPr="00F52AB3">
            <w:rPr>
              <w:sz w:val="22"/>
              <w:szCs w:val="22"/>
            </w:rPr>
            <w:fldChar w:fldCharType="separate"/>
          </w:r>
          <w:r w:rsidRPr="00F52AB3">
            <w:rPr>
              <w:noProof/>
              <w:sz w:val="22"/>
              <w:szCs w:val="22"/>
            </w:rPr>
            <w:t>(Windle, et al., 2020)</w:t>
          </w:r>
          <w:r w:rsidRPr="00F52AB3">
            <w:rPr>
              <w:sz w:val="22"/>
              <w:szCs w:val="22"/>
            </w:rPr>
            <w:fldChar w:fldCharType="end"/>
          </w:r>
        </w:sdtContent>
      </w:sdt>
      <w:r w:rsidRPr="00F52AB3">
        <w:rPr>
          <w:sz w:val="22"/>
          <w:szCs w:val="22"/>
        </w:rPr>
        <w:t xml:space="preserve">. From a public protection perspective, children – particularly those in care or in unstable families – are exploited by the OCG to become couriers transporting drugs from the cities to provincial locations or as street runners delivering drugs to buyers. Children are exploited for these roles as they are a cheap, easily-recruited workforce that can absorb the risks related to these activities and are largely considered disposable </w:t>
      </w:r>
      <w:sdt>
        <w:sdtPr>
          <w:rPr>
            <w:sz w:val="22"/>
            <w:szCs w:val="22"/>
          </w:rPr>
          <w:id w:val="335341878"/>
          <w:citation/>
        </w:sdtPr>
        <w:sdtContent>
          <w:r w:rsidRPr="00F52AB3">
            <w:rPr>
              <w:sz w:val="22"/>
              <w:szCs w:val="22"/>
            </w:rPr>
            <w:fldChar w:fldCharType="begin"/>
          </w:r>
          <w:r w:rsidRPr="00F52AB3">
            <w:rPr>
              <w:sz w:val="22"/>
              <w:szCs w:val="22"/>
            </w:rPr>
            <w:instrText xml:space="preserve"> CITATION Jam20 \l 2057 </w:instrText>
          </w:r>
          <w:r w:rsidRPr="00F52AB3">
            <w:rPr>
              <w:sz w:val="22"/>
              <w:szCs w:val="22"/>
            </w:rPr>
            <w:fldChar w:fldCharType="separate"/>
          </w:r>
          <w:r w:rsidRPr="00F52AB3">
            <w:rPr>
              <w:noProof/>
              <w:sz w:val="22"/>
              <w:szCs w:val="22"/>
            </w:rPr>
            <w:t>(Windle, et al., 2020)</w:t>
          </w:r>
          <w:r w:rsidRPr="00F52AB3">
            <w:rPr>
              <w:sz w:val="22"/>
              <w:szCs w:val="22"/>
            </w:rPr>
            <w:fldChar w:fldCharType="end"/>
          </w:r>
        </w:sdtContent>
      </w:sdt>
      <w:r w:rsidRPr="00F52AB3">
        <w:rPr>
          <w:sz w:val="22"/>
          <w:szCs w:val="22"/>
        </w:rPr>
        <w:t xml:space="preserve">. Children are also more able to carry these roles out without arising suspicion from law enforcement </w:t>
      </w:r>
      <w:sdt>
        <w:sdtPr>
          <w:rPr>
            <w:sz w:val="22"/>
            <w:szCs w:val="22"/>
          </w:rPr>
          <w:id w:val="727105480"/>
          <w:citation/>
        </w:sdtPr>
        <w:sdtContent>
          <w:r w:rsidRPr="00F52AB3">
            <w:rPr>
              <w:sz w:val="22"/>
              <w:szCs w:val="22"/>
            </w:rPr>
            <w:fldChar w:fldCharType="begin"/>
          </w:r>
          <w:r w:rsidRPr="00F52AB3">
            <w:rPr>
              <w:sz w:val="22"/>
              <w:szCs w:val="22"/>
            </w:rPr>
            <w:instrText xml:space="preserve"> CITATION Man19 \l 2057 </w:instrText>
          </w:r>
          <w:r w:rsidRPr="00F52AB3">
            <w:rPr>
              <w:sz w:val="22"/>
              <w:szCs w:val="22"/>
            </w:rPr>
            <w:fldChar w:fldCharType="separate"/>
          </w:r>
          <w:r w:rsidRPr="00F52AB3">
            <w:rPr>
              <w:noProof/>
              <w:sz w:val="22"/>
              <w:szCs w:val="22"/>
            </w:rPr>
            <w:t>(Manchura, et al., 2019)</w:t>
          </w:r>
          <w:r w:rsidRPr="00F52AB3">
            <w:rPr>
              <w:sz w:val="22"/>
              <w:szCs w:val="22"/>
            </w:rPr>
            <w:fldChar w:fldCharType="end"/>
          </w:r>
        </w:sdtContent>
      </w:sdt>
      <w:r w:rsidRPr="00F52AB3">
        <w:rPr>
          <w:sz w:val="22"/>
          <w:szCs w:val="22"/>
        </w:rPr>
        <w:t xml:space="preserve">. Children in these roles experience a wide variety of harms from physical or sexual violence to arrest and criminalisation. This highlights a key difficulty for public protection policing; whilst vulnerable children are being exploited by OCG’s and suffering high levels of harm, they are also engaging in criminality and committing offences. The reconciliation of these two competing interests for the police service is the subject of much debate. </w:t>
      </w:r>
    </w:p>
    <w:p w14:paraId="5E57145B" w14:textId="77777777" w:rsidR="00F52AB3" w:rsidRPr="00F52AB3" w:rsidRDefault="00F52AB3" w:rsidP="00F52AB3">
      <w:pPr>
        <w:rPr>
          <w:sz w:val="22"/>
          <w:szCs w:val="22"/>
        </w:rPr>
      </w:pPr>
    </w:p>
    <w:p w14:paraId="4DB4D221" w14:textId="77777777" w:rsidR="00F52AB3" w:rsidRPr="00F52AB3" w:rsidRDefault="00F52AB3" w:rsidP="00F52AB3">
      <w:pPr>
        <w:rPr>
          <w:sz w:val="22"/>
          <w:szCs w:val="22"/>
        </w:rPr>
      </w:pPr>
      <w:r w:rsidRPr="00F52AB3">
        <w:rPr>
          <w:sz w:val="22"/>
          <w:szCs w:val="22"/>
        </w:rPr>
        <w:t xml:space="preserve">Similar to county lines exploitation, exploited and vulnerable persons are at the heart of modern slavery. This is where OCG’s exploit vulnerable persons to carry out often illegal labour with little or no recompense, poor conditions and the inability to leave. For example, some OCG’s utilise imported illegal labour to tend cannabis grows </w:t>
      </w:r>
      <w:sdt>
        <w:sdtPr>
          <w:rPr>
            <w:sz w:val="22"/>
            <w:szCs w:val="22"/>
          </w:rPr>
          <w:id w:val="-350721237"/>
          <w:citation/>
        </w:sdtPr>
        <w:sdtContent>
          <w:r w:rsidRPr="00F52AB3">
            <w:rPr>
              <w:sz w:val="22"/>
              <w:szCs w:val="22"/>
            </w:rPr>
            <w:fldChar w:fldCharType="begin"/>
          </w:r>
          <w:r w:rsidRPr="00F52AB3">
            <w:rPr>
              <w:sz w:val="22"/>
              <w:szCs w:val="22"/>
            </w:rPr>
            <w:instrText xml:space="preserve"> CITATION Man19 \l 2057 </w:instrText>
          </w:r>
          <w:r w:rsidRPr="00F52AB3">
            <w:rPr>
              <w:sz w:val="22"/>
              <w:szCs w:val="22"/>
            </w:rPr>
            <w:fldChar w:fldCharType="separate"/>
          </w:r>
          <w:r w:rsidRPr="00F52AB3">
            <w:rPr>
              <w:noProof/>
              <w:sz w:val="22"/>
              <w:szCs w:val="22"/>
            </w:rPr>
            <w:t>(Manchura, et al., 2019)</w:t>
          </w:r>
          <w:r w:rsidRPr="00F52AB3">
            <w:rPr>
              <w:sz w:val="22"/>
              <w:szCs w:val="22"/>
            </w:rPr>
            <w:fldChar w:fldCharType="end"/>
          </w:r>
        </w:sdtContent>
      </w:sdt>
      <w:r w:rsidRPr="00F52AB3">
        <w:rPr>
          <w:sz w:val="22"/>
          <w:szCs w:val="22"/>
        </w:rPr>
        <w:t>. These persons are exploited through being in the country illegally, having no ability to leave and being vulnerable to arrest and prosecution themselves. The recognition and deployment of suitable support to instances of modern slavery is key for public protection policing.</w:t>
      </w:r>
    </w:p>
    <w:p w14:paraId="2CEE2B7C" w14:textId="77777777" w:rsidR="00F52AB3" w:rsidRPr="00F52AB3" w:rsidRDefault="00F52AB3" w:rsidP="00F52AB3">
      <w:pPr>
        <w:rPr>
          <w:sz w:val="22"/>
          <w:szCs w:val="22"/>
        </w:rPr>
      </w:pPr>
    </w:p>
    <w:p w14:paraId="4806F250" w14:textId="77777777" w:rsidR="00F52AB3" w:rsidRPr="00F52AB3" w:rsidRDefault="00F52AB3" w:rsidP="00F52AB3">
      <w:pPr>
        <w:rPr>
          <w:sz w:val="22"/>
          <w:szCs w:val="22"/>
        </w:rPr>
      </w:pPr>
      <w:r w:rsidRPr="00F52AB3">
        <w:rPr>
          <w:sz w:val="22"/>
          <w:szCs w:val="22"/>
        </w:rPr>
        <w:t>Overall, the police are deeply in involved in issues of public protection, where a wide variety of strategies are employed. This is a complex field where vulnerable persons and criminality are closely linked.</w:t>
      </w:r>
    </w:p>
    <w:p w14:paraId="549AA1A9" w14:textId="4D8ABEBA" w:rsidR="00F52AB3" w:rsidRPr="00F52AB3" w:rsidRDefault="00F52AB3" w:rsidP="00454735">
      <w:pPr>
        <w:spacing w:line="257" w:lineRule="auto"/>
        <w:rPr>
          <w:sz w:val="22"/>
          <w:szCs w:val="22"/>
        </w:rPr>
      </w:pPr>
    </w:p>
    <w:p w14:paraId="5EC3D357" w14:textId="650EF667" w:rsidR="00F52AB3" w:rsidRDefault="00F52AB3" w:rsidP="00454735">
      <w:pPr>
        <w:spacing w:line="257" w:lineRule="auto"/>
        <w:rPr>
          <w:sz w:val="22"/>
          <w:szCs w:val="22"/>
        </w:rPr>
      </w:pPr>
      <w:r w:rsidRPr="00F52AB3">
        <w:rPr>
          <w:sz w:val="22"/>
          <w:szCs w:val="22"/>
        </w:rPr>
        <w:t>Word count: 1093</w:t>
      </w:r>
    </w:p>
    <w:p w14:paraId="0A0FAC0E" w14:textId="77777777" w:rsidR="00F52AB3" w:rsidRPr="00F52AB3" w:rsidRDefault="00F52AB3" w:rsidP="00454735">
      <w:pPr>
        <w:spacing w:line="257" w:lineRule="auto"/>
        <w:rPr>
          <w:sz w:val="22"/>
          <w:szCs w:val="22"/>
        </w:rPr>
      </w:pPr>
    </w:p>
    <w:p w14:paraId="2BB6ED8E" w14:textId="23C42DD7" w:rsidR="00F52AB3" w:rsidRPr="00F52AB3" w:rsidRDefault="00F52AB3" w:rsidP="00454735">
      <w:pPr>
        <w:spacing w:line="257" w:lineRule="auto"/>
        <w:rPr>
          <w:sz w:val="22"/>
          <w:szCs w:val="22"/>
        </w:rPr>
      </w:pPr>
    </w:p>
    <w:sdt>
      <w:sdtPr>
        <w:rPr>
          <w:rFonts w:eastAsia="Calibri"/>
          <w:sz w:val="22"/>
          <w:szCs w:val="22"/>
          <w:lang w:eastAsia="en-US"/>
        </w:rPr>
        <w:id w:val="234829819"/>
        <w:bibliography/>
      </w:sdtPr>
      <w:sdtEndPr>
        <w:rPr>
          <w:rFonts w:ascii="Calibri" w:hAnsi="Calibri"/>
        </w:rPr>
      </w:sdtEndPr>
      <w:sdtContent>
        <w:p w14:paraId="7C9932D2" w14:textId="77777777" w:rsidR="00F52AB3" w:rsidRPr="00F52AB3" w:rsidRDefault="00F52AB3" w:rsidP="00F52AB3">
          <w:pPr>
            <w:spacing w:after="160" w:line="259" w:lineRule="auto"/>
            <w:rPr>
              <w:rFonts w:eastAsia="Calibri"/>
              <w:noProof/>
              <w:sz w:val="22"/>
              <w:szCs w:val="22"/>
              <w:lang w:val="en-US" w:eastAsia="en-US"/>
            </w:rPr>
          </w:pPr>
          <w:r w:rsidRPr="00F52AB3">
            <w:rPr>
              <w:rFonts w:eastAsia="Calibri"/>
              <w:sz w:val="22"/>
              <w:szCs w:val="22"/>
              <w:lang w:eastAsia="en-US"/>
            </w:rPr>
            <w:fldChar w:fldCharType="begin"/>
          </w:r>
          <w:r w:rsidRPr="00F52AB3">
            <w:rPr>
              <w:rFonts w:eastAsia="Calibri"/>
              <w:sz w:val="22"/>
              <w:szCs w:val="22"/>
              <w:lang w:eastAsia="en-US"/>
            </w:rPr>
            <w:instrText xml:space="preserve"> BIBLIOGRAPHY </w:instrText>
          </w:r>
          <w:r w:rsidRPr="00F52AB3">
            <w:rPr>
              <w:rFonts w:eastAsia="Calibri"/>
              <w:sz w:val="22"/>
              <w:szCs w:val="22"/>
              <w:lang w:eastAsia="en-US"/>
            </w:rPr>
            <w:fldChar w:fldCharType="separate"/>
          </w:r>
          <w:r w:rsidRPr="00F52AB3">
            <w:rPr>
              <w:rFonts w:eastAsia="Calibri"/>
              <w:noProof/>
              <w:sz w:val="22"/>
              <w:szCs w:val="22"/>
              <w:lang w:val="en-US" w:eastAsia="en-US"/>
            </w:rPr>
            <w:t xml:space="preserve">College of Policing, 2020. </w:t>
          </w:r>
          <w:r w:rsidRPr="00F52AB3">
            <w:rPr>
              <w:rFonts w:eastAsia="Calibri"/>
              <w:i/>
              <w:iCs/>
              <w:noProof/>
              <w:sz w:val="22"/>
              <w:szCs w:val="22"/>
              <w:lang w:val="en-US" w:eastAsia="en-US"/>
            </w:rPr>
            <w:t xml:space="preserve">Managing sexual offenders and violent offenders. </w:t>
          </w:r>
          <w:r w:rsidRPr="00F52AB3">
            <w:rPr>
              <w:rFonts w:eastAsia="Calibri"/>
              <w:noProof/>
              <w:sz w:val="22"/>
              <w:szCs w:val="22"/>
              <w:lang w:val="en-US" w:eastAsia="en-US"/>
            </w:rPr>
            <w:t xml:space="preserve">[Online] </w:t>
          </w:r>
          <w:r w:rsidRPr="00F52AB3">
            <w:rPr>
              <w:rFonts w:eastAsia="Calibri"/>
              <w:noProof/>
              <w:sz w:val="22"/>
              <w:szCs w:val="22"/>
              <w:lang w:val="en-US" w:eastAsia="en-US"/>
            </w:rPr>
            <w:br/>
            <w:t xml:space="preserve">Available at: </w:t>
          </w:r>
          <w:r w:rsidRPr="00F52AB3">
            <w:rPr>
              <w:rFonts w:eastAsia="Calibri"/>
              <w:noProof/>
              <w:sz w:val="22"/>
              <w:szCs w:val="22"/>
              <w:u w:val="single"/>
              <w:lang w:val="en-US" w:eastAsia="en-US"/>
            </w:rPr>
            <w:t>https://www.app.college.police.uk/app-content/major-investigation-and-public-protection/managing-sexual-offenders-and-violent-offenders/</w:t>
          </w:r>
          <w:r w:rsidRPr="00F52AB3">
            <w:rPr>
              <w:rFonts w:eastAsia="Calibri"/>
              <w:noProof/>
              <w:sz w:val="22"/>
              <w:szCs w:val="22"/>
              <w:lang w:val="en-US" w:eastAsia="en-US"/>
            </w:rPr>
            <w:br/>
            <w:t>[Accessed 15 2 2022].</w:t>
          </w:r>
        </w:p>
        <w:p w14:paraId="1C3F9DB3" w14:textId="77777777" w:rsidR="00F52AB3" w:rsidRPr="00F52AB3" w:rsidRDefault="00F52AB3" w:rsidP="00F52AB3">
          <w:pPr>
            <w:spacing w:after="160" w:line="259" w:lineRule="auto"/>
            <w:rPr>
              <w:rFonts w:eastAsia="Calibri"/>
              <w:noProof/>
              <w:sz w:val="22"/>
              <w:szCs w:val="22"/>
              <w:lang w:val="en-US" w:eastAsia="en-US"/>
            </w:rPr>
          </w:pPr>
          <w:r w:rsidRPr="00F52AB3">
            <w:rPr>
              <w:rFonts w:eastAsia="Calibri"/>
              <w:noProof/>
              <w:sz w:val="22"/>
              <w:szCs w:val="22"/>
              <w:lang w:val="en-US" w:eastAsia="en-US"/>
            </w:rPr>
            <w:t xml:space="preserve">College of Policing, 2021. </w:t>
          </w:r>
          <w:r w:rsidRPr="00F52AB3">
            <w:rPr>
              <w:rFonts w:eastAsia="Calibri"/>
              <w:i/>
              <w:iCs/>
              <w:noProof/>
              <w:sz w:val="22"/>
              <w:szCs w:val="22"/>
              <w:lang w:val="en-US" w:eastAsia="en-US"/>
            </w:rPr>
            <w:t xml:space="preserve">Working with victims and witnesses. </w:t>
          </w:r>
          <w:r w:rsidRPr="00F52AB3">
            <w:rPr>
              <w:rFonts w:eastAsia="Calibri"/>
              <w:noProof/>
              <w:sz w:val="22"/>
              <w:szCs w:val="22"/>
              <w:lang w:val="en-US" w:eastAsia="en-US"/>
            </w:rPr>
            <w:t xml:space="preserve">[Online] </w:t>
          </w:r>
          <w:r w:rsidRPr="00F52AB3">
            <w:rPr>
              <w:rFonts w:eastAsia="Calibri"/>
              <w:noProof/>
              <w:sz w:val="22"/>
              <w:szCs w:val="22"/>
              <w:lang w:val="en-US" w:eastAsia="en-US"/>
            </w:rPr>
            <w:br/>
            <w:t xml:space="preserve">Available at: </w:t>
          </w:r>
          <w:r w:rsidRPr="00F52AB3">
            <w:rPr>
              <w:rFonts w:eastAsia="Calibri"/>
              <w:noProof/>
              <w:sz w:val="22"/>
              <w:szCs w:val="22"/>
              <w:u w:val="single"/>
              <w:lang w:val="en-US" w:eastAsia="en-US"/>
            </w:rPr>
            <w:t>https://www.app.college.police.uk/app-content/investigations/victims-and-witnesses/</w:t>
          </w:r>
          <w:r w:rsidRPr="00F52AB3">
            <w:rPr>
              <w:rFonts w:eastAsia="Calibri"/>
              <w:noProof/>
              <w:sz w:val="22"/>
              <w:szCs w:val="22"/>
              <w:lang w:val="en-US" w:eastAsia="en-US"/>
            </w:rPr>
            <w:br/>
            <w:t>[Accessed 25 2 2022].</w:t>
          </w:r>
        </w:p>
        <w:p w14:paraId="4F9195CC" w14:textId="77777777" w:rsidR="00F52AB3" w:rsidRPr="00F52AB3" w:rsidRDefault="00F52AB3" w:rsidP="00F52AB3">
          <w:pPr>
            <w:spacing w:after="160" w:line="259" w:lineRule="auto"/>
            <w:rPr>
              <w:rFonts w:eastAsia="Calibri"/>
              <w:noProof/>
              <w:sz w:val="22"/>
              <w:szCs w:val="22"/>
              <w:lang w:val="en-US" w:eastAsia="en-US"/>
            </w:rPr>
          </w:pPr>
          <w:r w:rsidRPr="00F52AB3">
            <w:rPr>
              <w:rFonts w:eastAsia="Calibri"/>
              <w:noProof/>
              <w:sz w:val="22"/>
              <w:szCs w:val="22"/>
              <w:lang w:val="en-US" w:eastAsia="en-US"/>
            </w:rPr>
            <w:t xml:space="preserve">Garrett, P., 2004. Talking child protection: the police and social workers 'working together'. </w:t>
          </w:r>
          <w:r w:rsidRPr="00F52AB3">
            <w:rPr>
              <w:rFonts w:eastAsia="Calibri"/>
              <w:i/>
              <w:iCs/>
              <w:noProof/>
              <w:sz w:val="22"/>
              <w:szCs w:val="22"/>
              <w:lang w:val="en-US" w:eastAsia="en-US"/>
            </w:rPr>
            <w:t xml:space="preserve">Journal of Social Work, </w:t>
          </w:r>
          <w:r w:rsidRPr="00F52AB3">
            <w:rPr>
              <w:rFonts w:eastAsia="Calibri"/>
              <w:noProof/>
              <w:sz w:val="22"/>
              <w:szCs w:val="22"/>
              <w:lang w:val="en-US" w:eastAsia="en-US"/>
            </w:rPr>
            <w:t>4(1), pp. 77-97.</w:t>
          </w:r>
        </w:p>
        <w:p w14:paraId="1F2C8EAD" w14:textId="77777777" w:rsidR="00F52AB3" w:rsidRPr="00F52AB3" w:rsidRDefault="00F52AB3" w:rsidP="00F52AB3">
          <w:pPr>
            <w:spacing w:after="160" w:line="259" w:lineRule="auto"/>
            <w:rPr>
              <w:rFonts w:eastAsia="Calibri"/>
              <w:noProof/>
              <w:sz w:val="22"/>
              <w:szCs w:val="22"/>
              <w:lang w:val="en-US" w:eastAsia="en-US"/>
            </w:rPr>
          </w:pPr>
          <w:r w:rsidRPr="00F52AB3">
            <w:rPr>
              <w:rFonts w:eastAsia="Calibri"/>
              <w:noProof/>
              <w:sz w:val="22"/>
              <w:szCs w:val="22"/>
              <w:lang w:val="en-US" w:eastAsia="en-US"/>
            </w:rPr>
            <w:t xml:space="preserve">Manchura, S. et al., 2019. Recognising modern slavery. </w:t>
          </w:r>
          <w:r w:rsidRPr="00F52AB3">
            <w:rPr>
              <w:rFonts w:eastAsia="Calibri"/>
              <w:i/>
              <w:iCs/>
              <w:noProof/>
              <w:sz w:val="22"/>
              <w:szCs w:val="22"/>
              <w:lang w:val="en-US" w:eastAsia="en-US"/>
            </w:rPr>
            <w:t xml:space="preserve">Journal of Human Trafficking, </w:t>
          </w:r>
          <w:r w:rsidRPr="00F52AB3">
            <w:rPr>
              <w:rFonts w:eastAsia="Calibri"/>
              <w:noProof/>
              <w:sz w:val="22"/>
              <w:szCs w:val="22"/>
              <w:lang w:val="en-US" w:eastAsia="en-US"/>
            </w:rPr>
            <w:t>5(3), pp. 201-219.</w:t>
          </w:r>
        </w:p>
        <w:p w14:paraId="0B6A34FA" w14:textId="77777777" w:rsidR="00F52AB3" w:rsidRPr="00F52AB3" w:rsidRDefault="00F52AB3" w:rsidP="00F52AB3">
          <w:pPr>
            <w:spacing w:after="160" w:line="259" w:lineRule="auto"/>
            <w:rPr>
              <w:rFonts w:eastAsia="Calibri"/>
              <w:noProof/>
              <w:sz w:val="22"/>
              <w:szCs w:val="22"/>
              <w:lang w:val="en-US" w:eastAsia="en-US"/>
            </w:rPr>
          </w:pPr>
          <w:r w:rsidRPr="00F52AB3">
            <w:rPr>
              <w:rFonts w:eastAsia="Calibri"/>
              <w:noProof/>
              <w:sz w:val="22"/>
              <w:szCs w:val="22"/>
              <w:lang w:val="en-US" w:eastAsia="en-US"/>
            </w:rPr>
            <w:t xml:space="preserve">Ministry of Justice, 2020. </w:t>
          </w:r>
          <w:r w:rsidRPr="00F52AB3">
            <w:rPr>
              <w:rFonts w:eastAsia="Calibri"/>
              <w:i/>
              <w:iCs/>
              <w:noProof/>
              <w:sz w:val="22"/>
              <w:szCs w:val="22"/>
              <w:lang w:val="en-US" w:eastAsia="en-US"/>
            </w:rPr>
            <w:t xml:space="preserve">Code of Practicce for Victims of Crime in England and Wales, </w:t>
          </w:r>
          <w:r w:rsidRPr="00F52AB3">
            <w:rPr>
              <w:rFonts w:eastAsia="Calibri"/>
              <w:noProof/>
              <w:sz w:val="22"/>
              <w:szCs w:val="22"/>
              <w:lang w:val="en-US" w:eastAsia="en-US"/>
            </w:rPr>
            <w:t>London: HM Government.</w:t>
          </w:r>
        </w:p>
        <w:p w14:paraId="047F2228" w14:textId="77777777" w:rsidR="00F52AB3" w:rsidRPr="00F52AB3" w:rsidRDefault="00F52AB3" w:rsidP="00F52AB3">
          <w:pPr>
            <w:spacing w:after="160" w:line="259" w:lineRule="auto"/>
            <w:rPr>
              <w:rFonts w:eastAsia="Calibri"/>
              <w:noProof/>
              <w:sz w:val="22"/>
              <w:szCs w:val="22"/>
              <w:lang w:val="en-US" w:eastAsia="en-US"/>
            </w:rPr>
          </w:pPr>
          <w:r w:rsidRPr="00F52AB3">
            <w:rPr>
              <w:rFonts w:eastAsia="Calibri"/>
              <w:noProof/>
              <w:sz w:val="22"/>
              <w:szCs w:val="22"/>
              <w:lang w:val="en-US" w:eastAsia="en-US"/>
            </w:rPr>
            <w:t xml:space="preserve">Taylor, R. &amp; Yakely, J., 2019. Working with MAPPA: ethics and pragmatics. </w:t>
          </w:r>
          <w:r w:rsidRPr="00F52AB3">
            <w:rPr>
              <w:rFonts w:eastAsia="Calibri"/>
              <w:i/>
              <w:iCs/>
              <w:noProof/>
              <w:sz w:val="22"/>
              <w:szCs w:val="22"/>
              <w:lang w:val="en-US" w:eastAsia="en-US"/>
            </w:rPr>
            <w:t xml:space="preserve">British Journal of Psychological Advances, </w:t>
          </w:r>
          <w:r w:rsidRPr="00F52AB3">
            <w:rPr>
              <w:rFonts w:eastAsia="Calibri"/>
              <w:noProof/>
              <w:sz w:val="22"/>
              <w:szCs w:val="22"/>
              <w:lang w:val="en-US" w:eastAsia="en-US"/>
            </w:rPr>
            <w:t>25(3), pp. 157-165.</w:t>
          </w:r>
        </w:p>
        <w:p w14:paraId="1C4E0903" w14:textId="77777777" w:rsidR="00F52AB3" w:rsidRPr="00F52AB3" w:rsidRDefault="00F52AB3" w:rsidP="00F52AB3">
          <w:pPr>
            <w:spacing w:after="160" w:line="259" w:lineRule="auto"/>
            <w:rPr>
              <w:rFonts w:eastAsia="Calibri"/>
              <w:noProof/>
              <w:sz w:val="22"/>
              <w:szCs w:val="22"/>
              <w:lang w:val="en-US" w:eastAsia="en-US"/>
            </w:rPr>
          </w:pPr>
          <w:r w:rsidRPr="00F52AB3">
            <w:rPr>
              <w:rFonts w:eastAsia="Calibri"/>
              <w:noProof/>
              <w:sz w:val="22"/>
              <w:szCs w:val="22"/>
              <w:lang w:val="en-US" w:eastAsia="en-US"/>
            </w:rPr>
            <w:t xml:space="preserve">Windle, J., Moyle, L. &amp; Coomber, R., 2020. Vulnerable kids going country: children and young people's involvement in county lines drug dealing. </w:t>
          </w:r>
          <w:r w:rsidRPr="00F52AB3">
            <w:rPr>
              <w:rFonts w:eastAsia="Calibri"/>
              <w:i/>
              <w:iCs/>
              <w:noProof/>
              <w:sz w:val="22"/>
              <w:szCs w:val="22"/>
              <w:lang w:val="en-US" w:eastAsia="en-US"/>
            </w:rPr>
            <w:t xml:space="preserve">Youth Justice, </w:t>
          </w:r>
          <w:r w:rsidRPr="00F52AB3">
            <w:rPr>
              <w:rFonts w:eastAsia="Calibri"/>
              <w:noProof/>
              <w:sz w:val="22"/>
              <w:szCs w:val="22"/>
              <w:lang w:val="en-US" w:eastAsia="en-US"/>
            </w:rPr>
            <w:t>20(1-2), pp. 64-78.</w:t>
          </w:r>
        </w:p>
        <w:p w14:paraId="78BC7F91" w14:textId="77777777" w:rsidR="00F52AB3" w:rsidRPr="00F52AB3" w:rsidRDefault="00F52AB3" w:rsidP="00F52AB3">
          <w:pPr>
            <w:spacing w:after="160" w:line="259" w:lineRule="auto"/>
            <w:rPr>
              <w:rFonts w:ascii="Calibri" w:eastAsia="Calibri" w:hAnsi="Calibri"/>
              <w:sz w:val="22"/>
              <w:szCs w:val="22"/>
              <w:lang w:eastAsia="en-US"/>
            </w:rPr>
          </w:pPr>
          <w:r w:rsidRPr="00F52AB3">
            <w:rPr>
              <w:rFonts w:eastAsia="Calibri"/>
              <w:b/>
              <w:bCs/>
              <w:noProof/>
              <w:sz w:val="22"/>
              <w:szCs w:val="22"/>
              <w:lang w:eastAsia="en-US"/>
            </w:rPr>
            <w:lastRenderedPageBreak/>
            <w:fldChar w:fldCharType="end"/>
          </w:r>
        </w:p>
      </w:sdtContent>
    </w:sdt>
    <w:p w14:paraId="381F4EFF" w14:textId="77777777" w:rsidR="00F52AB3" w:rsidRPr="00454735" w:rsidRDefault="00F52AB3" w:rsidP="00454735">
      <w:pPr>
        <w:spacing w:line="257" w:lineRule="auto"/>
        <w:rPr>
          <w:rFonts w:ascii="Calibri" w:hAnsi="Calibri" w:cs="Calibri"/>
          <w:sz w:val="28"/>
          <w:szCs w:val="28"/>
        </w:rPr>
      </w:pPr>
    </w:p>
    <w:p w14:paraId="30F99270" w14:textId="45DE31E8"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 </w:t>
      </w:r>
    </w:p>
    <w:p w14:paraId="782D75C2" w14:textId="030B8393" w:rsidR="00F52AB3" w:rsidRDefault="00F52AB3" w:rsidP="00454735">
      <w:pPr>
        <w:spacing w:line="257" w:lineRule="auto"/>
        <w:rPr>
          <w:rFonts w:ascii="Calibri" w:eastAsia="Calibri" w:hAnsi="Calibri" w:cs="Calibri"/>
          <w:sz w:val="28"/>
          <w:szCs w:val="28"/>
        </w:rPr>
      </w:pPr>
    </w:p>
    <w:p w14:paraId="6BC347AF" w14:textId="3DA20800" w:rsidR="00F52AB3" w:rsidRDefault="00F52AB3" w:rsidP="00454735">
      <w:pPr>
        <w:spacing w:line="257" w:lineRule="auto"/>
        <w:rPr>
          <w:rFonts w:ascii="Calibri" w:eastAsia="Calibri" w:hAnsi="Calibri" w:cs="Calibri"/>
          <w:sz w:val="28"/>
          <w:szCs w:val="28"/>
        </w:rPr>
      </w:pPr>
    </w:p>
    <w:p w14:paraId="0C19C97C" w14:textId="54535996" w:rsidR="00F52AB3" w:rsidRDefault="00F52AB3" w:rsidP="00454735">
      <w:pPr>
        <w:spacing w:line="257" w:lineRule="auto"/>
        <w:rPr>
          <w:rFonts w:ascii="Calibri" w:eastAsia="Calibri" w:hAnsi="Calibri" w:cs="Calibri"/>
          <w:sz w:val="28"/>
          <w:szCs w:val="28"/>
        </w:rPr>
      </w:pPr>
    </w:p>
    <w:p w14:paraId="1CA0AA88" w14:textId="5ABAF17B" w:rsidR="00F52AB3" w:rsidRDefault="00F52AB3" w:rsidP="00454735">
      <w:pPr>
        <w:spacing w:line="257" w:lineRule="auto"/>
        <w:rPr>
          <w:rFonts w:ascii="Calibri" w:eastAsia="Calibri" w:hAnsi="Calibri" w:cs="Calibri"/>
          <w:sz w:val="28"/>
          <w:szCs w:val="28"/>
        </w:rPr>
      </w:pPr>
    </w:p>
    <w:p w14:paraId="50CEDFDD" w14:textId="2B6EF582" w:rsidR="00F52AB3" w:rsidRDefault="00F52AB3" w:rsidP="00454735">
      <w:pPr>
        <w:spacing w:line="257" w:lineRule="auto"/>
        <w:rPr>
          <w:rFonts w:ascii="Calibri" w:eastAsia="Calibri" w:hAnsi="Calibri" w:cs="Calibri"/>
          <w:sz w:val="28"/>
          <w:szCs w:val="28"/>
        </w:rPr>
      </w:pPr>
    </w:p>
    <w:p w14:paraId="5ACD35FF" w14:textId="0D9D5334" w:rsidR="00F52AB3" w:rsidRDefault="00F52AB3" w:rsidP="00454735">
      <w:pPr>
        <w:spacing w:line="257" w:lineRule="auto"/>
        <w:rPr>
          <w:rFonts w:ascii="Calibri" w:eastAsia="Calibri" w:hAnsi="Calibri" w:cs="Calibri"/>
          <w:sz w:val="28"/>
          <w:szCs w:val="28"/>
        </w:rPr>
      </w:pPr>
    </w:p>
    <w:p w14:paraId="678DA404" w14:textId="3FDA1B26" w:rsidR="00F52AB3" w:rsidRPr="00F52AB3" w:rsidRDefault="00F52AB3" w:rsidP="00454735">
      <w:pPr>
        <w:spacing w:line="257" w:lineRule="auto"/>
        <w:rPr>
          <w:rFonts w:eastAsia="Calibri"/>
          <w:sz w:val="22"/>
          <w:szCs w:val="22"/>
        </w:rPr>
      </w:pPr>
    </w:p>
    <w:p w14:paraId="2D5057A6" w14:textId="7E3F42C8" w:rsidR="00F52AB3" w:rsidRPr="00F52AB3" w:rsidRDefault="00F52AB3" w:rsidP="00454735">
      <w:pPr>
        <w:spacing w:line="257" w:lineRule="auto"/>
        <w:rPr>
          <w:rFonts w:eastAsia="Calibri"/>
          <w:sz w:val="22"/>
          <w:szCs w:val="22"/>
        </w:rPr>
      </w:pPr>
    </w:p>
    <w:p w14:paraId="4D789BAE" w14:textId="64054B1A" w:rsidR="00F52AB3" w:rsidRDefault="00F52AB3" w:rsidP="00454735">
      <w:pPr>
        <w:spacing w:line="257" w:lineRule="auto"/>
        <w:rPr>
          <w:rFonts w:eastAsia="Calibri"/>
          <w:sz w:val="22"/>
          <w:szCs w:val="22"/>
        </w:rPr>
      </w:pPr>
      <w:bookmarkStart w:id="0" w:name="_GoBack"/>
      <w:bookmarkEnd w:id="0"/>
    </w:p>
    <w:p w14:paraId="046ED992" w14:textId="77777777" w:rsidR="00F52AB3" w:rsidRPr="00F52AB3" w:rsidRDefault="00F52AB3" w:rsidP="00454735">
      <w:pPr>
        <w:spacing w:line="257" w:lineRule="auto"/>
        <w:rPr>
          <w:rFonts w:eastAsia="Calibri"/>
          <w:sz w:val="22"/>
          <w:szCs w:val="22"/>
        </w:rPr>
      </w:pPr>
    </w:p>
    <w:p w14:paraId="3E193C62" w14:textId="77777777" w:rsidR="00F52AB3" w:rsidRPr="00F52AB3" w:rsidRDefault="00F52AB3" w:rsidP="00454735">
      <w:pPr>
        <w:spacing w:line="257" w:lineRule="auto"/>
        <w:rPr>
          <w:sz w:val="22"/>
          <w:szCs w:val="22"/>
        </w:rPr>
      </w:pPr>
    </w:p>
    <w:p w14:paraId="7173A6C1" w14:textId="77777777" w:rsidR="00454735" w:rsidRPr="00F52AB3" w:rsidRDefault="00454735" w:rsidP="00454735">
      <w:pPr>
        <w:spacing w:line="257" w:lineRule="auto"/>
        <w:rPr>
          <w:sz w:val="22"/>
          <w:szCs w:val="22"/>
        </w:rPr>
      </w:pPr>
      <w:r w:rsidRPr="00F52AB3">
        <w:rPr>
          <w:rFonts w:eastAsia="Calibri"/>
          <w:b/>
          <w:bCs/>
          <w:sz w:val="22"/>
          <w:szCs w:val="22"/>
        </w:rPr>
        <w:t>1000 words - Evidence based policing/criminology and crime prevention/criminal Justice</w:t>
      </w:r>
    </w:p>
    <w:p w14:paraId="22E149C3" w14:textId="2CFC71A8" w:rsidR="00C073F1" w:rsidRPr="00F52AB3" w:rsidRDefault="00454735" w:rsidP="00B66899">
      <w:pPr>
        <w:spacing w:line="257" w:lineRule="auto"/>
        <w:rPr>
          <w:color w:val="303B44"/>
          <w:sz w:val="22"/>
          <w:szCs w:val="22"/>
        </w:rPr>
      </w:pPr>
      <w:r w:rsidRPr="00F52AB3">
        <w:rPr>
          <w:rFonts w:eastAsia="Calibri"/>
          <w:sz w:val="22"/>
          <w:szCs w:val="22"/>
        </w:rPr>
        <w:t xml:space="preserve">Critically analyse the concept of evidence-based policing and ‘what works’ in policing evaluating crime prevention theories and strategies and considering the options open to reduce re offending. </w:t>
      </w:r>
    </w:p>
    <w:p w14:paraId="37D7895F" w14:textId="7458B622" w:rsidR="00995D51" w:rsidRPr="00F52AB3" w:rsidRDefault="00995D51">
      <w:pPr>
        <w:pStyle w:val="NormalWeb"/>
        <w:rPr>
          <w:color w:val="303B44"/>
          <w:sz w:val="22"/>
          <w:szCs w:val="22"/>
        </w:rPr>
      </w:pPr>
    </w:p>
    <w:p w14:paraId="43384CAC" w14:textId="77777777" w:rsidR="00F52AB3" w:rsidRPr="00F52AB3" w:rsidRDefault="00F52AB3" w:rsidP="00F52AB3">
      <w:pPr>
        <w:rPr>
          <w:sz w:val="22"/>
          <w:szCs w:val="22"/>
        </w:rPr>
      </w:pPr>
      <w:r w:rsidRPr="00F52AB3">
        <w:rPr>
          <w:sz w:val="22"/>
          <w:szCs w:val="22"/>
        </w:rPr>
        <w:t xml:space="preserve">Over the past two decades, the concept of ‘evidence-based policing’ (EBP) has gained significant traction within the police service of the United Kingdom. The idea of applying evidence to inform and challenge how policies, practices and decisions are made originates in the medical arena, but finds a great deal of application and acceptance within policing </w:t>
      </w:r>
      <w:sdt>
        <w:sdtPr>
          <w:rPr>
            <w:sz w:val="22"/>
            <w:szCs w:val="22"/>
          </w:rPr>
          <w:id w:val="854077978"/>
          <w:citation/>
        </w:sdtPr>
        <w:sdtContent>
          <w:r w:rsidRPr="00F52AB3">
            <w:rPr>
              <w:sz w:val="22"/>
              <w:szCs w:val="22"/>
            </w:rPr>
            <w:fldChar w:fldCharType="begin"/>
          </w:r>
          <w:r w:rsidRPr="00F52AB3">
            <w:rPr>
              <w:sz w:val="22"/>
              <w:szCs w:val="22"/>
            </w:rPr>
            <w:instrText xml:space="preserve"> CITATION Kar16 \l 2057 </w:instrText>
          </w:r>
          <w:r w:rsidRPr="00F52AB3">
            <w:rPr>
              <w:sz w:val="22"/>
              <w:szCs w:val="22"/>
            </w:rPr>
            <w:fldChar w:fldCharType="separate"/>
          </w:r>
          <w:r w:rsidRPr="00F52AB3">
            <w:rPr>
              <w:noProof/>
              <w:sz w:val="22"/>
              <w:szCs w:val="22"/>
            </w:rPr>
            <w:t>(Lumsden &amp; Goode, 2016)</w:t>
          </w:r>
          <w:r w:rsidRPr="00F52AB3">
            <w:rPr>
              <w:sz w:val="22"/>
              <w:szCs w:val="22"/>
            </w:rPr>
            <w:fldChar w:fldCharType="end"/>
          </w:r>
        </w:sdtContent>
      </w:sdt>
      <w:r w:rsidRPr="00F52AB3">
        <w:rPr>
          <w:sz w:val="22"/>
          <w:szCs w:val="22"/>
        </w:rPr>
        <w:t>. However, there is also a staunch resistance to adopting the concept wholesale within policing, and the practical application and applicability of EBP to policing is frequently criticised and contested. This essay critically explores the concept of EBP in terms of crime prevention theories and strategies and considers the options open to reduce re-offending.</w:t>
      </w:r>
    </w:p>
    <w:p w14:paraId="61E24D08" w14:textId="77777777" w:rsidR="00F52AB3" w:rsidRPr="00F52AB3" w:rsidRDefault="00F52AB3" w:rsidP="00F52AB3">
      <w:pPr>
        <w:rPr>
          <w:sz w:val="22"/>
          <w:szCs w:val="22"/>
        </w:rPr>
      </w:pPr>
    </w:p>
    <w:p w14:paraId="41B210FC" w14:textId="77777777" w:rsidR="00F52AB3" w:rsidRPr="00F52AB3" w:rsidRDefault="00F52AB3" w:rsidP="00F52AB3">
      <w:pPr>
        <w:rPr>
          <w:sz w:val="22"/>
          <w:szCs w:val="22"/>
        </w:rPr>
      </w:pPr>
      <w:r w:rsidRPr="00F52AB3">
        <w:rPr>
          <w:sz w:val="22"/>
          <w:szCs w:val="22"/>
        </w:rPr>
        <w:t xml:space="preserve">Evidence-based policing, a concept originally identified by Sherman in his 1998 article, has gained widespread acceptance within the professional bodies of policing who strongly advocate for its use </w:t>
      </w:r>
      <w:sdt>
        <w:sdtPr>
          <w:rPr>
            <w:sz w:val="22"/>
            <w:szCs w:val="22"/>
          </w:rPr>
          <w:id w:val="-953859095"/>
          <w:citation/>
        </w:sdtPr>
        <w:sdtContent>
          <w:r w:rsidRPr="00F52AB3">
            <w:rPr>
              <w:sz w:val="22"/>
              <w:szCs w:val="22"/>
            </w:rPr>
            <w:fldChar w:fldCharType="begin"/>
          </w:r>
          <w:r w:rsidRPr="00F52AB3">
            <w:rPr>
              <w:sz w:val="22"/>
              <w:szCs w:val="22"/>
            </w:rPr>
            <w:instrText xml:space="preserve"> CITATION Pau16 \l 2057 </w:instrText>
          </w:r>
          <w:r w:rsidRPr="00F52AB3">
            <w:rPr>
              <w:sz w:val="22"/>
              <w:szCs w:val="22"/>
            </w:rPr>
            <w:fldChar w:fldCharType="separate"/>
          </w:r>
          <w:r w:rsidRPr="00F52AB3">
            <w:rPr>
              <w:noProof/>
              <w:sz w:val="22"/>
              <w:szCs w:val="22"/>
            </w:rPr>
            <w:t>(Dawson &amp; Stanko, 2016)</w:t>
          </w:r>
          <w:r w:rsidRPr="00F52AB3">
            <w:rPr>
              <w:sz w:val="22"/>
              <w:szCs w:val="22"/>
            </w:rPr>
            <w:fldChar w:fldCharType="end"/>
          </w:r>
        </w:sdtContent>
      </w:sdt>
      <w:r w:rsidRPr="00F52AB3">
        <w:rPr>
          <w:sz w:val="22"/>
          <w:szCs w:val="22"/>
        </w:rPr>
        <w:t xml:space="preserve">. The College of Policing (2021) suggests that “…in an evidence-based policing approach, police officers, staff and volunteers create, review and use best available evidence to inform and challenge policies, practices and decisions.” EBP is a way of working where evidence is brought to bear on problems and processes within policing in order to better inform decision makers and management on ‘what works’. </w:t>
      </w:r>
    </w:p>
    <w:p w14:paraId="67426EA8" w14:textId="77777777" w:rsidR="00F52AB3" w:rsidRPr="00F52AB3" w:rsidRDefault="00F52AB3" w:rsidP="00F52AB3">
      <w:pPr>
        <w:rPr>
          <w:sz w:val="22"/>
          <w:szCs w:val="22"/>
        </w:rPr>
      </w:pPr>
    </w:p>
    <w:p w14:paraId="7A9C1E6F" w14:textId="77777777" w:rsidR="00F52AB3" w:rsidRPr="00F52AB3" w:rsidRDefault="00F52AB3" w:rsidP="00F52AB3">
      <w:pPr>
        <w:rPr>
          <w:sz w:val="22"/>
          <w:szCs w:val="22"/>
        </w:rPr>
      </w:pPr>
      <w:r w:rsidRPr="00F52AB3">
        <w:rPr>
          <w:sz w:val="22"/>
          <w:szCs w:val="22"/>
        </w:rPr>
        <w:t xml:space="preserve">There’s a variety of reasons that this concept has taken hold within policing. Firstly, EBP is seen as part of the ‘professionalization’ agenda prominent within British policing. The use of evidence and a scientific method to come to policy decisions is considered to be an essential cornerstone of a professional vision of policing </w:t>
      </w:r>
      <w:sdt>
        <w:sdtPr>
          <w:rPr>
            <w:sz w:val="22"/>
            <w:szCs w:val="22"/>
          </w:rPr>
          <w:id w:val="-957099792"/>
          <w:citation/>
        </w:sdtPr>
        <w:sdtContent>
          <w:r w:rsidRPr="00F52AB3">
            <w:rPr>
              <w:sz w:val="22"/>
              <w:szCs w:val="22"/>
            </w:rPr>
            <w:fldChar w:fldCharType="begin"/>
          </w:r>
          <w:r w:rsidRPr="00F52AB3">
            <w:rPr>
              <w:sz w:val="22"/>
              <w:szCs w:val="22"/>
            </w:rPr>
            <w:instrText xml:space="preserve"> CITATION Kar16 \l 2057 </w:instrText>
          </w:r>
          <w:r w:rsidRPr="00F52AB3">
            <w:rPr>
              <w:sz w:val="22"/>
              <w:szCs w:val="22"/>
            </w:rPr>
            <w:fldChar w:fldCharType="separate"/>
          </w:r>
          <w:r w:rsidRPr="00F52AB3">
            <w:rPr>
              <w:noProof/>
              <w:sz w:val="22"/>
              <w:szCs w:val="22"/>
            </w:rPr>
            <w:t>(Lumsden &amp; Goode, 2016)</w:t>
          </w:r>
          <w:r w:rsidRPr="00F52AB3">
            <w:rPr>
              <w:sz w:val="22"/>
              <w:szCs w:val="22"/>
            </w:rPr>
            <w:fldChar w:fldCharType="end"/>
          </w:r>
        </w:sdtContent>
      </w:sdt>
      <w:r w:rsidRPr="00F52AB3">
        <w:rPr>
          <w:sz w:val="22"/>
          <w:szCs w:val="22"/>
        </w:rPr>
        <w:t xml:space="preserve">. This is reflected in the drive to equip new student officers with a thorough understanding and acceptance of EBP as a part of policing through the delivery of the PEQF framework of training </w:t>
      </w:r>
      <w:sdt>
        <w:sdtPr>
          <w:rPr>
            <w:sz w:val="22"/>
            <w:szCs w:val="22"/>
          </w:rPr>
          <w:id w:val="-2113192075"/>
          <w:citation/>
        </w:sdtPr>
        <w:sdtContent>
          <w:r w:rsidRPr="00F52AB3">
            <w:rPr>
              <w:sz w:val="22"/>
              <w:szCs w:val="22"/>
            </w:rPr>
            <w:fldChar w:fldCharType="begin"/>
          </w:r>
          <w:r w:rsidRPr="00F52AB3">
            <w:rPr>
              <w:sz w:val="22"/>
              <w:szCs w:val="22"/>
            </w:rPr>
            <w:instrText xml:space="preserve"> CITATION Ian20 \l 2057 </w:instrText>
          </w:r>
          <w:r w:rsidRPr="00F52AB3">
            <w:rPr>
              <w:sz w:val="22"/>
              <w:szCs w:val="22"/>
            </w:rPr>
            <w:fldChar w:fldCharType="separate"/>
          </w:r>
          <w:r w:rsidRPr="00F52AB3">
            <w:rPr>
              <w:noProof/>
              <w:sz w:val="22"/>
              <w:szCs w:val="22"/>
            </w:rPr>
            <w:t>(Pepper, et al., 2020)</w:t>
          </w:r>
          <w:r w:rsidRPr="00F52AB3">
            <w:rPr>
              <w:sz w:val="22"/>
              <w:szCs w:val="22"/>
            </w:rPr>
            <w:fldChar w:fldCharType="end"/>
          </w:r>
        </w:sdtContent>
      </w:sdt>
      <w:r w:rsidRPr="00F52AB3">
        <w:rPr>
          <w:sz w:val="22"/>
          <w:szCs w:val="22"/>
        </w:rPr>
        <w:t xml:space="preserve">. Secondly, EBP is seen as an answer to the increasingly scarce resources available to the police service, especially since the cuts and austerity experienced from 2008 onwards </w:t>
      </w:r>
      <w:sdt>
        <w:sdtPr>
          <w:rPr>
            <w:sz w:val="22"/>
            <w:szCs w:val="22"/>
          </w:rPr>
          <w:id w:val="723191533"/>
          <w:citation/>
        </w:sdtPr>
        <w:sdtContent>
          <w:r w:rsidRPr="00F52AB3">
            <w:rPr>
              <w:sz w:val="22"/>
              <w:szCs w:val="22"/>
            </w:rPr>
            <w:fldChar w:fldCharType="begin"/>
          </w:r>
          <w:r w:rsidRPr="00F52AB3">
            <w:rPr>
              <w:sz w:val="22"/>
              <w:szCs w:val="22"/>
            </w:rPr>
            <w:instrText xml:space="preserve"> CITATION Law13 \l 2057  \m Ian20</w:instrText>
          </w:r>
          <w:r w:rsidRPr="00F52AB3">
            <w:rPr>
              <w:sz w:val="22"/>
              <w:szCs w:val="22"/>
            </w:rPr>
            <w:fldChar w:fldCharType="separate"/>
          </w:r>
          <w:r w:rsidRPr="00F52AB3">
            <w:rPr>
              <w:noProof/>
              <w:sz w:val="22"/>
              <w:szCs w:val="22"/>
            </w:rPr>
            <w:t>(Sherman, 2013; Pepper, et al., 2020)</w:t>
          </w:r>
          <w:r w:rsidRPr="00F52AB3">
            <w:rPr>
              <w:sz w:val="22"/>
              <w:szCs w:val="22"/>
            </w:rPr>
            <w:fldChar w:fldCharType="end"/>
          </w:r>
        </w:sdtContent>
      </w:sdt>
      <w:r w:rsidRPr="00F52AB3">
        <w:rPr>
          <w:sz w:val="22"/>
          <w:szCs w:val="22"/>
        </w:rPr>
        <w:t xml:space="preserve">. Policing has traditionally involved a lot of unstructured patrol, or simply responding to calls for service. Conversely, EBP claims to be able to inform decision makers how best to deploy resources for maximum efficiency. However, EBP is a contested subject and authors note that there is a large reluctance within frontline policing to accept what is considered by many to be an esoteric and unproven concept </w:t>
      </w:r>
      <w:sdt>
        <w:sdtPr>
          <w:rPr>
            <w:sz w:val="22"/>
            <w:szCs w:val="22"/>
          </w:rPr>
          <w:id w:val="1910264909"/>
          <w:citation/>
        </w:sdtPr>
        <w:sdtContent>
          <w:r w:rsidRPr="00F52AB3">
            <w:rPr>
              <w:sz w:val="22"/>
              <w:szCs w:val="22"/>
            </w:rPr>
            <w:fldChar w:fldCharType="begin"/>
          </w:r>
          <w:r w:rsidRPr="00F52AB3">
            <w:rPr>
              <w:sz w:val="22"/>
              <w:szCs w:val="22"/>
            </w:rPr>
            <w:instrText xml:space="preserve"> CITATION Law13 \l 2057  \m Pau16</w:instrText>
          </w:r>
          <w:r w:rsidRPr="00F52AB3">
            <w:rPr>
              <w:sz w:val="22"/>
              <w:szCs w:val="22"/>
            </w:rPr>
            <w:fldChar w:fldCharType="separate"/>
          </w:r>
          <w:r w:rsidRPr="00F52AB3">
            <w:rPr>
              <w:noProof/>
              <w:sz w:val="22"/>
              <w:szCs w:val="22"/>
            </w:rPr>
            <w:t>(Sherman, 2013; Dawson &amp; Stanko, 2016)</w:t>
          </w:r>
          <w:r w:rsidRPr="00F52AB3">
            <w:rPr>
              <w:sz w:val="22"/>
              <w:szCs w:val="22"/>
            </w:rPr>
            <w:fldChar w:fldCharType="end"/>
          </w:r>
        </w:sdtContent>
      </w:sdt>
      <w:r w:rsidRPr="00F52AB3">
        <w:rPr>
          <w:sz w:val="22"/>
          <w:szCs w:val="22"/>
        </w:rPr>
        <w:t xml:space="preserve">. The fact that EBP ostensibly aims to adopt a sceptical attitude to traditional ways of working where there is no systematic evidence of effectiveness creates friction with a police service that is naturally resistant to change </w:t>
      </w:r>
      <w:sdt>
        <w:sdtPr>
          <w:rPr>
            <w:sz w:val="22"/>
            <w:szCs w:val="22"/>
          </w:rPr>
          <w:id w:val="-1979364940"/>
          <w:citation/>
        </w:sdtPr>
        <w:sdtContent>
          <w:r w:rsidRPr="00F52AB3">
            <w:rPr>
              <w:sz w:val="22"/>
              <w:szCs w:val="22"/>
            </w:rPr>
            <w:fldChar w:fldCharType="begin"/>
          </w:r>
          <w:r w:rsidRPr="00F52AB3">
            <w:rPr>
              <w:sz w:val="22"/>
              <w:szCs w:val="22"/>
            </w:rPr>
            <w:instrText xml:space="preserve"> CITATION Kar09 \l 2057 </w:instrText>
          </w:r>
          <w:r w:rsidRPr="00F52AB3">
            <w:rPr>
              <w:sz w:val="22"/>
              <w:szCs w:val="22"/>
            </w:rPr>
            <w:fldChar w:fldCharType="separate"/>
          </w:r>
          <w:r w:rsidRPr="00F52AB3">
            <w:rPr>
              <w:noProof/>
              <w:sz w:val="22"/>
              <w:szCs w:val="22"/>
            </w:rPr>
            <w:t>(Bullock &amp; Tilley, 2009)</w:t>
          </w:r>
          <w:r w:rsidRPr="00F52AB3">
            <w:rPr>
              <w:sz w:val="22"/>
              <w:szCs w:val="22"/>
            </w:rPr>
            <w:fldChar w:fldCharType="end"/>
          </w:r>
        </w:sdtContent>
      </w:sdt>
      <w:r w:rsidRPr="00F52AB3">
        <w:rPr>
          <w:sz w:val="22"/>
          <w:szCs w:val="22"/>
        </w:rPr>
        <w:t>.</w:t>
      </w:r>
    </w:p>
    <w:p w14:paraId="52488EBF" w14:textId="77777777" w:rsidR="00F52AB3" w:rsidRPr="00F52AB3" w:rsidRDefault="00F52AB3" w:rsidP="00F52AB3">
      <w:pPr>
        <w:rPr>
          <w:sz w:val="22"/>
          <w:szCs w:val="22"/>
        </w:rPr>
      </w:pPr>
    </w:p>
    <w:p w14:paraId="44990A21" w14:textId="77777777" w:rsidR="00F52AB3" w:rsidRPr="00F52AB3" w:rsidRDefault="00F52AB3" w:rsidP="00F52AB3">
      <w:pPr>
        <w:rPr>
          <w:sz w:val="22"/>
          <w:szCs w:val="22"/>
        </w:rPr>
      </w:pPr>
      <w:r w:rsidRPr="00F52AB3">
        <w:rPr>
          <w:sz w:val="22"/>
          <w:szCs w:val="22"/>
        </w:rPr>
        <w:t xml:space="preserve">The national intelligence model (NIM) is an example of how an evidence-based process, in this case the tasking and coordination process of the NIM, can be used to seek improved resource deployment. The use of intelligence as a form of evidence guides the deployment of resources and tasking of further intelligence gathering capability </w:t>
      </w:r>
      <w:sdt>
        <w:sdtPr>
          <w:rPr>
            <w:sz w:val="22"/>
            <w:szCs w:val="22"/>
          </w:rPr>
          <w:id w:val="1973471525"/>
          <w:citation/>
        </w:sdtPr>
        <w:sdtContent>
          <w:r w:rsidRPr="00F52AB3">
            <w:rPr>
              <w:sz w:val="22"/>
              <w:szCs w:val="22"/>
            </w:rPr>
            <w:fldChar w:fldCharType="begin"/>
          </w:r>
          <w:r w:rsidRPr="00F52AB3">
            <w:rPr>
              <w:sz w:val="22"/>
              <w:szCs w:val="22"/>
            </w:rPr>
            <w:instrText xml:space="preserve"> CITATION Kar09 \l 2057 </w:instrText>
          </w:r>
          <w:r w:rsidRPr="00F52AB3">
            <w:rPr>
              <w:sz w:val="22"/>
              <w:szCs w:val="22"/>
            </w:rPr>
            <w:fldChar w:fldCharType="separate"/>
          </w:r>
          <w:r w:rsidRPr="00F52AB3">
            <w:rPr>
              <w:noProof/>
              <w:sz w:val="22"/>
              <w:szCs w:val="22"/>
            </w:rPr>
            <w:t>(Bullock &amp; Tilley, 2009)</w:t>
          </w:r>
          <w:r w:rsidRPr="00F52AB3">
            <w:rPr>
              <w:sz w:val="22"/>
              <w:szCs w:val="22"/>
            </w:rPr>
            <w:fldChar w:fldCharType="end"/>
          </w:r>
        </w:sdtContent>
      </w:sdt>
      <w:r w:rsidRPr="00F52AB3">
        <w:rPr>
          <w:sz w:val="22"/>
          <w:szCs w:val="22"/>
        </w:rPr>
        <w:t xml:space="preserve">. This usage of evidence-based process is an example of how frontline and operational policing utilises evidence to inform its policy decision, often without directly acknowledging it. However, it could be questioned to what extent EBP is actually shown within the NIM tasking and coordination process, as even though it’s a process of </w:t>
      </w:r>
      <w:r w:rsidRPr="00F52AB3">
        <w:rPr>
          <w:sz w:val="22"/>
          <w:szCs w:val="22"/>
        </w:rPr>
        <w:lastRenderedPageBreak/>
        <w:t>utilising evidence to make policy decisions, it does not explicitly adopt a scientific method of evaluation and testing after to understand the impact the policy decision has had.</w:t>
      </w:r>
    </w:p>
    <w:p w14:paraId="3E267E89" w14:textId="77777777" w:rsidR="00F52AB3" w:rsidRPr="00F52AB3" w:rsidRDefault="00F52AB3" w:rsidP="00F52AB3">
      <w:pPr>
        <w:rPr>
          <w:sz w:val="22"/>
          <w:szCs w:val="22"/>
        </w:rPr>
      </w:pPr>
    </w:p>
    <w:p w14:paraId="65D132D9" w14:textId="77777777" w:rsidR="00F52AB3" w:rsidRPr="00F52AB3" w:rsidRDefault="00F52AB3" w:rsidP="00F52AB3">
      <w:pPr>
        <w:rPr>
          <w:sz w:val="22"/>
          <w:szCs w:val="22"/>
        </w:rPr>
      </w:pPr>
      <w:r w:rsidRPr="00F52AB3">
        <w:rPr>
          <w:sz w:val="22"/>
          <w:szCs w:val="22"/>
        </w:rPr>
        <w:t xml:space="preserve">From a different perspective, the SARA model used within neighbourhood policing exhibits more of the characteristics of the EBP approach. This model provides a tool for officers to ‘scan’ and analyse an environment or problem in order to identify responses. This is a clear use of evidence, obtained from the ‘scanning’ phase and processed in the analysis phase, to direct policy. Crucially, the officer will then make an assessment after implementing the control measures to understand how this has impacted on the problem </w:t>
      </w:r>
      <w:sdt>
        <w:sdtPr>
          <w:rPr>
            <w:sz w:val="22"/>
            <w:szCs w:val="22"/>
          </w:rPr>
          <w:id w:val="1757397697"/>
          <w:citation/>
        </w:sdtPr>
        <w:sdtContent>
          <w:r w:rsidRPr="00F52AB3">
            <w:rPr>
              <w:sz w:val="22"/>
              <w:szCs w:val="22"/>
            </w:rPr>
            <w:fldChar w:fldCharType="begin"/>
          </w:r>
          <w:r w:rsidRPr="00F52AB3">
            <w:rPr>
              <w:sz w:val="22"/>
              <w:szCs w:val="22"/>
            </w:rPr>
            <w:instrText xml:space="preserve"> CITATION Kar09 \l 2057 </w:instrText>
          </w:r>
          <w:r w:rsidRPr="00F52AB3">
            <w:rPr>
              <w:sz w:val="22"/>
              <w:szCs w:val="22"/>
            </w:rPr>
            <w:fldChar w:fldCharType="separate"/>
          </w:r>
          <w:r w:rsidRPr="00F52AB3">
            <w:rPr>
              <w:noProof/>
              <w:sz w:val="22"/>
              <w:szCs w:val="22"/>
            </w:rPr>
            <w:t>(Bullock &amp; Tilley, 2009)</w:t>
          </w:r>
          <w:r w:rsidRPr="00F52AB3">
            <w:rPr>
              <w:sz w:val="22"/>
              <w:szCs w:val="22"/>
            </w:rPr>
            <w:fldChar w:fldCharType="end"/>
          </w:r>
        </w:sdtContent>
      </w:sdt>
      <w:r w:rsidRPr="00F52AB3">
        <w:rPr>
          <w:sz w:val="22"/>
          <w:szCs w:val="22"/>
        </w:rPr>
        <w:t>. This model matches more closely to the EBP framework of a scientific approach where data is used to direct policy and is subsequently reviewed to understand the impact.</w:t>
      </w:r>
    </w:p>
    <w:p w14:paraId="259889F2" w14:textId="77777777" w:rsidR="00F52AB3" w:rsidRPr="00F52AB3" w:rsidRDefault="00F52AB3" w:rsidP="00F52AB3">
      <w:pPr>
        <w:rPr>
          <w:sz w:val="22"/>
          <w:szCs w:val="22"/>
        </w:rPr>
      </w:pPr>
    </w:p>
    <w:p w14:paraId="67F0DDF5" w14:textId="77777777" w:rsidR="00F52AB3" w:rsidRPr="00F52AB3" w:rsidRDefault="00F52AB3" w:rsidP="00F52AB3">
      <w:pPr>
        <w:rPr>
          <w:sz w:val="22"/>
          <w:szCs w:val="22"/>
        </w:rPr>
      </w:pPr>
      <w:r w:rsidRPr="00F52AB3">
        <w:rPr>
          <w:sz w:val="22"/>
          <w:szCs w:val="22"/>
        </w:rPr>
        <w:t xml:space="preserve">These examples of evidence use within process highlight another key part of the EBP, namely that there is a hierarchy of evidence. The College of Policing (2021) highlight the ‘Maryland scale’ as a means of understanding this hierarchy of evidence. This scale, running from 1 to 5, categorises the types of evidence and how important it is towards identifying that policy decisions are making a difference </w:t>
      </w:r>
      <w:sdt>
        <w:sdtPr>
          <w:rPr>
            <w:sz w:val="22"/>
            <w:szCs w:val="22"/>
          </w:rPr>
          <w:id w:val="-2111349608"/>
          <w:citation/>
        </w:sdtPr>
        <w:sdtContent>
          <w:r w:rsidRPr="00F52AB3">
            <w:rPr>
              <w:sz w:val="22"/>
              <w:szCs w:val="22"/>
            </w:rPr>
            <w:fldChar w:fldCharType="begin"/>
          </w:r>
          <w:r w:rsidRPr="00F52AB3">
            <w:rPr>
              <w:sz w:val="22"/>
              <w:szCs w:val="22"/>
            </w:rPr>
            <w:instrText xml:space="preserve"> CITATION Kar16 \l 2057 </w:instrText>
          </w:r>
          <w:r w:rsidRPr="00F52AB3">
            <w:rPr>
              <w:sz w:val="22"/>
              <w:szCs w:val="22"/>
            </w:rPr>
            <w:fldChar w:fldCharType="separate"/>
          </w:r>
          <w:r w:rsidRPr="00F52AB3">
            <w:rPr>
              <w:noProof/>
              <w:sz w:val="22"/>
              <w:szCs w:val="22"/>
            </w:rPr>
            <w:t>(Lumsden &amp; Goode, 2016)</w:t>
          </w:r>
          <w:r w:rsidRPr="00F52AB3">
            <w:rPr>
              <w:sz w:val="22"/>
              <w:szCs w:val="22"/>
            </w:rPr>
            <w:fldChar w:fldCharType="end"/>
          </w:r>
        </w:sdtContent>
      </w:sdt>
      <w:r w:rsidRPr="00F52AB3">
        <w:rPr>
          <w:sz w:val="22"/>
          <w:szCs w:val="22"/>
        </w:rPr>
        <w:t xml:space="preserve">. At the lower levels, simple methods such as before and after comparisons, or multi-site comparisons can be used to show the potential effects of policy interventions and “what’s promising”. At the top of the scale, randomised controlled trials are considered the ‘gold standard’ of evidence </w:t>
      </w:r>
      <w:sdt>
        <w:sdtPr>
          <w:rPr>
            <w:sz w:val="22"/>
            <w:szCs w:val="22"/>
          </w:rPr>
          <w:id w:val="-347332812"/>
          <w:citation/>
        </w:sdtPr>
        <w:sdtContent>
          <w:r w:rsidRPr="00F52AB3">
            <w:rPr>
              <w:sz w:val="22"/>
              <w:szCs w:val="22"/>
            </w:rPr>
            <w:fldChar w:fldCharType="begin"/>
          </w:r>
          <w:r w:rsidRPr="00F52AB3">
            <w:rPr>
              <w:sz w:val="22"/>
              <w:szCs w:val="22"/>
            </w:rPr>
            <w:instrText xml:space="preserve"> CITATION Col214 \l 2057 </w:instrText>
          </w:r>
          <w:r w:rsidRPr="00F52AB3">
            <w:rPr>
              <w:sz w:val="22"/>
              <w:szCs w:val="22"/>
            </w:rPr>
            <w:fldChar w:fldCharType="separate"/>
          </w:r>
          <w:r w:rsidRPr="00F52AB3">
            <w:rPr>
              <w:noProof/>
              <w:sz w:val="22"/>
              <w:szCs w:val="22"/>
            </w:rPr>
            <w:t>(College of Policing, 2021)</w:t>
          </w:r>
          <w:r w:rsidRPr="00F52AB3">
            <w:rPr>
              <w:sz w:val="22"/>
              <w:szCs w:val="22"/>
            </w:rPr>
            <w:fldChar w:fldCharType="end"/>
          </w:r>
        </w:sdtContent>
      </w:sdt>
      <w:r w:rsidRPr="00F52AB3">
        <w:rPr>
          <w:sz w:val="22"/>
          <w:szCs w:val="22"/>
        </w:rPr>
        <w:t xml:space="preserve">. The highest levels of this scales shows “what works” to policy makers and decision makers within policing. </w:t>
      </w:r>
    </w:p>
    <w:p w14:paraId="1E7FE010" w14:textId="77777777" w:rsidR="00F52AB3" w:rsidRPr="00F52AB3" w:rsidRDefault="00F52AB3" w:rsidP="00F52AB3">
      <w:pPr>
        <w:rPr>
          <w:sz w:val="22"/>
          <w:szCs w:val="22"/>
        </w:rPr>
      </w:pPr>
    </w:p>
    <w:p w14:paraId="2AC39A68" w14:textId="77777777" w:rsidR="00F52AB3" w:rsidRPr="00F52AB3" w:rsidRDefault="00F52AB3" w:rsidP="00F52AB3">
      <w:pPr>
        <w:rPr>
          <w:sz w:val="22"/>
          <w:szCs w:val="22"/>
        </w:rPr>
      </w:pPr>
      <w:r w:rsidRPr="00F52AB3">
        <w:rPr>
          <w:sz w:val="22"/>
          <w:szCs w:val="22"/>
        </w:rPr>
        <w:t xml:space="preserve">However, EBP is not a panacea. The concept is heavily criticised for focussing too much on quantitative analysis of problems, ignoring qualitative aspects of problems and learnt knowledge and experience of officers </w:t>
      </w:r>
      <w:sdt>
        <w:sdtPr>
          <w:rPr>
            <w:sz w:val="22"/>
            <w:szCs w:val="22"/>
          </w:rPr>
          <w:id w:val="532148507"/>
          <w:citation/>
        </w:sdtPr>
        <w:sdtContent>
          <w:r w:rsidRPr="00F52AB3">
            <w:rPr>
              <w:sz w:val="22"/>
              <w:szCs w:val="22"/>
            </w:rPr>
            <w:fldChar w:fldCharType="begin"/>
          </w:r>
          <w:r w:rsidRPr="00F52AB3">
            <w:rPr>
              <w:sz w:val="22"/>
              <w:szCs w:val="22"/>
            </w:rPr>
            <w:instrText xml:space="preserve"> CITATION Kar16 \l 2057 </w:instrText>
          </w:r>
          <w:r w:rsidRPr="00F52AB3">
            <w:rPr>
              <w:sz w:val="22"/>
              <w:szCs w:val="22"/>
            </w:rPr>
            <w:fldChar w:fldCharType="separate"/>
          </w:r>
          <w:r w:rsidRPr="00F52AB3">
            <w:rPr>
              <w:noProof/>
              <w:sz w:val="22"/>
              <w:szCs w:val="22"/>
            </w:rPr>
            <w:t>(Lumsden &amp; Goode, 2016)</w:t>
          </w:r>
          <w:r w:rsidRPr="00F52AB3">
            <w:rPr>
              <w:sz w:val="22"/>
              <w:szCs w:val="22"/>
            </w:rPr>
            <w:fldChar w:fldCharType="end"/>
          </w:r>
        </w:sdtContent>
      </w:sdt>
      <w:r w:rsidRPr="00F52AB3">
        <w:rPr>
          <w:sz w:val="22"/>
          <w:szCs w:val="22"/>
        </w:rPr>
        <w:t xml:space="preserve">. This feeds into a wider problem of the availability of data. Police forces hold vast amounts of key data within their own repositories, although this can be patchy and of varying quality </w:t>
      </w:r>
      <w:sdt>
        <w:sdtPr>
          <w:rPr>
            <w:sz w:val="22"/>
            <w:szCs w:val="22"/>
          </w:rPr>
          <w:id w:val="1967381219"/>
          <w:citation/>
        </w:sdtPr>
        <w:sdtContent>
          <w:r w:rsidRPr="00F52AB3">
            <w:rPr>
              <w:sz w:val="22"/>
              <w:szCs w:val="22"/>
            </w:rPr>
            <w:fldChar w:fldCharType="begin"/>
          </w:r>
          <w:r w:rsidRPr="00F52AB3">
            <w:rPr>
              <w:sz w:val="22"/>
              <w:szCs w:val="22"/>
            </w:rPr>
            <w:instrText xml:space="preserve"> CITATION Pau16 \l 2057 </w:instrText>
          </w:r>
          <w:r w:rsidRPr="00F52AB3">
            <w:rPr>
              <w:sz w:val="22"/>
              <w:szCs w:val="22"/>
            </w:rPr>
            <w:fldChar w:fldCharType="separate"/>
          </w:r>
          <w:r w:rsidRPr="00F52AB3">
            <w:rPr>
              <w:noProof/>
              <w:sz w:val="22"/>
              <w:szCs w:val="22"/>
            </w:rPr>
            <w:t>(Dawson &amp; Stanko, 2016)</w:t>
          </w:r>
          <w:r w:rsidRPr="00F52AB3">
            <w:rPr>
              <w:sz w:val="22"/>
              <w:szCs w:val="22"/>
            </w:rPr>
            <w:fldChar w:fldCharType="end"/>
          </w:r>
        </w:sdtContent>
      </w:sdt>
      <w:r w:rsidRPr="00F52AB3">
        <w:rPr>
          <w:sz w:val="22"/>
          <w:szCs w:val="22"/>
        </w:rPr>
        <w:t>. However, other external agencies can hold data which is not captured within police sources that is essential. Access and sharing of this data is problematic and limits the applicability of some attempts to use EBP to decide policy. For example, if only police data is being used to understand crime hotspots, accompanying data on deprivation and social welfare required for an accurate and holistic assessment would be missing.</w:t>
      </w:r>
    </w:p>
    <w:p w14:paraId="2D076465" w14:textId="77777777" w:rsidR="00F52AB3" w:rsidRPr="00F52AB3" w:rsidRDefault="00F52AB3" w:rsidP="00F52AB3">
      <w:pPr>
        <w:rPr>
          <w:sz w:val="22"/>
          <w:szCs w:val="22"/>
        </w:rPr>
      </w:pPr>
    </w:p>
    <w:p w14:paraId="0FA33DA7" w14:textId="66C5A1C0" w:rsidR="00F52AB3" w:rsidRPr="00F52AB3" w:rsidRDefault="00F52AB3" w:rsidP="00F52AB3">
      <w:pPr>
        <w:rPr>
          <w:sz w:val="22"/>
          <w:szCs w:val="22"/>
        </w:rPr>
      </w:pPr>
      <w:r w:rsidRPr="00F52AB3">
        <w:rPr>
          <w:sz w:val="22"/>
          <w:szCs w:val="22"/>
        </w:rPr>
        <w:t xml:space="preserve">Overall, EBP is considered to be a revolution within policing and it has found substantial traction within the ‘professionalization’ elements of policing. However, the applicability of the method to frontline officers is debateable and the quality of the evidence-based work is variable. Further work is required in these areas to improve the delivery of EBP. </w:t>
      </w:r>
    </w:p>
    <w:p w14:paraId="46DB3670" w14:textId="62C451E8" w:rsidR="00F52AB3" w:rsidRPr="00F52AB3" w:rsidRDefault="00F52AB3" w:rsidP="00F52AB3">
      <w:pPr>
        <w:rPr>
          <w:sz w:val="22"/>
          <w:szCs w:val="22"/>
        </w:rPr>
      </w:pPr>
    </w:p>
    <w:p w14:paraId="20872EB7" w14:textId="13482408" w:rsidR="00F52AB3" w:rsidRPr="00F52AB3" w:rsidRDefault="00F52AB3" w:rsidP="00F52AB3">
      <w:pPr>
        <w:rPr>
          <w:sz w:val="22"/>
          <w:szCs w:val="22"/>
        </w:rPr>
      </w:pPr>
      <w:r w:rsidRPr="00F52AB3">
        <w:rPr>
          <w:sz w:val="22"/>
          <w:szCs w:val="22"/>
        </w:rPr>
        <w:t>Word count: 1028</w:t>
      </w:r>
    </w:p>
    <w:p w14:paraId="0A503CC7" w14:textId="0480E3AC" w:rsidR="00F52AB3" w:rsidRPr="00F52AB3" w:rsidRDefault="00F52AB3">
      <w:pPr>
        <w:pStyle w:val="NormalWeb"/>
        <w:rPr>
          <w:color w:val="303B44"/>
          <w:sz w:val="22"/>
          <w:szCs w:val="22"/>
        </w:rPr>
      </w:pPr>
    </w:p>
    <w:p w14:paraId="5FAAF335" w14:textId="662FFD26" w:rsidR="00F52AB3" w:rsidRPr="00F52AB3" w:rsidRDefault="00F52AB3">
      <w:pPr>
        <w:pStyle w:val="NormalWeb"/>
        <w:rPr>
          <w:color w:val="303B44"/>
          <w:sz w:val="22"/>
          <w:szCs w:val="22"/>
        </w:rPr>
      </w:pPr>
    </w:p>
    <w:sdt>
      <w:sdtPr>
        <w:rPr>
          <w:sz w:val="22"/>
          <w:szCs w:val="22"/>
        </w:rPr>
        <w:id w:val="1178083781"/>
        <w:bibliography/>
      </w:sdtPr>
      <w:sdtEndPr>
        <w:rPr>
          <w:sz w:val="20"/>
          <w:szCs w:val="20"/>
        </w:rPr>
      </w:sdtEndPr>
      <w:sdtContent>
        <w:p w14:paraId="6ED5977C" w14:textId="2B9D7BE0" w:rsidR="00F52AB3" w:rsidRDefault="00F52AB3" w:rsidP="00F52AB3">
          <w:pPr>
            <w:pStyle w:val="Bibliography"/>
            <w:rPr>
              <w:noProof/>
              <w:sz w:val="22"/>
              <w:szCs w:val="22"/>
              <w:lang w:val="en-US"/>
            </w:rPr>
          </w:pPr>
          <w:r w:rsidRPr="00F52AB3">
            <w:rPr>
              <w:sz w:val="22"/>
              <w:szCs w:val="22"/>
            </w:rPr>
            <w:fldChar w:fldCharType="begin"/>
          </w:r>
          <w:r w:rsidRPr="00F52AB3">
            <w:rPr>
              <w:sz w:val="22"/>
              <w:szCs w:val="22"/>
            </w:rPr>
            <w:instrText xml:space="preserve"> BIBLIOGRAPHY </w:instrText>
          </w:r>
          <w:r w:rsidRPr="00F52AB3">
            <w:rPr>
              <w:sz w:val="22"/>
              <w:szCs w:val="22"/>
            </w:rPr>
            <w:fldChar w:fldCharType="separate"/>
          </w:r>
          <w:r w:rsidRPr="00F52AB3">
            <w:rPr>
              <w:noProof/>
              <w:sz w:val="22"/>
              <w:szCs w:val="22"/>
              <w:lang w:val="en-US"/>
            </w:rPr>
            <w:t xml:space="preserve">Bullock, K. &amp; Tilley, N., 2009. Evidence-based policing and crime reduction. </w:t>
          </w:r>
          <w:r w:rsidRPr="00F52AB3">
            <w:rPr>
              <w:i/>
              <w:iCs/>
              <w:noProof/>
              <w:sz w:val="22"/>
              <w:szCs w:val="22"/>
              <w:lang w:val="en-US"/>
            </w:rPr>
            <w:t xml:space="preserve">Policing, </w:t>
          </w:r>
          <w:r w:rsidRPr="00F52AB3">
            <w:rPr>
              <w:noProof/>
              <w:sz w:val="22"/>
              <w:szCs w:val="22"/>
              <w:lang w:val="en-US"/>
            </w:rPr>
            <w:t>3(4), pp. 381-387.</w:t>
          </w:r>
        </w:p>
        <w:p w14:paraId="53A5FEF0" w14:textId="77777777" w:rsidR="00F52AB3" w:rsidRPr="00F52AB3" w:rsidRDefault="00F52AB3" w:rsidP="00F52AB3">
          <w:pPr>
            <w:rPr>
              <w:lang w:val="en-US"/>
            </w:rPr>
          </w:pPr>
        </w:p>
        <w:p w14:paraId="1321640A" w14:textId="31E00C7C" w:rsidR="00F52AB3" w:rsidRDefault="00F52AB3" w:rsidP="00F52AB3">
          <w:pPr>
            <w:pStyle w:val="Bibliography"/>
            <w:rPr>
              <w:noProof/>
              <w:sz w:val="22"/>
              <w:szCs w:val="22"/>
              <w:lang w:val="en-US"/>
            </w:rPr>
          </w:pPr>
          <w:r w:rsidRPr="00F52AB3">
            <w:rPr>
              <w:noProof/>
              <w:sz w:val="22"/>
              <w:szCs w:val="22"/>
              <w:lang w:val="en-US"/>
            </w:rPr>
            <w:t xml:space="preserve">College of Policing, 2021. </w:t>
          </w:r>
          <w:r w:rsidRPr="00F52AB3">
            <w:rPr>
              <w:i/>
              <w:iCs/>
              <w:noProof/>
              <w:sz w:val="22"/>
              <w:szCs w:val="22"/>
              <w:lang w:val="en-US"/>
            </w:rPr>
            <w:t xml:space="preserve">What is evidence-based policing. </w:t>
          </w:r>
          <w:r w:rsidRPr="00F52AB3">
            <w:rPr>
              <w:noProof/>
              <w:sz w:val="22"/>
              <w:szCs w:val="22"/>
              <w:lang w:val="en-US"/>
            </w:rPr>
            <w:t xml:space="preserve">[Online] </w:t>
          </w:r>
          <w:r w:rsidRPr="00F52AB3">
            <w:rPr>
              <w:noProof/>
              <w:sz w:val="22"/>
              <w:szCs w:val="22"/>
              <w:lang w:val="en-US"/>
            </w:rPr>
            <w:br/>
            <w:t xml:space="preserve">Available at: </w:t>
          </w:r>
          <w:r w:rsidRPr="00F52AB3">
            <w:rPr>
              <w:noProof/>
              <w:sz w:val="22"/>
              <w:szCs w:val="22"/>
              <w:u w:val="single"/>
              <w:lang w:val="en-US"/>
            </w:rPr>
            <w:t>https://whatworks.college.police.uk/About/Pages/What-is-EBP.aspx</w:t>
          </w:r>
          <w:r w:rsidRPr="00F52AB3">
            <w:rPr>
              <w:noProof/>
              <w:sz w:val="22"/>
              <w:szCs w:val="22"/>
              <w:lang w:val="en-US"/>
            </w:rPr>
            <w:br/>
            <w:t>[Accessed 27 2 2022].</w:t>
          </w:r>
        </w:p>
        <w:p w14:paraId="7B4BB228" w14:textId="77777777" w:rsidR="00F52AB3" w:rsidRPr="00F52AB3" w:rsidRDefault="00F52AB3" w:rsidP="00F52AB3">
          <w:pPr>
            <w:rPr>
              <w:lang w:val="en-US"/>
            </w:rPr>
          </w:pPr>
        </w:p>
        <w:p w14:paraId="03078E02" w14:textId="21FEA2D1" w:rsidR="00F52AB3" w:rsidRDefault="00F52AB3" w:rsidP="00F52AB3">
          <w:pPr>
            <w:pStyle w:val="Bibliography"/>
            <w:rPr>
              <w:noProof/>
              <w:sz w:val="22"/>
              <w:szCs w:val="22"/>
              <w:lang w:val="en-US"/>
            </w:rPr>
          </w:pPr>
          <w:r w:rsidRPr="00F52AB3">
            <w:rPr>
              <w:noProof/>
              <w:sz w:val="22"/>
              <w:szCs w:val="22"/>
              <w:lang w:val="en-US"/>
            </w:rPr>
            <w:t xml:space="preserve">Dawson, P. &amp; Stanko, E. A., 2016. The best-kept secret(s) of evidence based policing. </w:t>
          </w:r>
          <w:r w:rsidRPr="00F52AB3">
            <w:rPr>
              <w:i/>
              <w:iCs/>
              <w:noProof/>
              <w:sz w:val="22"/>
              <w:szCs w:val="22"/>
              <w:lang w:val="en-US"/>
            </w:rPr>
            <w:t xml:space="preserve">Legal Information Management, </w:t>
          </w:r>
          <w:r w:rsidRPr="00F52AB3">
            <w:rPr>
              <w:noProof/>
              <w:sz w:val="22"/>
              <w:szCs w:val="22"/>
              <w:lang w:val="en-US"/>
            </w:rPr>
            <w:t>16(2), pp. 64-71.</w:t>
          </w:r>
        </w:p>
        <w:p w14:paraId="40B8F030" w14:textId="77777777" w:rsidR="00F52AB3" w:rsidRPr="00F52AB3" w:rsidRDefault="00F52AB3" w:rsidP="00F52AB3">
          <w:pPr>
            <w:rPr>
              <w:lang w:val="en-US"/>
            </w:rPr>
          </w:pPr>
        </w:p>
        <w:p w14:paraId="53DF82F2" w14:textId="11E32720" w:rsidR="00F52AB3" w:rsidRDefault="00F52AB3" w:rsidP="00F52AB3">
          <w:pPr>
            <w:pStyle w:val="Bibliography"/>
            <w:rPr>
              <w:noProof/>
              <w:sz w:val="22"/>
              <w:szCs w:val="22"/>
              <w:lang w:val="en-US"/>
            </w:rPr>
          </w:pPr>
          <w:r w:rsidRPr="00F52AB3">
            <w:rPr>
              <w:noProof/>
              <w:sz w:val="22"/>
              <w:szCs w:val="22"/>
              <w:lang w:val="en-US"/>
            </w:rPr>
            <w:t xml:space="preserve">Lumsden, K. &amp; Goode, J., 2016. Policing research and the rise of the 'evidence-base': police officer and staff understandings of research, its implementation and 'what works'. </w:t>
          </w:r>
          <w:r w:rsidRPr="00F52AB3">
            <w:rPr>
              <w:i/>
              <w:iCs/>
              <w:noProof/>
              <w:sz w:val="22"/>
              <w:szCs w:val="22"/>
              <w:lang w:val="en-US"/>
            </w:rPr>
            <w:t xml:space="preserve">Sociology, </w:t>
          </w:r>
          <w:r w:rsidRPr="00F52AB3">
            <w:rPr>
              <w:noProof/>
              <w:sz w:val="22"/>
              <w:szCs w:val="22"/>
              <w:lang w:val="en-US"/>
            </w:rPr>
            <w:t>52(4), pp. 813-829.</w:t>
          </w:r>
        </w:p>
        <w:p w14:paraId="5260A741" w14:textId="77777777" w:rsidR="00F52AB3" w:rsidRPr="00F52AB3" w:rsidRDefault="00F52AB3" w:rsidP="00F52AB3">
          <w:pPr>
            <w:rPr>
              <w:lang w:val="en-US"/>
            </w:rPr>
          </w:pPr>
        </w:p>
        <w:p w14:paraId="40AF5BCD" w14:textId="60FD3E08" w:rsidR="00F52AB3" w:rsidRDefault="00F52AB3" w:rsidP="00F52AB3">
          <w:pPr>
            <w:pStyle w:val="Bibliography"/>
            <w:rPr>
              <w:noProof/>
              <w:sz w:val="22"/>
              <w:szCs w:val="22"/>
              <w:lang w:val="en-US"/>
            </w:rPr>
          </w:pPr>
          <w:r w:rsidRPr="00F52AB3">
            <w:rPr>
              <w:noProof/>
              <w:sz w:val="22"/>
              <w:szCs w:val="22"/>
              <w:lang w:val="en-US"/>
            </w:rPr>
            <w:t xml:space="preserve">Pepper, I., Rogers, C. &amp; Helen, M., 2020. Evidence based policing: a view on its development within the police service. </w:t>
          </w:r>
          <w:r w:rsidRPr="00F52AB3">
            <w:rPr>
              <w:i/>
              <w:iCs/>
              <w:noProof/>
              <w:sz w:val="22"/>
              <w:szCs w:val="22"/>
              <w:lang w:val="en-US"/>
            </w:rPr>
            <w:t xml:space="preserve">Journal of Work Applied Management, </w:t>
          </w:r>
          <w:r w:rsidRPr="00F52AB3">
            <w:rPr>
              <w:noProof/>
              <w:sz w:val="22"/>
              <w:szCs w:val="22"/>
              <w:lang w:val="en-US"/>
            </w:rPr>
            <w:t>12(1), pp. 91-96.</w:t>
          </w:r>
        </w:p>
        <w:p w14:paraId="6E419571" w14:textId="77777777" w:rsidR="00F52AB3" w:rsidRPr="00F52AB3" w:rsidRDefault="00F52AB3" w:rsidP="00F52AB3">
          <w:pPr>
            <w:rPr>
              <w:lang w:val="en-US"/>
            </w:rPr>
          </w:pPr>
        </w:p>
        <w:p w14:paraId="2261A8CE" w14:textId="77777777" w:rsidR="00F52AB3" w:rsidRPr="00F52AB3" w:rsidRDefault="00F52AB3" w:rsidP="00F52AB3">
          <w:pPr>
            <w:pStyle w:val="Bibliography"/>
            <w:rPr>
              <w:noProof/>
              <w:sz w:val="22"/>
              <w:szCs w:val="22"/>
              <w:lang w:val="en-US"/>
            </w:rPr>
          </w:pPr>
          <w:r w:rsidRPr="00F52AB3">
            <w:rPr>
              <w:noProof/>
              <w:sz w:val="22"/>
              <w:szCs w:val="22"/>
              <w:lang w:val="en-US"/>
            </w:rPr>
            <w:t xml:space="preserve">Sherman, L., 2013. The rise of evidence-based. </w:t>
          </w:r>
          <w:r w:rsidRPr="00F52AB3">
            <w:rPr>
              <w:i/>
              <w:iCs/>
              <w:noProof/>
              <w:sz w:val="22"/>
              <w:szCs w:val="22"/>
              <w:lang w:val="en-US"/>
            </w:rPr>
            <w:t xml:space="preserve">Crime and Justice, </w:t>
          </w:r>
          <w:r w:rsidRPr="00F52AB3">
            <w:rPr>
              <w:noProof/>
              <w:sz w:val="22"/>
              <w:szCs w:val="22"/>
              <w:lang w:val="en-US"/>
            </w:rPr>
            <w:t>42(1), pp. 377-451.</w:t>
          </w:r>
        </w:p>
        <w:p w14:paraId="1795BECE" w14:textId="77777777" w:rsidR="00F52AB3" w:rsidRDefault="00F52AB3" w:rsidP="00F52AB3">
          <w:r w:rsidRPr="00F52AB3">
            <w:rPr>
              <w:b/>
              <w:bCs/>
              <w:noProof/>
              <w:sz w:val="22"/>
              <w:szCs w:val="22"/>
            </w:rPr>
            <w:fldChar w:fldCharType="end"/>
          </w:r>
        </w:p>
      </w:sdtContent>
    </w:sdt>
    <w:p w14:paraId="5A0F96E2" w14:textId="77777777" w:rsidR="00F52AB3" w:rsidRPr="00A406E5" w:rsidRDefault="00F52AB3">
      <w:pPr>
        <w:pStyle w:val="NormalWeb"/>
        <w:rPr>
          <w:rFonts w:ascii="Arial" w:hAnsi="Arial" w:cs="Arial"/>
          <w:color w:val="303B44"/>
          <w:sz w:val="22"/>
          <w:szCs w:val="22"/>
        </w:rPr>
      </w:pPr>
    </w:p>
    <w:sectPr w:rsidR="00F52AB3" w:rsidRPr="00A406E5" w:rsidSect="00F52AB3">
      <w:headerReference w:type="even" r:id="rId11"/>
      <w:headerReference w:type="default" r:id="rId12"/>
      <w:footerReference w:type="even" r:id="rId13"/>
      <w:footerReference w:type="default" r:id="rId14"/>
      <w:headerReference w:type="first" r:id="rId15"/>
      <w:footerReference w:type="first" r:id="rId16"/>
      <w:pgSz w:w="11894" w:h="16834"/>
      <w:pgMar w:top="720" w:right="720" w:bottom="720" w:left="720" w:header="706" w:footer="454"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42792C" w14:textId="77777777" w:rsidR="00A24221" w:rsidRDefault="00A24221">
      <w:r>
        <w:separator/>
      </w:r>
    </w:p>
  </w:endnote>
  <w:endnote w:type="continuationSeparator" w:id="0">
    <w:p w14:paraId="34BE4251" w14:textId="77777777" w:rsidR="00A24221" w:rsidRDefault="00A242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C588F1" w14:textId="08D21CE2" w:rsidR="00F52AB3" w:rsidRDefault="00F52AB3" w:rsidP="00F52AB3">
    <w:pPr>
      <w:pStyle w:val="Footer"/>
      <w:rPr>
        <w:color w:val="000000"/>
        <w:sz w:val="17"/>
      </w:rPr>
    </w:pPr>
    <w:bookmarkStart w:id="3" w:name="TITUS1FooterEvenPages"/>
    <w:r w:rsidRPr="00F52AB3">
      <w:rPr>
        <w:color w:val="000000"/>
        <w:sz w:val="17"/>
      </w:rPr>
      <w:t> </w:t>
    </w:r>
  </w:p>
  <w:bookmarkEnd w:id="3"/>
  <w:p w14:paraId="4658AF07" w14:textId="77777777" w:rsidR="00F52AB3" w:rsidRDefault="00F52A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3ABA82" w14:textId="1CBF4D79" w:rsidR="00152E9D" w:rsidRDefault="00F52AB3" w:rsidP="00F52AB3">
    <w:pPr>
      <w:pStyle w:val="Footer"/>
      <w:rPr>
        <w:color w:val="000000"/>
        <w:sz w:val="17"/>
      </w:rPr>
    </w:pPr>
    <w:bookmarkStart w:id="4" w:name="TITUS1FooterPrimary"/>
    <w:r w:rsidRPr="00F52AB3">
      <w:rPr>
        <w:color w:val="000000"/>
        <w:sz w:val="17"/>
      </w:rPr>
      <w:t> </w:t>
    </w:r>
  </w:p>
  <w:bookmarkEnd w:id="4"/>
  <w:p w14:paraId="1A249986" w14:textId="77777777" w:rsidR="00F52AB3" w:rsidRDefault="00F52AB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176BF2" w14:textId="6A36681F" w:rsidR="00F52AB3" w:rsidRDefault="00F52AB3" w:rsidP="00F52AB3">
    <w:pPr>
      <w:pStyle w:val="Footer"/>
      <w:rPr>
        <w:color w:val="000000"/>
        <w:sz w:val="17"/>
      </w:rPr>
    </w:pPr>
    <w:bookmarkStart w:id="6" w:name="TITUS1FooterFirstPage"/>
    <w:r w:rsidRPr="00F52AB3">
      <w:rPr>
        <w:color w:val="000000"/>
        <w:sz w:val="17"/>
      </w:rPr>
      <w:t> </w:t>
    </w:r>
  </w:p>
  <w:bookmarkEnd w:id="6"/>
  <w:p w14:paraId="42B0C0B9" w14:textId="77777777" w:rsidR="00F52AB3" w:rsidRDefault="00F52A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CB7C09" w14:textId="77777777" w:rsidR="00A24221" w:rsidRDefault="00A24221">
      <w:r>
        <w:separator/>
      </w:r>
    </w:p>
  </w:footnote>
  <w:footnote w:type="continuationSeparator" w:id="0">
    <w:p w14:paraId="71AC4E6A" w14:textId="77777777" w:rsidR="00A24221" w:rsidRDefault="00A242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DA1F02" w14:textId="6FA623F3" w:rsidR="00F52AB3" w:rsidRDefault="00F52AB3" w:rsidP="00F52AB3">
    <w:pPr>
      <w:pStyle w:val="Header"/>
      <w:rPr>
        <w:color w:val="000000"/>
        <w:sz w:val="17"/>
      </w:rPr>
    </w:pPr>
    <w:bookmarkStart w:id="1" w:name="TITUS1HeaderEvenPages"/>
    <w:r w:rsidRPr="00F52AB3">
      <w:rPr>
        <w:color w:val="000000"/>
        <w:sz w:val="17"/>
      </w:rPr>
      <w:t> </w:t>
    </w:r>
  </w:p>
  <w:bookmarkEnd w:id="1"/>
  <w:p w14:paraId="30953980" w14:textId="77777777" w:rsidR="00F52AB3" w:rsidRDefault="00F52A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C6796D" w14:textId="48EC3D94" w:rsidR="00F52AB3" w:rsidRDefault="00F52AB3" w:rsidP="00F52AB3">
    <w:pPr>
      <w:pStyle w:val="Header"/>
      <w:rPr>
        <w:color w:val="000000"/>
        <w:sz w:val="17"/>
      </w:rPr>
    </w:pPr>
    <w:bookmarkStart w:id="2" w:name="TITUS1HeaderPrimary"/>
    <w:r w:rsidRPr="00F52AB3">
      <w:rPr>
        <w:color w:val="000000"/>
        <w:sz w:val="17"/>
      </w:rPr>
      <w:t> </w:t>
    </w:r>
  </w:p>
  <w:bookmarkEnd w:id="2"/>
  <w:p w14:paraId="5EC9D5CC" w14:textId="77777777" w:rsidR="00F52AB3" w:rsidRDefault="00F52A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CC85EF" w14:textId="6C6DBD79" w:rsidR="00F52AB3" w:rsidRDefault="00F52AB3" w:rsidP="00F52AB3">
    <w:pPr>
      <w:pStyle w:val="Header"/>
      <w:rPr>
        <w:color w:val="000000"/>
        <w:sz w:val="17"/>
      </w:rPr>
    </w:pPr>
    <w:bookmarkStart w:id="5" w:name="TITUS1HeaderFirstPage"/>
    <w:r w:rsidRPr="00F52AB3">
      <w:rPr>
        <w:color w:val="000000"/>
        <w:sz w:val="17"/>
      </w:rPr>
      <w:t> </w:t>
    </w:r>
  </w:p>
  <w:bookmarkEnd w:id="5"/>
  <w:p w14:paraId="0E3CCF02" w14:textId="77777777" w:rsidR="00F52AB3" w:rsidRDefault="00F52A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1"/>
  </w:num>
  <w:num w:numId="2">
    <w:abstractNumId w:val="18"/>
  </w:num>
  <w:num w:numId="3">
    <w:abstractNumId w:val="3"/>
  </w:num>
  <w:num w:numId="4">
    <w:abstractNumId w:val="16"/>
  </w:num>
  <w:num w:numId="5">
    <w:abstractNumId w:val="30"/>
  </w:num>
  <w:num w:numId="6">
    <w:abstractNumId w:val="20"/>
  </w:num>
  <w:num w:numId="7">
    <w:abstractNumId w:val="12"/>
  </w:num>
  <w:num w:numId="8">
    <w:abstractNumId w:val="29"/>
  </w:num>
  <w:num w:numId="9">
    <w:abstractNumId w:val="6"/>
  </w:num>
  <w:num w:numId="10">
    <w:abstractNumId w:val="26"/>
  </w:num>
  <w:num w:numId="11">
    <w:abstractNumId w:val="17"/>
  </w:num>
  <w:num w:numId="12">
    <w:abstractNumId w:val="8"/>
  </w:num>
  <w:num w:numId="13">
    <w:abstractNumId w:val="9"/>
  </w:num>
  <w:num w:numId="14">
    <w:abstractNumId w:val="14"/>
  </w:num>
  <w:num w:numId="15">
    <w:abstractNumId w:val="24"/>
  </w:num>
  <w:num w:numId="16">
    <w:abstractNumId w:val="7"/>
  </w:num>
  <w:num w:numId="17">
    <w:abstractNumId w:val="0"/>
  </w:num>
  <w:num w:numId="18">
    <w:abstractNumId w:val="10"/>
  </w:num>
  <w:num w:numId="19">
    <w:abstractNumId w:val="25"/>
  </w:num>
  <w:num w:numId="20">
    <w:abstractNumId w:val="4"/>
  </w:num>
  <w:num w:numId="21">
    <w:abstractNumId w:val="15"/>
  </w:num>
  <w:num w:numId="22">
    <w:abstractNumId w:val="2"/>
  </w:num>
  <w:num w:numId="23">
    <w:abstractNumId w:val="19"/>
  </w:num>
  <w:num w:numId="24">
    <w:abstractNumId w:val="22"/>
  </w:num>
  <w:num w:numId="25">
    <w:abstractNumId w:val="1"/>
  </w:num>
  <w:num w:numId="26">
    <w:abstractNumId w:val="28"/>
  </w:num>
  <w:num w:numId="27">
    <w:abstractNumId w:val="5"/>
  </w:num>
  <w:num w:numId="28">
    <w:abstractNumId w:val="23"/>
  </w:num>
  <w:num w:numId="29">
    <w:abstractNumId w:val="27"/>
  </w:num>
  <w:num w:numId="30">
    <w:abstractNumId w:val="21"/>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740"/>
    <w:rsid w:val="00011ECF"/>
    <w:rsid w:val="00026B02"/>
    <w:rsid w:val="00045D04"/>
    <w:rsid w:val="000822E5"/>
    <w:rsid w:val="000971FC"/>
    <w:rsid w:val="000A2A3A"/>
    <w:rsid w:val="000A492A"/>
    <w:rsid w:val="000D2D4F"/>
    <w:rsid w:val="000D2F80"/>
    <w:rsid w:val="000E413A"/>
    <w:rsid w:val="000F5AA3"/>
    <w:rsid w:val="00100396"/>
    <w:rsid w:val="00100B5C"/>
    <w:rsid w:val="00103507"/>
    <w:rsid w:val="001106E9"/>
    <w:rsid w:val="00116072"/>
    <w:rsid w:val="00124CA5"/>
    <w:rsid w:val="00130080"/>
    <w:rsid w:val="00134F77"/>
    <w:rsid w:val="00152E9D"/>
    <w:rsid w:val="00154487"/>
    <w:rsid w:val="0017512A"/>
    <w:rsid w:val="00196958"/>
    <w:rsid w:val="001A1E39"/>
    <w:rsid w:val="001A24F3"/>
    <w:rsid w:val="001B405C"/>
    <w:rsid w:val="001B4CA3"/>
    <w:rsid w:val="001B5F45"/>
    <w:rsid w:val="001E1050"/>
    <w:rsid w:val="001E1E1F"/>
    <w:rsid w:val="001E2007"/>
    <w:rsid w:val="001E57C1"/>
    <w:rsid w:val="001E6AF7"/>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193C"/>
    <w:rsid w:val="00423934"/>
    <w:rsid w:val="00426244"/>
    <w:rsid w:val="00454735"/>
    <w:rsid w:val="00470A38"/>
    <w:rsid w:val="00474229"/>
    <w:rsid w:val="004874DE"/>
    <w:rsid w:val="004B5334"/>
    <w:rsid w:val="004B6C14"/>
    <w:rsid w:val="004B6C61"/>
    <w:rsid w:val="004C4F19"/>
    <w:rsid w:val="004D5E9B"/>
    <w:rsid w:val="004D63D9"/>
    <w:rsid w:val="004E6585"/>
    <w:rsid w:val="0050249F"/>
    <w:rsid w:val="00524566"/>
    <w:rsid w:val="00530BEF"/>
    <w:rsid w:val="00550080"/>
    <w:rsid w:val="00552351"/>
    <w:rsid w:val="00561F00"/>
    <w:rsid w:val="00562C4E"/>
    <w:rsid w:val="00562DEC"/>
    <w:rsid w:val="00576AB4"/>
    <w:rsid w:val="00577917"/>
    <w:rsid w:val="00590667"/>
    <w:rsid w:val="00592635"/>
    <w:rsid w:val="005969E2"/>
    <w:rsid w:val="005A1689"/>
    <w:rsid w:val="005B61CD"/>
    <w:rsid w:val="005D1D58"/>
    <w:rsid w:val="005D432C"/>
    <w:rsid w:val="005E285E"/>
    <w:rsid w:val="005E72F8"/>
    <w:rsid w:val="005F0579"/>
    <w:rsid w:val="005F3A53"/>
    <w:rsid w:val="006062A3"/>
    <w:rsid w:val="00610E08"/>
    <w:rsid w:val="00611777"/>
    <w:rsid w:val="006140BF"/>
    <w:rsid w:val="006161BE"/>
    <w:rsid w:val="00620787"/>
    <w:rsid w:val="00625ADB"/>
    <w:rsid w:val="00632434"/>
    <w:rsid w:val="0063478F"/>
    <w:rsid w:val="00644256"/>
    <w:rsid w:val="00661D6F"/>
    <w:rsid w:val="006628E9"/>
    <w:rsid w:val="0066725E"/>
    <w:rsid w:val="006716C7"/>
    <w:rsid w:val="00673F98"/>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6FBB"/>
    <w:rsid w:val="007366DF"/>
    <w:rsid w:val="00757839"/>
    <w:rsid w:val="0076406B"/>
    <w:rsid w:val="00770C81"/>
    <w:rsid w:val="00791024"/>
    <w:rsid w:val="00793F0A"/>
    <w:rsid w:val="00795507"/>
    <w:rsid w:val="007A2657"/>
    <w:rsid w:val="007C682C"/>
    <w:rsid w:val="007D2385"/>
    <w:rsid w:val="007E6F99"/>
    <w:rsid w:val="007F214F"/>
    <w:rsid w:val="00800069"/>
    <w:rsid w:val="008042F0"/>
    <w:rsid w:val="008310A0"/>
    <w:rsid w:val="00835D29"/>
    <w:rsid w:val="00842E7F"/>
    <w:rsid w:val="008510CE"/>
    <w:rsid w:val="00852933"/>
    <w:rsid w:val="008566E5"/>
    <w:rsid w:val="008566FE"/>
    <w:rsid w:val="00865B46"/>
    <w:rsid w:val="00894D5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01B8"/>
    <w:rsid w:val="00965881"/>
    <w:rsid w:val="009871FF"/>
    <w:rsid w:val="00990799"/>
    <w:rsid w:val="00995D51"/>
    <w:rsid w:val="009A0631"/>
    <w:rsid w:val="009B10ED"/>
    <w:rsid w:val="009D3EA4"/>
    <w:rsid w:val="009D649C"/>
    <w:rsid w:val="009E4BC1"/>
    <w:rsid w:val="009F5CB2"/>
    <w:rsid w:val="00A03BB8"/>
    <w:rsid w:val="00A24221"/>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431D9"/>
    <w:rsid w:val="00B50EA8"/>
    <w:rsid w:val="00B64082"/>
    <w:rsid w:val="00B66899"/>
    <w:rsid w:val="00B72325"/>
    <w:rsid w:val="00B810F1"/>
    <w:rsid w:val="00B81AD3"/>
    <w:rsid w:val="00B829D8"/>
    <w:rsid w:val="00B84B5B"/>
    <w:rsid w:val="00B86446"/>
    <w:rsid w:val="00BA1176"/>
    <w:rsid w:val="00BE0B01"/>
    <w:rsid w:val="00BE79C7"/>
    <w:rsid w:val="00BF3CB5"/>
    <w:rsid w:val="00C01A3F"/>
    <w:rsid w:val="00C073F1"/>
    <w:rsid w:val="00C1285B"/>
    <w:rsid w:val="00C1361B"/>
    <w:rsid w:val="00C14E1F"/>
    <w:rsid w:val="00C256F4"/>
    <w:rsid w:val="00C315AF"/>
    <w:rsid w:val="00C36D9A"/>
    <w:rsid w:val="00C44A72"/>
    <w:rsid w:val="00C61FC2"/>
    <w:rsid w:val="00C64DA0"/>
    <w:rsid w:val="00C705F9"/>
    <w:rsid w:val="00C80F0F"/>
    <w:rsid w:val="00C8667A"/>
    <w:rsid w:val="00C93BCB"/>
    <w:rsid w:val="00CC241A"/>
    <w:rsid w:val="00CD1C26"/>
    <w:rsid w:val="00CE4035"/>
    <w:rsid w:val="00CE65AB"/>
    <w:rsid w:val="00CF4266"/>
    <w:rsid w:val="00D22BAE"/>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7483E"/>
    <w:rsid w:val="00E807D9"/>
    <w:rsid w:val="00EA0F4E"/>
    <w:rsid w:val="00EA295B"/>
    <w:rsid w:val="00EA3B9B"/>
    <w:rsid w:val="00EA6801"/>
    <w:rsid w:val="00EB0611"/>
    <w:rsid w:val="00EB4F96"/>
    <w:rsid w:val="00ED7072"/>
    <w:rsid w:val="00EE3132"/>
    <w:rsid w:val="00EE3D9D"/>
    <w:rsid w:val="00EE6F25"/>
    <w:rsid w:val="00F02126"/>
    <w:rsid w:val="00F03D85"/>
    <w:rsid w:val="00F07C8C"/>
    <w:rsid w:val="00F171F6"/>
    <w:rsid w:val="00F249F1"/>
    <w:rsid w:val="00F25B9D"/>
    <w:rsid w:val="00F2664E"/>
    <w:rsid w:val="00F31163"/>
    <w:rsid w:val="00F31C04"/>
    <w:rsid w:val="00F442A7"/>
    <w:rsid w:val="00F52AB3"/>
    <w:rsid w:val="00F57A89"/>
    <w:rsid w:val="00F61A20"/>
    <w:rsid w:val="00F63DD9"/>
    <w:rsid w:val="00F67644"/>
    <w:rsid w:val="00F8381F"/>
    <w:rsid w:val="00F90BD8"/>
    <w:rsid w:val="00FA04CD"/>
    <w:rsid w:val="00FA25F5"/>
    <w:rsid w:val="00FA2810"/>
    <w:rsid w:val="00FA68F8"/>
    <w:rsid w:val="00FB1DC0"/>
    <w:rsid w:val="00FB3B4E"/>
    <w:rsid w:val="00FB4521"/>
    <w:rsid w:val="00FB4F84"/>
    <w:rsid w:val="00FB5CF8"/>
    <w:rsid w:val="00FD34A3"/>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paragraph" w:styleId="Bibliography">
    <w:name w:val="Bibliography"/>
    <w:basedOn w:val="Normal"/>
    <w:next w:val="Normal"/>
    <w:uiPriority w:val="37"/>
    <w:unhideWhenUsed/>
    <w:rsid w:val="00B668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Sim17</b:Tag>
    <b:SourceType>JournalArticle</b:SourceType>
    <b:Guid>{3A171B44-EF17-4A12-8477-2D8A8D740C33}</b:Guid>
    <b:Author>
      <b:Author>
        <b:NameList>
          <b:Person>
            <b:Last>Holdaway</b:Last>
            <b:First>Simon</b:First>
          </b:Person>
        </b:NameList>
      </b:Author>
    </b:Author>
    <b:Title>The re-professionalisation of the police in England and Wales</b:Title>
    <b:JournalName>Criminology and Criminal Justice</b:JournalName>
    <b:Year>2017</b:Year>
    <b:Pages>588-604</b:Pages>
    <b:Volume>17</b:Volume>
    <b:Issue>5</b:Issue>
    <b:RefOrder>1</b:RefOrder>
  </b:Source>
  <b:Source>
    <b:Tag>Kar17</b:Tag>
    <b:SourceType>JournalArticle</b:SourceType>
    <b:Guid>{532C98D6-8C43-4046-9A64-82319CBB59EF}</b:Guid>
    <b:Author>
      <b:Author>
        <b:NameList>
          <b:Person>
            <b:Last>Lumsden</b:Last>
            <b:First>Karen</b:First>
          </b:Person>
        </b:NameList>
      </b:Author>
    </b:Author>
    <b:Title>'It's a profession, it isn't a job': Police Officers' views on  the professionalisation of policing in England</b:Title>
    <b:JournalName>Sociological Research</b:JournalName>
    <b:Year>2017</b:Year>
    <b:Pages>3-20</b:Pages>
    <b:Volume>22</b:Volume>
    <b:Issue>3</b:Issue>
    <b:RefOrder>2</b:RefOrder>
  </b:Source>
  <b:Source>
    <b:Tag>Ste17</b:Tag>
    <b:SourceType>JournalArticle</b:SourceType>
    <b:Guid>{13275EE4-C48E-4FF7-9A88-B4B6E96BF9D5}</b:Guid>
    <b:Author>
      <b:Author>
        <b:NameList>
          <b:Person>
            <b:Last>Tong</b:Last>
            <b:First>Stephen</b:First>
          </b:Person>
        </b:NameList>
      </b:Author>
    </b:Author>
    <b:Title>Professionalising policing: seeking viable and sustainable approaches to police education and learning</b:Title>
    <b:JournalName>European Police Science and Research Bulletin - Special Conference Edition</b:JournalName>
    <b:Year>2017</b:Year>
    <b:Pages>171-178</b:Pages>
    <b:RefOrder>3</b:RefOrder>
  </b:Source>
  <b:Source>
    <b:Tag>Jyo20</b:Tag>
    <b:SourceType>JournalArticle</b:SourceType>
    <b:Guid>{9BFDA724-626D-4AB0-B03F-1D7E2E4E6438}</b:Guid>
    <b:Author>
      <b:Author>
        <b:NameList>
          <b:Person>
            <b:Last>Belur</b:Last>
            <b:First>Jyoti</b:First>
          </b:Person>
          <b:Person>
            <b:Last>Agnew-Pauley</b:Last>
            <b:First>Winifred</b:First>
          </b:Person>
          <b:Person>
            <b:Last>McGinley</b:Last>
            <b:First>Brendan</b:First>
          </b:Person>
          <b:Person>
            <b:Last>Tompson</b:Last>
            <b:First>Lisa</b:First>
          </b:Person>
        </b:NameList>
      </b:Author>
    </b:Author>
    <b:Title>A systematic review of police recruit training programmes</b:Title>
    <b:JournalName>Policing</b:JournalName>
    <b:Year>2020</b:Year>
    <b:Pages>76-90</b:Pages>
    <b:Volume>14</b:Volume>
    <b:Issue>1</b:Issue>
    <b:RefOrder>4</b:RefOrder>
  </b:Source>
  <b:Source>
    <b:Tag>Kar16</b:Tag>
    <b:SourceType>JournalArticle</b:SourceType>
    <b:Guid>{FF0C79DC-9F7C-4036-A235-46A5BD31366D}</b:Guid>
    <b:Author>
      <b:Author>
        <b:NameList>
          <b:Person>
            <b:Last>Lumsden</b:Last>
            <b:First>Karen</b:First>
          </b:Person>
          <b:Person>
            <b:Last>Goode</b:Last>
            <b:First>Jackie</b:First>
          </b:Person>
        </b:NameList>
      </b:Author>
    </b:Author>
    <b:Title>Policing research and the rise of the 'evidence-base': police officer and staff understandings of research, its implementation and 'what works'</b:Title>
    <b:JournalName>Sociology</b:JournalName>
    <b:Year>2016</b:Year>
    <b:Pages>813-829</b:Pages>
    <b:Volume>52</b:Volume>
    <b:Issue>4</b:Issue>
    <b:RefOrder>5</b:RefOrder>
  </b:Source>
  <b:Source>
    <b:Tag>Mar08</b:Tag>
    <b:SourceType>BookSection</b:SourceType>
    <b:Guid>{7BB08CCF-5998-40B6-A15B-905812AE7F3D}</b:Guid>
    <b:Title>Policing terror</b:Title>
    <b:Year>2008</b:Year>
    <b:Pages>553-579</b:Pages>
    <b:Author>
      <b:Author>
        <b:NameList>
          <b:Person>
            <b:Last>Innes</b:Last>
            <b:First>Martin</b:First>
          </b:Person>
          <b:Person>
            <b:Last>Thiel</b:Last>
            <b:First>Darren</b:First>
          </b:Person>
        </b:NameList>
      </b:Author>
      <b:Editor>
        <b:NameList>
          <b:Person>
            <b:Last>Newburn</b:Last>
            <b:First>Tim</b:First>
          </b:Person>
        </b:NameList>
      </b:Editor>
    </b:Author>
    <b:BookTitle>The Handbook of Policing</b:BookTitle>
    <b:City>London</b:City>
    <b:Publisher>Willan Publishing</b:Publisher>
    <b:RefOrder>1</b:RefOrder>
  </b:Source>
  <b:Source>
    <b:Tag>HMG18</b:Tag>
    <b:SourceType>Report</b:SourceType>
    <b:Guid>{BF8D3A05-1ABF-4510-978E-673968DA6D08}</b:Guid>
    <b:Title>Contest: The United Kingdom's strategy for countering terrorism</b:Title>
    <b:Year>2018</b:Year>
    <b:Author>
      <b:Author>
        <b:Corporate>HM Government</b:Corporate>
      </b:Author>
    </b:Author>
    <b:Publisher>Home Office</b:Publisher>
    <b:City>London</b:City>
    <b:RefOrder>2</b:RefOrder>
  </b:Source>
  <b:Source>
    <b:Tag>The22</b:Tag>
    <b:SourceType>InternetSite</b:SourceType>
    <b:Guid>{F1C517EE-D9F0-4C2F-B575-586BC23C5FA8}</b:Guid>
    <b:Title>MI5: What we do</b:Title>
    <b:Year>2022</b:Year>
    <b:Author>
      <b:Author>
        <b:Corporate>Security Service</b:Corporate>
      </b:Author>
    </b:Author>
    <b:YearAccessed>2022</b:YearAccessed>
    <b:MonthAccessed>2</b:MonthAccessed>
    <b:DayAccessed>15</b:DayAccessed>
    <b:URL>https://www.mi5.gov.uk/what-we-do</b:URL>
    <b:RefOrder>3</b:RefOrder>
  </b:Source>
  <b:Source>
    <b:Tag>NPC22</b:Tag>
    <b:SourceType>InternetSite</b:SourceType>
    <b:Guid>{56E96CFF-6A26-438D-A07A-433A9214064F}</b:Guid>
    <b:Title>Terrorism in the UK</b:Title>
    <b:Year>2022</b:Year>
    <b:Author>
      <b:Author>
        <b:Corporate>NPCC</b:Corporate>
      </b:Author>
    </b:Author>
    <b:YearAccessed>2022</b:YearAccessed>
    <b:MonthAccessed>2</b:MonthAccessed>
    <b:DayAccessed>15</b:DayAccessed>
    <b:URL>https://www.npcc.police.uk/CounterTerrorism/HomePage.aspx</b:URL>
    <b:RefOrder>4</b:RefOrder>
  </b:Source>
  <b:Source>
    <b:Tag>Ken19</b:Tag>
    <b:SourceType>JournalArticle</b:SourceType>
    <b:Guid>{CFBAA6AF-27DC-4B87-9FF7-F9F508DF0A73}</b:Guid>
    <b:Title>Community orientated policing: security in the domestic counter-terrorism environment</b:Title>
    <b:Year>2019</b:Year>
    <b:Author>
      <b:Author>
        <b:NameList>
          <b:Person>
            <b:Last>Goldberg</b:Last>
            <b:First>Kenneth</b:First>
          </b:Person>
          <b:Person>
            <b:Last>Christopher</b:Last>
            <b:First>Kenneth</b:First>
          </b:Person>
        </b:NameList>
      </b:Author>
    </b:Author>
    <b:JournalName>Journal of Business and Behavioural Sciences</b:JournalName>
    <b:Pages>114-124</b:Pages>
    <b:Volume>31</b:Volume>
    <b:Issue>1</b:Issue>
    <b:RefOrder>5</b:RefOrder>
  </b:Source>
  <b:Source>
    <b:Tag>CPN22</b:Tag>
    <b:SourceType>InternetSite</b:SourceType>
    <b:Guid>{7698DAE4-9674-4089-89E1-6FDABC571AAA}</b:Guid>
    <b:Title>About CPNI</b:Title>
    <b:Year>2022</b:Year>
    <b:Author>
      <b:Author>
        <b:Corporate>CPNI</b:Corporate>
      </b:Author>
    </b:Author>
    <b:YearAccessed>2022</b:YearAccessed>
    <b:MonthAccessed>2</b:MonthAccessed>
    <b:DayAccessed>15</b:DayAccessed>
    <b:URL>https://www.cpni.gov.uk/about-cpni</b:URL>
    <b:RefOrder>6</b:RefOrder>
  </b:Source>
  <b:Source>
    <b:Tag>Adr17</b:Tag>
    <b:SourceType>JournalArticle</b:SourceType>
    <b:Guid>{094E142B-1F36-4F76-A61E-D5A2BC2C31F8}</b:Guid>
    <b:Title>The road not taken: understanding barriers to the development of police intelligence practice</b:Title>
    <b:Year>2017</b:Year>
    <b:Author>
      <b:Author>
        <b:NameList>
          <b:Person>
            <b:Last>James</b:Last>
            <b:First>Adrian</b:First>
          </b:Person>
          <b:Person>
            <b:Last>Phythian</b:Last>
            <b:First>Mark</b:First>
          </b:Person>
          <b:Person>
            <b:Last>Wadie</b:Last>
            <b:First>Fiona</b:First>
          </b:Person>
          <b:Person>
            <b:Last>Richards</b:Last>
            <b:First>Julian</b:First>
          </b:Person>
        </b:NameList>
      </b:Author>
    </b:Author>
    <b:JournalName>The International Journal of Intelligence, Security and Public Affairs</b:JournalName>
    <b:Pages>77-91</b:Pages>
    <b:Volume>19</b:Volume>
    <b:Issue>2</b:Issue>
    <b:RefOrder>1</b:RefOrder>
  </b:Source>
  <b:Source>
    <b:Tag>Tim07</b:Tag>
    <b:SourceType>BookSection</b:SourceType>
    <b:Guid>{8E52CB85-0436-4567-8093-461FBF9BEC7E}</b:Guid>
    <b:Title>Criminal intelligence and the National Intelligence Model</b:Title>
    <b:Year>2007</b:Year>
    <b:Pages>199-255</b:Pages>
    <b:Author>
      <b:Author>
        <b:NameList>
          <b:Person>
            <b:Last>John</b:Last>
            <b:First>Tim</b:First>
          </b:Person>
          <b:Person>
            <b:Last>Maguire</b:Last>
            <b:First>Mike</b:First>
          </b:Person>
        </b:NameList>
      </b:Author>
      <b:Editor>
        <b:NameList>
          <b:Person>
            <b:Last>Newburn</b:Last>
            <b:First>Tim</b:First>
          </b:Person>
          <b:Person>
            <b:Last>Williamson</b:Last>
            <b:First>Tom</b:First>
          </b:Person>
          <b:Person>
            <b:Last>Wright</b:Last>
            <b:First>Alan</b:First>
          </b:Person>
        </b:NameList>
      </b:Editor>
    </b:Author>
    <b:BookTitle>Handbook of Criminal Investigation</b:BookTitle>
    <b:City>Abingdon</b:City>
    <b:Publisher>Willan Publishing</b:Publisher>
    <b:RefOrder>2</b:RefOrder>
  </b:Source>
  <b:Source>
    <b:Tag>Col152</b:Tag>
    <b:SourceType>InternetSite</b:SourceType>
    <b:Guid>{F73C211E-9C8E-4B90-97A3-B05EAA43A379}</b:Guid>
    <b:Title>Intelligence Report</b:Title>
    <b:Year>2022</b:Year>
    <b:Author>
      <b:Author>
        <b:Corporate>College of Policing</b:Corporate>
      </b:Author>
    </b:Author>
    <b:YearAccessed>2022</b:YearAccessed>
    <b:MonthAccessed>2</b:MonthAccessed>
    <b:DayAccessed>18</b:DayAccessed>
    <b:URL>https://www.app.college.police.uk/app-content/intelligence-management/intelligence-report/</b:URL>
    <b:RefOrder>3</b:RefOrder>
  </b:Source>
  <b:Source>
    <b:Tag>NCA22</b:Tag>
    <b:SourceType>InternetSite</b:SourceType>
    <b:Guid>{E0E98F27-8684-4FEF-B603-A5A11F576FBC}</b:Guid>
    <b:Author>
      <b:Author>
        <b:Corporate>NCA</b:Corporate>
      </b:Author>
    </b:Author>
    <b:Title>Intelligence: enhancing the picture of serious organised crime affecting the UK</b:Title>
    <b:Year>2022</b:Year>
    <b:YearAccessed>2022</b:YearAccessed>
    <b:MonthAccessed>2</b:MonthAccessed>
    <b:DayAccessed>18</b:DayAccessed>
    <b:URL>https://nationalcrimeagency.gov.uk/what-we-do/how-we-work/intelligence-enhancing-the-picture-of-serious-organised-crime-affecting-the-uk</b:URL>
    <b:RefOrder>4</b:RefOrder>
  </b:Source>
  <b:Source>
    <b:Tag>Mar04</b:Tag>
    <b:SourceType>JournalArticle</b:SourceType>
    <b:Guid>{E275647D-D255-4FC9-B849-74382B58EB4C}</b:Guid>
    <b:Title>From detection and disruption: intelligence and the changing logic of police crime control in the United Kingdom</b:Title>
    <b:Year>2004</b:Year>
    <b:Author>
      <b:Author>
        <b:NameList>
          <b:Person>
            <b:Last>Innes</b:Last>
            <b:First>Martin</b:First>
          </b:Person>
          <b:Person>
            <b:Last>Sheptycki</b:Last>
            <b:First>James</b:First>
          </b:Person>
        </b:NameList>
      </b:Author>
    </b:Author>
    <b:JournalName>International Criminal Justice Review</b:JournalName>
    <b:Pages>1-24</b:Pages>
    <b:Volume>14</b:Volume>
    <b:Issue>1</b:Issue>
    <b:RefOrder>5</b:RefOrder>
  </b:Source>
  <b:Source>
    <b:Tag>Col151</b:Tag>
    <b:SourceType>InternetSite</b:SourceType>
    <b:Guid>{C835A131-66AA-4C72-8D76-5E1E524EB0A9}</b:Guid>
    <b:Title>Intelligence Management</b:Title>
    <b:Year>2015</b:Year>
    <b:Author>
      <b:Author>
        <b:Corporate>College of Policing</b:Corporate>
      </b:Author>
    </b:Author>
    <b:YearAccessed>2022</b:YearAccessed>
    <b:MonthAccessed>2</b:MonthAccessed>
    <b:DayAccessed>18</b:DayAccessed>
    <b:URL>https://www.app.college.police.uk/app-content/intelligence-management/intelligence-cycle/#dissemination</b:URL>
    <b:RefOrder>6</b:RefOrder>
  </b:Source>
  <b:Source>
    <b:Tag>Pet04</b:Tag>
    <b:SourceType>JournalArticle</b:SourceType>
    <b:Guid>{6FD59F3E-7719-4CD9-92E2-E63EAD9452E3}</b:Guid>
    <b:Title>Talking child protection: the police and social workers 'working together'</b:Title>
    <b:Year>2004</b:Year>
    <b:Author>
      <b:Author>
        <b:NameList>
          <b:Person>
            <b:Last>Garrett</b:Last>
            <b:First>Peter</b:First>
          </b:Person>
        </b:NameList>
      </b:Author>
    </b:Author>
    <b:JournalName>Journal of Social Work</b:JournalName>
    <b:Pages>77-97</b:Pages>
    <b:Volume>4</b:Volume>
    <b:Issue>1</b:Issue>
    <b:RefOrder>1</b:RefOrder>
  </b:Source>
  <b:Source>
    <b:Tag>Min20</b:Tag>
    <b:SourceType>Report</b:SourceType>
    <b:Guid>{B5A5AC60-51D3-4631-8C83-5CF19E415817}</b:Guid>
    <b:Title>Code of Practicce for Victims of Crime in England and Wales</b:Title>
    <b:Year>2020</b:Year>
    <b:Author>
      <b:Author>
        <b:Corporate>Ministry of Justice</b:Corporate>
      </b:Author>
    </b:Author>
    <b:Publisher>HM Government</b:Publisher>
    <b:City>London</b:City>
    <b:RefOrder>2</b:RefOrder>
  </b:Source>
  <b:Source>
    <b:Tag>Col20</b:Tag>
    <b:SourceType>InternetSite</b:SourceType>
    <b:Guid>{93C42FCC-D6B7-40DF-95F5-A50251D120E9}</b:Guid>
    <b:Title>Managing sexual offenders and violent offenders</b:Title>
    <b:Year>2020</b:Year>
    <b:Author>
      <b:Author>
        <b:Corporate>College of Policing</b:Corporate>
      </b:Author>
    </b:Author>
    <b:YearAccessed>2022</b:YearAccessed>
    <b:MonthAccessed>2</b:MonthAccessed>
    <b:DayAccessed>15</b:DayAccessed>
    <b:URL>https://www.app.college.police.uk/app-content/major-investigation-and-public-protection/managing-sexual-offenders-and-violent-offenders/</b:URL>
    <b:RefOrder>3</b:RefOrder>
  </b:Source>
  <b:Source>
    <b:Tag>Col213</b:Tag>
    <b:SourceType>InternetSite</b:SourceType>
    <b:Guid>{A3CF9D91-C9EC-4300-AA79-14A32C624786}</b:Guid>
    <b:Title>Working with victims and witnesses</b:Title>
    <b:Year>2021</b:Year>
    <b:Author>
      <b:Author>
        <b:Corporate>College of Policing</b:Corporate>
      </b:Author>
    </b:Author>
    <b:YearAccessed>2022</b:YearAccessed>
    <b:MonthAccessed>2</b:MonthAccessed>
    <b:DayAccessed>25</b:DayAccessed>
    <b:URL>https://www.app.college.police.uk/app-content/investigations/victims-and-witnesses/</b:URL>
    <b:RefOrder>4</b:RefOrder>
  </b:Source>
  <b:Source>
    <b:Tag>Ric19</b:Tag>
    <b:SourceType>JournalArticle</b:SourceType>
    <b:Guid>{9BC147C4-7FBA-4202-B4DD-E955B7F14E29}</b:Guid>
    <b:Title>Working with MAPPA: ethics and pragmatics</b:Title>
    <b:Year>2019</b:Year>
    <b:Author>
      <b:Author>
        <b:NameList>
          <b:Person>
            <b:Last>Taylor</b:Last>
            <b:First>Richard</b:First>
          </b:Person>
          <b:Person>
            <b:Last>Yakely</b:Last>
            <b:First>Jessica</b:First>
          </b:Person>
        </b:NameList>
      </b:Author>
    </b:Author>
    <b:JournalName>British Journal of Psychological Advances</b:JournalName>
    <b:Pages>157-165</b:Pages>
    <b:Volume>25</b:Volume>
    <b:Issue>3</b:Issue>
    <b:RefOrder>5</b:RefOrder>
  </b:Source>
  <b:Source>
    <b:Tag>Jam20</b:Tag>
    <b:SourceType>JournalArticle</b:SourceType>
    <b:Guid>{36C6306E-1483-4345-8BC8-E53F58EE03E4}</b:Guid>
    <b:Author>
      <b:Author>
        <b:NameList>
          <b:Person>
            <b:Last>Windle</b:Last>
            <b:First>James</b:First>
          </b:Person>
          <b:Person>
            <b:Last>Moyle</b:Last>
            <b:First>Leah</b:First>
          </b:Person>
          <b:Person>
            <b:Last>Coomber</b:Last>
            <b:First>Ross</b:First>
          </b:Person>
        </b:NameList>
      </b:Author>
    </b:Author>
    <b:Title>Vulnerable kids going country: children and young people's involvement in county lines drug dealing</b:Title>
    <b:JournalName>Youth Justice</b:JournalName>
    <b:Year>2020</b:Year>
    <b:Pages>64-78</b:Pages>
    <b:Volume>20</b:Volume>
    <b:Issue>1-2</b:Issue>
    <b:RefOrder>6</b:RefOrder>
  </b:Source>
  <b:Source>
    <b:Tag>Man19</b:Tag>
    <b:SourceType>JournalArticle</b:SourceType>
    <b:Guid>{D6E9DB77-265E-496A-91B6-8FFF289F2910}</b:Guid>
    <b:Author>
      <b:Author>
        <b:NameList>
          <b:Person>
            <b:Last>Manchura</b:Last>
            <b:First>Stefan</b:First>
          </b:Person>
          <b:Person>
            <b:Last>Short</b:Last>
            <b:First>Fay</b:First>
          </b:Person>
          <b:Person>
            <b:Last>Hill</b:Last>
            <b:First>Victoria</b:First>
          </b:Person>
          <b:Person>
            <b:Last>Suddaby</b:Last>
            <b:First>Catherine</b:First>
          </b:Person>
          <b:Person>
            <b:Last>Goddard</b:Last>
            <b:First>Ffion</b:First>
          </b:Person>
          <b:Person>
            <b:Last>Jones</b:Last>
            <b:First>Sophie</b:First>
          </b:Person>
        </b:NameList>
      </b:Author>
    </b:Author>
    <b:Title>Recognising modern slavery</b:Title>
    <b:Year>2019</b:Year>
    <b:JournalName>Journal of Human Trafficking</b:JournalName>
    <b:Pages>201-219</b:Pages>
    <b:Volume>5</b:Volume>
    <b:Issue>3</b:Issue>
    <b:RefOrder>7</b:RefOrder>
  </b:Source>
  <b:Source>
    <b:Tag>Pau16</b:Tag>
    <b:SourceType>JournalArticle</b:SourceType>
    <b:Guid>{CEE66CFF-18BD-4024-AB7B-34FF9998E5D9}</b:Guid>
    <b:Author>
      <b:Author>
        <b:NameList>
          <b:Person>
            <b:Last>Dawson</b:Last>
            <b:First>Paul</b:First>
          </b:Person>
          <b:Person>
            <b:Last>Stanko</b:Last>
            <b:First>Elizabeth</b:First>
            <b:Middle>A</b:Middle>
          </b:Person>
        </b:NameList>
      </b:Author>
    </b:Author>
    <b:Title>The best-kept secret(s) of evidence based policing</b:Title>
    <b:JournalName>Legal Information Management</b:JournalName>
    <b:Year>2016</b:Year>
    <b:Pages>64-71</b:Pages>
    <b:Volume>16</b:Volume>
    <b:Issue>2</b:Issue>
    <b:RefOrder>2</b:RefOrder>
  </b:Source>
  <b:Source>
    <b:Tag>Ian20</b:Tag>
    <b:SourceType>JournalArticle</b:SourceType>
    <b:Guid>{FF057BE4-43CF-4BEB-A8FD-126DAEA60678}</b:Guid>
    <b:Author>
      <b:Author>
        <b:NameList>
          <b:Person>
            <b:Last>Pepper</b:Last>
            <b:First>Ian</b:First>
          </b:Person>
          <b:Person>
            <b:Last>Rogers</b:Last>
            <b:First>Colin</b:First>
          </b:Person>
          <b:Person>
            <b:Last>Helen</b:Last>
            <b:First>Martin</b:First>
          </b:Person>
        </b:NameList>
      </b:Author>
    </b:Author>
    <b:Title>Evidence based policing: a view on its development within the police service</b:Title>
    <b:JournalName>Journal of Work Applied Management</b:JournalName>
    <b:Year>2020</b:Year>
    <b:Pages>91-96</b:Pages>
    <b:Volume>12</b:Volume>
    <b:Issue>1</b:Issue>
    <b:RefOrder>3</b:RefOrder>
  </b:Source>
  <b:Source>
    <b:Tag>Law13</b:Tag>
    <b:SourceType>JournalArticle</b:SourceType>
    <b:Guid>{C1D034EB-D317-4F63-AE7C-054B0FAA0850}</b:Guid>
    <b:Author>
      <b:Author>
        <b:NameList>
          <b:Person>
            <b:Last>Sherman</b:Last>
            <b:First>Lawrence</b:First>
          </b:Person>
        </b:NameList>
      </b:Author>
    </b:Author>
    <b:Title>The rise of evidence-based </b:Title>
    <b:JournalName>Crime and Justice</b:JournalName>
    <b:Year>2013</b:Year>
    <b:Pages>377-451</b:Pages>
    <b:Volume>42</b:Volume>
    <b:Issue>1</b:Issue>
    <b:RefOrder>4</b:RefOrder>
  </b:Source>
  <b:Source>
    <b:Tag>Kar09</b:Tag>
    <b:SourceType>JournalArticle</b:SourceType>
    <b:Guid>{6775CF72-4D59-4707-909F-266330969269}</b:Guid>
    <b:Author>
      <b:Author>
        <b:NameList>
          <b:Person>
            <b:Last>Bullock</b:Last>
            <b:First>Karen</b:First>
          </b:Person>
          <b:Person>
            <b:Last>Tilley</b:Last>
            <b:First>Nick</b:First>
          </b:Person>
        </b:NameList>
      </b:Author>
    </b:Author>
    <b:Title>Evidence-based policing and crime reduction</b:Title>
    <b:JournalName>Policing</b:JournalName>
    <b:Year>2009</b:Year>
    <b:Pages>381-387</b:Pages>
    <b:Volume>3</b:Volume>
    <b:Issue>4</b:Issue>
    <b:RefOrder>5</b:RefOrder>
  </b:Source>
  <b:Source>
    <b:Tag>Col214</b:Tag>
    <b:SourceType>InternetSite</b:SourceType>
    <b:Guid>{947F1362-D39A-4223-9B17-668C2895E7A6}</b:Guid>
    <b:Author>
      <b:Author>
        <b:Corporate>College of Policing</b:Corporate>
      </b:Author>
    </b:Author>
    <b:Title>What is evidence-based policing</b:Title>
    <b:Year>2021</b:Year>
    <b:YearAccessed>2022</b:YearAccessed>
    <b:MonthAccessed>2</b:MonthAccessed>
    <b:DayAccessed>27</b:DayAccessed>
    <b:URL>https://whatworks.college.police.uk/About/Pages/What-is-EBP.aspx</b:URL>
    <b:RefOrder>6</b:RefOrder>
  </b:Source>
</b:Sources>
</file>

<file path=customXml/itemProps1.xml><?xml version="1.0" encoding="utf-8"?>
<ds:datastoreItem xmlns:ds="http://schemas.openxmlformats.org/officeDocument/2006/customXml" ds:itemID="{046E9C27-BDBD-4E83-86C2-D0D2DD942277}">
  <ds:schemaRefs>
    <ds:schemaRef ds:uri="http://purl.org/dc/terms/"/>
    <ds:schemaRef ds:uri="http://schemas.microsoft.com/office/2006/metadata/properties"/>
    <ds:schemaRef ds:uri="http://schemas.microsoft.com/office/2006/documentManagement/types"/>
    <ds:schemaRef ds:uri="2e89cfda-a374-4413-9f0d-8b601eddeb70"/>
    <ds:schemaRef ds:uri="http://purl.org/dc/elements/1.1/"/>
    <ds:schemaRef ds:uri="http://schemas.microsoft.com/office/infopath/2007/PartnerControls"/>
    <ds:schemaRef ds:uri="http://schemas.openxmlformats.org/package/2006/metadata/core-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FD99887-8A20-4AC4-8EED-3D7B37A004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88</TotalTime>
  <Pages>10</Pages>
  <Words>6403</Words>
  <Characters>36498</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42816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Mowbray,Samuel swp6721</cp:lastModifiedBy>
  <cp:revision>3</cp:revision>
  <cp:lastPrinted>2014-10-10T07:42:00Z</cp:lastPrinted>
  <dcterms:created xsi:type="dcterms:W3CDTF">2022-02-27T16:15:00Z</dcterms:created>
  <dcterms:modified xsi:type="dcterms:W3CDTF">2022-02-27T17:46:00Z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TitusGUID">
    <vt:lpwstr>c3d17209-7be5-4574-8f18-33dcb5f98d41</vt:lpwstr>
  </property>
  <property fmtid="{D5CDD505-2E9C-101B-9397-08002B2CF9AE}" pid="7" name="Classification">
    <vt:lpwstr>OFFICIAL</vt:lpwstr>
  </property>
  <property fmtid="{D5CDD505-2E9C-101B-9397-08002B2CF9AE}" pid="8" name="Visibility">
    <vt:lpwstr>NOT VISIBLE</vt:lpwstr>
  </property>
</Properties>
</file>