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77253680"/>
        <w:docPartObj>
          <w:docPartGallery w:val="Cover Pages"/>
          <w:docPartUnique/>
        </w:docPartObj>
      </w:sdtPr>
      <w:sdtEndPr>
        <w:rPr>
          <w:rFonts w:ascii="Arial" w:hAnsi="Arial" w:cs="Arial"/>
          <w:b/>
          <w:bCs/>
        </w:rPr>
      </w:sdtEndPr>
      <w:sdtContent>
        <w:p w14:paraId="5E05772A" w14:textId="77777777" w:rsidR="00955F20" w:rsidRDefault="00955F20" w:rsidP="00955F20">
          <w:pPr>
            <w:jc w:val="center"/>
          </w:pPr>
          <w:r>
            <w:rPr>
              <w:noProof/>
              <w:lang w:val="en-US"/>
            </w:rPr>
            <w:drawing>
              <wp:inline distT="0" distB="0" distL="0" distR="0" wp14:anchorId="5200420A" wp14:editId="5F72969F">
                <wp:extent cx="2854325" cy="3172460"/>
                <wp:effectExtent l="0" t="0" r="3175" b="8890"/>
                <wp:docPr id="819625178" name="Рисунок 1" descr="Изображение выглядит как мультфильм, Вымышленный персонаж, фантастика, игруш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25178" name="Рисунок 1" descr="Изображение выглядит как мультфильм, Вымышленный персонаж, фантастика, игрушка&#10;&#10;Автоматически созданное описание"/>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3172460"/>
                        </a:xfrm>
                        <a:prstGeom prst="rect">
                          <a:avLst/>
                        </a:prstGeom>
                        <a:noFill/>
                        <a:ln>
                          <a:noFill/>
                        </a:ln>
                      </pic:spPr>
                    </pic:pic>
                  </a:graphicData>
                </a:graphic>
              </wp:inline>
            </w:drawing>
          </w:r>
        </w:p>
        <w:p w14:paraId="65387E95" w14:textId="77777777" w:rsidR="00955F20" w:rsidRDefault="00955F20" w:rsidP="00955F20">
          <w:pPr>
            <w:jc w:val="center"/>
          </w:pPr>
          <w:r>
            <w:rPr>
              <w:noProof/>
            </w:rPr>
            <w:drawing>
              <wp:inline distT="0" distB="0" distL="0" distR="0" wp14:anchorId="39985A38" wp14:editId="1D7BC6A0">
                <wp:extent cx="2703195" cy="1685925"/>
                <wp:effectExtent l="0" t="0" r="1905" b="9525"/>
                <wp:docPr id="705520413"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3195" cy="1685925"/>
                        </a:xfrm>
                        <a:prstGeom prst="rect">
                          <a:avLst/>
                        </a:prstGeom>
                        <a:noFill/>
                        <a:ln>
                          <a:noFill/>
                        </a:ln>
                      </pic:spPr>
                    </pic:pic>
                  </a:graphicData>
                </a:graphic>
              </wp:inline>
            </w:drawing>
          </w:r>
        </w:p>
        <w:p w14:paraId="5B9A7915" w14:textId="29E8DB79" w:rsidR="00955F20" w:rsidRPr="00955F20" w:rsidRDefault="00955F20" w:rsidP="00955F20">
          <w:pPr>
            <w:jc w:val="center"/>
            <w:rPr>
              <w:b/>
              <w:bCs/>
            </w:rPr>
          </w:pPr>
          <w:r w:rsidRPr="00955F20">
            <w:rPr>
              <w:b/>
              <w:bCs/>
            </w:rPr>
            <w:t>BA (Hons) Leadership and Management</w:t>
          </w:r>
        </w:p>
        <w:p w14:paraId="23B079FF" w14:textId="77777777" w:rsidR="00955F20" w:rsidRPr="00955F20" w:rsidRDefault="00955F20" w:rsidP="00955F20">
          <w:pPr>
            <w:jc w:val="center"/>
            <w:rPr>
              <w:b/>
              <w:bCs/>
            </w:rPr>
          </w:pPr>
          <w:r w:rsidRPr="00955F20">
            <w:rPr>
              <w:b/>
              <w:bCs/>
            </w:rPr>
            <w:t>Formal Report</w:t>
          </w:r>
        </w:p>
        <w:p w14:paraId="3AD6F9CA" w14:textId="77777777" w:rsidR="00955F20" w:rsidRDefault="00955F20" w:rsidP="00955F20">
          <w:pPr>
            <w:jc w:val="center"/>
            <w:rPr>
              <w:rFonts w:eastAsiaTheme="minorEastAsia"/>
              <w:b/>
              <w:bCs/>
              <w:kern w:val="0"/>
              <w:lang w:eastAsia="en-GB"/>
              <w14:ligatures w14:val="none"/>
            </w:rPr>
          </w:pPr>
          <w:r w:rsidRPr="00955F20">
            <w:rPr>
              <w:rFonts w:eastAsiaTheme="minorEastAsia"/>
              <w:b/>
              <w:bCs/>
              <w:kern w:val="0"/>
              <w:lang w:eastAsia="en-GB"/>
              <w14:ligatures w14:val="none"/>
            </w:rPr>
            <w:t>Managing Workforce Grievances Relating to Societal Change, Technology Trends and Flexible Working at IBM UK</w:t>
          </w:r>
        </w:p>
        <w:p w14:paraId="0FD5A1EF" w14:textId="77777777" w:rsidR="00955F20" w:rsidRDefault="00955F20" w:rsidP="00955F20">
          <w:pPr>
            <w:jc w:val="center"/>
            <w:rPr>
              <w:rFonts w:eastAsiaTheme="minorEastAsia"/>
              <w:b/>
              <w:bCs/>
              <w:kern w:val="0"/>
              <w:lang w:eastAsia="en-GB"/>
              <w14:ligatures w14:val="none"/>
            </w:rPr>
          </w:pPr>
        </w:p>
        <w:p w14:paraId="7680E647" w14:textId="77777777" w:rsidR="00955F20" w:rsidRDefault="00955F20" w:rsidP="00C07B20">
          <w:pPr>
            <w:rPr>
              <w:rFonts w:eastAsiaTheme="minorEastAsia"/>
              <w:b/>
              <w:bCs/>
              <w:kern w:val="0"/>
              <w:lang w:eastAsia="en-GB"/>
              <w14:ligatures w14:val="none"/>
            </w:rPr>
          </w:pPr>
        </w:p>
        <w:p w14:paraId="7E713BE4" w14:textId="77777777" w:rsidR="00955F20" w:rsidRDefault="00955F20" w:rsidP="00C07B20">
          <w:pPr>
            <w:rPr>
              <w:rFonts w:eastAsiaTheme="minorEastAsia"/>
              <w:b/>
              <w:bCs/>
              <w:kern w:val="0"/>
              <w:lang w:eastAsia="en-GB"/>
              <w14:ligatures w14:val="none"/>
            </w:rPr>
          </w:pPr>
        </w:p>
        <w:p w14:paraId="60C3CE2C" w14:textId="77777777" w:rsidR="00955F20" w:rsidRPr="00955F20" w:rsidRDefault="00955F20" w:rsidP="00955F20">
          <w:pPr>
            <w:jc w:val="center"/>
            <w:rPr>
              <w:rFonts w:eastAsiaTheme="minorEastAsia"/>
              <w:b/>
              <w:bCs/>
              <w:kern w:val="0"/>
              <w:lang w:eastAsia="en-GB"/>
              <w14:ligatures w14:val="none"/>
            </w:rPr>
          </w:pPr>
        </w:p>
        <w:p w14:paraId="54736E2A" w14:textId="7752B42C" w:rsidR="00AE72AD" w:rsidRPr="00955F20" w:rsidRDefault="00AE72AD" w:rsidP="00955F20">
          <w:pPr>
            <w:rPr>
              <w:rFonts w:eastAsiaTheme="minorEastAsia"/>
              <w:kern w:val="0"/>
              <w:lang w:eastAsia="en-GB"/>
              <w14:ligatures w14:val="none"/>
            </w:rPr>
          </w:pPr>
          <w:r w:rsidRPr="00955F20">
            <w:rPr>
              <w:rFonts w:eastAsiaTheme="minorEastAsia"/>
              <w:kern w:val="0"/>
              <w:lang w:val="en-US" w:eastAsia="en-GB"/>
              <w14:ligatures w14:val="none"/>
            </w:rPr>
            <w:br/>
            <w:t>Developing and Managing Individuals and teams LCLM5002_LON</w:t>
          </w:r>
        </w:p>
        <w:p w14:paraId="1D536F36" w14:textId="77777777" w:rsidR="00955F20" w:rsidRPr="00955F20" w:rsidRDefault="00955F20" w:rsidP="00955F20">
          <w:r w:rsidRPr="00955F20">
            <w:rPr>
              <w:lang w:val="en-US"/>
            </w:rPr>
            <w:t>Student:</w:t>
          </w:r>
          <w:r w:rsidR="00AE72AD" w:rsidRPr="00955F20">
            <w:rPr>
              <w:rFonts w:eastAsiaTheme="minorEastAsia"/>
              <w:kern w:val="0"/>
              <w:lang w:val="en-US" w:eastAsia="en-GB"/>
              <w14:ligatures w14:val="none"/>
            </w:rPr>
            <w:t xml:space="preserve"> Yehor Kulikov (2417098)</w:t>
          </w:r>
        </w:p>
        <w:p w14:paraId="53B717C0" w14:textId="7695A212" w:rsidR="00C07B20" w:rsidRDefault="00AE72AD" w:rsidP="00955F20">
          <w:pPr>
            <w:rPr>
              <w:rFonts w:eastAsiaTheme="minorEastAsia"/>
              <w:kern w:val="0"/>
              <w:lang w:val="en-US" w:eastAsia="en-GB"/>
              <w14:ligatures w14:val="none"/>
            </w:rPr>
          </w:pPr>
          <w:r w:rsidRPr="00955F20">
            <w:rPr>
              <w:rFonts w:eastAsiaTheme="minorEastAsia"/>
              <w:kern w:val="0"/>
              <w:lang w:val="en-US" w:eastAsia="en-GB"/>
              <w14:ligatures w14:val="none"/>
            </w:rPr>
            <w:t xml:space="preserve">Lecturer: </w:t>
          </w:r>
          <w:proofErr w:type="spellStart"/>
          <w:r w:rsidRPr="00955F20">
            <w:rPr>
              <w:rFonts w:eastAsiaTheme="minorEastAsia"/>
              <w:kern w:val="0"/>
              <w:lang w:val="en-US" w:eastAsia="en-GB"/>
              <w14:ligatures w14:val="none"/>
            </w:rPr>
            <w:t>Faizu</w:t>
          </w:r>
          <w:proofErr w:type="spellEnd"/>
          <w:r w:rsidRPr="00955F20">
            <w:rPr>
              <w:rFonts w:eastAsiaTheme="minorEastAsia"/>
              <w:kern w:val="0"/>
              <w:lang w:val="en-US" w:eastAsia="en-GB"/>
              <w14:ligatures w14:val="none"/>
            </w:rPr>
            <w:t xml:space="preserve"> Edu</w:t>
          </w:r>
        </w:p>
        <w:p w14:paraId="05E444F9" w14:textId="77777777" w:rsidR="00E81A64" w:rsidRPr="00E81A64" w:rsidRDefault="00E81A64" w:rsidP="00955F20">
          <w:pPr>
            <w:rPr>
              <w:rFonts w:eastAsiaTheme="minorEastAsia"/>
              <w:kern w:val="0"/>
              <w:lang w:val="en-US" w:eastAsia="en-GB"/>
              <w14:ligatures w14:val="none"/>
            </w:rPr>
          </w:pPr>
        </w:p>
        <w:p w14:paraId="1550B071" w14:textId="1BDB376D" w:rsidR="00955F20" w:rsidRDefault="00E81A64" w:rsidP="00E81A64">
          <w:pPr>
            <w:jc w:val="center"/>
            <w:rPr>
              <w:rFonts w:eastAsiaTheme="minorEastAsia"/>
              <w:color w:val="156082" w:themeColor="accent1"/>
              <w:kern w:val="0"/>
              <w:lang w:eastAsia="en-GB"/>
              <w14:ligatures w14:val="none"/>
            </w:rPr>
          </w:pPr>
          <w:r>
            <w:rPr>
              <w:lang w:val="en-US"/>
            </w:rPr>
            <w:t>Date: December 2025</w:t>
          </w:r>
          <w:r w:rsidR="00955F20">
            <w:rPr>
              <w:color w:val="156082" w:themeColor="accent1"/>
            </w:rPr>
            <w:br w:type="page"/>
          </w:r>
        </w:p>
        <w:sdt>
          <w:sdtPr>
            <w:rPr>
              <w:lang w:val="ru-RU"/>
            </w:rPr>
            <w:id w:val="-10542506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3A671B4" w14:textId="79493DD6" w:rsidR="00E81A64" w:rsidRPr="00BD2D47" w:rsidRDefault="00E81A64">
              <w:pPr>
                <w:pStyle w:val="af5"/>
                <w:rPr>
                  <w:color w:val="auto"/>
                  <w:lang w:val="en-US"/>
                </w:rPr>
              </w:pPr>
              <w:r w:rsidRPr="00BD2D47">
                <w:rPr>
                  <w:color w:val="auto"/>
                  <w:lang w:val="en-US"/>
                </w:rPr>
                <w:t>Table of Contents</w:t>
              </w:r>
            </w:p>
            <w:p w14:paraId="7F3AC885" w14:textId="43EE2250" w:rsidR="00493CE6" w:rsidRDefault="00E81A64">
              <w:pPr>
                <w:pStyle w:val="1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771730" w:history="1">
                <w:r w:rsidR="00493CE6" w:rsidRPr="00931D6A">
                  <w:rPr>
                    <w:rStyle w:val="af"/>
                    <w:rFonts w:ascii="Arial" w:hAnsi="Arial" w:cs="Arial"/>
                    <w:b/>
                    <w:bCs/>
                    <w:noProof/>
                  </w:rPr>
                  <w:t>1. Introduction</w:t>
                </w:r>
                <w:r w:rsidR="00493CE6">
                  <w:rPr>
                    <w:noProof/>
                    <w:webHidden/>
                  </w:rPr>
                  <w:tab/>
                </w:r>
                <w:r w:rsidR="00493CE6">
                  <w:rPr>
                    <w:noProof/>
                    <w:webHidden/>
                  </w:rPr>
                  <w:fldChar w:fldCharType="begin"/>
                </w:r>
                <w:r w:rsidR="00493CE6">
                  <w:rPr>
                    <w:noProof/>
                    <w:webHidden/>
                  </w:rPr>
                  <w:instrText xml:space="preserve"> PAGEREF _Toc215771730 \h </w:instrText>
                </w:r>
                <w:r w:rsidR="00493CE6">
                  <w:rPr>
                    <w:noProof/>
                    <w:webHidden/>
                  </w:rPr>
                </w:r>
                <w:r w:rsidR="00493CE6">
                  <w:rPr>
                    <w:noProof/>
                    <w:webHidden/>
                  </w:rPr>
                  <w:fldChar w:fldCharType="separate"/>
                </w:r>
                <w:r w:rsidR="00493CE6">
                  <w:rPr>
                    <w:noProof/>
                    <w:webHidden/>
                  </w:rPr>
                  <w:t>2</w:t>
                </w:r>
                <w:r w:rsidR="00493CE6">
                  <w:rPr>
                    <w:noProof/>
                    <w:webHidden/>
                  </w:rPr>
                  <w:fldChar w:fldCharType="end"/>
                </w:r>
              </w:hyperlink>
            </w:p>
            <w:p w14:paraId="0D2B85BD" w14:textId="7F8BDA5D" w:rsidR="00493CE6" w:rsidRDefault="00493CE6">
              <w:pPr>
                <w:pStyle w:val="11"/>
                <w:tabs>
                  <w:tab w:val="right" w:leader="dot" w:pos="9016"/>
                </w:tabs>
                <w:rPr>
                  <w:rFonts w:eastAsiaTheme="minorEastAsia"/>
                  <w:noProof/>
                  <w:sz w:val="24"/>
                  <w:szCs w:val="24"/>
                  <w:lang w:eastAsia="en-GB"/>
                </w:rPr>
              </w:pPr>
              <w:hyperlink w:anchor="_Toc215771731" w:history="1">
                <w:r w:rsidRPr="00931D6A">
                  <w:rPr>
                    <w:rStyle w:val="af"/>
                    <w:rFonts w:ascii="Arial" w:hAnsi="Arial" w:cs="Arial"/>
                    <w:b/>
                    <w:bCs/>
                    <w:noProof/>
                  </w:rPr>
                  <w:t>2. Main Body</w:t>
                </w:r>
                <w:r>
                  <w:rPr>
                    <w:noProof/>
                    <w:webHidden/>
                  </w:rPr>
                  <w:tab/>
                </w:r>
                <w:r>
                  <w:rPr>
                    <w:noProof/>
                    <w:webHidden/>
                  </w:rPr>
                  <w:fldChar w:fldCharType="begin"/>
                </w:r>
                <w:r>
                  <w:rPr>
                    <w:noProof/>
                    <w:webHidden/>
                  </w:rPr>
                  <w:instrText xml:space="preserve"> PAGEREF _Toc215771731 \h </w:instrText>
                </w:r>
                <w:r>
                  <w:rPr>
                    <w:noProof/>
                    <w:webHidden/>
                  </w:rPr>
                </w:r>
                <w:r>
                  <w:rPr>
                    <w:noProof/>
                    <w:webHidden/>
                  </w:rPr>
                  <w:fldChar w:fldCharType="separate"/>
                </w:r>
                <w:r>
                  <w:rPr>
                    <w:noProof/>
                    <w:webHidden/>
                  </w:rPr>
                  <w:t>2</w:t>
                </w:r>
                <w:r>
                  <w:rPr>
                    <w:noProof/>
                    <w:webHidden/>
                  </w:rPr>
                  <w:fldChar w:fldCharType="end"/>
                </w:r>
              </w:hyperlink>
            </w:p>
            <w:p w14:paraId="59B65B08" w14:textId="41208216" w:rsidR="00493CE6" w:rsidRDefault="00493CE6">
              <w:pPr>
                <w:pStyle w:val="23"/>
                <w:tabs>
                  <w:tab w:val="right" w:leader="dot" w:pos="9016"/>
                </w:tabs>
                <w:rPr>
                  <w:rFonts w:eastAsiaTheme="minorEastAsia"/>
                  <w:noProof/>
                  <w:sz w:val="24"/>
                  <w:szCs w:val="24"/>
                  <w:lang w:eastAsia="en-GB"/>
                </w:rPr>
              </w:pPr>
              <w:hyperlink w:anchor="_Toc215771732" w:history="1">
                <w:r w:rsidRPr="00931D6A">
                  <w:rPr>
                    <w:rStyle w:val="af"/>
                    <w:noProof/>
                  </w:rPr>
                  <w:t>2.1 Societal Changes Affecting IBM UK</w:t>
                </w:r>
                <w:r>
                  <w:rPr>
                    <w:noProof/>
                    <w:webHidden/>
                  </w:rPr>
                  <w:tab/>
                </w:r>
                <w:r>
                  <w:rPr>
                    <w:noProof/>
                    <w:webHidden/>
                  </w:rPr>
                  <w:fldChar w:fldCharType="begin"/>
                </w:r>
                <w:r>
                  <w:rPr>
                    <w:noProof/>
                    <w:webHidden/>
                  </w:rPr>
                  <w:instrText xml:space="preserve"> PAGEREF _Toc215771732 \h </w:instrText>
                </w:r>
                <w:r>
                  <w:rPr>
                    <w:noProof/>
                    <w:webHidden/>
                  </w:rPr>
                </w:r>
                <w:r>
                  <w:rPr>
                    <w:noProof/>
                    <w:webHidden/>
                  </w:rPr>
                  <w:fldChar w:fldCharType="separate"/>
                </w:r>
                <w:r>
                  <w:rPr>
                    <w:noProof/>
                    <w:webHidden/>
                  </w:rPr>
                  <w:t>2</w:t>
                </w:r>
                <w:r>
                  <w:rPr>
                    <w:noProof/>
                    <w:webHidden/>
                  </w:rPr>
                  <w:fldChar w:fldCharType="end"/>
                </w:r>
              </w:hyperlink>
            </w:p>
            <w:p w14:paraId="43CF24A9" w14:textId="13C389BF" w:rsidR="00493CE6" w:rsidRDefault="00493CE6">
              <w:pPr>
                <w:pStyle w:val="31"/>
                <w:tabs>
                  <w:tab w:val="right" w:leader="dot" w:pos="9016"/>
                </w:tabs>
                <w:rPr>
                  <w:rFonts w:eastAsiaTheme="minorEastAsia"/>
                  <w:noProof/>
                  <w:sz w:val="24"/>
                  <w:szCs w:val="24"/>
                  <w:lang w:eastAsia="en-GB"/>
                </w:rPr>
              </w:pPr>
              <w:hyperlink w:anchor="_Toc215771733" w:history="1">
                <w:r w:rsidRPr="00931D6A">
                  <w:rPr>
                    <w:rStyle w:val="af"/>
                    <w:rFonts w:ascii="Arial" w:hAnsi="Arial" w:cs="Arial"/>
                    <w:noProof/>
                  </w:rPr>
                  <w:t>2.1.1 Education, Literacy and Digital Skills</w:t>
                </w:r>
                <w:r>
                  <w:rPr>
                    <w:noProof/>
                    <w:webHidden/>
                  </w:rPr>
                  <w:tab/>
                </w:r>
                <w:r>
                  <w:rPr>
                    <w:noProof/>
                    <w:webHidden/>
                  </w:rPr>
                  <w:fldChar w:fldCharType="begin"/>
                </w:r>
                <w:r>
                  <w:rPr>
                    <w:noProof/>
                    <w:webHidden/>
                  </w:rPr>
                  <w:instrText xml:space="preserve"> PAGEREF _Toc215771733 \h </w:instrText>
                </w:r>
                <w:r>
                  <w:rPr>
                    <w:noProof/>
                    <w:webHidden/>
                  </w:rPr>
                </w:r>
                <w:r>
                  <w:rPr>
                    <w:noProof/>
                    <w:webHidden/>
                  </w:rPr>
                  <w:fldChar w:fldCharType="separate"/>
                </w:r>
                <w:r>
                  <w:rPr>
                    <w:noProof/>
                    <w:webHidden/>
                  </w:rPr>
                  <w:t>2</w:t>
                </w:r>
                <w:r>
                  <w:rPr>
                    <w:noProof/>
                    <w:webHidden/>
                  </w:rPr>
                  <w:fldChar w:fldCharType="end"/>
                </w:r>
              </w:hyperlink>
            </w:p>
            <w:p w14:paraId="7CBE50AA" w14:textId="540C6B5E" w:rsidR="00493CE6" w:rsidRDefault="00493CE6">
              <w:pPr>
                <w:pStyle w:val="31"/>
                <w:tabs>
                  <w:tab w:val="right" w:leader="dot" w:pos="9016"/>
                </w:tabs>
                <w:rPr>
                  <w:rFonts w:eastAsiaTheme="minorEastAsia"/>
                  <w:noProof/>
                  <w:sz w:val="24"/>
                  <w:szCs w:val="24"/>
                  <w:lang w:eastAsia="en-GB"/>
                </w:rPr>
              </w:pPr>
              <w:hyperlink w:anchor="_Toc215771734" w:history="1">
                <w:r w:rsidRPr="00931D6A">
                  <w:rPr>
                    <w:rStyle w:val="af"/>
                    <w:rFonts w:ascii="Arial" w:hAnsi="Arial" w:cs="Arial"/>
                    <w:noProof/>
                  </w:rPr>
                  <w:t>2.1.2 Globalisation and Cultural Diversity</w:t>
                </w:r>
                <w:r>
                  <w:rPr>
                    <w:noProof/>
                    <w:webHidden/>
                  </w:rPr>
                  <w:tab/>
                </w:r>
                <w:r>
                  <w:rPr>
                    <w:noProof/>
                    <w:webHidden/>
                  </w:rPr>
                  <w:fldChar w:fldCharType="begin"/>
                </w:r>
                <w:r>
                  <w:rPr>
                    <w:noProof/>
                    <w:webHidden/>
                  </w:rPr>
                  <w:instrText xml:space="preserve"> PAGEREF _Toc215771734 \h </w:instrText>
                </w:r>
                <w:r>
                  <w:rPr>
                    <w:noProof/>
                    <w:webHidden/>
                  </w:rPr>
                </w:r>
                <w:r>
                  <w:rPr>
                    <w:noProof/>
                    <w:webHidden/>
                  </w:rPr>
                  <w:fldChar w:fldCharType="separate"/>
                </w:r>
                <w:r>
                  <w:rPr>
                    <w:noProof/>
                    <w:webHidden/>
                  </w:rPr>
                  <w:t>3</w:t>
                </w:r>
                <w:r>
                  <w:rPr>
                    <w:noProof/>
                    <w:webHidden/>
                  </w:rPr>
                  <w:fldChar w:fldCharType="end"/>
                </w:r>
              </w:hyperlink>
            </w:p>
            <w:p w14:paraId="2C2991D4" w14:textId="7A97D265" w:rsidR="00493CE6" w:rsidRDefault="00493CE6">
              <w:pPr>
                <w:pStyle w:val="23"/>
                <w:tabs>
                  <w:tab w:val="right" w:leader="dot" w:pos="9016"/>
                </w:tabs>
                <w:rPr>
                  <w:rFonts w:eastAsiaTheme="minorEastAsia"/>
                  <w:noProof/>
                  <w:sz w:val="24"/>
                  <w:szCs w:val="24"/>
                  <w:lang w:eastAsia="en-GB"/>
                </w:rPr>
              </w:pPr>
              <w:hyperlink w:anchor="_Toc215771735" w:history="1">
                <w:r w:rsidRPr="00931D6A">
                  <w:rPr>
                    <w:rStyle w:val="af"/>
                    <w:noProof/>
                  </w:rPr>
                  <w:t>2.2 Technological Trends Affecting IBM UK</w:t>
                </w:r>
                <w:r>
                  <w:rPr>
                    <w:noProof/>
                    <w:webHidden/>
                  </w:rPr>
                  <w:tab/>
                </w:r>
                <w:r>
                  <w:rPr>
                    <w:noProof/>
                    <w:webHidden/>
                  </w:rPr>
                  <w:fldChar w:fldCharType="begin"/>
                </w:r>
                <w:r>
                  <w:rPr>
                    <w:noProof/>
                    <w:webHidden/>
                  </w:rPr>
                  <w:instrText xml:space="preserve"> PAGEREF _Toc215771735 \h </w:instrText>
                </w:r>
                <w:r>
                  <w:rPr>
                    <w:noProof/>
                    <w:webHidden/>
                  </w:rPr>
                </w:r>
                <w:r>
                  <w:rPr>
                    <w:noProof/>
                    <w:webHidden/>
                  </w:rPr>
                  <w:fldChar w:fldCharType="separate"/>
                </w:r>
                <w:r>
                  <w:rPr>
                    <w:noProof/>
                    <w:webHidden/>
                  </w:rPr>
                  <w:t>3</w:t>
                </w:r>
                <w:r>
                  <w:rPr>
                    <w:noProof/>
                    <w:webHidden/>
                  </w:rPr>
                  <w:fldChar w:fldCharType="end"/>
                </w:r>
              </w:hyperlink>
            </w:p>
            <w:p w14:paraId="51CC4676" w14:textId="56530933" w:rsidR="00493CE6" w:rsidRDefault="00493CE6">
              <w:pPr>
                <w:pStyle w:val="31"/>
                <w:tabs>
                  <w:tab w:val="right" w:leader="dot" w:pos="9016"/>
                </w:tabs>
                <w:rPr>
                  <w:rFonts w:eastAsiaTheme="minorEastAsia"/>
                  <w:noProof/>
                  <w:sz w:val="24"/>
                  <w:szCs w:val="24"/>
                  <w:lang w:eastAsia="en-GB"/>
                </w:rPr>
              </w:pPr>
              <w:hyperlink w:anchor="_Toc215771736" w:history="1">
                <w:r w:rsidRPr="00931D6A">
                  <w:rPr>
                    <w:rStyle w:val="af"/>
                    <w:rFonts w:ascii="Arial" w:hAnsi="Arial" w:cs="Arial"/>
                    <w:noProof/>
                  </w:rPr>
                  <w:t>2.2.1 Artificial Intelligence (AI) and Automation</w:t>
                </w:r>
                <w:r>
                  <w:rPr>
                    <w:noProof/>
                    <w:webHidden/>
                  </w:rPr>
                  <w:tab/>
                </w:r>
                <w:r>
                  <w:rPr>
                    <w:noProof/>
                    <w:webHidden/>
                  </w:rPr>
                  <w:fldChar w:fldCharType="begin"/>
                </w:r>
                <w:r>
                  <w:rPr>
                    <w:noProof/>
                    <w:webHidden/>
                  </w:rPr>
                  <w:instrText xml:space="preserve"> PAGEREF _Toc215771736 \h </w:instrText>
                </w:r>
                <w:r>
                  <w:rPr>
                    <w:noProof/>
                    <w:webHidden/>
                  </w:rPr>
                </w:r>
                <w:r>
                  <w:rPr>
                    <w:noProof/>
                    <w:webHidden/>
                  </w:rPr>
                  <w:fldChar w:fldCharType="separate"/>
                </w:r>
                <w:r>
                  <w:rPr>
                    <w:noProof/>
                    <w:webHidden/>
                  </w:rPr>
                  <w:t>3</w:t>
                </w:r>
                <w:r>
                  <w:rPr>
                    <w:noProof/>
                    <w:webHidden/>
                  </w:rPr>
                  <w:fldChar w:fldCharType="end"/>
                </w:r>
              </w:hyperlink>
            </w:p>
            <w:p w14:paraId="24B7EB8B" w14:textId="24CC7CEE" w:rsidR="00493CE6" w:rsidRDefault="00493CE6">
              <w:pPr>
                <w:pStyle w:val="31"/>
                <w:tabs>
                  <w:tab w:val="right" w:leader="dot" w:pos="9016"/>
                </w:tabs>
                <w:rPr>
                  <w:rFonts w:eastAsiaTheme="minorEastAsia"/>
                  <w:noProof/>
                  <w:sz w:val="24"/>
                  <w:szCs w:val="24"/>
                  <w:lang w:eastAsia="en-GB"/>
                </w:rPr>
              </w:pPr>
              <w:hyperlink w:anchor="_Toc215771737" w:history="1">
                <w:r w:rsidRPr="00931D6A">
                  <w:rPr>
                    <w:rStyle w:val="af"/>
                    <w:rFonts w:ascii="Arial" w:hAnsi="Arial" w:cs="Arial"/>
                    <w:noProof/>
                  </w:rPr>
                  <w:t>2.2.2 Cybersecurity and Data Protection</w:t>
                </w:r>
                <w:r>
                  <w:rPr>
                    <w:noProof/>
                    <w:webHidden/>
                  </w:rPr>
                  <w:tab/>
                </w:r>
                <w:r>
                  <w:rPr>
                    <w:noProof/>
                    <w:webHidden/>
                  </w:rPr>
                  <w:fldChar w:fldCharType="begin"/>
                </w:r>
                <w:r>
                  <w:rPr>
                    <w:noProof/>
                    <w:webHidden/>
                  </w:rPr>
                  <w:instrText xml:space="preserve"> PAGEREF _Toc215771737 \h </w:instrText>
                </w:r>
                <w:r>
                  <w:rPr>
                    <w:noProof/>
                    <w:webHidden/>
                  </w:rPr>
                </w:r>
                <w:r>
                  <w:rPr>
                    <w:noProof/>
                    <w:webHidden/>
                  </w:rPr>
                  <w:fldChar w:fldCharType="separate"/>
                </w:r>
                <w:r>
                  <w:rPr>
                    <w:noProof/>
                    <w:webHidden/>
                  </w:rPr>
                  <w:t>4</w:t>
                </w:r>
                <w:r>
                  <w:rPr>
                    <w:noProof/>
                    <w:webHidden/>
                  </w:rPr>
                  <w:fldChar w:fldCharType="end"/>
                </w:r>
              </w:hyperlink>
            </w:p>
            <w:p w14:paraId="3ED402B2" w14:textId="3D454F85" w:rsidR="00493CE6" w:rsidRDefault="00493CE6">
              <w:pPr>
                <w:pStyle w:val="23"/>
                <w:tabs>
                  <w:tab w:val="right" w:leader="dot" w:pos="9016"/>
                </w:tabs>
                <w:rPr>
                  <w:rFonts w:eastAsiaTheme="minorEastAsia"/>
                  <w:noProof/>
                  <w:sz w:val="24"/>
                  <w:szCs w:val="24"/>
                  <w:lang w:eastAsia="en-GB"/>
                </w:rPr>
              </w:pPr>
              <w:hyperlink w:anchor="_Toc215771738" w:history="1">
                <w:r w:rsidRPr="00931D6A">
                  <w:rPr>
                    <w:rStyle w:val="af"/>
                    <w:noProof/>
                  </w:rPr>
                  <w:t>2.3 Flexible Working Arrangements</w:t>
                </w:r>
                <w:r>
                  <w:rPr>
                    <w:noProof/>
                    <w:webHidden/>
                  </w:rPr>
                  <w:tab/>
                </w:r>
                <w:r>
                  <w:rPr>
                    <w:noProof/>
                    <w:webHidden/>
                  </w:rPr>
                  <w:fldChar w:fldCharType="begin"/>
                </w:r>
                <w:r>
                  <w:rPr>
                    <w:noProof/>
                    <w:webHidden/>
                  </w:rPr>
                  <w:instrText xml:space="preserve"> PAGEREF _Toc215771738 \h </w:instrText>
                </w:r>
                <w:r>
                  <w:rPr>
                    <w:noProof/>
                    <w:webHidden/>
                  </w:rPr>
                </w:r>
                <w:r>
                  <w:rPr>
                    <w:noProof/>
                    <w:webHidden/>
                  </w:rPr>
                  <w:fldChar w:fldCharType="separate"/>
                </w:r>
                <w:r>
                  <w:rPr>
                    <w:noProof/>
                    <w:webHidden/>
                  </w:rPr>
                  <w:t>4</w:t>
                </w:r>
                <w:r>
                  <w:rPr>
                    <w:noProof/>
                    <w:webHidden/>
                  </w:rPr>
                  <w:fldChar w:fldCharType="end"/>
                </w:r>
              </w:hyperlink>
            </w:p>
            <w:p w14:paraId="66784047" w14:textId="16B3DC40" w:rsidR="00493CE6" w:rsidRDefault="00493CE6">
              <w:pPr>
                <w:pStyle w:val="31"/>
                <w:tabs>
                  <w:tab w:val="right" w:leader="dot" w:pos="9016"/>
                </w:tabs>
                <w:rPr>
                  <w:rFonts w:eastAsiaTheme="minorEastAsia"/>
                  <w:noProof/>
                  <w:sz w:val="24"/>
                  <w:szCs w:val="24"/>
                  <w:lang w:eastAsia="en-GB"/>
                </w:rPr>
              </w:pPr>
              <w:hyperlink w:anchor="_Toc215771739" w:history="1">
                <w:r w:rsidRPr="00931D6A">
                  <w:rPr>
                    <w:rStyle w:val="af"/>
                    <w:rFonts w:ascii="Arial" w:hAnsi="Arial" w:cs="Arial"/>
                    <w:noProof/>
                  </w:rPr>
                  <w:t>2.3.1 Remote and Hybrid Working</w:t>
                </w:r>
                <w:r>
                  <w:rPr>
                    <w:noProof/>
                    <w:webHidden/>
                  </w:rPr>
                  <w:tab/>
                </w:r>
                <w:r>
                  <w:rPr>
                    <w:noProof/>
                    <w:webHidden/>
                  </w:rPr>
                  <w:fldChar w:fldCharType="begin"/>
                </w:r>
                <w:r>
                  <w:rPr>
                    <w:noProof/>
                    <w:webHidden/>
                  </w:rPr>
                  <w:instrText xml:space="preserve"> PAGEREF _Toc215771739 \h </w:instrText>
                </w:r>
                <w:r>
                  <w:rPr>
                    <w:noProof/>
                    <w:webHidden/>
                  </w:rPr>
                </w:r>
                <w:r>
                  <w:rPr>
                    <w:noProof/>
                    <w:webHidden/>
                  </w:rPr>
                  <w:fldChar w:fldCharType="separate"/>
                </w:r>
                <w:r>
                  <w:rPr>
                    <w:noProof/>
                    <w:webHidden/>
                  </w:rPr>
                  <w:t>4</w:t>
                </w:r>
                <w:r>
                  <w:rPr>
                    <w:noProof/>
                    <w:webHidden/>
                  </w:rPr>
                  <w:fldChar w:fldCharType="end"/>
                </w:r>
              </w:hyperlink>
            </w:p>
            <w:p w14:paraId="2E46C6ED" w14:textId="6715EAB5" w:rsidR="00493CE6" w:rsidRDefault="00493CE6">
              <w:pPr>
                <w:pStyle w:val="31"/>
                <w:tabs>
                  <w:tab w:val="right" w:leader="dot" w:pos="9016"/>
                </w:tabs>
                <w:rPr>
                  <w:rFonts w:eastAsiaTheme="minorEastAsia"/>
                  <w:noProof/>
                  <w:sz w:val="24"/>
                  <w:szCs w:val="24"/>
                  <w:lang w:eastAsia="en-GB"/>
                </w:rPr>
              </w:pPr>
              <w:hyperlink w:anchor="_Toc215771740" w:history="1">
                <w:r w:rsidRPr="00931D6A">
                  <w:rPr>
                    <w:rStyle w:val="af"/>
                    <w:rFonts w:ascii="Arial" w:hAnsi="Arial" w:cs="Arial"/>
                    <w:noProof/>
                  </w:rPr>
                  <w:t>2.3.2 Condensed or Flexible Hours</w:t>
                </w:r>
                <w:r>
                  <w:rPr>
                    <w:noProof/>
                    <w:webHidden/>
                  </w:rPr>
                  <w:tab/>
                </w:r>
                <w:r>
                  <w:rPr>
                    <w:noProof/>
                    <w:webHidden/>
                  </w:rPr>
                  <w:fldChar w:fldCharType="begin"/>
                </w:r>
                <w:r>
                  <w:rPr>
                    <w:noProof/>
                    <w:webHidden/>
                  </w:rPr>
                  <w:instrText xml:space="preserve"> PAGEREF _Toc215771740 \h </w:instrText>
                </w:r>
                <w:r>
                  <w:rPr>
                    <w:noProof/>
                    <w:webHidden/>
                  </w:rPr>
                </w:r>
                <w:r>
                  <w:rPr>
                    <w:noProof/>
                    <w:webHidden/>
                  </w:rPr>
                  <w:fldChar w:fldCharType="separate"/>
                </w:r>
                <w:r>
                  <w:rPr>
                    <w:noProof/>
                    <w:webHidden/>
                  </w:rPr>
                  <w:t>5</w:t>
                </w:r>
                <w:r>
                  <w:rPr>
                    <w:noProof/>
                    <w:webHidden/>
                  </w:rPr>
                  <w:fldChar w:fldCharType="end"/>
                </w:r>
              </w:hyperlink>
            </w:p>
            <w:p w14:paraId="6C4A317C" w14:textId="7F28295E" w:rsidR="00493CE6" w:rsidRDefault="00493CE6">
              <w:pPr>
                <w:pStyle w:val="11"/>
                <w:tabs>
                  <w:tab w:val="right" w:leader="dot" w:pos="9016"/>
                </w:tabs>
                <w:rPr>
                  <w:rFonts w:eastAsiaTheme="minorEastAsia"/>
                  <w:noProof/>
                  <w:sz w:val="24"/>
                  <w:szCs w:val="24"/>
                  <w:lang w:eastAsia="en-GB"/>
                </w:rPr>
              </w:pPr>
              <w:hyperlink w:anchor="_Toc215771741" w:history="1">
                <w:r w:rsidRPr="00931D6A">
                  <w:rPr>
                    <w:rStyle w:val="af"/>
                    <w:rFonts w:ascii="Arial" w:hAnsi="Arial" w:cs="Arial"/>
                    <w:b/>
                    <w:bCs/>
                    <w:noProof/>
                  </w:rPr>
                  <w:t>3. Evaluation of Contemporary HR Practices</w:t>
                </w:r>
                <w:r>
                  <w:rPr>
                    <w:noProof/>
                    <w:webHidden/>
                  </w:rPr>
                  <w:tab/>
                </w:r>
                <w:r>
                  <w:rPr>
                    <w:noProof/>
                    <w:webHidden/>
                  </w:rPr>
                  <w:fldChar w:fldCharType="begin"/>
                </w:r>
                <w:r>
                  <w:rPr>
                    <w:noProof/>
                    <w:webHidden/>
                  </w:rPr>
                  <w:instrText xml:space="preserve"> PAGEREF _Toc215771741 \h </w:instrText>
                </w:r>
                <w:r>
                  <w:rPr>
                    <w:noProof/>
                    <w:webHidden/>
                  </w:rPr>
                </w:r>
                <w:r>
                  <w:rPr>
                    <w:noProof/>
                    <w:webHidden/>
                  </w:rPr>
                  <w:fldChar w:fldCharType="separate"/>
                </w:r>
                <w:r>
                  <w:rPr>
                    <w:noProof/>
                    <w:webHidden/>
                  </w:rPr>
                  <w:t>5</w:t>
                </w:r>
                <w:r>
                  <w:rPr>
                    <w:noProof/>
                    <w:webHidden/>
                  </w:rPr>
                  <w:fldChar w:fldCharType="end"/>
                </w:r>
              </w:hyperlink>
            </w:p>
            <w:p w14:paraId="75595582" w14:textId="06212372" w:rsidR="00493CE6" w:rsidRDefault="00493CE6">
              <w:pPr>
                <w:pStyle w:val="23"/>
                <w:tabs>
                  <w:tab w:val="right" w:leader="dot" w:pos="9016"/>
                </w:tabs>
                <w:rPr>
                  <w:rFonts w:eastAsiaTheme="minorEastAsia"/>
                  <w:noProof/>
                  <w:sz w:val="24"/>
                  <w:szCs w:val="24"/>
                  <w:lang w:eastAsia="en-GB"/>
                </w:rPr>
              </w:pPr>
              <w:hyperlink w:anchor="_Toc215771742" w:history="1">
                <w:r w:rsidRPr="00931D6A">
                  <w:rPr>
                    <w:rStyle w:val="af"/>
                    <w:noProof/>
                  </w:rPr>
                  <w:t>3.1 Employee Engagement (Using Kahn’s Engagement Theory)</w:t>
                </w:r>
                <w:r>
                  <w:rPr>
                    <w:noProof/>
                    <w:webHidden/>
                  </w:rPr>
                  <w:tab/>
                </w:r>
                <w:r>
                  <w:rPr>
                    <w:noProof/>
                    <w:webHidden/>
                  </w:rPr>
                  <w:fldChar w:fldCharType="begin"/>
                </w:r>
                <w:r>
                  <w:rPr>
                    <w:noProof/>
                    <w:webHidden/>
                  </w:rPr>
                  <w:instrText xml:space="preserve"> PAGEREF _Toc215771742 \h </w:instrText>
                </w:r>
                <w:r>
                  <w:rPr>
                    <w:noProof/>
                    <w:webHidden/>
                  </w:rPr>
                </w:r>
                <w:r>
                  <w:rPr>
                    <w:noProof/>
                    <w:webHidden/>
                  </w:rPr>
                  <w:fldChar w:fldCharType="separate"/>
                </w:r>
                <w:r>
                  <w:rPr>
                    <w:noProof/>
                    <w:webHidden/>
                  </w:rPr>
                  <w:t>5</w:t>
                </w:r>
                <w:r>
                  <w:rPr>
                    <w:noProof/>
                    <w:webHidden/>
                  </w:rPr>
                  <w:fldChar w:fldCharType="end"/>
                </w:r>
              </w:hyperlink>
            </w:p>
            <w:p w14:paraId="7F3258FB" w14:textId="75A40505" w:rsidR="00493CE6" w:rsidRDefault="00493CE6">
              <w:pPr>
                <w:pStyle w:val="23"/>
                <w:tabs>
                  <w:tab w:val="right" w:leader="dot" w:pos="9016"/>
                </w:tabs>
                <w:rPr>
                  <w:rFonts w:eastAsiaTheme="minorEastAsia"/>
                  <w:noProof/>
                  <w:sz w:val="24"/>
                  <w:szCs w:val="24"/>
                  <w:lang w:eastAsia="en-GB"/>
                </w:rPr>
              </w:pPr>
              <w:hyperlink w:anchor="_Toc215771743" w:history="1">
                <w:r w:rsidRPr="00931D6A">
                  <w:rPr>
                    <w:rStyle w:val="af"/>
                    <w:noProof/>
                  </w:rPr>
                  <w:t>3.2 Diversity, Equality and Inclusivity (Using Herzberg’s Motivation Theory)</w:t>
                </w:r>
                <w:r>
                  <w:rPr>
                    <w:noProof/>
                    <w:webHidden/>
                  </w:rPr>
                  <w:tab/>
                </w:r>
                <w:r>
                  <w:rPr>
                    <w:noProof/>
                    <w:webHidden/>
                  </w:rPr>
                  <w:fldChar w:fldCharType="begin"/>
                </w:r>
                <w:r>
                  <w:rPr>
                    <w:noProof/>
                    <w:webHidden/>
                  </w:rPr>
                  <w:instrText xml:space="preserve"> PAGEREF _Toc215771743 \h </w:instrText>
                </w:r>
                <w:r>
                  <w:rPr>
                    <w:noProof/>
                    <w:webHidden/>
                  </w:rPr>
                </w:r>
                <w:r>
                  <w:rPr>
                    <w:noProof/>
                    <w:webHidden/>
                  </w:rPr>
                  <w:fldChar w:fldCharType="separate"/>
                </w:r>
                <w:r>
                  <w:rPr>
                    <w:noProof/>
                    <w:webHidden/>
                  </w:rPr>
                  <w:t>6</w:t>
                </w:r>
                <w:r>
                  <w:rPr>
                    <w:noProof/>
                    <w:webHidden/>
                  </w:rPr>
                  <w:fldChar w:fldCharType="end"/>
                </w:r>
              </w:hyperlink>
            </w:p>
            <w:p w14:paraId="498C7FA8" w14:textId="0AFF1060" w:rsidR="00493CE6" w:rsidRDefault="00493CE6">
              <w:pPr>
                <w:pStyle w:val="23"/>
                <w:tabs>
                  <w:tab w:val="right" w:leader="dot" w:pos="9016"/>
                </w:tabs>
                <w:rPr>
                  <w:rFonts w:eastAsiaTheme="minorEastAsia"/>
                  <w:noProof/>
                  <w:sz w:val="24"/>
                  <w:szCs w:val="24"/>
                  <w:lang w:eastAsia="en-GB"/>
                </w:rPr>
              </w:pPr>
              <w:hyperlink w:anchor="_Toc215771744" w:history="1">
                <w:r w:rsidRPr="00931D6A">
                  <w:rPr>
                    <w:rStyle w:val="af"/>
                    <w:noProof/>
                  </w:rPr>
                  <w:t>3.3 Learning and Development (Using Maslow’s Hierarchy of Needs)</w:t>
                </w:r>
                <w:r>
                  <w:rPr>
                    <w:noProof/>
                    <w:webHidden/>
                  </w:rPr>
                  <w:tab/>
                </w:r>
                <w:r>
                  <w:rPr>
                    <w:noProof/>
                    <w:webHidden/>
                  </w:rPr>
                  <w:fldChar w:fldCharType="begin"/>
                </w:r>
                <w:r>
                  <w:rPr>
                    <w:noProof/>
                    <w:webHidden/>
                  </w:rPr>
                  <w:instrText xml:space="preserve"> PAGEREF _Toc215771744 \h </w:instrText>
                </w:r>
                <w:r>
                  <w:rPr>
                    <w:noProof/>
                    <w:webHidden/>
                  </w:rPr>
                </w:r>
                <w:r>
                  <w:rPr>
                    <w:noProof/>
                    <w:webHidden/>
                  </w:rPr>
                  <w:fldChar w:fldCharType="separate"/>
                </w:r>
                <w:r>
                  <w:rPr>
                    <w:noProof/>
                    <w:webHidden/>
                  </w:rPr>
                  <w:t>6</w:t>
                </w:r>
                <w:r>
                  <w:rPr>
                    <w:noProof/>
                    <w:webHidden/>
                  </w:rPr>
                  <w:fldChar w:fldCharType="end"/>
                </w:r>
              </w:hyperlink>
            </w:p>
            <w:p w14:paraId="2E0A2E38" w14:textId="05141A62" w:rsidR="00493CE6" w:rsidRDefault="00493CE6">
              <w:pPr>
                <w:pStyle w:val="11"/>
                <w:tabs>
                  <w:tab w:val="right" w:leader="dot" w:pos="9016"/>
                </w:tabs>
                <w:rPr>
                  <w:rFonts w:eastAsiaTheme="minorEastAsia"/>
                  <w:noProof/>
                  <w:sz w:val="24"/>
                  <w:szCs w:val="24"/>
                  <w:lang w:eastAsia="en-GB"/>
                </w:rPr>
              </w:pPr>
              <w:hyperlink w:anchor="_Toc215771745" w:history="1">
                <w:r w:rsidRPr="00931D6A">
                  <w:rPr>
                    <w:rStyle w:val="af"/>
                    <w:rFonts w:ascii="Arial" w:hAnsi="Arial" w:cs="Arial"/>
                    <w:b/>
                    <w:bCs/>
                    <w:noProof/>
                  </w:rPr>
                  <w:t>4. Critical Evaluation: How Managers Ensure Implementation</w:t>
                </w:r>
                <w:r>
                  <w:rPr>
                    <w:noProof/>
                    <w:webHidden/>
                  </w:rPr>
                  <w:tab/>
                </w:r>
                <w:r>
                  <w:rPr>
                    <w:noProof/>
                    <w:webHidden/>
                  </w:rPr>
                  <w:fldChar w:fldCharType="begin"/>
                </w:r>
                <w:r>
                  <w:rPr>
                    <w:noProof/>
                    <w:webHidden/>
                  </w:rPr>
                  <w:instrText xml:space="preserve"> PAGEREF _Toc215771745 \h </w:instrText>
                </w:r>
                <w:r>
                  <w:rPr>
                    <w:noProof/>
                    <w:webHidden/>
                  </w:rPr>
                </w:r>
                <w:r>
                  <w:rPr>
                    <w:noProof/>
                    <w:webHidden/>
                  </w:rPr>
                  <w:fldChar w:fldCharType="separate"/>
                </w:r>
                <w:r>
                  <w:rPr>
                    <w:noProof/>
                    <w:webHidden/>
                  </w:rPr>
                  <w:t>6</w:t>
                </w:r>
                <w:r>
                  <w:rPr>
                    <w:noProof/>
                    <w:webHidden/>
                  </w:rPr>
                  <w:fldChar w:fldCharType="end"/>
                </w:r>
              </w:hyperlink>
            </w:p>
            <w:p w14:paraId="579BDA2E" w14:textId="2A8B82D6" w:rsidR="00493CE6" w:rsidRDefault="00493CE6">
              <w:pPr>
                <w:pStyle w:val="23"/>
                <w:tabs>
                  <w:tab w:val="right" w:leader="dot" w:pos="9016"/>
                </w:tabs>
                <w:rPr>
                  <w:rFonts w:eastAsiaTheme="minorEastAsia"/>
                  <w:noProof/>
                  <w:sz w:val="24"/>
                  <w:szCs w:val="24"/>
                  <w:lang w:eastAsia="en-GB"/>
                </w:rPr>
              </w:pPr>
              <w:hyperlink w:anchor="_Toc215771746" w:history="1">
                <w:r w:rsidRPr="00931D6A">
                  <w:rPr>
                    <w:rStyle w:val="af"/>
                    <w:noProof/>
                  </w:rPr>
                  <w:t>4.1 Leading by Example</w:t>
                </w:r>
                <w:r>
                  <w:rPr>
                    <w:noProof/>
                    <w:webHidden/>
                  </w:rPr>
                  <w:tab/>
                </w:r>
                <w:r>
                  <w:rPr>
                    <w:noProof/>
                    <w:webHidden/>
                  </w:rPr>
                  <w:fldChar w:fldCharType="begin"/>
                </w:r>
                <w:r>
                  <w:rPr>
                    <w:noProof/>
                    <w:webHidden/>
                  </w:rPr>
                  <w:instrText xml:space="preserve"> PAGEREF _Toc215771746 \h </w:instrText>
                </w:r>
                <w:r>
                  <w:rPr>
                    <w:noProof/>
                    <w:webHidden/>
                  </w:rPr>
                </w:r>
                <w:r>
                  <w:rPr>
                    <w:noProof/>
                    <w:webHidden/>
                  </w:rPr>
                  <w:fldChar w:fldCharType="separate"/>
                </w:r>
                <w:r>
                  <w:rPr>
                    <w:noProof/>
                    <w:webHidden/>
                  </w:rPr>
                  <w:t>6</w:t>
                </w:r>
                <w:r>
                  <w:rPr>
                    <w:noProof/>
                    <w:webHidden/>
                  </w:rPr>
                  <w:fldChar w:fldCharType="end"/>
                </w:r>
              </w:hyperlink>
            </w:p>
            <w:p w14:paraId="110E0DA0" w14:textId="0A218C7D" w:rsidR="00493CE6" w:rsidRDefault="00493CE6">
              <w:pPr>
                <w:pStyle w:val="23"/>
                <w:tabs>
                  <w:tab w:val="right" w:leader="dot" w:pos="9016"/>
                </w:tabs>
                <w:rPr>
                  <w:rFonts w:eastAsiaTheme="minorEastAsia"/>
                  <w:noProof/>
                  <w:sz w:val="24"/>
                  <w:szCs w:val="24"/>
                  <w:lang w:eastAsia="en-GB"/>
                </w:rPr>
              </w:pPr>
              <w:hyperlink w:anchor="_Toc215771747" w:history="1">
                <w:r w:rsidRPr="00931D6A">
                  <w:rPr>
                    <w:rStyle w:val="af"/>
                    <w:noProof/>
                  </w:rPr>
                  <w:t>4.2 Aligning Departmental Goals with HR Priorities</w:t>
                </w:r>
                <w:r>
                  <w:rPr>
                    <w:noProof/>
                    <w:webHidden/>
                  </w:rPr>
                  <w:tab/>
                </w:r>
                <w:r>
                  <w:rPr>
                    <w:noProof/>
                    <w:webHidden/>
                  </w:rPr>
                  <w:fldChar w:fldCharType="begin"/>
                </w:r>
                <w:r>
                  <w:rPr>
                    <w:noProof/>
                    <w:webHidden/>
                  </w:rPr>
                  <w:instrText xml:space="preserve"> PAGEREF _Toc215771747 \h </w:instrText>
                </w:r>
                <w:r>
                  <w:rPr>
                    <w:noProof/>
                    <w:webHidden/>
                  </w:rPr>
                </w:r>
                <w:r>
                  <w:rPr>
                    <w:noProof/>
                    <w:webHidden/>
                  </w:rPr>
                  <w:fldChar w:fldCharType="separate"/>
                </w:r>
                <w:r>
                  <w:rPr>
                    <w:noProof/>
                    <w:webHidden/>
                  </w:rPr>
                  <w:t>7</w:t>
                </w:r>
                <w:r>
                  <w:rPr>
                    <w:noProof/>
                    <w:webHidden/>
                  </w:rPr>
                  <w:fldChar w:fldCharType="end"/>
                </w:r>
              </w:hyperlink>
            </w:p>
            <w:p w14:paraId="632D70B7" w14:textId="11862A44" w:rsidR="00493CE6" w:rsidRDefault="00493CE6">
              <w:pPr>
                <w:pStyle w:val="11"/>
                <w:tabs>
                  <w:tab w:val="right" w:leader="dot" w:pos="9016"/>
                </w:tabs>
                <w:rPr>
                  <w:rFonts w:eastAsiaTheme="minorEastAsia"/>
                  <w:noProof/>
                  <w:sz w:val="24"/>
                  <w:szCs w:val="24"/>
                  <w:lang w:eastAsia="en-GB"/>
                </w:rPr>
              </w:pPr>
              <w:hyperlink w:anchor="_Toc215771748" w:history="1">
                <w:r w:rsidRPr="00931D6A">
                  <w:rPr>
                    <w:rStyle w:val="af"/>
                    <w:rFonts w:ascii="Arial" w:hAnsi="Arial" w:cs="Arial"/>
                    <w:b/>
                    <w:bCs/>
                    <w:noProof/>
                  </w:rPr>
                  <w:t>5. Conclusion</w:t>
                </w:r>
                <w:r>
                  <w:rPr>
                    <w:noProof/>
                    <w:webHidden/>
                  </w:rPr>
                  <w:tab/>
                </w:r>
                <w:r>
                  <w:rPr>
                    <w:noProof/>
                    <w:webHidden/>
                  </w:rPr>
                  <w:fldChar w:fldCharType="begin"/>
                </w:r>
                <w:r>
                  <w:rPr>
                    <w:noProof/>
                    <w:webHidden/>
                  </w:rPr>
                  <w:instrText xml:space="preserve"> PAGEREF _Toc215771748 \h </w:instrText>
                </w:r>
                <w:r>
                  <w:rPr>
                    <w:noProof/>
                    <w:webHidden/>
                  </w:rPr>
                </w:r>
                <w:r>
                  <w:rPr>
                    <w:noProof/>
                    <w:webHidden/>
                  </w:rPr>
                  <w:fldChar w:fldCharType="separate"/>
                </w:r>
                <w:r>
                  <w:rPr>
                    <w:noProof/>
                    <w:webHidden/>
                  </w:rPr>
                  <w:t>8</w:t>
                </w:r>
                <w:r>
                  <w:rPr>
                    <w:noProof/>
                    <w:webHidden/>
                  </w:rPr>
                  <w:fldChar w:fldCharType="end"/>
                </w:r>
              </w:hyperlink>
            </w:p>
            <w:p w14:paraId="614A0228" w14:textId="7F2882BC" w:rsidR="00493CE6" w:rsidRDefault="00493CE6">
              <w:pPr>
                <w:pStyle w:val="11"/>
                <w:tabs>
                  <w:tab w:val="right" w:leader="dot" w:pos="9016"/>
                </w:tabs>
                <w:rPr>
                  <w:rFonts w:eastAsiaTheme="minorEastAsia"/>
                  <w:noProof/>
                  <w:sz w:val="24"/>
                  <w:szCs w:val="24"/>
                  <w:lang w:eastAsia="en-GB"/>
                </w:rPr>
              </w:pPr>
              <w:hyperlink w:anchor="_Toc215771749" w:history="1">
                <w:r w:rsidRPr="00931D6A">
                  <w:rPr>
                    <w:rStyle w:val="af"/>
                    <w:rFonts w:ascii="Arial" w:hAnsi="Arial" w:cs="Arial"/>
                    <w:b/>
                    <w:bCs/>
                    <w:noProof/>
                  </w:rPr>
                  <w:t>6. Recommendations</w:t>
                </w:r>
                <w:r>
                  <w:rPr>
                    <w:noProof/>
                    <w:webHidden/>
                  </w:rPr>
                  <w:tab/>
                </w:r>
                <w:r>
                  <w:rPr>
                    <w:noProof/>
                    <w:webHidden/>
                  </w:rPr>
                  <w:fldChar w:fldCharType="begin"/>
                </w:r>
                <w:r>
                  <w:rPr>
                    <w:noProof/>
                    <w:webHidden/>
                  </w:rPr>
                  <w:instrText xml:space="preserve"> PAGEREF _Toc215771749 \h </w:instrText>
                </w:r>
                <w:r>
                  <w:rPr>
                    <w:noProof/>
                    <w:webHidden/>
                  </w:rPr>
                </w:r>
                <w:r>
                  <w:rPr>
                    <w:noProof/>
                    <w:webHidden/>
                  </w:rPr>
                  <w:fldChar w:fldCharType="separate"/>
                </w:r>
                <w:r>
                  <w:rPr>
                    <w:noProof/>
                    <w:webHidden/>
                  </w:rPr>
                  <w:t>8</w:t>
                </w:r>
                <w:r>
                  <w:rPr>
                    <w:noProof/>
                    <w:webHidden/>
                  </w:rPr>
                  <w:fldChar w:fldCharType="end"/>
                </w:r>
              </w:hyperlink>
            </w:p>
            <w:p w14:paraId="6F41A506" w14:textId="0031BAF3" w:rsidR="00493CE6" w:rsidRDefault="00493CE6">
              <w:pPr>
                <w:pStyle w:val="11"/>
                <w:tabs>
                  <w:tab w:val="right" w:leader="dot" w:pos="9016"/>
                </w:tabs>
                <w:rPr>
                  <w:rFonts w:eastAsiaTheme="minorEastAsia"/>
                  <w:noProof/>
                  <w:sz w:val="24"/>
                  <w:szCs w:val="24"/>
                  <w:lang w:eastAsia="en-GB"/>
                </w:rPr>
              </w:pPr>
              <w:hyperlink w:anchor="_Toc215771750" w:history="1">
                <w:r w:rsidRPr="00931D6A">
                  <w:rPr>
                    <w:rStyle w:val="af"/>
                    <w:rFonts w:ascii="Arial" w:hAnsi="Arial" w:cs="Arial"/>
                    <w:b/>
                    <w:bCs/>
                    <w:noProof/>
                  </w:rPr>
                  <w:t>7. Reference List</w:t>
                </w:r>
                <w:r>
                  <w:rPr>
                    <w:noProof/>
                    <w:webHidden/>
                  </w:rPr>
                  <w:tab/>
                </w:r>
                <w:r>
                  <w:rPr>
                    <w:noProof/>
                    <w:webHidden/>
                  </w:rPr>
                  <w:fldChar w:fldCharType="begin"/>
                </w:r>
                <w:r>
                  <w:rPr>
                    <w:noProof/>
                    <w:webHidden/>
                  </w:rPr>
                  <w:instrText xml:space="preserve"> PAGEREF _Toc215771750 \h </w:instrText>
                </w:r>
                <w:r>
                  <w:rPr>
                    <w:noProof/>
                    <w:webHidden/>
                  </w:rPr>
                </w:r>
                <w:r>
                  <w:rPr>
                    <w:noProof/>
                    <w:webHidden/>
                  </w:rPr>
                  <w:fldChar w:fldCharType="separate"/>
                </w:r>
                <w:r>
                  <w:rPr>
                    <w:noProof/>
                    <w:webHidden/>
                  </w:rPr>
                  <w:t>9</w:t>
                </w:r>
                <w:r>
                  <w:rPr>
                    <w:noProof/>
                    <w:webHidden/>
                  </w:rPr>
                  <w:fldChar w:fldCharType="end"/>
                </w:r>
              </w:hyperlink>
            </w:p>
            <w:p w14:paraId="0364FF54" w14:textId="4464D7FB" w:rsidR="00E81A64" w:rsidRDefault="00E81A64">
              <w:r>
                <w:rPr>
                  <w:b/>
                  <w:bCs/>
                  <w:lang w:val="ru-RU"/>
                </w:rPr>
                <w:fldChar w:fldCharType="end"/>
              </w:r>
            </w:p>
          </w:sdtContent>
        </w:sdt>
        <w:p w14:paraId="4D645D6C" w14:textId="77777777" w:rsidR="00E81A64" w:rsidRDefault="00E81A64">
          <w:pPr>
            <w:rPr>
              <w:rFonts w:ascii="Arial" w:hAnsi="Arial" w:cs="Arial"/>
              <w:b/>
              <w:bCs/>
            </w:rPr>
          </w:pPr>
          <w:r>
            <w:rPr>
              <w:rFonts w:ascii="Arial" w:hAnsi="Arial" w:cs="Arial"/>
              <w:b/>
              <w:bCs/>
            </w:rPr>
            <w:br w:type="page"/>
          </w:r>
        </w:p>
        <w:p w14:paraId="45A2A7AC" w14:textId="4F7B6F29" w:rsidR="00AE72AD" w:rsidRDefault="00AE72AD" w:rsidP="00955F20">
          <w:pPr>
            <w:spacing w:line="360" w:lineRule="auto"/>
            <w:rPr>
              <w:rFonts w:ascii="Arial" w:hAnsi="Arial" w:cs="Arial"/>
              <w:b/>
              <w:bCs/>
            </w:rPr>
          </w:pPr>
        </w:p>
      </w:sdtContent>
    </w:sdt>
    <w:p w14:paraId="009B2447" w14:textId="67BECC37" w:rsidR="00957D92" w:rsidRPr="00C07B20" w:rsidRDefault="00957D92" w:rsidP="00C07B20">
      <w:pPr>
        <w:pStyle w:val="1"/>
        <w:rPr>
          <w:rFonts w:ascii="Arial" w:hAnsi="Arial" w:cs="Arial"/>
          <w:b/>
          <w:bCs/>
          <w:color w:val="auto"/>
          <w:sz w:val="22"/>
          <w:szCs w:val="22"/>
        </w:rPr>
      </w:pPr>
      <w:bookmarkStart w:id="0" w:name="_Toc215771730"/>
      <w:r w:rsidRPr="00C07B20">
        <w:rPr>
          <w:rFonts w:ascii="Arial" w:hAnsi="Arial" w:cs="Arial"/>
          <w:b/>
          <w:bCs/>
          <w:color w:val="auto"/>
          <w:sz w:val="22"/>
          <w:szCs w:val="22"/>
        </w:rPr>
        <w:t>1. Introduction</w:t>
      </w:r>
      <w:bookmarkEnd w:id="0"/>
      <w:r w:rsidRPr="00C07B20">
        <w:rPr>
          <w:rFonts w:ascii="Arial" w:hAnsi="Arial" w:cs="Arial"/>
          <w:b/>
          <w:bCs/>
          <w:color w:val="auto"/>
          <w:sz w:val="22"/>
          <w:szCs w:val="22"/>
        </w:rPr>
        <w:t xml:space="preserve"> </w:t>
      </w:r>
    </w:p>
    <w:p w14:paraId="5ACB7648" w14:textId="77777777" w:rsidR="00957D92" w:rsidRPr="00957D92" w:rsidRDefault="00957D92" w:rsidP="00957D92">
      <w:pPr>
        <w:spacing w:line="360" w:lineRule="auto"/>
        <w:rPr>
          <w:rFonts w:ascii="Arial" w:hAnsi="Arial" w:cs="Arial"/>
        </w:rPr>
      </w:pPr>
      <w:r w:rsidRPr="00957D92">
        <w:rPr>
          <w:rFonts w:ascii="Arial" w:hAnsi="Arial" w:cs="Arial"/>
        </w:rPr>
        <w:t>As a newly appointed HR Officer at IBM UK, I have joined the organisation at a time of significant workforce change, driven by advanced technologies, societal expectations and new working patterns. During my first weeks in the role, I encountered an unusually high volume of employee grievances, many linked to rapid digital transformation, new hybrid working models, and workforce restructuring. This report examines the key factors influencing IBM UK’s people management, focusing on societal changes, technological trends, and flexible working arrangements. It further evaluates relevant contemporary HR practices that address these challenges. The report concludes with a critical evaluation of managerial responsibilities in ensuring HR practices are urgently implemented, followed by practical recommendations to strengthen IBM UK’s organisational performance and employee wellbeing.</w:t>
      </w:r>
    </w:p>
    <w:p w14:paraId="4A8594BA" w14:textId="7CC7AA51" w:rsidR="00957D92" w:rsidRPr="00957D92" w:rsidRDefault="00957D92" w:rsidP="00957D92">
      <w:pPr>
        <w:spacing w:line="360" w:lineRule="auto"/>
        <w:rPr>
          <w:rFonts w:ascii="Arial" w:hAnsi="Arial" w:cs="Arial"/>
        </w:rPr>
      </w:pPr>
    </w:p>
    <w:p w14:paraId="01A79072" w14:textId="77777777" w:rsidR="00957D92" w:rsidRPr="00C07B20" w:rsidRDefault="00957D92" w:rsidP="00C07B20">
      <w:pPr>
        <w:pStyle w:val="1"/>
        <w:rPr>
          <w:rFonts w:ascii="Arial" w:hAnsi="Arial" w:cs="Arial"/>
          <w:b/>
          <w:bCs/>
          <w:color w:val="auto"/>
          <w:sz w:val="22"/>
          <w:szCs w:val="22"/>
        </w:rPr>
      </w:pPr>
      <w:bookmarkStart w:id="1" w:name="_Toc215771731"/>
      <w:r w:rsidRPr="00C07B20">
        <w:rPr>
          <w:rFonts w:ascii="Arial" w:hAnsi="Arial" w:cs="Arial"/>
          <w:b/>
          <w:bCs/>
          <w:color w:val="auto"/>
          <w:sz w:val="22"/>
          <w:szCs w:val="22"/>
        </w:rPr>
        <w:t>2. Main Body</w:t>
      </w:r>
      <w:bookmarkEnd w:id="1"/>
    </w:p>
    <w:p w14:paraId="145D15F8" w14:textId="56E3D0A2" w:rsidR="00957D92" w:rsidRPr="00C07B20" w:rsidRDefault="00957D92" w:rsidP="00C07B20">
      <w:pPr>
        <w:pStyle w:val="2"/>
        <w:rPr>
          <w:sz w:val="22"/>
          <w:szCs w:val="22"/>
        </w:rPr>
      </w:pPr>
      <w:bookmarkStart w:id="2" w:name="_Toc215771732"/>
      <w:r w:rsidRPr="00C07B20">
        <w:rPr>
          <w:color w:val="auto"/>
          <w:sz w:val="22"/>
          <w:szCs w:val="22"/>
        </w:rPr>
        <w:t>2.1 Societal Changes Affecting IBM UK</w:t>
      </w:r>
      <w:bookmarkEnd w:id="2"/>
      <w:r w:rsidRPr="00C07B20">
        <w:rPr>
          <w:sz w:val="22"/>
          <w:szCs w:val="22"/>
        </w:rPr>
        <w:t xml:space="preserve"> </w:t>
      </w:r>
    </w:p>
    <w:p w14:paraId="5220998B" w14:textId="6D9A8D06" w:rsidR="00957D92" w:rsidRPr="00E81A64" w:rsidRDefault="00957D92" w:rsidP="00E81A64">
      <w:pPr>
        <w:pStyle w:val="3"/>
        <w:rPr>
          <w:rFonts w:ascii="Arial" w:hAnsi="Arial" w:cs="Arial"/>
          <w:color w:val="auto"/>
          <w:sz w:val="22"/>
          <w:szCs w:val="22"/>
        </w:rPr>
      </w:pPr>
      <w:bookmarkStart w:id="3" w:name="_Toc215771733"/>
      <w:r w:rsidRPr="00E81A64">
        <w:rPr>
          <w:rFonts w:ascii="Arial" w:hAnsi="Arial" w:cs="Arial"/>
          <w:color w:val="auto"/>
          <w:sz w:val="22"/>
          <w:szCs w:val="22"/>
        </w:rPr>
        <w:t>2.1.1 Education, Literacy and Digital Skills</w:t>
      </w:r>
      <w:bookmarkEnd w:id="3"/>
      <w:r w:rsidRPr="00E81A64">
        <w:rPr>
          <w:rFonts w:ascii="Arial" w:hAnsi="Arial" w:cs="Arial"/>
          <w:color w:val="auto"/>
          <w:sz w:val="22"/>
          <w:szCs w:val="22"/>
        </w:rPr>
        <w:t xml:space="preserve"> </w:t>
      </w:r>
    </w:p>
    <w:p w14:paraId="47AF55A8" w14:textId="77777777" w:rsidR="00957D92" w:rsidRPr="00957D92" w:rsidRDefault="00957D92" w:rsidP="00957D92">
      <w:pPr>
        <w:spacing w:line="360" w:lineRule="auto"/>
        <w:rPr>
          <w:rFonts w:ascii="Arial" w:hAnsi="Arial" w:cs="Arial"/>
        </w:rPr>
      </w:pPr>
      <w:r w:rsidRPr="00957D92">
        <w:rPr>
          <w:rFonts w:ascii="Arial" w:hAnsi="Arial" w:cs="Arial"/>
        </w:rPr>
        <w:t>As a global technology leader, IBM UK operates in a labour market increasingly shaped by educational shifts and rising digital literacy levels. The UK’s move towards digital-first education and widespread adoption of technology in schools and universities has led to a workforce with higher baseline digital skills (ONS, 2024). However, this is not sufficient for IBM’s specialised needs. IBM’s own research shows that 40% of the workforce will require reskilling within three years due to AI and automation (IBM, 2023). This creates a dual challenge: talent entering IBM UK may possess general digital awareness but lack specialist expertise in areas such as cloud computing, cybersecurity and AI engineering.</w:t>
      </w:r>
    </w:p>
    <w:p w14:paraId="2C75DC42" w14:textId="718CA6AA" w:rsidR="00957D92" w:rsidRPr="00957D92" w:rsidRDefault="00957D92" w:rsidP="00957D92">
      <w:pPr>
        <w:spacing w:line="360" w:lineRule="auto"/>
        <w:rPr>
          <w:rFonts w:ascii="Arial" w:hAnsi="Arial" w:cs="Arial"/>
        </w:rPr>
      </w:pPr>
      <w:r w:rsidRPr="00957D92">
        <w:rPr>
          <w:rFonts w:ascii="Arial" w:hAnsi="Arial" w:cs="Arial"/>
        </w:rPr>
        <w:t>This mismatch increases pressure on IBM to invest in internal development programmes and external talent pipelines. Initiatives such as the IBM Skills</w:t>
      </w:r>
      <w:r w:rsidR="00DA6B1C">
        <w:rPr>
          <w:rFonts w:ascii="Arial" w:hAnsi="Arial" w:cs="Arial"/>
        </w:rPr>
        <w:t xml:space="preserve"> </w:t>
      </w:r>
      <w:r w:rsidRPr="00957D92">
        <w:rPr>
          <w:rFonts w:ascii="Arial" w:hAnsi="Arial" w:cs="Arial"/>
        </w:rPr>
        <w:t>Build programme, and IBM’s involvement in national schemes to enhance STEM education, attempt to bridge these gaps. Nevertheless, grievances often emerge from employees feeling underprepared or overwhelmed by rapid technological expectations. Without robust training and development strategies, societal shifts in education may widen internal capability gaps and negatively affect workforce confidence.</w:t>
      </w:r>
    </w:p>
    <w:p w14:paraId="408F9BBB" w14:textId="3094239B" w:rsidR="00957D92" w:rsidRPr="00957D92" w:rsidRDefault="00957D92" w:rsidP="00957D92">
      <w:pPr>
        <w:spacing w:line="360" w:lineRule="auto"/>
        <w:rPr>
          <w:rFonts w:ascii="Arial" w:hAnsi="Arial" w:cs="Arial"/>
        </w:rPr>
      </w:pPr>
    </w:p>
    <w:p w14:paraId="605620E9" w14:textId="0E60BF36" w:rsidR="00957D92" w:rsidRPr="00E81A64" w:rsidRDefault="00957D92" w:rsidP="00E81A64">
      <w:pPr>
        <w:pStyle w:val="3"/>
        <w:rPr>
          <w:rFonts w:ascii="Arial" w:hAnsi="Arial" w:cs="Arial"/>
          <w:color w:val="auto"/>
          <w:sz w:val="22"/>
          <w:szCs w:val="22"/>
        </w:rPr>
      </w:pPr>
      <w:bookmarkStart w:id="4" w:name="_Toc215771734"/>
      <w:r w:rsidRPr="00E81A64">
        <w:rPr>
          <w:rFonts w:ascii="Arial" w:hAnsi="Arial" w:cs="Arial"/>
          <w:color w:val="auto"/>
          <w:sz w:val="22"/>
          <w:szCs w:val="22"/>
        </w:rPr>
        <w:lastRenderedPageBreak/>
        <w:t>2.1.2 Globalisation and Cultural Diversity</w:t>
      </w:r>
      <w:bookmarkEnd w:id="4"/>
      <w:r w:rsidRPr="00E81A64">
        <w:rPr>
          <w:rFonts w:ascii="Arial" w:hAnsi="Arial" w:cs="Arial"/>
          <w:color w:val="auto"/>
          <w:sz w:val="22"/>
          <w:szCs w:val="22"/>
        </w:rPr>
        <w:t xml:space="preserve"> </w:t>
      </w:r>
    </w:p>
    <w:p w14:paraId="63396B86" w14:textId="77777777" w:rsidR="00957D92" w:rsidRPr="00957D92" w:rsidRDefault="00957D92" w:rsidP="00957D92">
      <w:pPr>
        <w:spacing w:line="360" w:lineRule="auto"/>
        <w:rPr>
          <w:rFonts w:ascii="Arial" w:hAnsi="Arial" w:cs="Arial"/>
        </w:rPr>
      </w:pPr>
      <w:r w:rsidRPr="00957D92">
        <w:rPr>
          <w:rFonts w:ascii="Arial" w:hAnsi="Arial" w:cs="Arial"/>
        </w:rPr>
        <w:t>IBM UK operates within an increasingly globalised digital economy where cross-border collaboration is normalised. Its workforce reflects high cultural and linguistic diversity, as IBM recruits globally across markets and skill domains (IBM, 2024). While globalisation enables IBM to access international talent and deliver multinational services, it also creates challenges related to communication styles, cultural expectations, and team integration.</w:t>
      </w:r>
    </w:p>
    <w:p w14:paraId="2CDEEE90" w14:textId="77777777" w:rsidR="00957D92" w:rsidRPr="00957D92" w:rsidRDefault="00957D92" w:rsidP="00957D92">
      <w:pPr>
        <w:spacing w:line="360" w:lineRule="auto"/>
        <w:rPr>
          <w:rFonts w:ascii="Arial" w:hAnsi="Arial" w:cs="Arial"/>
        </w:rPr>
      </w:pPr>
      <w:r w:rsidRPr="00957D92">
        <w:rPr>
          <w:rFonts w:ascii="Arial" w:hAnsi="Arial" w:cs="Arial"/>
        </w:rPr>
        <w:t>Diversity enriches innovation and creativity, yet miscommunication and differences in cultural norms often surface as grievances, especially where employees from diverse backgrounds have contrasting expectations of leadership, feedback, and collaboration. This is supported by CIPD (2023), which notes that globalised organisations increasingly struggle with inclusion, belonging and equitable access to development opportunities.</w:t>
      </w:r>
    </w:p>
    <w:p w14:paraId="7F72DFF4" w14:textId="77777777" w:rsidR="00957D92" w:rsidRPr="00957D92" w:rsidRDefault="00957D92" w:rsidP="00957D92">
      <w:pPr>
        <w:spacing w:line="360" w:lineRule="auto"/>
        <w:rPr>
          <w:rFonts w:ascii="Arial" w:hAnsi="Arial" w:cs="Arial"/>
        </w:rPr>
      </w:pPr>
      <w:r w:rsidRPr="00957D92">
        <w:rPr>
          <w:rFonts w:ascii="Arial" w:hAnsi="Arial" w:cs="Arial"/>
        </w:rPr>
        <w:t>Additionally, international mobility and distributed teams mean employees frequently work across time zones, increasing workload pressures and reducing work–life balance. HR must therefore ensure IBM UK’s policies promote inclusion, cultural awareness and equal opportunities. Without appropriate support — such as inclusive training, conflict resolution mechanisms and diverse leadership representation — globalisation can intensify misunderstandings and workplace tension.</w:t>
      </w:r>
    </w:p>
    <w:p w14:paraId="75068514" w14:textId="1E42071C" w:rsidR="00957D92" w:rsidRPr="00957D92" w:rsidRDefault="00957D92" w:rsidP="00957D92">
      <w:pPr>
        <w:spacing w:line="360" w:lineRule="auto"/>
        <w:rPr>
          <w:rFonts w:ascii="Arial" w:hAnsi="Arial" w:cs="Arial"/>
        </w:rPr>
      </w:pPr>
    </w:p>
    <w:p w14:paraId="162C50C5" w14:textId="353DC883" w:rsidR="00957D92" w:rsidRPr="00C07B20" w:rsidRDefault="00957D92" w:rsidP="00C07B20">
      <w:pPr>
        <w:pStyle w:val="2"/>
        <w:rPr>
          <w:color w:val="auto"/>
          <w:sz w:val="22"/>
          <w:szCs w:val="22"/>
        </w:rPr>
      </w:pPr>
      <w:bookmarkStart w:id="5" w:name="_Toc215771735"/>
      <w:r w:rsidRPr="00C07B20">
        <w:rPr>
          <w:color w:val="auto"/>
          <w:sz w:val="22"/>
          <w:szCs w:val="22"/>
        </w:rPr>
        <w:t>2.2 Technological Trends Affecting IBM UK</w:t>
      </w:r>
      <w:bookmarkEnd w:id="5"/>
      <w:r w:rsidRPr="00C07B20">
        <w:rPr>
          <w:color w:val="auto"/>
          <w:sz w:val="22"/>
          <w:szCs w:val="22"/>
        </w:rPr>
        <w:t xml:space="preserve"> </w:t>
      </w:r>
    </w:p>
    <w:p w14:paraId="3D235CD3" w14:textId="208D3A0D" w:rsidR="00957D92" w:rsidRPr="00E81A64" w:rsidRDefault="00957D92" w:rsidP="00E81A64">
      <w:pPr>
        <w:pStyle w:val="3"/>
        <w:rPr>
          <w:rFonts w:ascii="Arial" w:hAnsi="Arial" w:cs="Arial"/>
          <w:color w:val="auto"/>
          <w:sz w:val="22"/>
          <w:szCs w:val="22"/>
        </w:rPr>
      </w:pPr>
      <w:bookmarkStart w:id="6" w:name="_Toc215771736"/>
      <w:r w:rsidRPr="00E81A64">
        <w:rPr>
          <w:rFonts w:ascii="Arial" w:hAnsi="Arial" w:cs="Arial"/>
          <w:color w:val="auto"/>
          <w:sz w:val="22"/>
          <w:szCs w:val="22"/>
        </w:rPr>
        <w:t>2.2.1 Artificial Intelligence (AI) and Automation</w:t>
      </w:r>
      <w:bookmarkEnd w:id="6"/>
      <w:r w:rsidRPr="00E81A64">
        <w:rPr>
          <w:rFonts w:ascii="Arial" w:hAnsi="Arial" w:cs="Arial"/>
          <w:color w:val="auto"/>
          <w:sz w:val="22"/>
          <w:szCs w:val="22"/>
        </w:rPr>
        <w:t xml:space="preserve"> </w:t>
      </w:r>
    </w:p>
    <w:p w14:paraId="10ACDA87" w14:textId="77777777" w:rsidR="00957D92" w:rsidRPr="00957D92" w:rsidRDefault="00957D92" w:rsidP="00957D92">
      <w:pPr>
        <w:spacing w:line="360" w:lineRule="auto"/>
        <w:rPr>
          <w:rFonts w:ascii="Arial" w:hAnsi="Arial" w:cs="Arial"/>
        </w:rPr>
      </w:pPr>
      <w:r w:rsidRPr="00957D92">
        <w:rPr>
          <w:rFonts w:ascii="Arial" w:hAnsi="Arial" w:cs="Arial"/>
        </w:rPr>
        <w:t xml:space="preserve">AI is transforming IBM UK’s operational structure, job roles and capability requirements. According to IBM’s 2023 Global AI Study, AI will significantly alter 1.4 billion jobs worldwide, with many roles requiring new technical and analytical competencies (IBM, 2023). IBM UK itself has fully integrated AI technologies — including </w:t>
      </w:r>
      <w:proofErr w:type="spellStart"/>
      <w:r w:rsidRPr="00957D92">
        <w:rPr>
          <w:rFonts w:ascii="Arial" w:hAnsi="Arial" w:cs="Arial"/>
        </w:rPr>
        <w:t>WatsonX</w:t>
      </w:r>
      <w:proofErr w:type="spellEnd"/>
      <w:r w:rsidRPr="00957D92">
        <w:rPr>
          <w:rFonts w:ascii="Arial" w:hAnsi="Arial" w:cs="Arial"/>
        </w:rPr>
        <w:t>, automation tools and generative AI — into consulting, cybersecurity and cloud services.</w:t>
      </w:r>
    </w:p>
    <w:p w14:paraId="524838A5" w14:textId="77777777" w:rsidR="00957D92" w:rsidRPr="00957D92" w:rsidRDefault="00957D92" w:rsidP="00957D92">
      <w:pPr>
        <w:spacing w:line="360" w:lineRule="auto"/>
        <w:rPr>
          <w:rFonts w:ascii="Arial" w:hAnsi="Arial" w:cs="Arial"/>
        </w:rPr>
      </w:pPr>
      <w:r w:rsidRPr="00957D92">
        <w:rPr>
          <w:rFonts w:ascii="Arial" w:hAnsi="Arial" w:cs="Arial"/>
        </w:rPr>
        <w:t>While AI improves productivity, it also generates workforce anxiety regarding job displacement, skill redundancy and continuous upskilling demands. IBM’s 2025 report confirms that UK firms adopting AI still identify reskilling as the key barrier to maximising productivity gains (IBM, 2025). Employees unfamiliar with new tools often report stress or resistance, generating increased grievances around workload, competence expectations and performance assessments.</w:t>
      </w:r>
    </w:p>
    <w:p w14:paraId="37B1F659" w14:textId="77777777" w:rsidR="00957D92" w:rsidRPr="00957D92" w:rsidRDefault="00957D92" w:rsidP="00957D92">
      <w:pPr>
        <w:spacing w:line="360" w:lineRule="auto"/>
        <w:rPr>
          <w:rFonts w:ascii="Arial" w:hAnsi="Arial" w:cs="Arial"/>
        </w:rPr>
      </w:pPr>
      <w:r w:rsidRPr="00957D92">
        <w:rPr>
          <w:rFonts w:ascii="Arial" w:hAnsi="Arial" w:cs="Arial"/>
        </w:rPr>
        <w:t xml:space="preserve">Failure to support employees throughout digital transformation leads to disengagement, skill obsolescence and declining morale. Therefore, IBM UK must prioritise continuous training, </w:t>
      </w:r>
      <w:r w:rsidRPr="00957D92">
        <w:rPr>
          <w:rFonts w:ascii="Arial" w:hAnsi="Arial" w:cs="Arial"/>
        </w:rPr>
        <w:lastRenderedPageBreak/>
        <w:t>equitable access to learning platforms and transparent communication about the future of work.</w:t>
      </w:r>
    </w:p>
    <w:p w14:paraId="41447718" w14:textId="66177584" w:rsidR="00957D92" w:rsidRPr="00957D92" w:rsidRDefault="00957D92" w:rsidP="00957D92">
      <w:pPr>
        <w:spacing w:line="360" w:lineRule="auto"/>
        <w:rPr>
          <w:rFonts w:ascii="Arial" w:hAnsi="Arial" w:cs="Arial"/>
        </w:rPr>
      </w:pPr>
    </w:p>
    <w:p w14:paraId="7A99A77C" w14:textId="1621701B" w:rsidR="00957D92" w:rsidRPr="00E81A64" w:rsidRDefault="00957D92" w:rsidP="00E81A64">
      <w:pPr>
        <w:pStyle w:val="3"/>
        <w:rPr>
          <w:rFonts w:ascii="Arial" w:hAnsi="Arial" w:cs="Arial"/>
          <w:color w:val="auto"/>
          <w:sz w:val="22"/>
          <w:szCs w:val="22"/>
        </w:rPr>
      </w:pPr>
      <w:bookmarkStart w:id="7" w:name="_Toc215771737"/>
      <w:r w:rsidRPr="00E81A64">
        <w:rPr>
          <w:rFonts w:ascii="Arial" w:hAnsi="Arial" w:cs="Arial"/>
          <w:color w:val="auto"/>
          <w:sz w:val="22"/>
          <w:szCs w:val="22"/>
        </w:rPr>
        <w:t>2.2.2 Cybersecurity and Data Protection</w:t>
      </w:r>
      <w:bookmarkEnd w:id="7"/>
      <w:r w:rsidRPr="00E81A64">
        <w:rPr>
          <w:rFonts w:ascii="Arial" w:hAnsi="Arial" w:cs="Arial"/>
          <w:color w:val="auto"/>
          <w:sz w:val="22"/>
          <w:szCs w:val="22"/>
        </w:rPr>
        <w:t xml:space="preserve"> </w:t>
      </w:r>
    </w:p>
    <w:p w14:paraId="73BB4318" w14:textId="77777777" w:rsidR="00957D92" w:rsidRPr="00957D92" w:rsidRDefault="00957D92" w:rsidP="00957D92">
      <w:pPr>
        <w:spacing w:line="360" w:lineRule="auto"/>
        <w:rPr>
          <w:rFonts w:ascii="Arial" w:hAnsi="Arial" w:cs="Arial"/>
        </w:rPr>
      </w:pPr>
      <w:r w:rsidRPr="00957D92">
        <w:rPr>
          <w:rFonts w:ascii="Arial" w:hAnsi="Arial" w:cs="Arial"/>
        </w:rPr>
        <w:t>The rise in cyber threats globally has made cybersecurity a critical focus for IBM UK. The organisation’s work with both government and corporate clients requires strict compliance with security protocols. The UK Government’s 2025 Cyber Workforce Programme, endorsed by IBM, highlights the need for stronger cyber skills and more diverse talent pipelines (GOV.UK, 2025).</w:t>
      </w:r>
    </w:p>
    <w:p w14:paraId="7209E414" w14:textId="77777777" w:rsidR="00957D92" w:rsidRPr="00957D92" w:rsidRDefault="00957D92" w:rsidP="00957D92">
      <w:pPr>
        <w:spacing w:line="360" w:lineRule="auto"/>
        <w:rPr>
          <w:rFonts w:ascii="Arial" w:hAnsi="Arial" w:cs="Arial"/>
        </w:rPr>
      </w:pPr>
      <w:r w:rsidRPr="00957D92">
        <w:rPr>
          <w:rFonts w:ascii="Arial" w:hAnsi="Arial" w:cs="Arial"/>
        </w:rPr>
        <w:t>Employees must now adapt to complex authentication systems, stricter data governance and frequent security training. However, not all staff are digitally confident, and mandatory cyber processes can create frustration or reduce efficiency. Misunderstanding of cybersecurity rules often leads to inadvertent breaches or policy violations, which then escalate into disciplinary grievances.</w:t>
      </w:r>
    </w:p>
    <w:p w14:paraId="007FD6EB" w14:textId="77777777" w:rsidR="00957D92" w:rsidRPr="00957D92" w:rsidRDefault="00957D92" w:rsidP="00957D92">
      <w:pPr>
        <w:spacing w:line="360" w:lineRule="auto"/>
        <w:rPr>
          <w:rFonts w:ascii="Arial" w:hAnsi="Arial" w:cs="Arial"/>
        </w:rPr>
      </w:pPr>
      <w:r w:rsidRPr="00957D92">
        <w:rPr>
          <w:rFonts w:ascii="Arial" w:hAnsi="Arial" w:cs="Arial"/>
        </w:rPr>
        <w:t>Therefore, IBM must balance strict cybersecurity measures with adequate training and user-friendly systems. Investment in accessible learning, clear communication and specialist cyber support teams is essential to reduce risks and maintain workforce compliance. Without appropriate HR interventions, cybersecurity measures may contribute to employee dissatisfaction and reduced morale.</w:t>
      </w:r>
    </w:p>
    <w:p w14:paraId="4364AE64" w14:textId="50C960B5" w:rsidR="00957D92" w:rsidRPr="00957D92" w:rsidRDefault="00957D92" w:rsidP="00957D92">
      <w:pPr>
        <w:spacing w:line="360" w:lineRule="auto"/>
        <w:rPr>
          <w:rFonts w:ascii="Arial" w:hAnsi="Arial" w:cs="Arial"/>
        </w:rPr>
      </w:pPr>
    </w:p>
    <w:p w14:paraId="088314F0" w14:textId="406DD677" w:rsidR="00957D92" w:rsidRPr="00C07B20" w:rsidRDefault="00957D92" w:rsidP="00C07B20">
      <w:pPr>
        <w:pStyle w:val="2"/>
        <w:rPr>
          <w:color w:val="auto"/>
          <w:sz w:val="22"/>
          <w:szCs w:val="22"/>
        </w:rPr>
      </w:pPr>
      <w:bookmarkStart w:id="8" w:name="_Toc215771738"/>
      <w:r w:rsidRPr="00C07B20">
        <w:rPr>
          <w:color w:val="auto"/>
          <w:sz w:val="22"/>
          <w:szCs w:val="22"/>
        </w:rPr>
        <w:t>2.3 Flexible Working Arrangements</w:t>
      </w:r>
      <w:bookmarkEnd w:id="8"/>
      <w:r w:rsidRPr="00C07B20">
        <w:rPr>
          <w:color w:val="auto"/>
          <w:sz w:val="22"/>
          <w:szCs w:val="22"/>
        </w:rPr>
        <w:t xml:space="preserve"> </w:t>
      </w:r>
    </w:p>
    <w:p w14:paraId="27C6FBA1" w14:textId="375B30D9" w:rsidR="00957D92" w:rsidRPr="00E81A64" w:rsidRDefault="00957D92" w:rsidP="00E81A64">
      <w:pPr>
        <w:pStyle w:val="3"/>
        <w:rPr>
          <w:rFonts w:ascii="Arial" w:hAnsi="Arial" w:cs="Arial"/>
          <w:color w:val="auto"/>
          <w:sz w:val="22"/>
          <w:szCs w:val="22"/>
        </w:rPr>
      </w:pPr>
      <w:bookmarkStart w:id="9" w:name="_Toc215771739"/>
      <w:r w:rsidRPr="00E81A64">
        <w:rPr>
          <w:rFonts w:ascii="Arial" w:hAnsi="Arial" w:cs="Arial"/>
          <w:color w:val="auto"/>
          <w:sz w:val="22"/>
          <w:szCs w:val="22"/>
        </w:rPr>
        <w:t>2.3.1 Remote and Hybrid Working</w:t>
      </w:r>
      <w:bookmarkEnd w:id="9"/>
      <w:r w:rsidRPr="00E81A64">
        <w:rPr>
          <w:rFonts w:ascii="Arial" w:hAnsi="Arial" w:cs="Arial"/>
          <w:color w:val="auto"/>
          <w:sz w:val="22"/>
          <w:szCs w:val="22"/>
        </w:rPr>
        <w:t xml:space="preserve"> </w:t>
      </w:r>
    </w:p>
    <w:p w14:paraId="17B00B0F" w14:textId="77777777" w:rsidR="00957D92" w:rsidRPr="00957D92" w:rsidRDefault="00957D92" w:rsidP="00957D92">
      <w:pPr>
        <w:spacing w:line="360" w:lineRule="auto"/>
        <w:rPr>
          <w:rFonts w:ascii="Arial" w:hAnsi="Arial" w:cs="Arial"/>
        </w:rPr>
      </w:pPr>
      <w:r w:rsidRPr="00957D92">
        <w:rPr>
          <w:rFonts w:ascii="Arial" w:hAnsi="Arial" w:cs="Arial"/>
        </w:rPr>
        <w:t>IBM UK has adopted hybrid working models, allowing employees to divide their time between home and office. While hybrid working supports work–life balance, reduces commuting stress and enhances employee autonomy, it also presents new challenges.</w:t>
      </w:r>
    </w:p>
    <w:p w14:paraId="57A5016F" w14:textId="77777777" w:rsidR="00957D92" w:rsidRPr="00957D92" w:rsidRDefault="00957D92" w:rsidP="00957D92">
      <w:pPr>
        <w:spacing w:line="360" w:lineRule="auto"/>
        <w:rPr>
          <w:rFonts w:ascii="Arial" w:hAnsi="Arial" w:cs="Arial"/>
        </w:rPr>
      </w:pPr>
      <w:r w:rsidRPr="00957D92">
        <w:rPr>
          <w:rFonts w:ascii="Arial" w:hAnsi="Arial" w:cs="Arial"/>
        </w:rPr>
        <w:t>Remote working can lead to communication gaps, reduced collaboration, and feelings of isolation — especially for new employees or those requiring more supervision. CIPD (2023) argues that hybrid work may unintentionally reinforce inequalities, where employees present in the office receive more visibility and informal learning opportunities.</w:t>
      </w:r>
    </w:p>
    <w:p w14:paraId="7034E7FF" w14:textId="77777777" w:rsidR="00957D92" w:rsidRPr="00957D92" w:rsidRDefault="00957D92" w:rsidP="00957D92">
      <w:pPr>
        <w:spacing w:line="360" w:lineRule="auto"/>
        <w:rPr>
          <w:rFonts w:ascii="Arial" w:hAnsi="Arial" w:cs="Arial"/>
        </w:rPr>
      </w:pPr>
      <w:r w:rsidRPr="00957D92">
        <w:rPr>
          <w:rFonts w:ascii="Arial" w:hAnsi="Arial" w:cs="Arial"/>
        </w:rPr>
        <w:t xml:space="preserve">In IBM UK, grievances often arise around inequitable workload distribution, unclear performance monitoring and limited team cohesion. Managers struggle to balance remote oversight with trust-based leadership, which sometimes leads to micromanagement or </w:t>
      </w:r>
      <w:r w:rsidRPr="00957D92">
        <w:rPr>
          <w:rFonts w:ascii="Arial" w:hAnsi="Arial" w:cs="Arial"/>
        </w:rPr>
        <w:lastRenderedPageBreak/>
        <w:t>inconsistent expectations across teams. Hybrid working requires clear policies, digital collaboration tools, and support to maintain fairness and organisational culture.</w:t>
      </w:r>
    </w:p>
    <w:p w14:paraId="38B51853" w14:textId="633E7BA5" w:rsidR="00957D92" w:rsidRPr="00957D92" w:rsidRDefault="00957D92" w:rsidP="00957D92">
      <w:pPr>
        <w:spacing w:line="360" w:lineRule="auto"/>
        <w:rPr>
          <w:rFonts w:ascii="Arial" w:hAnsi="Arial" w:cs="Arial"/>
        </w:rPr>
      </w:pPr>
    </w:p>
    <w:p w14:paraId="1672F734" w14:textId="7C9E62BA" w:rsidR="00957D92" w:rsidRPr="00E81A64" w:rsidRDefault="00957D92" w:rsidP="00E81A64">
      <w:pPr>
        <w:pStyle w:val="3"/>
        <w:rPr>
          <w:rFonts w:ascii="Arial" w:hAnsi="Arial" w:cs="Arial"/>
          <w:color w:val="auto"/>
          <w:sz w:val="22"/>
          <w:szCs w:val="22"/>
        </w:rPr>
      </w:pPr>
      <w:bookmarkStart w:id="10" w:name="_Toc215771740"/>
      <w:r w:rsidRPr="00E81A64">
        <w:rPr>
          <w:rFonts w:ascii="Arial" w:hAnsi="Arial" w:cs="Arial"/>
          <w:color w:val="auto"/>
          <w:sz w:val="22"/>
          <w:szCs w:val="22"/>
        </w:rPr>
        <w:t>2.3.2 Condensed or Flexible Hours</w:t>
      </w:r>
      <w:bookmarkEnd w:id="10"/>
      <w:r w:rsidRPr="00E81A64">
        <w:rPr>
          <w:rFonts w:ascii="Arial" w:hAnsi="Arial" w:cs="Arial"/>
          <w:color w:val="auto"/>
          <w:sz w:val="22"/>
          <w:szCs w:val="22"/>
        </w:rPr>
        <w:t xml:space="preserve"> </w:t>
      </w:r>
    </w:p>
    <w:p w14:paraId="53825191" w14:textId="77777777" w:rsidR="00957D92" w:rsidRPr="00957D92" w:rsidRDefault="00957D92" w:rsidP="00957D92">
      <w:pPr>
        <w:spacing w:line="360" w:lineRule="auto"/>
        <w:rPr>
          <w:rFonts w:ascii="Arial" w:hAnsi="Arial" w:cs="Arial"/>
        </w:rPr>
      </w:pPr>
      <w:r w:rsidRPr="00957D92">
        <w:rPr>
          <w:rFonts w:ascii="Arial" w:hAnsi="Arial" w:cs="Arial"/>
        </w:rPr>
        <w:t>Flexible hours — such as compressed weeks, variable start times and shift-based patterns — are increasingly requested within IBM UK’s workforce. These arrangements support employees with caring responsibilities, health needs or work–life balance expectations.</w:t>
      </w:r>
    </w:p>
    <w:p w14:paraId="4980130C" w14:textId="77777777" w:rsidR="00957D92" w:rsidRPr="00957D92" w:rsidRDefault="00957D92" w:rsidP="00957D92">
      <w:pPr>
        <w:spacing w:line="360" w:lineRule="auto"/>
        <w:rPr>
          <w:rFonts w:ascii="Arial" w:hAnsi="Arial" w:cs="Arial"/>
        </w:rPr>
      </w:pPr>
      <w:r w:rsidRPr="00957D92">
        <w:rPr>
          <w:rFonts w:ascii="Arial" w:hAnsi="Arial" w:cs="Arial"/>
        </w:rPr>
        <w:t>However, implementing flexible hours in a technology consultancy environment can be complex. Teams rely on real-time collaboration, global coordination and client responsiveness. When employees work different patterns, scheduling becomes more difficult, creating tension during project deadlines or customer engagements.</w:t>
      </w:r>
    </w:p>
    <w:p w14:paraId="5167985D" w14:textId="77777777" w:rsidR="00957D92" w:rsidRPr="00957D92" w:rsidRDefault="00957D92" w:rsidP="00957D92">
      <w:pPr>
        <w:spacing w:line="360" w:lineRule="auto"/>
        <w:rPr>
          <w:rFonts w:ascii="Arial" w:hAnsi="Arial" w:cs="Arial"/>
        </w:rPr>
      </w:pPr>
      <w:r w:rsidRPr="00957D92">
        <w:rPr>
          <w:rFonts w:ascii="Arial" w:hAnsi="Arial" w:cs="Arial"/>
        </w:rPr>
        <w:t>Conflict may occur when some roles appear more eligible for flexibility than others, leading to perceptions of unfairness. Additionally, line managers may lack training in managing flexible teams, generating inconsistencies in decision-making that lead directly to employee grievances. For flexible hours to be effective, IBM must ensure alignment between operational demands, HR policy, and employee expectations.</w:t>
      </w:r>
    </w:p>
    <w:p w14:paraId="0E4CFBEF" w14:textId="4594F0B7" w:rsidR="00957D92" w:rsidRPr="00957D92" w:rsidRDefault="00957D92" w:rsidP="00957D92">
      <w:pPr>
        <w:spacing w:line="360" w:lineRule="auto"/>
        <w:rPr>
          <w:rFonts w:ascii="Arial" w:hAnsi="Arial" w:cs="Arial"/>
        </w:rPr>
      </w:pPr>
    </w:p>
    <w:p w14:paraId="232B7451" w14:textId="75780C80" w:rsidR="00957D92" w:rsidRPr="00957D92" w:rsidRDefault="00957D92" w:rsidP="00493CE6">
      <w:pPr>
        <w:pStyle w:val="1"/>
        <w:rPr>
          <w:rFonts w:ascii="Arial" w:hAnsi="Arial" w:cs="Arial"/>
          <w:b/>
          <w:bCs/>
          <w:color w:val="auto"/>
          <w:sz w:val="22"/>
          <w:szCs w:val="22"/>
        </w:rPr>
      </w:pPr>
      <w:bookmarkStart w:id="11" w:name="_Toc215771741"/>
      <w:r w:rsidRPr="00C07B20">
        <w:rPr>
          <w:rFonts w:ascii="Arial" w:hAnsi="Arial" w:cs="Arial"/>
          <w:b/>
          <w:bCs/>
          <w:color w:val="auto"/>
          <w:sz w:val="22"/>
          <w:szCs w:val="22"/>
        </w:rPr>
        <w:t>3. Evaluation of Contemporary HR Practices</w:t>
      </w:r>
      <w:bookmarkEnd w:id="11"/>
      <w:r w:rsidRPr="00C07B20">
        <w:rPr>
          <w:rFonts w:ascii="Arial" w:hAnsi="Arial" w:cs="Arial"/>
          <w:b/>
          <w:bCs/>
          <w:color w:val="auto"/>
          <w:sz w:val="22"/>
          <w:szCs w:val="22"/>
        </w:rPr>
        <w:t xml:space="preserve"> </w:t>
      </w:r>
    </w:p>
    <w:p w14:paraId="551A1247" w14:textId="1CB33D5C" w:rsidR="00957D92" w:rsidRPr="00C07B20" w:rsidRDefault="00957D92" w:rsidP="00C07B20">
      <w:pPr>
        <w:pStyle w:val="2"/>
        <w:rPr>
          <w:color w:val="auto"/>
          <w:sz w:val="22"/>
          <w:szCs w:val="22"/>
        </w:rPr>
      </w:pPr>
      <w:bookmarkStart w:id="12" w:name="_Toc215771742"/>
      <w:r w:rsidRPr="00C07B20">
        <w:rPr>
          <w:color w:val="auto"/>
          <w:sz w:val="22"/>
          <w:szCs w:val="22"/>
        </w:rPr>
        <w:t>3.1 Employee Engagement (Using Kahn’s Engagement Theory)</w:t>
      </w:r>
      <w:bookmarkEnd w:id="12"/>
      <w:r w:rsidRPr="00C07B20">
        <w:rPr>
          <w:color w:val="auto"/>
          <w:sz w:val="22"/>
          <w:szCs w:val="22"/>
        </w:rPr>
        <w:t xml:space="preserve"> </w:t>
      </w:r>
    </w:p>
    <w:p w14:paraId="643C193D" w14:textId="77777777" w:rsidR="00957D92" w:rsidRPr="00957D92" w:rsidRDefault="00957D92" w:rsidP="00957D92">
      <w:pPr>
        <w:spacing w:line="360" w:lineRule="auto"/>
        <w:rPr>
          <w:rFonts w:ascii="Arial" w:hAnsi="Arial" w:cs="Arial"/>
        </w:rPr>
      </w:pPr>
      <w:r w:rsidRPr="00957D92">
        <w:rPr>
          <w:rFonts w:ascii="Arial" w:hAnsi="Arial" w:cs="Arial"/>
        </w:rPr>
        <w:t>Employee engagement is crucial during periods of transformation. Kahn (1990) states that engagement depends on psychological meaningfulness, safety and availability. At IBM UK, engagement is affected by rapid technological change, uncertain job roles and complex hybrid working patterns. Applying Kahn’s theory, HR should enhance meaningfulness through transparent communication about changes, psychological safety through supportive management, and availability through adequate training and digital tools.</w:t>
      </w:r>
    </w:p>
    <w:p w14:paraId="70A12521" w14:textId="77777777" w:rsidR="00957D92" w:rsidRPr="00957D92" w:rsidRDefault="00957D92" w:rsidP="00957D92">
      <w:pPr>
        <w:spacing w:line="360" w:lineRule="auto"/>
        <w:rPr>
          <w:rFonts w:ascii="Arial" w:hAnsi="Arial" w:cs="Arial"/>
        </w:rPr>
      </w:pPr>
      <w:r w:rsidRPr="00957D92">
        <w:rPr>
          <w:rFonts w:ascii="Arial" w:hAnsi="Arial" w:cs="Arial"/>
        </w:rPr>
        <w:t>Effective practices include employee voice mechanisms, pulse surveys, cross-team collaboration pathways and mental health support. These empower employees to express concerns, reducing grievances and building trust. However, engagement initiatives must be consistently applied, as fragmented efforts create disengagement and mistrust. IBM’s challenge is ensuring that engagement strategies remain relevant despite continuous technological change.</w:t>
      </w:r>
    </w:p>
    <w:p w14:paraId="711A595F" w14:textId="6F1A4F5E" w:rsidR="00957D92" w:rsidRPr="00957D92" w:rsidRDefault="00957D92" w:rsidP="00957D92">
      <w:pPr>
        <w:spacing w:line="360" w:lineRule="auto"/>
        <w:rPr>
          <w:rFonts w:ascii="Arial" w:hAnsi="Arial" w:cs="Arial"/>
        </w:rPr>
      </w:pPr>
    </w:p>
    <w:p w14:paraId="1AE3916B" w14:textId="0E2E21B1" w:rsidR="00957D92" w:rsidRPr="00C07B20" w:rsidRDefault="00957D92" w:rsidP="00C07B20">
      <w:pPr>
        <w:pStyle w:val="2"/>
        <w:rPr>
          <w:color w:val="auto"/>
          <w:sz w:val="22"/>
          <w:szCs w:val="22"/>
        </w:rPr>
      </w:pPr>
      <w:bookmarkStart w:id="13" w:name="_Toc215771743"/>
      <w:r w:rsidRPr="00C07B20">
        <w:rPr>
          <w:color w:val="auto"/>
          <w:sz w:val="22"/>
          <w:szCs w:val="22"/>
        </w:rPr>
        <w:lastRenderedPageBreak/>
        <w:t>3.2 Diversity, Equality and Inclusivity (Using Herzberg’s Motivation Theory)</w:t>
      </w:r>
      <w:bookmarkEnd w:id="13"/>
      <w:r w:rsidRPr="00C07B20">
        <w:rPr>
          <w:color w:val="auto"/>
          <w:sz w:val="22"/>
          <w:szCs w:val="22"/>
        </w:rPr>
        <w:t xml:space="preserve"> </w:t>
      </w:r>
    </w:p>
    <w:p w14:paraId="274E6BBF" w14:textId="77777777" w:rsidR="00957D92" w:rsidRPr="00957D92" w:rsidRDefault="00957D92" w:rsidP="00957D92">
      <w:pPr>
        <w:spacing w:line="360" w:lineRule="auto"/>
        <w:rPr>
          <w:rFonts w:ascii="Arial" w:hAnsi="Arial" w:cs="Arial"/>
        </w:rPr>
      </w:pPr>
      <w:r w:rsidRPr="00957D92">
        <w:rPr>
          <w:rFonts w:ascii="Arial" w:hAnsi="Arial" w:cs="Arial"/>
        </w:rPr>
        <w:t>Herzberg (1966) argues that motivation stems from intrinsic factors, such as recognition, responsibility and personal growth. DEI initiatives can act as both hygiene factors (reducing dissatisfaction) and motivators (enhancing fulfilment).</w:t>
      </w:r>
    </w:p>
    <w:p w14:paraId="068848DF" w14:textId="77777777" w:rsidR="00957D92" w:rsidRPr="00957D92" w:rsidRDefault="00957D92" w:rsidP="00957D92">
      <w:pPr>
        <w:spacing w:line="360" w:lineRule="auto"/>
        <w:rPr>
          <w:rFonts w:ascii="Arial" w:hAnsi="Arial" w:cs="Arial"/>
        </w:rPr>
      </w:pPr>
      <w:r w:rsidRPr="00957D92">
        <w:rPr>
          <w:rFonts w:ascii="Arial" w:hAnsi="Arial" w:cs="Arial"/>
        </w:rPr>
        <w:t>IBM UK’s diverse workforce presents opportunities for innovation but requires strong DEI policies to prevent conflict and improve belonging. Practices include inclusive recruitment, bias-aware performance evaluation, and multicultural leadership development. DEI also reduces grievances by ensuring equal access to training, promotions and flexible working.</w:t>
      </w:r>
    </w:p>
    <w:p w14:paraId="35603541" w14:textId="77777777" w:rsidR="00957D92" w:rsidRPr="00957D92" w:rsidRDefault="00957D92" w:rsidP="00957D92">
      <w:pPr>
        <w:spacing w:line="360" w:lineRule="auto"/>
        <w:rPr>
          <w:rFonts w:ascii="Arial" w:hAnsi="Arial" w:cs="Arial"/>
        </w:rPr>
      </w:pPr>
      <w:r w:rsidRPr="00957D92">
        <w:rPr>
          <w:rFonts w:ascii="Arial" w:hAnsi="Arial" w:cs="Arial"/>
        </w:rPr>
        <w:t>However, if DEI actions are symbolic rather than substantive, they fail to enhance motivation. Therefore, DEI must be embedded into everyday organisational life — not isolated HR activities. When effectively implemented, DEI enhances morale, productivity and innovation, consistent with Herzberg’s motivational principles.</w:t>
      </w:r>
    </w:p>
    <w:p w14:paraId="46E7D8D4" w14:textId="7034772D" w:rsidR="00957D92" w:rsidRPr="00957D92" w:rsidRDefault="00957D92" w:rsidP="00957D92">
      <w:pPr>
        <w:spacing w:line="360" w:lineRule="auto"/>
        <w:rPr>
          <w:rFonts w:ascii="Arial" w:hAnsi="Arial" w:cs="Arial"/>
        </w:rPr>
      </w:pPr>
    </w:p>
    <w:p w14:paraId="47760B2A" w14:textId="1B3C37C6" w:rsidR="00957D92" w:rsidRPr="00C07B20" w:rsidRDefault="00957D92" w:rsidP="00C07B20">
      <w:pPr>
        <w:pStyle w:val="2"/>
        <w:rPr>
          <w:color w:val="auto"/>
          <w:sz w:val="22"/>
          <w:szCs w:val="22"/>
        </w:rPr>
      </w:pPr>
      <w:bookmarkStart w:id="14" w:name="_Toc215771744"/>
      <w:r w:rsidRPr="00C07B20">
        <w:rPr>
          <w:color w:val="auto"/>
          <w:sz w:val="22"/>
          <w:szCs w:val="22"/>
        </w:rPr>
        <w:t>3.3 Learning and Development (Using Maslow’s Hierarchy of Needs)</w:t>
      </w:r>
      <w:bookmarkEnd w:id="14"/>
      <w:r w:rsidRPr="00C07B20">
        <w:rPr>
          <w:color w:val="auto"/>
          <w:sz w:val="22"/>
          <w:szCs w:val="22"/>
        </w:rPr>
        <w:t xml:space="preserve"> </w:t>
      </w:r>
    </w:p>
    <w:p w14:paraId="16973568" w14:textId="77777777" w:rsidR="00957D92" w:rsidRPr="00957D92" w:rsidRDefault="00957D92" w:rsidP="00957D92">
      <w:pPr>
        <w:spacing w:line="360" w:lineRule="auto"/>
        <w:rPr>
          <w:rFonts w:ascii="Arial" w:hAnsi="Arial" w:cs="Arial"/>
        </w:rPr>
      </w:pPr>
      <w:r w:rsidRPr="00957D92">
        <w:rPr>
          <w:rFonts w:ascii="Arial" w:hAnsi="Arial" w:cs="Arial"/>
        </w:rPr>
        <w:t>Maslow (1943) identifies growth needs (esteem and self-actualisation) as critical for long-term motivation. Learning and development (L&amp;D) addresses these needs by enabling employees to build competence, confidence and career progression.</w:t>
      </w:r>
    </w:p>
    <w:p w14:paraId="41E8A6E1" w14:textId="77777777" w:rsidR="00957D92" w:rsidRPr="00957D92" w:rsidRDefault="00957D92" w:rsidP="00957D92">
      <w:pPr>
        <w:spacing w:line="360" w:lineRule="auto"/>
        <w:rPr>
          <w:rFonts w:ascii="Arial" w:hAnsi="Arial" w:cs="Arial"/>
        </w:rPr>
      </w:pPr>
      <w:r w:rsidRPr="00957D92">
        <w:rPr>
          <w:rFonts w:ascii="Arial" w:hAnsi="Arial" w:cs="Arial"/>
        </w:rPr>
        <w:t>Given IBM’s rapid adoption of AI, investment in continuous upskilling is essential. IBM’s AI Skills Consortium reflects a strategic commitment to reskilling (IBM, 2024). Accessible L&amp;D programmes reduce employee anxiety, promote adaptability and support innovation, making them essential to transformation.</w:t>
      </w:r>
    </w:p>
    <w:p w14:paraId="1556E640" w14:textId="77777777" w:rsidR="00957D92" w:rsidRPr="00957D92" w:rsidRDefault="00957D92" w:rsidP="00957D92">
      <w:pPr>
        <w:spacing w:line="360" w:lineRule="auto"/>
        <w:rPr>
          <w:rFonts w:ascii="Arial" w:hAnsi="Arial" w:cs="Arial"/>
        </w:rPr>
      </w:pPr>
      <w:r w:rsidRPr="00957D92">
        <w:rPr>
          <w:rFonts w:ascii="Arial" w:hAnsi="Arial" w:cs="Arial"/>
        </w:rPr>
        <w:t>However, training must be meaningful, accessible and linked to career pathways. If L&amp;D is inconsistent or poorly communicated, employees may feel undervalued or unsupported, increasing grievances. Therefore, HR must ensure that development is equitable, targeted and aligned with business transformation goals.</w:t>
      </w:r>
    </w:p>
    <w:p w14:paraId="41CBD6ED" w14:textId="48B24D7B" w:rsidR="00957D92" w:rsidRPr="00957D92" w:rsidRDefault="00957D92" w:rsidP="00957D92">
      <w:pPr>
        <w:spacing w:line="360" w:lineRule="auto"/>
        <w:rPr>
          <w:rFonts w:ascii="Arial" w:hAnsi="Arial" w:cs="Arial"/>
        </w:rPr>
      </w:pPr>
    </w:p>
    <w:p w14:paraId="44012C59" w14:textId="2C8BD5FC" w:rsidR="00957D92" w:rsidRPr="00C07B20" w:rsidRDefault="00957D92" w:rsidP="00C07B20">
      <w:pPr>
        <w:pStyle w:val="1"/>
        <w:rPr>
          <w:rFonts w:ascii="Arial" w:hAnsi="Arial" w:cs="Arial"/>
          <w:b/>
          <w:bCs/>
          <w:color w:val="auto"/>
          <w:sz w:val="22"/>
          <w:szCs w:val="22"/>
        </w:rPr>
      </w:pPr>
      <w:bookmarkStart w:id="15" w:name="_Toc215771745"/>
      <w:r w:rsidRPr="00C07B20">
        <w:rPr>
          <w:rFonts w:ascii="Arial" w:hAnsi="Arial" w:cs="Arial"/>
          <w:b/>
          <w:bCs/>
          <w:color w:val="auto"/>
          <w:sz w:val="22"/>
          <w:szCs w:val="22"/>
        </w:rPr>
        <w:t>4. Critical Evaluation: How Managers Ensure Implementation</w:t>
      </w:r>
      <w:bookmarkEnd w:id="15"/>
      <w:r w:rsidRPr="00C07B20">
        <w:rPr>
          <w:rFonts w:ascii="Arial" w:hAnsi="Arial" w:cs="Arial"/>
          <w:b/>
          <w:bCs/>
          <w:color w:val="auto"/>
          <w:sz w:val="22"/>
          <w:szCs w:val="22"/>
        </w:rPr>
        <w:t xml:space="preserve"> </w:t>
      </w:r>
    </w:p>
    <w:p w14:paraId="7C0F1B89" w14:textId="431F8DB3" w:rsidR="00957D92" w:rsidRPr="00C07B20" w:rsidRDefault="00957D92" w:rsidP="00C07B20">
      <w:pPr>
        <w:pStyle w:val="2"/>
        <w:rPr>
          <w:color w:val="auto"/>
          <w:sz w:val="22"/>
          <w:szCs w:val="22"/>
        </w:rPr>
      </w:pPr>
      <w:bookmarkStart w:id="16" w:name="_Toc215771746"/>
      <w:r w:rsidRPr="00C07B20">
        <w:rPr>
          <w:color w:val="auto"/>
          <w:sz w:val="22"/>
          <w:szCs w:val="22"/>
        </w:rPr>
        <w:t>4.1 Leading by Example</w:t>
      </w:r>
      <w:bookmarkEnd w:id="16"/>
      <w:r w:rsidRPr="00C07B20">
        <w:rPr>
          <w:color w:val="auto"/>
          <w:sz w:val="22"/>
          <w:szCs w:val="22"/>
        </w:rPr>
        <w:t xml:space="preserve"> </w:t>
      </w:r>
    </w:p>
    <w:p w14:paraId="6AA0425D" w14:textId="77777777" w:rsidR="00957D92" w:rsidRPr="00957D92" w:rsidRDefault="00957D92" w:rsidP="00957D92">
      <w:pPr>
        <w:spacing w:line="360" w:lineRule="auto"/>
        <w:rPr>
          <w:rFonts w:ascii="Arial" w:hAnsi="Arial" w:cs="Arial"/>
        </w:rPr>
      </w:pPr>
      <w:r w:rsidRPr="00957D92">
        <w:rPr>
          <w:rFonts w:ascii="Arial" w:hAnsi="Arial" w:cs="Arial"/>
        </w:rPr>
        <w:t>Departmental managers play a decisive role in determining whether HR initiatives are successfully implemented. Leading by example is essential, as employees rely on leaders to model behaviours that support change. According to Kotter (1996), transformation requires leaders to create urgency, communicate vision and demonstrate commitment through action.</w:t>
      </w:r>
    </w:p>
    <w:p w14:paraId="211EE3B2" w14:textId="77777777" w:rsidR="00957D92" w:rsidRPr="00957D92" w:rsidRDefault="00957D92" w:rsidP="00957D92">
      <w:pPr>
        <w:spacing w:line="360" w:lineRule="auto"/>
        <w:rPr>
          <w:rFonts w:ascii="Arial" w:hAnsi="Arial" w:cs="Arial"/>
        </w:rPr>
      </w:pPr>
      <w:r w:rsidRPr="00957D92">
        <w:rPr>
          <w:rFonts w:ascii="Arial" w:hAnsi="Arial" w:cs="Arial"/>
        </w:rPr>
        <w:lastRenderedPageBreak/>
        <w:t>At IBM UK, managers must adopt inclusive behaviour, utilise digital tools effectively and engage in continuous learning. For example, if managers do not complete mandatory AI or cybersecurity training, employees are less likely to take it seriously. Similarly, if managers show resistance to hybrid working or fail to respect flexible scheduling, teams may feel disempowered or unfairly treated.</w:t>
      </w:r>
    </w:p>
    <w:p w14:paraId="3911EB72" w14:textId="77777777" w:rsidR="00957D92" w:rsidRPr="00957D92" w:rsidRDefault="00957D92" w:rsidP="00957D92">
      <w:pPr>
        <w:spacing w:line="360" w:lineRule="auto"/>
        <w:rPr>
          <w:rFonts w:ascii="Arial" w:hAnsi="Arial" w:cs="Arial"/>
        </w:rPr>
      </w:pPr>
      <w:r w:rsidRPr="00957D92">
        <w:rPr>
          <w:rFonts w:ascii="Arial" w:hAnsi="Arial" w:cs="Arial"/>
        </w:rPr>
        <w:t>Leading by example creates trust and supports cultural alignment. It signals to employees that HR initiatives are not abstract policies but essential organisational priorities. This contributes to reduced grievances, strengthened engagement and improved team cohesion.</w:t>
      </w:r>
    </w:p>
    <w:p w14:paraId="7F824EB3" w14:textId="6A475EE6" w:rsidR="00957D92" w:rsidRPr="00957D92" w:rsidRDefault="00957D92" w:rsidP="00957D92">
      <w:pPr>
        <w:spacing w:line="360" w:lineRule="auto"/>
        <w:rPr>
          <w:rFonts w:ascii="Arial" w:hAnsi="Arial" w:cs="Arial"/>
        </w:rPr>
      </w:pPr>
    </w:p>
    <w:p w14:paraId="45122482" w14:textId="4F108B06" w:rsidR="00957D92" w:rsidRPr="00C07B20" w:rsidRDefault="00957D92" w:rsidP="00C07B20">
      <w:pPr>
        <w:pStyle w:val="2"/>
        <w:rPr>
          <w:color w:val="auto"/>
          <w:sz w:val="22"/>
          <w:szCs w:val="22"/>
        </w:rPr>
      </w:pPr>
      <w:bookmarkStart w:id="17" w:name="_Toc215771747"/>
      <w:r w:rsidRPr="00C07B20">
        <w:rPr>
          <w:color w:val="auto"/>
          <w:sz w:val="22"/>
          <w:szCs w:val="22"/>
        </w:rPr>
        <w:t>4.2 Aligning Departmental Goals with HR Priorities</w:t>
      </w:r>
      <w:bookmarkEnd w:id="17"/>
      <w:r w:rsidRPr="00C07B20">
        <w:rPr>
          <w:color w:val="auto"/>
          <w:sz w:val="22"/>
          <w:szCs w:val="22"/>
        </w:rPr>
        <w:t xml:space="preserve"> </w:t>
      </w:r>
    </w:p>
    <w:p w14:paraId="640F7640" w14:textId="77777777" w:rsidR="00957D92" w:rsidRPr="00957D92" w:rsidRDefault="00957D92" w:rsidP="00957D92">
      <w:pPr>
        <w:spacing w:line="360" w:lineRule="auto"/>
        <w:rPr>
          <w:rFonts w:ascii="Arial" w:hAnsi="Arial" w:cs="Arial"/>
        </w:rPr>
      </w:pPr>
      <w:r w:rsidRPr="00957D92">
        <w:rPr>
          <w:rFonts w:ascii="Arial" w:hAnsi="Arial" w:cs="Arial"/>
        </w:rPr>
        <w:t>HR practices only succeed when integrated with operational objectives. Managers must ensure that engagement, DEI and L&amp;D initiatives support project outcomes and customer requirements. This is particularly important for IBM UK, where client projects require cross-functional collaboration and high levels of technical competence.</w:t>
      </w:r>
    </w:p>
    <w:p w14:paraId="40386C16" w14:textId="77777777" w:rsidR="00957D92" w:rsidRPr="00957D92" w:rsidRDefault="00957D92" w:rsidP="00957D92">
      <w:pPr>
        <w:spacing w:line="360" w:lineRule="auto"/>
        <w:rPr>
          <w:rFonts w:ascii="Arial" w:hAnsi="Arial" w:cs="Arial"/>
        </w:rPr>
      </w:pPr>
      <w:r w:rsidRPr="00957D92">
        <w:rPr>
          <w:rFonts w:ascii="Arial" w:hAnsi="Arial" w:cs="Arial"/>
        </w:rPr>
        <w:t>Managers should translate strategic HR intentions — such as enhancing digital skills or strengthening hybrid working — into practical departmental goals. Examples include:</w:t>
      </w:r>
    </w:p>
    <w:p w14:paraId="4F9764FA" w14:textId="77777777" w:rsidR="00957D92" w:rsidRPr="00957D92" w:rsidRDefault="00957D92" w:rsidP="00957D92">
      <w:pPr>
        <w:numPr>
          <w:ilvl w:val="0"/>
          <w:numId w:val="6"/>
        </w:numPr>
        <w:spacing w:line="360" w:lineRule="auto"/>
        <w:rPr>
          <w:rFonts w:ascii="Arial" w:hAnsi="Arial" w:cs="Arial"/>
        </w:rPr>
      </w:pPr>
      <w:r w:rsidRPr="00957D92">
        <w:rPr>
          <w:rFonts w:ascii="Arial" w:hAnsi="Arial" w:cs="Arial"/>
        </w:rPr>
        <w:t>Setting team-based learning targets aligned with AI transformation.</w:t>
      </w:r>
    </w:p>
    <w:p w14:paraId="7E09B49E" w14:textId="77777777" w:rsidR="00957D92" w:rsidRPr="00957D92" w:rsidRDefault="00957D92" w:rsidP="00957D92">
      <w:pPr>
        <w:numPr>
          <w:ilvl w:val="0"/>
          <w:numId w:val="6"/>
        </w:numPr>
        <w:spacing w:line="360" w:lineRule="auto"/>
        <w:rPr>
          <w:rFonts w:ascii="Arial" w:hAnsi="Arial" w:cs="Arial"/>
        </w:rPr>
      </w:pPr>
      <w:r w:rsidRPr="00957D92">
        <w:rPr>
          <w:rFonts w:ascii="Arial" w:hAnsi="Arial" w:cs="Arial"/>
        </w:rPr>
        <w:t>Integrating DEI outcomes into performance evaluations.</w:t>
      </w:r>
    </w:p>
    <w:p w14:paraId="5562FD85" w14:textId="77777777" w:rsidR="00957D92" w:rsidRPr="00957D92" w:rsidRDefault="00957D92" w:rsidP="00957D92">
      <w:pPr>
        <w:numPr>
          <w:ilvl w:val="0"/>
          <w:numId w:val="6"/>
        </w:numPr>
        <w:spacing w:line="360" w:lineRule="auto"/>
        <w:rPr>
          <w:rFonts w:ascii="Arial" w:hAnsi="Arial" w:cs="Arial"/>
        </w:rPr>
      </w:pPr>
      <w:r w:rsidRPr="00957D92">
        <w:rPr>
          <w:rFonts w:ascii="Arial" w:hAnsi="Arial" w:cs="Arial"/>
        </w:rPr>
        <w:t>Implementing structured hybrid schedules that support both collaboration and individual productivity.</w:t>
      </w:r>
    </w:p>
    <w:p w14:paraId="51A4B55A" w14:textId="77777777" w:rsidR="00957D92" w:rsidRPr="00957D92" w:rsidRDefault="00957D92" w:rsidP="00957D92">
      <w:pPr>
        <w:spacing w:line="360" w:lineRule="auto"/>
        <w:rPr>
          <w:rFonts w:ascii="Arial" w:hAnsi="Arial" w:cs="Arial"/>
        </w:rPr>
      </w:pPr>
      <w:r w:rsidRPr="00957D92">
        <w:rPr>
          <w:rFonts w:ascii="Arial" w:hAnsi="Arial" w:cs="Arial"/>
        </w:rPr>
        <w:t>By aligning HR priorities with departmental performance indicators, managers create coherence and accountability. This reduces inconsistencies and ensures HR practices are applied equitably. It also ensures that HR strategies contribute to improved service delivery and organisational resilience during rapid change.</w:t>
      </w:r>
    </w:p>
    <w:p w14:paraId="70BB9986" w14:textId="67FD98A5" w:rsidR="00957D92" w:rsidRPr="00957D92" w:rsidRDefault="00E81A64" w:rsidP="00E81A64">
      <w:pPr>
        <w:rPr>
          <w:rFonts w:ascii="Arial" w:hAnsi="Arial" w:cs="Arial"/>
        </w:rPr>
      </w:pPr>
      <w:r>
        <w:rPr>
          <w:rFonts w:ascii="Arial" w:hAnsi="Arial" w:cs="Arial"/>
        </w:rPr>
        <w:br w:type="page"/>
      </w:r>
    </w:p>
    <w:p w14:paraId="1B2D5729" w14:textId="79AC83C0" w:rsidR="00957D92" w:rsidRPr="00C07B20" w:rsidRDefault="00957D92" w:rsidP="00C07B20">
      <w:pPr>
        <w:pStyle w:val="1"/>
        <w:rPr>
          <w:rFonts w:ascii="Arial" w:hAnsi="Arial" w:cs="Arial"/>
          <w:b/>
          <w:bCs/>
          <w:color w:val="auto"/>
          <w:sz w:val="22"/>
          <w:szCs w:val="22"/>
        </w:rPr>
      </w:pPr>
      <w:bookmarkStart w:id="18" w:name="_Toc215771748"/>
      <w:r w:rsidRPr="00C07B20">
        <w:rPr>
          <w:rFonts w:ascii="Arial" w:hAnsi="Arial" w:cs="Arial"/>
          <w:b/>
          <w:bCs/>
          <w:color w:val="auto"/>
          <w:sz w:val="22"/>
          <w:szCs w:val="22"/>
        </w:rPr>
        <w:lastRenderedPageBreak/>
        <w:t>5. Conclusion</w:t>
      </w:r>
      <w:bookmarkEnd w:id="18"/>
      <w:r w:rsidRPr="00C07B20">
        <w:rPr>
          <w:rFonts w:ascii="Arial" w:hAnsi="Arial" w:cs="Arial"/>
          <w:b/>
          <w:bCs/>
          <w:color w:val="auto"/>
          <w:sz w:val="22"/>
          <w:szCs w:val="22"/>
        </w:rPr>
        <w:t xml:space="preserve"> </w:t>
      </w:r>
    </w:p>
    <w:p w14:paraId="35757CBD" w14:textId="77777777" w:rsidR="00957D92" w:rsidRPr="00957D92" w:rsidRDefault="00957D92" w:rsidP="00957D92">
      <w:pPr>
        <w:spacing w:line="360" w:lineRule="auto"/>
        <w:rPr>
          <w:rFonts w:ascii="Arial" w:hAnsi="Arial" w:cs="Arial"/>
        </w:rPr>
      </w:pPr>
      <w:r w:rsidRPr="00957D92">
        <w:rPr>
          <w:rFonts w:ascii="Arial" w:hAnsi="Arial" w:cs="Arial"/>
        </w:rPr>
        <w:t>In conclusion, IBM UK is experiencing significant change due to societal, technological and organisational developments. These shifts affect workforce expectations, job roles, collaboration patterns and employee wellbeing. Contemporary HR practices, when effectively applied, help address these challenges by supporting engagement, inclusion and continuous learning. However, successful implementation depends heavily on managers who must lead by example and align HR priorities with departmental goals. By strengthening leadership commitment and ensuring consistent application, IBM UK can reduce grievances, enhance workforce capability and maintain its competitive position in a rapidly evolving digital landscape.</w:t>
      </w:r>
    </w:p>
    <w:p w14:paraId="773F2504" w14:textId="4F106BA3" w:rsidR="00957D92" w:rsidRPr="00957D92" w:rsidRDefault="00957D92" w:rsidP="00957D92">
      <w:pPr>
        <w:spacing w:line="360" w:lineRule="auto"/>
        <w:rPr>
          <w:rFonts w:ascii="Arial" w:hAnsi="Arial" w:cs="Arial"/>
        </w:rPr>
      </w:pPr>
    </w:p>
    <w:p w14:paraId="4C7BF9CC" w14:textId="6EB273C6" w:rsidR="00957D92" w:rsidRPr="00C07B20" w:rsidRDefault="00957D92" w:rsidP="00C07B20">
      <w:pPr>
        <w:pStyle w:val="1"/>
        <w:rPr>
          <w:rFonts w:ascii="Arial" w:hAnsi="Arial" w:cs="Arial"/>
          <w:b/>
          <w:bCs/>
          <w:color w:val="auto"/>
          <w:sz w:val="22"/>
          <w:szCs w:val="22"/>
        </w:rPr>
      </w:pPr>
      <w:bookmarkStart w:id="19" w:name="_Toc215771749"/>
      <w:r w:rsidRPr="00C07B20">
        <w:rPr>
          <w:rFonts w:ascii="Arial" w:hAnsi="Arial" w:cs="Arial"/>
          <w:b/>
          <w:bCs/>
          <w:color w:val="auto"/>
          <w:sz w:val="22"/>
          <w:szCs w:val="22"/>
        </w:rPr>
        <w:t>6. Recommendations</w:t>
      </w:r>
      <w:bookmarkEnd w:id="19"/>
      <w:r w:rsidRPr="00C07B20">
        <w:rPr>
          <w:rFonts w:ascii="Arial" w:hAnsi="Arial" w:cs="Arial"/>
          <w:b/>
          <w:bCs/>
          <w:color w:val="auto"/>
          <w:sz w:val="22"/>
          <w:szCs w:val="22"/>
        </w:rPr>
        <w:t xml:space="preserve"> </w:t>
      </w:r>
    </w:p>
    <w:p w14:paraId="4B2ADDF3" w14:textId="77777777" w:rsidR="00957D92" w:rsidRPr="00957D92" w:rsidRDefault="00957D92" w:rsidP="00957D92">
      <w:pPr>
        <w:spacing w:line="360" w:lineRule="auto"/>
        <w:rPr>
          <w:rFonts w:ascii="Arial" w:hAnsi="Arial" w:cs="Arial"/>
        </w:rPr>
      </w:pPr>
      <w:r w:rsidRPr="00957D92">
        <w:rPr>
          <w:rFonts w:ascii="Arial" w:hAnsi="Arial" w:cs="Arial"/>
        </w:rPr>
        <w:t>IBM UK should strengthen training programmes for AI and cybersecurity, improve hybrid working consistency, enhance DEI integration, and ensure equitable access to flexible hours. Managers must commit to leading by example and aligning HR practices with operational goals. Clear communication, inclusive leadership and regular performance reviews will reduce grievances and support a resilient, future-ready workforce.</w:t>
      </w:r>
    </w:p>
    <w:p w14:paraId="18F1ADBB" w14:textId="0AA29E07" w:rsidR="00957D92" w:rsidRPr="00957D92" w:rsidRDefault="00C07B20" w:rsidP="00C07B20">
      <w:pPr>
        <w:rPr>
          <w:rFonts w:ascii="Arial" w:hAnsi="Arial" w:cs="Arial"/>
        </w:rPr>
      </w:pPr>
      <w:r>
        <w:rPr>
          <w:rFonts w:ascii="Arial" w:hAnsi="Arial" w:cs="Arial"/>
        </w:rPr>
        <w:br w:type="page"/>
      </w:r>
    </w:p>
    <w:p w14:paraId="5BDF070A" w14:textId="13987B97" w:rsidR="00957D92" w:rsidRPr="00C07B20" w:rsidRDefault="00957D92" w:rsidP="00C07B20">
      <w:pPr>
        <w:pStyle w:val="1"/>
        <w:rPr>
          <w:rFonts w:ascii="Arial" w:hAnsi="Arial" w:cs="Arial"/>
          <w:b/>
          <w:bCs/>
          <w:color w:val="auto"/>
          <w:sz w:val="22"/>
          <w:szCs w:val="22"/>
        </w:rPr>
      </w:pPr>
      <w:bookmarkStart w:id="20" w:name="_Toc215771750"/>
      <w:r w:rsidRPr="00C07B20">
        <w:rPr>
          <w:rFonts w:ascii="Arial" w:hAnsi="Arial" w:cs="Arial"/>
          <w:b/>
          <w:bCs/>
          <w:color w:val="auto"/>
          <w:sz w:val="22"/>
          <w:szCs w:val="22"/>
        </w:rPr>
        <w:lastRenderedPageBreak/>
        <w:t>7. Reference List</w:t>
      </w:r>
      <w:bookmarkEnd w:id="20"/>
      <w:r w:rsidRPr="00C07B20">
        <w:rPr>
          <w:rFonts w:ascii="Arial" w:hAnsi="Arial" w:cs="Arial"/>
          <w:b/>
          <w:bCs/>
          <w:color w:val="auto"/>
          <w:sz w:val="22"/>
          <w:szCs w:val="22"/>
        </w:rPr>
        <w:t xml:space="preserve"> </w:t>
      </w:r>
    </w:p>
    <w:p w14:paraId="161DF03D" w14:textId="558F66D7" w:rsidR="00957D92" w:rsidRPr="00957D92" w:rsidRDefault="00957D92" w:rsidP="00957D92">
      <w:pPr>
        <w:spacing w:line="360" w:lineRule="auto"/>
        <w:rPr>
          <w:rFonts w:ascii="Arial" w:hAnsi="Arial" w:cs="Arial"/>
        </w:rPr>
      </w:pPr>
      <w:r w:rsidRPr="00957D92">
        <w:rPr>
          <w:rFonts w:ascii="Arial" w:hAnsi="Arial" w:cs="Arial"/>
        </w:rPr>
        <w:t xml:space="preserve">IBM (2023) </w:t>
      </w:r>
      <w:r w:rsidRPr="00957D92">
        <w:rPr>
          <w:rFonts w:ascii="Arial" w:hAnsi="Arial" w:cs="Arial"/>
          <w:i/>
          <w:iCs/>
        </w:rPr>
        <w:t>IBM Study: AI drives massive shifts in jobs and skills as employees prioritise meaningful work.</w:t>
      </w:r>
      <w:r w:rsidRPr="00957D92">
        <w:rPr>
          <w:rFonts w:ascii="Arial" w:hAnsi="Arial" w:cs="Arial"/>
        </w:rPr>
        <w:t xml:space="preserve"> IBM UK Newsroom. Available at: https://uk.newsroom.ibm.com/2023-08-14 (Accessed: </w:t>
      </w:r>
      <w:r>
        <w:rPr>
          <w:rFonts w:ascii="Arial" w:hAnsi="Arial" w:cs="Arial"/>
        </w:rPr>
        <w:t>4</w:t>
      </w:r>
      <w:r w:rsidRPr="00957D92">
        <w:rPr>
          <w:rFonts w:ascii="Arial" w:hAnsi="Arial" w:cs="Arial"/>
        </w:rPr>
        <w:t>December 2025).</w:t>
      </w:r>
    </w:p>
    <w:p w14:paraId="15961354" w14:textId="53A779CE" w:rsidR="00957D92" w:rsidRPr="00957D92" w:rsidRDefault="00957D92" w:rsidP="00957D92">
      <w:pPr>
        <w:spacing w:line="360" w:lineRule="auto"/>
        <w:rPr>
          <w:rFonts w:ascii="Arial" w:hAnsi="Arial" w:cs="Arial"/>
        </w:rPr>
      </w:pPr>
      <w:r w:rsidRPr="00957D92">
        <w:rPr>
          <w:rFonts w:ascii="Arial" w:hAnsi="Arial" w:cs="Arial"/>
        </w:rPr>
        <w:t xml:space="preserve">IBM (2024) </w:t>
      </w:r>
      <w:r w:rsidRPr="00957D92">
        <w:rPr>
          <w:rFonts w:ascii="Arial" w:hAnsi="Arial" w:cs="Arial"/>
          <w:i/>
          <w:iCs/>
        </w:rPr>
        <w:t>Leading companies launch consortium to address AI’s impact on the technology workforce.</w:t>
      </w:r>
      <w:r w:rsidRPr="00957D92">
        <w:rPr>
          <w:rFonts w:ascii="Arial" w:hAnsi="Arial" w:cs="Arial"/>
        </w:rPr>
        <w:t xml:space="preserve"> IBM Newsroom. Available at: https://newsroom.ibm.com/2024-04-04 (Accessed: </w:t>
      </w:r>
      <w:r>
        <w:rPr>
          <w:rFonts w:ascii="Arial" w:hAnsi="Arial" w:cs="Arial"/>
        </w:rPr>
        <w:t>4</w:t>
      </w:r>
      <w:r w:rsidRPr="00957D92">
        <w:rPr>
          <w:rFonts w:ascii="Arial" w:hAnsi="Arial" w:cs="Arial"/>
        </w:rPr>
        <w:t xml:space="preserve"> December 2025).</w:t>
      </w:r>
    </w:p>
    <w:p w14:paraId="397035B6" w14:textId="352AE442" w:rsidR="00957D92" w:rsidRPr="00957D92" w:rsidRDefault="00957D92" w:rsidP="00957D92">
      <w:pPr>
        <w:spacing w:line="360" w:lineRule="auto"/>
        <w:rPr>
          <w:rFonts w:ascii="Arial" w:hAnsi="Arial" w:cs="Arial"/>
        </w:rPr>
      </w:pPr>
      <w:r w:rsidRPr="00957D92">
        <w:rPr>
          <w:rFonts w:ascii="Arial" w:hAnsi="Arial" w:cs="Arial"/>
        </w:rPr>
        <w:t xml:space="preserve">IBM (2024) </w:t>
      </w:r>
      <w:r w:rsidRPr="00957D92">
        <w:rPr>
          <w:rFonts w:ascii="Arial" w:hAnsi="Arial" w:cs="Arial"/>
          <w:i/>
          <w:iCs/>
        </w:rPr>
        <w:t>IBM Annual Report 2024.</w:t>
      </w:r>
      <w:r w:rsidRPr="00957D92">
        <w:rPr>
          <w:rFonts w:ascii="Arial" w:hAnsi="Arial" w:cs="Arial"/>
        </w:rPr>
        <w:t xml:space="preserve"> IBM Investor Relations. Available at: </w:t>
      </w:r>
      <w:hyperlink r:id="rId11" w:tgtFrame="_new" w:history="1">
        <w:r w:rsidRPr="00957D92">
          <w:rPr>
            <w:rStyle w:val="af"/>
            <w:rFonts w:ascii="Arial" w:hAnsi="Arial" w:cs="Arial"/>
          </w:rPr>
          <w:t>https://www.ibm.com/annualreport</w:t>
        </w:r>
      </w:hyperlink>
      <w:r w:rsidRPr="00957D92">
        <w:rPr>
          <w:rFonts w:ascii="Arial" w:hAnsi="Arial" w:cs="Arial"/>
        </w:rPr>
        <w:t xml:space="preserve"> (Accessed: </w:t>
      </w:r>
      <w:r>
        <w:rPr>
          <w:rFonts w:ascii="Arial" w:hAnsi="Arial" w:cs="Arial"/>
        </w:rPr>
        <w:t>3</w:t>
      </w:r>
      <w:r w:rsidRPr="00957D92">
        <w:rPr>
          <w:rFonts w:ascii="Arial" w:hAnsi="Arial" w:cs="Arial"/>
        </w:rPr>
        <w:t xml:space="preserve"> December 2025).</w:t>
      </w:r>
    </w:p>
    <w:p w14:paraId="20C969CD" w14:textId="77777777" w:rsidR="00957D92" w:rsidRPr="00957D92" w:rsidRDefault="00957D92" w:rsidP="00957D92">
      <w:pPr>
        <w:spacing w:line="360" w:lineRule="auto"/>
        <w:rPr>
          <w:rFonts w:ascii="Arial" w:hAnsi="Arial" w:cs="Arial"/>
        </w:rPr>
      </w:pPr>
      <w:r w:rsidRPr="00957D92">
        <w:rPr>
          <w:rFonts w:ascii="Arial" w:hAnsi="Arial" w:cs="Arial"/>
        </w:rPr>
        <w:t xml:space="preserve">IBM (2025) </w:t>
      </w:r>
      <w:r w:rsidRPr="00957D92">
        <w:rPr>
          <w:rFonts w:ascii="Arial" w:hAnsi="Arial" w:cs="Arial"/>
          <w:i/>
          <w:iCs/>
        </w:rPr>
        <w:t>IBM report: Two-thirds of UK firms gain from AI; reskilling key to unlocking greater productivity.</w:t>
      </w:r>
      <w:r w:rsidRPr="00957D92">
        <w:rPr>
          <w:rFonts w:ascii="Arial" w:hAnsi="Arial" w:cs="Arial"/>
        </w:rPr>
        <w:t xml:space="preserve"> IBM Newsroom. (Accessed: 5 December 2025).</w:t>
      </w:r>
    </w:p>
    <w:p w14:paraId="69EC996A" w14:textId="77777777" w:rsidR="00957D92" w:rsidRPr="00957D92" w:rsidRDefault="00957D92" w:rsidP="00957D92">
      <w:pPr>
        <w:spacing w:line="360" w:lineRule="auto"/>
        <w:rPr>
          <w:rFonts w:ascii="Arial" w:hAnsi="Arial" w:cs="Arial"/>
        </w:rPr>
      </w:pPr>
      <w:r w:rsidRPr="00957D92">
        <w:rPr>
          <w:rFonts w:ascii="Arial" w:hAnsi="Arial" w:cs="Arial"/>
        </w:rPr>
        <w:t xml:space="preserve">GOV.UK (2025) </w:t>
      </w:r>
      <w:r w:rsidRPr="00957D92">
        <w:rPr>
          <w:rFonts w:ascii="Arial" w:hAnsi="Arial" w:cs="Arial"/>
          <w:i/>
          <w:iCs/>
        </w:rPr>
        <w:t>Plans to boost skills and diversity in UK cyber backed by tech giant IBM.</w:t>
      </w:r>
      <w:r w:rsidRPr="00957D92">
        <w:rPr>
          <w:rFonts w:ascii="Arial" w:hAnsi="Arial" w:cs="Arial"/>
        </w:rPr>
        <w:t xml:space="preserve"> Available at: </w:t>
      </w:r>
      <w:hyperlink r:id="rId12" w:tgtFrame="_new" w:history="1">
        <w:r w:rsidRPr="00957D92">
          <w:rPr>
            <w:rStyle w:val="af"/>
            <w:rFonts w:ascii="Arial" w:hAnsi="Arial" w:cs="Arial"/>
          </w:rPr>
          <w:t>https://www.gov.uk/government/news/plans-to-boost-skills-and-diversity-in-uk-cyber-backed-by-tech-giant-ibm</w:t>
        </w:r>
      </w:hyperlink>
      <w:r w:rsidRPr="00957D92">
        <w:rPr>
          <w:rFonts w:ascii="Arial" w:hAnsi="Arial" w:cs="Arial"/>
        </w:rPr>
        <w:t xml:space="preserve"> (Accessed: 5 December 2025).</w:t>
      </w:r>
    </w:p>
    <w:p w14:paraId="34C65D56" w14:textId="17B54078" w:rsidR="00957D92" w:rsidRPr="00957D92" w:rsidRDefault="00957D92" w:rsidP="00957D92">
      <w:pPr>
        <w:spacing w:line="360" w:lineRule="auto"/>
        <w:rPr>
          <w:rFonts w:ascii="Arial" w:hAnsi="Arial" w:cs="Arial"/>
        </w:rPr>
      </w:pPr>
      <w:r w:rsidRPr="00957D92">
        <w:rPr>
          <w:rFonts w:ascii="Arial" w:hAnsi="Arial" w:cs="Arial"/>
        </w:rPr>
        <w:t xml:space="preserve">GOV.UK (2023) </w:t>
      </w:r>
      <w:r w:rsidRPr="00957D92">
        <w:rPr>
          <w:rFonts w:ascii="Arial" w:hAnsi="Arial" w:cs="Arial"/>
          <w:i/>
          <w:iCs/>
        </w:rPr>
        <w:t>Flexible Working Regulations.</w:t>
      </w:r>
      <w:r w:rsidRPr="00957D92">
        <w:rPr>
          <w:rFonts w:ascii="Arial" w:hAnsi="Arial" w:cs="Arial"/>
        </w:rPr>
        <w:t xml:space="preserve"> Available at: </w:t>
      </w:r>
      <w:hyperlink r:id="rId13" w:tgtFrame="_new" w:history="1">
        <w:r w:rsidRPr="00957D92">
          <w:rPr>
            <w:rStyle w:val="af"/>
            <w:rFonts w:ascii="Arial" w:hAnsi="Arial" w:cs="Arial"/>
          </w:rPr>
          <w:t>https://www.gov.uk/flexible-working</w:t>
        </w:r>
      </w:hyperlink>
      <w:r w:rsidRPr="00957D92">
        <w:rPr>
          <w:rFonts w:ascii="Arial" w:hAnsi="Arial" w:cs="Arial"/>
        </w:rPr>
        <w:t xml:space="preserve"> (Accessed: </w:t>
      </w:r>
      <w:r>
        <w:rPr>
          <w:rFonts w:ascii="Arial" w:hAnsi="Arial" w:cs="Arial"/>
        </w:rPr>
        <w:t>3</w:t>
      </w:r>
      <w:r w:rsidRPr="00957D92">
        <w:rPr>
          <w:rFonts w:ascii="Arial" w:hAnsi="Arial" w:cs="Arial"/>
        </w:rPr>
        <w:t xml:space="preserve"> December 2025).</w:t>
      </w:r>
    </w:p>
    <w:p w14:paraId="38F78050" w14:textId="349874EF" w:rsidR="00957D92" w:rsidRPr="00957D92" w:rsidRDefault="00957D92" w:rsidP="00957D92">
      <w:pPr>
        <w:spacing w:line="360" w:lineRule="auto"/>
        <w:rPr>
          <w:rFonts w:ascii="Arial" w:hAnsi="Arial" w:cs="Arial"/>
        </w:rPr>
      </w:pPr>
      <w:r w:rsidRPr="00957D92">
        <w:rPr>
          <w:rFonts w:ascii="Arial" w:hAnsi="Arial" w:cs="Arial"/>
        </w:rPr>
        <w:t xml:space="preserve">ONS (2024) </w:t>
      </w:r>
      <w:r w:rsidRPr="00957D92">
        <w:rPr>
          <w:rFonts w:ascii="Arial" w:hAnsi="Arial" w:cs="Arial"/>
          <w:i/>
          <w:iCs/>
        </w:rPr>
        <w:t>UK Labour Market Overview.</w:t>
      </w:r>
      <w:r w:rsidRPr="00957D92">
        <w:rPr>
          <w:rFonts w:ascii="Arial" w:hAnsi="Arial" w:cs="Arial"/>
        </w:rPr>
        <w:t xml:space="preserve"> Available at: </w:t>
      </w:r>
      <w:hyperlink r:id="rId14" w:tgtFrame="_new" w:history="1">
        <w:r w:rsidRPr="00957D92">
          <w:rPr>
            <w:rStyle w:val="af"/>
            <w:rFonts w:ascii="Arial" w:hAnsi="Arial" w:cs="Arial"/>
          </w:rPr>
          <w:t>https://www.ons.gov.uk</w:t>
        </w:r>
      </w:hyperlink>
      <w:r w:rsidRPr="00957D92">
        <w:rPr>
          <w:rFonts w:ascii="Arial" w:hAnsi="Arial" w:cs="Arial"/>
        </w:rPr>
        <w:t xml:space="preserve"> (Accessed: </w:t>
      </w:r>
      <w:r>
        <w:rPr>
          <w:rFonts w:ascii="Arial" w:hAnsi="Arial" w:cs="Arial"/>
        </w:rPr>
        <w:t>2</w:t>
      </w:r>
      <w:r w:rsidRPr="00957D92">
        <w:rPr>
          <w:rFonts w:ascii="Arial" w:hAnsi="Arial" w:cs="Arial"/>
        </w:rPr>
        <w:t xml:space="preserve"> December 2025).</w:t>
      </w:r>
    </w:p>
    <w:p w14:paraId="0A024F43" w14:textId="05FE8AD6" w:rsidR="00957D92" w:rsidRPr="00957D92" w:rsidRDefault="00957D92" w:rsidP="00957D92">
      <w:pPr>
        <w:spacing w:line="360" w:lineRule="auto"/>
        <w:rPr>
          <w:rFonts w:ascii="Arial" w:hAnsi="Arial" w:cs="Arial"/>
        </w:rPr>
      </w:pPr>
      <w:r w:rsidRPr="00957D92">
        <w:rPr>
          <w:rFonts w:ascii="Arial" w:hAnsi="Arial" w:cs="Arial"/>
        </w:rPr>
        <w:t xml:space="preserve">CIPD (2023) </w:t>
      </w:r>
      <w:r w:rsidRPr="00957D92">
        <w:rPr>
          <w:rFonts w:ascii="Arial" w:hAnsi="Arial" w:cs="Arial"/>
          <w:i/>
          <w:iCs/>
        </w:rPr>
        <w:t>Flexible and Hybrid Working Guide.</w:t>
      </w:r>
      <w:r w:rsidRPr="00957D92">
        <w:rPr>
          <w:rFonts w:ascii="Arial" w:hAnsi="Arial" w:cs="Arial"/>
        </w:rPr>
        <w:t xml:space="preserve"> Available at: </w:t>
      </w:r>
      <w:hyperlink r:id="rId15" w:tgtFrame="_new" w:history="1">
        <w:r w:rsidRPr="00957D92">
          <w:rPr>
            <w:rStyle w:val="af"/>
            <w:rFonts w:ascii="Arial" w:hAnsi="Arial" w:cs="Arial"/>
          </w:rPr>
          <w:t>https://www.cipd.co.uk</w:t>
        </w:r>
      </w:hyperlink>
      <w:r w:rsidRPr="00957D92">
        <w:rPr>
          <w:rFonts w:ascii="Arial" w:hAnsi="Arial" w:cs="Arial"/>
        </w:rPr>
        <w:t xml:space="preserve"> (Accessed: </w:t>
      </w:r>
      <w:r>
        <w:rPr>
          <w:rFonts w:ascii="Arial" w:hAnsi="Arial" w:cs="Arial"/>
        </w:rPr>
        <w:t>2</w:t>
      </w:r>
      <w:r w:rsidRPr="00957D92">
        <w:rPr>
          <w:rFonts w:ascii="Arial" w:hAnsi="Arial" w:cs="Arial"/>
        </w:rPr>
        <w:t xml:space="preserve"> December 2025).</w:t>
      </w:r>
    </w:p>
    <w:p w14:paraId="15A77AC9" w14:textId="77777777" w:rsidR="00957D92" w:rsidRPr="00957D92" w:rsidRDefault="00957D92" w:rsidP="00957D92">
      <w:pPr>
        <w:spacing w:line="360" w:lineRule="auto"/>
        <w:rPr>
          <w:rFonts w:ascii="Arial" w:hAnsi="Arial" w:cs="Arial"/>
        </w:rPr>
      </w:pPr>
      <w:r w:rsidRPr="00957D92">
        <w:rPr>
          <w:rFonts w:ascii="Arial" w:hAnsi="Arial" w:cs="Arial"/>
        </w:rPr>
        <w:t xml:space="preserve">Herzberg, F. (1966) </w:t>
      </w:r>
      <w:r w:rsidRPr="00957D92">
        <w:rPr>
          <w:rFonts w:ascii="Arial" w:hAnsi="Arial" w:cs="Arial"/>
          <w:i/>
          <w:iCs/>
        </w:rPr>
        <w:t>Work and the Nature of Man.</w:t>
      </w:r>
      <w:r w:rsidRPr="00957D92">
        <w:rPr>
          <w:rFonts w:ascii="Arial" w:hAnsi="Arial" w:cs="Arial"/>
        </w:rPr>
        <w:t xml:space="preserve"> New York: World Publishing Company.</w:t>
      </w:r>
    </w:p>
    <w:p w14:paraId="551E2265" w14:textId="77777777" w:rsidR="00957D92" w:rsidRPr="00957D92" w:rsidRDefault="00957D92" w:rsidP="00957D92">
      <w:pPr>
        <w:spacing w:line="360" w:lineRule="auto"/>
        <w:rPr>
          <w:rFonts w:ascii="Arial" w:hAnsi="Arial" w:cs="Arial"/>
        </w:rPr>
      </w:pPr>
      <w:r w:rsidRPr="00957D92">
        <w:rPr>
          <w:rFonts w:ascii="Arial" w:hAnsi="Arial" w:cs="Arial"/>
        </w:rPr>
        <w:t xml:space="preserve">Kahn, W.A. (1990) ‘Psychological conditions of personal engagement and disengagement at work’, </w:t>
      </w:r>
      <w:r w:rsidRPr="00957D92">
        <w:rPr>
          <w:rFonts w:ascii="Arial" w:hAnsi="Arial" w:cs="Arial"/>
          <w:i/>
          <w:iCs/>
        </w:rPr>
        <w:t>Academy of Management Journal</w:t>
      </w:r>
      <w:r w:rsidRPr="00957D92">
        <w:rPr>
          <w:rFonts w:ascii="Arial" w:hAnsi="Arial" w:cs="Arial"/>
        </w:rPr>
        <w:t>, 33(4), pp. 692–724.</w:t>
      </w:r>
    </w:p>
    <w:p w14:paraId="001A716F" w14:textId="77777777" w:rsidR="00957D92" w:rsidRPr="00957D92" w:rsidRDefault="00957D92" w:rsidP="00957D92">
      <w:pPr>
        <w:spacing w:line="360" w:lineRule="auto"/>
        <w:rPr>
          <w:rFonts w:ascii="Arial" w:hAnsi="Arial" w:cs="Arial"/>
        </w:rPr>
      </w:pPr>
      <w:r w:rsidRPr="00957D92">
        <w:rPr>
          <w:rFonts w:ascii="Arial" w:hAnsi="Arial" w:cs="Arial"/>
        </w:rPr>
        <w:t xml:space="preserve">Maslow, A.H. (1943) ‘A theory of human motivation’, </w:t>
      </w:r>
      <w:r w:rsidRPr="00957D92">
        <w:rPr>
          <w:rFonts w:ascii="Arial" w:hAnsi="Arial" w:cs="Arial"/>
          <w:i/>
          <w:iCs/>
        </w:rPr>
        <w:t>Psychological Review</w:t>
      </w:r>
      <w:r w:rsidRPr="00957D92">
        <w:rPr>
          <w:rFonts w:ascii="Arial" w:hAnsi="Arial" w:cs="Arial"/>
        </w:rPr>
        <w:t>, 50(4), pp. 370–396.</w:t>
      </w:r>
    </w:p>
    <w:p w14:paraId="117E62A7" w14:textId="77777777" w:rsidR="00957D92" w:rsidRPr="00957D92" w:rsidRDefault="00957D92" w:rsidP="00957D92">
      <w:pPr>
        <w:spacing w:line="360" w:lineRule="auto"/>
        <w:rPr>
          <w:rFonts w:ascii="Arial" w:hAnsi="Arial" w:cs="Arial"/>
        </w:rPr>
      </w:pPr>
      <w:r w:rsidRPr="00957D92">
        <w:rPr>
          <w:rFonts w:ascii="Arial" w:hAnsi="Arial" w:cs="Arial"/>
        </w:rPr>
        <w:t xml:space="preserve">Kotter, J.P. (1996) </w:t>
      </w:r>
      <w:r w:rsidRPr="00957D92">
        <w:rPr>
          <w:rFonts w:ascii="Arial" w:hAnsi="Arial" w:cs="Arial"/>
          <w:i/>
          <w:iCs/>
        </w:rPr>
        <w:t>Leading Change.</w:t>
      </w:r>
      <w:r w:rsidRPr="00957D92">
        <w:rPr>
          <w:rFonts w:ascii="Arial" w:hAnsi="Arial" w:cs="Arial"/>
        </w:rPr>
        <w:t xml:space="preserve"> Boston: Harvard Business School Press.</w:t>
      </w:r>
    </w:p>
    <w:p w14:paraId="389B6468" w14:textId="77777777" w:rsidR="00957D92" w:rsidRPr="00957D92" w:rsidRDefault="00957D92" w:rsidP="00957D92">
      <w:pPr>
        <w:spacing w:line="360" w:lineRule="auto"/>
        <w:rPr>
          <w:rFonts w:ascii="Arial" w:hAnsi="Arial" w:cs="Arial"/>
        </w:rPr>
      </w:pPr>
      <w:r w:rsidRPr="00957D92">
        <w:rPr>
          <w:rFonts w:ascii="Arial" w:hAnsi="Arial" w:cs="Arial"/>
        </w:rPr>
        <w:t xml:space="preserve">Deloitte (2024) </w:t>
      </w:r>
      <w:r w:rsidRPr="00957D92">
        <w:rPr>
          <w:rFonts w:ascii="Arial" w:hAnsi="Arial" w:cs="Arial"/>
          <w:i/>
          <w:iCs/>
        </w:rPr>
        <w:t>Global Human Capital Trends Report.</w:t>
      </w:r>
      <w:r w:rsidRPr="00957D92">
        <w:rPr>
          <w:rFonts w:ascii="Arial" w:hAnsi="Arial" w:cs="Arial"/>
        </w:rPr>
        <w:t xml:space="preserve"> Available at: </w:t>
      </w:r>
      <w:hyperlink r:id="rId16" w:tgtFrame="_new" w:history="1">
        <w:r w:rsidRPr="00957D92">
          <w:rPr>
            <w:rStyle w:val="af"/>
            <w:rFonts w:ascii="Arial" w:hAnsi="Arial" w:cs="Arial"/>
          </w:rPr>
          <w:t>https://www2.deloitte.com</w:t>
        </w:r>
      </w:hyperlink>
      <w:r w:rsidRPr="00957D92">
        <w:rPr>
          <w:rFonts w:ascii="Arial" w:hAnsi="Arial" w:cs="Arial"/>
        </w:rPr>
        <w:t xml:space="preserve"> (Accessed: 5 December 2025).</w:t>
      </w:r>
    </w:p>
    <w:p w14:paraId="53543779" w14:textId="1B9523C6" w:rsidR="00641B86" w:rsidRPr="00957D92" w:rsidRDefault="00957D92" w:rsidP="00957D92">
      <w:pPr>
        <w:spacing w:line="360" w:lineRule="auto"/>
        <w:rPr>
          <w:rFonts w:ascii="Arial" w:hAnsi="Arial" w:cs="Arial"/>
        </w:rPr>
      </w:pPr>
      <w:r w:rsidRPr="00957D92">
        <w:rPr>
          <w:rFonts w:ascii="Arial" w:hAnsi="Arial" w:cs="Arial"/>
        </w:rPr>
        <w:t xml:space="preserve">McKinsey &amp; Company (2023) </w:t>
      </w:r>
      <w:r w:rsidRPr="00957D92">
        <w:rPr>
          <w:rFonts w:ascii="Arial" w:hAnsi="Arial" w:cs="Arial"/>
          <w:i/>
          <w:iCs/>
        </w:rPr>
        <w:t>Future of Work Report.</w:t>
      </w:r>
      <w:r w:rsidRPr="00957D92">
        <w:rPr>
          <w:rFonts w:ascii="Arial" w:hAnsi="Arial" w:cs="Arial"/>
        </w:rPr>
        <w:t xml:space="preserve"> Available at: </w:t>
      </w:r>
      <w:hyperlink r:id="rId17" w:tgtFrame="_new" w:history="1">
        <w:r w:rsidRPr="00957D92">
          <w:rPr>
            <w:rStyle w:val="af"/>
            <w:rFonts w:ascii="Arial" w:hAnsi="Arial" w:cs="Arial"/>
          </w:rPr>
          <w:t>https://www.mckinsey.com</w:t>
        </w:r>
      </w:hyperlink>
      <w:r w:rsidRPr="00957D92">
        <w:rPr>
          <w:rFonts w:ascii="Arial" w:hAnsi="Arial" w:cs="Arial"/>
        </w:rPr>
        <w:t xml:space="preserve"> (Accessed: </w:t>
      </w:r>
      <w:r>
        <w:rPr>
          <w:rFonts w:ascii="Arial" w:hAnsi="Arial" w:cs="Arial"/>
        </w:rPr>
        <w:t>1</w:t>
      </w:r>
      <w:r w:rsidRPr="00957D92">
        <w:rPr>
          <w:rFonts w:ascii="Arial" w:hAnsi="Arial" w:cs="Arial"/>
        </w:rPr>
        <w:t xml:space="preserve"> December 2025).</w:t>
      </w:r>
    </w:p>
    <w:sectPr w:rsidR="00641B86" w:rsidRPr="00957D92" w:rsidSect="00AE72A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AC7A79" w14:textId="77777777" w:rsidR="002378E5" w:rsidRDefault="002378E5" w:rsidP="00C07B20">
      <w:pPr>
        <w:spacing w:after="0" w:line="240" w:lineRule="auto"/>
      </w:pPr>
      <w:r>
        <w:separator/>
      </w:r>
    </w:p>
  </w:endnote>
  <w:endnote w:type="continuationSeparator" w:id="0">
    <w:p w14:paraId="7790CCBE" w14:textId="77777777" w:rsidR="002378E5" w:rsidRDefault="002378E5" w:rsidP="00C07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0950270"/>
      <w:docPartObj>
        <w:docPartGallery w:val="Page Numbers (Bottom of Page)"/>
        <w:docPartUnique/>
      </w:docPartObj>
    </w:sdtPr>
    <w:sdtContent>
      <w:p w14:paraId="66316F41" w14:textId="56A83514" w:rsidR="00C07B20" w:rsidRDefault="00C07B20">
        <w:pPr>
          <w:pStyle w:val="af3"/>
          <w:jc w:val="center"/>
        </w:pPr>
        <w:r>
          <w:rPr>
            <w:noProof/>
          </w:rPr>
          <mc:AlternateContent>
            <mc:Choice Requires="wps">
              <w:drawing>
                <wp:inline distT="0" distB="0" distL="0" distR="0" wp14:anchorId="5B2ACEE6" wp14:editId="64B21B0E">
                  <wp:extent cx="5467350" cy="54610"/>
                  <wp:effectExtent l="9525" t="19050" r="9525" b="12065"/>
                  <wp:docPr id="1668099476" name="Блок-схема: решение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EA5F644" id="_x0000_t110" coordsize="21600,21600" o:spt="110" path="m10800,l,10800,10800,21600,21600,10800xe">
                  <v:stroke joinstyle="miter"/>
                  <v:path gradientshapeok="t" o:connecttype="rect" textboxrect="5400,5400,16200,16200"/>
                </v:shapetype>
                <v:shape id="Блок-схема: решение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185EB81" w14:textId="5E9D613C" w:rsidR="00C07B20" w:rsidRDefault="00C07B20">
        <w:pPr>
          <w:pStyle w:val="af3"/>
          <w:jc w:val="center"/>
        </w:pPr>
        <w:r>
          <w:fldChar w:fldCharType="begin"/>
        </w:r>
        <w:r>
          <w:instrText>PAGE    \* MERGEFORMAT</w:instrText>
        </w:r>
        <w:r>
          <w:fldChar w:fldCharType="separate"/>
        </w:r>
        <w:r>
          <w:rPr>
            <w:lang w:val="ru-RU"/>
          </w:rPr>
          <w:t>2</w:t>
        </w:r>
        <w:r>
          <w:fldChar w:fldCharType="end"/>
        </w:r>
      </w:p>
    </w:sdtContent>
  </w:sdt>
  <w:p w14:paraId="48725E5A" w14:textId="77777777" w:rsidR="00C07B20" w:rsidRDefault="00C07B20">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88766" w14:textId="77777777" w:rsidR="002378E5" w:rsidRDefault="002378E5" w:rsidP="00C07B20">
      <w:pPr>
        <w:spacing w:after="0" w:line="240" w:lineRule="auto"/>
      </w:pPr>
      <w:r>
        <w:separator/>
      </w:r>
    </w:p>
  </w:footnote>
  <w:footnote w:type="continuationSeparator" w:id="0">
    <w:p w14:paraId="3821852D" w14:textId="77777777" w:rsidR="002378E5" w:rsidRDefault="002378E5" w:rsidP="00C07B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6711CC" w14:textId="375C9A3B" w:rsidR="00C07B20" w:rsidRPr="00C07B20" w:rsidRDefault="00C07B20" w:rsidP="00E81A64">
    <w:pPr>
      <w:pStyle w:val="af1"/>
      <w:jc w:val="right"/>
      <w:rPr>
        <w:lang w:val="en-US"/>
      </w:rPr>
    </w:pPr>
    <w:r>
      <w:rPr>
        <w:lang w:val="en-US"/>
      </w:rPr>
      <w:t>Yehor Kulikov (2417098</w:t>
    </w:r>
    <w:r w:rsidR="00E81A64">
      <w:rPr>
        <w:lang w:val="en-US"/>
      </w:rPr>
      <w:t>) December</w:t>
    </w:r>
    <w:r>
      <w:rPr>
        <w:lang w:val="en-US"/>
      </w:rPr>
      <w:t xml:space="preserve">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8215C6"/>
    <w:multiLevelType w:val="multilevel"/>
    <w:tmpl w:val="11E2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60237"/>
    <w:multiLevelType w:val="multilevel"/>
    <w:tmpl w:val="2FD4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C00883"/>
    <w:multiLevelType w:val="multilevel"/>
    <w:tmpl w:val="7FAEB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182835"/>
    <w:multiLevelType w:val="multilevel"/>
    <w:tmpl w:val="461C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D63449"/>
    <w:multiLevelType w:val="multilevel"/>
    <w:tmpl w:val="4978F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FC0667"/>
    <w:multiLevelType w:val="multilevel"/>
    <w:tmpl w:val="9AC0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950882">
    <w:abstractNumId w:val="2"/>
  </w:num>
  <w:num w:numId="2" w16cid:durableId="233929715">
    <w:abstractNumId w:val="4"/>
  </w:num>
  <w:num w:numId="3" w16cid:durableId="1759060978">
    <w:abstractNumId w:val="5"/>
  </w:num>
  <w:num w:numId="4" w16cid:durableId="472796773">
    <w:abstractNumId w:val="0"/>
  </w:num>
  <w:num w:numId="5" w16cid:durableId="479661590">
    <w:abstractNumId w:val="1"/>
  </w:num>
  <w:num w:numId="6" w16cid:durableId="15893910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403"/>
    <w:rsid w:val="00194B1E"/>
    <w:rsid w:val="002378E5"/>
    <w:rsid w:val="003E2328"/>
    <w:rsid w:val="00493CE6"/>
    <w:rsid w:val="00641B86"/>
    <w:rsid w:val="00920E7D"/>
    <w:rsid w:val="00955F20"/>
    <w:rsid w:val="00957D92"/>
    <w:rsid w:val="009F13CA"/>
    <w:rsid w:val="00AE72AD"/>
    <w:rsid w:val="00BD2D47"/>
    <w:rsid w:val="00C07B20"/>
    <w:rsid w:val="00DA6B1C"/>
    <w:rsid w:val="00E03403"/>
    <w:rsid w:val="00E81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03BA1"/>
  <w15:chartTrackingRefBased/>
  <w15:docId w15:val="{00E6B642-A86B-4CAA-A6FD-C1AD68C59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03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E03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E03403"/>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E03403"/>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E03403"/>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E03403"/>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E03403"/>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E03403"/>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E03403"/>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03403"/>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E03403"/>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E03403"/>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E03403"/>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E03403"/>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E03403"/>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E03403"/>
    <w:rPr>
      <w:rFonts w:eastAsiaTheme="majorEastAsia" w:cstheme="majorBidi"/>
      <w:color w:val="595959" w:themeColor="text1" w:themeTint="A6"/>
    </w:rPr>
  </w:style>
  <w:style w:type="character" w:customStyle="1" w:styleId="80">
    <w:name w:val="Заголовок 8 Знак"/>
    <w:basedOn w:val="a0"/>
    <w:link w:val="8"/>
    <w:uiPriority w:val="9"/>
    <w:semiHidden/>
    <w:rsid w:val="00E03403"/>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E03403"/>
    <w:rPr>
      <w:rFonts w:eastAsiaTheme="majorEastAsia" w:cstheme="majorBidi"/>
      <w:color w:val="272727" w:themeColor="text1" w:themeTint="D8"/>
    </w:rPr>
  </w:style>
  <w:style w:type="paragraph" w:styleId="a3">
    <w:name w:val="Title"/>
    <w:basedOn w:val="a"/>
    <w:next w:val="a"/>
    <w:link w:val="a4"/>
    <w:uiPriority w:val="10"/>
    <w:qFormat/>
    <w:rsid w:val="00E03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E0340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03403"/>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E03403"/>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E03403"/>
    <w:pPr>
      <w:spacing w:before="160"/>
      <w:jc w:val="center"/>
    </w:pPr>
    <w:rPr>
      <w:i/>
      <w:iCs/>
      <w:color w:val="404040" w:themeColor="text1" w:themeTint="BF"/>
    </w:rPr>
  </w:style>
  <w:style w:type="character" w:customStyle="1" w:styleId="22">
    <w:name w:val="Цитата 2 Знак"/>
    <w:basedOn w:val="a0"/>
    <w:link w:val="21"/>
    <w:uiPriority w:val="29"/>
    <w:rsid w:val="00E03403"/>
    <w:rPr>
      <w:i/>
      <w:iCs/>
      <w:color w:val="404040" w:themeColor="text1" w:themeTint="BF"/>
    </w:rPr>
  </w:style>
  <w:style w:type="paragraph" w:styleId="a7">
    <w:name w:val="List Paragraph"/>
    <w:basedOn w:val="a"/>
    <w:uiPriority w:val="34"/>
    <w:qFormat/>
    <w:rsid w:val="00E03403"/>
    <w:pPr>
      <w:ind w:left="720"/>
      <w:contextualSpacing/>
    </w:pPr>
  </w:style>
  <w:style w:type="character" w:styleId="a8">
    <w:name w:val="Intense Emphasis"/>
    <w:basedOn w:val="a0"/>
    <w:uiPriority w:val="21"/>
    <w:qFormat/>
    <w:rsid w:val="00E03403"/>
    <w:rPr>
      <w:i/>
      <w:iCs/>
      <w:color w:val="0F4761" w:themeColor="accent1" w:themeShade="BF"/>
    </w:rPr>
  </w:style>
  <w:style w:type="paragraph" w:styleId="a9">
    <w:name w:val="Intense Quote"/>
    <w:basedOn w:val="a"/>
    <w:next w:val="a"/>
    <w:link w:val="aa"/>
    <w:uiPriority w:val="30"/>
    <w:qFormat/>
    <w:rsid w:val="00E03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E03403"/>
    <w:rPr>
      <w:i/>
      <w:iCs/>
      <w:color w:val="0F4761" w:themeColor="accent1" w:themeShade="BF"/>
    </w:rPr>
  </w:style>
  <w:style w:type="character" w:styleId="ab">
    <w:name w:val="Intense Reference"/>
    <w:basedOn w:val="a0"/>
    <w:uiPriority w:val="32"/>
    <w:qFormat/>
    <w:rsid w:val="00E03403"/>
    <w:rPr>
      <w:b/>
      <w:bCs/>
      <w:smallCaps/>
      <w:color w:val="0F4761" w:themeColor="accent1" w:themeShade="BF"/>
      <w:spacing w:val="5"/>
    </w:rPr>
  </w:style>
  <w:style w:type="paragraph" w:styleId="ac">
    <w:name w:val="No Spacing"/>
    <w:link w:val="ad"/>
    <w:uiPriority w:val="1"/>
    <w:qFormat/>
    <w:rsid w:val="00AE72AD"/>
    <w:pPr>
      <w:spacing w:after="0" w:line="240" w:lineRule="auto"/>
    </w:pPr>
    <w:rPr>
      <w:rFonts w:eastAsiaTheme="minorEastAsia"/>
      <w:kern w:val="0"/>
      <w:lang w:eastAsia="en-GB"/>
      <w14:ligatures w14:val="none"/>
    </w:rPr>
  </w:style>
  <w:style w:type="character" w:customStyle="1" w:styleId="ad">
    <w:name w:val="Без интервала Знак"/>
    <w:basedOn w:val="a0"/>
    <w:link w:val="ac"/>
    <w:uiPriority w:val="1"/>
    <w:rsid w:val="00AE72AD"/>
    <w:rPr>
      <w:rFonts w:eastAsiaTheme="minorEastAsia"/>
      <w:kern w:val="0"/>
      <w:lang w:eastAsia="en-GB"/>
      <w14:ligatures w14:val="none"/>
    </w:rPr>
  </w:style>
  <w:style w:type="paragraph" w:styleId="ae">
    <w:name w:val="Normal (Web)"/>
    <w:basedOn w:val="a"/>
    <w:uiPriority w:val="99"/>
    <w:semiHidden/>
    <w:unhideWhenUsed/>
    <w:rsid w:val="00AE72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f">
    <w:name w:val="Hyperlink"/>
    <w:basedOn w:val="a0"/>
    <w:uiPriority w:val="99"/>
    <w:unhideWhenUsed/>
    <w:rsid w:val="00957D92"/>
    <w:rPr>
      <w:color w:val="467886" w:themeColor="hyperlink"/>
      <w:u w:val="single"/>
    </w:rPr>
  </w:style>
  <w:style w:type="character" w:styleId="af0">
    <w:name w:val="Unresolved Mention"/>
    <w:basedOn w:val="a0"/>
    <w:uiPriority w:val="99"/>
    <w:semiHidden/>
    <w:unhideWhenUsed/>
    <w:rsid w:val="00957D92"/>
    <w:rPr>
      <w:color w:val="605E5C"/>
      <w:shd w:val="clear" w:color="auto" w:fill="E1DFDD"/>
    </w:rPr>
  </w:style>
  <w:style w:type="paragraph" w:styleId="af1">
    <w:name w:val="header"/>
    <w:basedOn w:val="a"/>
    <w:link w:val="af2"/>
    <w:uiPriority w:val="99"/>
    <w:unhideWhenUsed/>
    <w:rsid w:val="00C07B20"/>
    <w:pPr>
      <w:tabs>
        <w:tab w:val="center" w:pos="4513"/>
        <w:tab w:val="right" w:pos="9026"/>
      </w:tabs>
      <w:spacing w:after="0" w:line="240" w:lineRule="auto"/>
    </w:pPr>
  </w:style>
  <w:style w:type="character" w:customStyle="1" w:styleId="af2">
    <w:name w:val="Верхний колонтитул Знак"/>
    <w:basedOn w:val="a0"/>
    <w:link w:val="af1"/>
    <w:uiPriority w:val="99"/>
    <w:rsid w:val="00C07B20"/>
  </w:style>
  <w:style w:type="paragraph" w:styleId="af3">
    <w:name w:val="footer"/>
    <w:basedOn w:val="a"/>
    <w:link w:val="af4"/>
    <w:uiPriority w:val="99"/>
    <w:unhideWhenUsed/>
    <w:rsid w:val="00C07B20"/>
    <w:pPr>
      <w:tabs>
        <w:tab w:val="center" w:pos="4513"/>
        <w:tab w:val="right" w:pos="9026"/>
      </w:tabs>
      <w:spacing w:after="0" w:line="240" w:lineRule="auto"/>
    </w:pPr>
  </w:style>
  <w:style w:type="character" w:customStyle="1" w:styleId="af4">
    <w:name w:val="Нижний колонтитул Знак"/>
    <w:basedOn w:val="a0"/>
    <w:link w:val="af3"/>
    <w:uiPriority w:val="99"/>
    <w:rsid w:val="00C07B20"/>
  </w:style>
  <w:style w:type="paragraph" w:styleId="af5">
    <w:name w:val="TOC Heading"/>
    <w:basedOn w:val="1"/>
    <w:next w:val="a"/>
    <w:uiPriority w:val="39"/>
    <w:unhideWhenUsed/>
    <w:qFormat/>
    <w:rsid w:val="00E81A64"/>
    <w:pPr>
      <w:spacing w:before="240" w:after="0"/>
      <w:outlineLvl w:val="9"/>
    </w:pPr>
    <w:rPr>
      <w:kern w:val="0"/>
      <w:sz w:val="32"/>
      <w:szCs w:val="32"/>
      <w:lang w:eastAsia="en-GB"/>
      <w14:ligatures w14:val="none"/>
    </w:rPr>
  </w:style>
  <w:style w:type="paragraph" w:styleId="11">
    <w:name w:val="toc 1"/>
    <w:basedOn w:val="a"/>
    <w:next w:val="a"/>
    <w:autoRedefine/>
    <w:uiPriority w:val="39"/>
    <w:unhideWhenUsed/>
    <w:rsid w:val="00E81A64"/>
    <w:pPr>
      <w:spacing w:after="100"/>
    </w:pPr>
  </w:style>
  <w:style w:type="paragraph" w:styleId="23">
    <w:name w:val="toc 2"/>
    <w:basedOn w:val="a"/>
    <w:next w:val="a"/>
    <w:autoRedefine/>
    <w:uiPriority w:val="39"/>
    <w:unhideWhenUsed/>
    <w:rsid w:val="00E81A64"/>
    <w:pPr>
      <w:spacing w:after="100"/>
      <w:ind w:left="220"/>
    </w:pPr>
  </w:style>
  <w:style w:type="paragraph" w:styleId="31">
    <w:name w:val="toc 3"/>
    <w:basedOn w:val="a"/>
    <w:next w:val="a"/>
    <w:autoRedefine/>
    <w:uiPriority w:val="39"/>
    <w:unhideWhenUsed/>
    <w:rsid w:val="00E81A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77554">
      <w:bodyDiv w:val="1"/>
      <w:marLeft w:val="0"/>
      <w:marRight w:val="0"/>
      <w:marTop w:val="0"/>
      <w:marBottom w:val="0"/>
      <w:divBdr>
        <w:top w:val="none" w:sz="0" w:space="0" w:color="auto"/>
        <w:left w:val="none" w:sz="0" w:space="0" w:color="auto"/>
        <w:bottom w:val="none" w:sz="0" w:space="0" w:color="auto"/>
        <w:right w:val="none" w:sz="0" w:space="0" w:color="auto"/>
      </w:divBdr>
    </w:div>
    <w:div w:id="208612909">
      <w:bodyDiv w:val="1"/>
      <w:marLeft w:val="0"/>
      <w:marRight w:val="0"/>
      <w:marTop w:val="0"/>
      <w:marBottom w:val="0"/>
      <w:divBdr>
        <w:top w:val="none" w:sz="0" w:space="0" w:color="auto"/>
        <w:left w:val="none" w:sz="0" w:space="0" w:color="auto"/>
        <w:bottom w:val="none" w:sz="0" w:space="0" w:color="auto"/>
        <w:right w:val="none" w:sz="0" w:space="0" w:color="auto"/>
      </w:divBdr>
    </w:div>
    <w:div w:id="456140065">
      <w:bodyDiv w:val="1"/>
      <w:marLeft w:val="0"/>
      <w:marRight w:val="0"/>
      <w:marTop w:val="0"/>
      <w:marBottom w:val="0"/>
      <w:divBdr>
        <w:top w:val="none" w:sz="0" w:space="0" w:color="auto"/>
        <w:left w:val="none" w:sz="0" w:space="0" w:color="auto"/>
        <w:bottom w:val="none" w:sz="0" w:space="0" w:color="auto"/>
        <w:right w:val="none" w:sz="0" w:space="0" w:color="auto"/>
      </w:divBdr>
    </w:div>
    <w:div w:id="699167635">
      <w:bodyDiv w:val="1"/>
      <w:marLeft w:val="0"/>
      <w:marRight w:val="0"/>
      <w:marTop w:val="0"/>
      <w:marBottom w:val="0"/>
      <w:divBdr>
        <w:top w:val="none" w:sz="0" w:space="0" w:color="auto"/>
        <w:left w:val="none" w:sz="0" w:space="0" w:color="auto"/>
        <w:bottom w:val="none" w:sz="0" w:space="0" w:color="auto"/>
        <w:right w:val="none" w:sz="0" w:space="0" w:color="auto"/>
      </w:divBdr>
    </w:div>
    <w:div w:id="1072235766">
      <w:bodyDiv w:val="1"/>
      <w:marLeft w:val="0"/>
      <w:marRight w:val="0"/>
      <w:marTop w:val="0"/>
      <w:marBottom w:val="0"/>
      <w:divBdr>
        <w:top w:val="none" w:sz="0" w:space="0" w:color="auto"/>
        <w:left w:val="none" w:sz="0" w:space="0" w:color="auto"/>
        <w:bottom w:val="none" w:sz="0" w:space="0" w:color="auto"/>
        <w:right w:val="none" w:sz="0" w:space="0" w:color="auto"/>
      </w:divBdr>
    </w:div>
    <w:div w:id="1507138568">
      <w:bodyDiv w:val="1"/>
      <w:marLeft w:val="0"/>
      <w:marRight w:val="0"/>
      <w:marTop w:val="0"/>
      <w:marBottom w:val="0"/>
      <w:divBdr>
        <w:top w:val="none" w:sz="0" w:space="0" w:color="auto"/>
        <w:left w:val="none" w:sz="0" w:space="0" w:color="auto"/>
        <w:bottom w:val="none" w:sz="0" w:space="0" w:color="auto"/>
        <w:right w:val="none" w:sz="0" w:space="0" w:color="auto"/>
      </w:divBdr>
    </w:div>
    <w:div w:id="170894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flexible-working"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v.uk/government/news/plans-to-boost-skills-and-diversity-in-uk-cyber-backed-by-tech-giant-ibm?utm_source=chatgpt.com" TargetMode="External"/><Relationship Id="rId17" Type="http://schemas.openxmlformats.org/officeDocument/2006/relationships/hyperlink" Target="https://www.mckinsey.com" TargetMode="External"/><Relationship Id="rId2" Type="http://schemas.openxmlformats.org/officeDocument/2006/relationships/customXml" Target="../customXml/item2.xml"/><Relationship Id="rId16" Type="http://schemas.openxmlformats.org/officeDocument/2006/relationships/hyperlink" Target="https://www2.deloitt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bm.com/annualreport" TargetMode="External"/><Relationship Id="rId5" Type="http://schemas.openxmlformats.org/officeDocument/2006/relationships/settings" Target="settings.xml"/><Relationship Id="rId15" Type="http://schemas.openxmlformats.org/officeDocument/2006/relationships/hyperlink" Target="https://www.cipd.co.uk"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ons.gov.uk"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4537DA-07DB-4687-AE71-8413DA420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10</Pages>
  <Words>2917</Words>
  <Characters>16627</Characters>
  <Application>Microsoft Office Word</Application>
  <DocSecurity>0</DocSecurity>
  <Lines>138</Lines>
  <Paragraphs>39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Recruiting the Right Talent for a Business Transformation Project
Developing and Managing Individuals and teams LCLM5002_LONStudent : Yehor Kulikov (2417098)Lecturer: Faizu Edu</dc:title>
  <dc:subject/>
  <dc:creator>Yehor Kulikov (2417098)</dc:creator>
  <cp:keywords/>
  <dc:description/>
  <cp:lastModifiedBy>Yehor Kulikov (2417098)</cp:lastModifiedBy>
  <cp:revision>5</cp:revision>
  <dcterms:created xsi:type="dcterms:W3CDTF">2025-12-04T19:15:00Z</dcterms:created>
  <dcterms:modified xsi:type="dcterms:W3CDTF">2025-12-04T20:15:00Z</dcterms:modified>
</cp:coreProperties>
</file>