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B3C29" w14:textId="3F614B97" w:rsidR="00A03F0D" w:rsidRDefault="00A03F0D" w:rsidP="00BA5C62">
      <w:pPr>
        <w:pStyle w:val="NoSpacing"/>
        <w:rPr>
          <w:rFonts w:ascii="Times New Roman" w:hAnsi="Times New Roman" w:cs="Times New Roman"/>
          <w:sz w:val="24"/>
          <w:szCs w:val="24"/>
          <w:lang w:eastAsia="en-GB"/>
        </w:rPr>
      </w:pPr>
      <w:r>
        <w:rPr>
          <w:noProof/>
        </w:rPr>
        <w:drawing>
          <wp:inline distT="0" distB="0" distL="0" distR="0" wp14:anchorId="129DAC23" wp14:editId="45E17635">
            <wp:extent cx="4495165" cy="1713865"/>
            <wp:effectExtent l="0" t="0" r="635" b="635"/>
            <wp:docPr id="2" name="Picture 1" descr="Image result for university of wales trinity saint david london bran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university of wales trinity saint david london branch log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165" cy="1713865"/>
                    </a:xfrm>
                    <a:prstGeom prst="rect">
                      <a:avLst/>
                    </a:prstGeom>
                    <a:noFill/>
                    <a:ln>
                      <a:noFill/>
                    </a:ln>
                  </pic:spPr>
                </pic:pic>
              </a:graphicData>
            </a:graphic>
          </wp:inline>
        </w:drawing>
      </w:r>
    </w:p>
    <w:p w14:paraId="1935A653" w14:textId="77777777" w:rsidR="00A03F0D" w:rsidRDefault="00A03F0D" w:rsidP="00BA5C62">
      <w:pPr>
        <w:pStyle w:val="NoSpacing"/>
        <w:rPr>
          <w:rFonts w:ascii="Times New Roman" w:hAnsi="Times New Roman" w:cs="Times New Roman"/>
          <w:sz w:val="24"/>
          <w:szCs w:val="24"/>
          <w:lang w:eastAsia="en-GB"/>
        </w:rPr>
      </w:pPr>
    </w:p>
    <w:p w14:paraId="719E62B5" w14:textId="77777777" w:rsidR="00A03F0D" w:rsidRDefault="00A03F0D" w:rsidP="00BA5C62">
      <w:pPr>
        <w:pStyle w:val="NoSpacing"/>
        <w:rPr>
          <w:rFonts w:ascii="Times New Roman" w:hAnsi="Times New Roman" w:cs="Times New Roman"/>
          <w:sz w:val="24"/>
          <w:szCs w:val="24"/>
          <w:lang w:eastAsia="en-GB"/>
        </w:rPr>
      </w:pPr>
    </w:p>
    <w:p w14:paraId="2B5F286E" w14:textId="77777777" w:rsidR="00A03F0D" w:rsidRDefault="00A03F0D" w:rsidP="00BA5C62">
      <w:pPr>
        <w:pStyle w:val="NoSpacing"/>
        <w:rPr>
          <w:rFonts w:ascii="Times New Roman" w:hAnsi="Times New Roman" w:cs="Times New Roman"/>
          <w:sz w:val="24"/>
          <w:szCs w:val="24"/>
          <w:lang w:eastAsia="en-GB"/>
        </w:rPr>
      </w:pPr>
    </w:p>
    <w:p w14:paraId="26CD1561" w14:textId="643DA13A" w:rsidR="008526FC" w:rsidRPr="00BA5C62" w:rsidRDefault="00BA5C62"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Name:</w:t>
      </w:r>
      <w:r w:rsidR="004B57FF" w:rsidRPr="00BA5C62">
        <w:rPr>
          <w:rFonts w:ascii="Times New Roman" w:hAnsi="Times New Roman" w:cs="Times New Roman"/>
          <w:sz w:val="24"/>
          <w:szCs w:val="24"/>
          <w:lang w:eastAsia="en-GB"/>
        </w:rPr>
        <w:t xml:space="preserve"> Alfred Ojekere</w:t>
      </w:r>
    </w:p>
    <w:p w14:paraId="0055B716" w14:textId="2CF41EE4" w:rsidR="004B57FF" w:rsidRPr="00BA5C62" w:rsidRDefault="004B57FF"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 xml:space="preserve">Student </w:t>
      </w:r>
      <w:r w:rsidR="00BA5C62" w:rsidRPr="00BA5C62">
        <w:rPr>
          <w:rFonts w:ascii="Times New Roman" w:hAnsi="Times New Roman" w:cs="Times New Roman"/>
          <w:sz w:val="24"/>
          <w:szCs w:val="24"/>
          <w:lang w:eastAsia="en-GB"/>
        </w:rPr>
        <w:t>ID:</w:t>
      </w:r>
      <w:r w:rsidRPr="00BA5C62">
        <w:rPr>
          <w:rFonts w:ascii="Times New Roman" w:hAnsi="Times New Roman" w:cs="Times New Roman"/>
          <w:sz w:val="24"/>
          <w:szCs w:val="24"/>
          <w:lang w:eastAsia="en-GB"/>
        </w:rPr>
        <w:t xml:space="preserve"> 2226760</w:t>
      </w:r>
    </w:p>
    <w:p w14:paraId="35C635A1" w14:textId="48605408" w:rsidR="004B57FF" w:rsidRPr="00BA5C62" w:rsidRDefault="00BA5C62"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Programme:</w:t>
      </w:r>
      <w:r w:rsidR="004B57FF" w:rsidRPr="00BA5C62">
        <w:rPr>
          <w:rFonts w:ascii="Times New Roman" w:hAnsi="Times New Roman" w:cs="Times New Roman"/>
          <w:sz w:val="24"/>
          <w:szCs w:val="24"/>
          <w:lang w:eastAsia="en-GB"/>
        </w:rPr>
        <w:t xml:space="preserve"> BA (Hons) Business Management</w:t>
      </w:r>
    </w:p>
    <w:p w14:paraId="4C98C159" w14:textId="25C55DA0" w:rsidR="004B57FF" w:rsidRPr="00BA5C62" w:rsidRDefault="004B57FF"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 xml:space="preserve">Module </w:t>
      </w:r>
      <w:r w:rsidR="00BA5C62" w:rsidRPr="00BA5C62">
        <w:rPr>
          <w:rFonts w:ascii="Times New Roman" w:hAnsi="Times New Roman" w:cs="Times New Roman"/>
          <w:sz w:val="24"/>
          <w:szCs w:val="24"/>
          <w:lang w:eastAsia="en-GB"/>
        </w:rPr>
        <w:t>code:</w:t>
      </w:r>
      <w:r w:rsidRPr="00BA5C62">
        <w:rPr>
          <w:rFonts w:ascii="Times New Roman" w:hAnsi="Times New Roman" w:cs="Times New Roman"/>
          <w:sz w:val="24"/>
          <w:szCs w:val="24"/>
          <w:lang w:eastAsia="en-GB"/>
        </w:rPr>
        <w:t xml:space="preserve"> LCBB5012</w:t>
      </w:r>
    </w:p>
    <w:p w14:paraId="1DAC608F" w14:textId="5AA7D631" w:rsidR="004B57FF" w:rsidRPr="00BA5C62" w:rsidRDefault="004B57FF"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 xml:space="preserve">Module </w:t>
      </w:r>
      <w:r w:rsidR="00BA5C62" w:rsidRPr="00BA5C62">
        <w:rPr>
          <w:rFonts w:ascii="Times New Roman" w:hAnsi="Times New Roman" w:cs="Times New Roman"/>
          <w:sz w:val="24"/>
          <w:szCs w:val="24"/>
          <w:lang w:eastAsia="en-GB"/>
        </w:rPr>
        <w:t>Title:</w:t>
      </w:r>
      <w:r w:rsidRPr="00BA5C62">
        <w:rPr>
          <w:rFonts w:ascii="Times New Roman" w:hAnsi="Times New Roman" w:cs="Times New Roman"/>
          <w:sz w:val="24"/>
          <w:szCs w:val="24"/>
          <w:lang w:eastAsia="en-GB"/>
        </w:rPr>
        <w:t xml:space="preserve"> Principle of Human Resources Management</w:t>
      </w:r>
    </w:p>
    <w:p w14:paraId="0C81988B" w14:textId="34C21301" w:rsidR="004B57FF" w:rsidRPr="00BA5C62" w:rsidRDefault="00BA5C62"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Lecturer:</w:t>
      </w:r>
      <w:r w:rsidR="004B57FF" w:rsidRPr="00BA5C62">
        <w:rPr>
          <w:rFonts w:ascii="Times New Roman" w:hAnsi="Times New Roman" w:cs="Times New Roman"/>
          <w:sz w:val="24"/>
          <w:szCs w:val="24"/>
          <w:lang w:eastAsia="en-GB"/>
        </w:rPr>
        <w:t xml:space="preserve"> Dr Anupam</w:t>
      </w:r>
    </w:p>
    <w:p w14:paraId="07B483F6" w14:textId="3E8603F1" w:rsidR="004B57FF" w:rsidRPr="00BA5C62" w:rsidRDefault="004B57FF" w:rsidP="00BA5C62">
      <w:pPr>
        <w:pStyle w:val="NoSpacing"/>
        <w:rPr>
          <w:rFonts w:ascii="Times New Roman" w:hAnsi="Times New Roman" w:cs="Times New Roman"/>
          <w:sz w:val="24"/>
          <w:szCs w:val="24"/>
          <w:lang w:eastAsia="en-GB"/>
        </w:rPr>
      </w:pPr>
      <w:r w:rsidRPr="00BA5C62">
        <w:rPr>
          <w:rFonts w:ascii="Times New Roman" w:hAnsi="Times New Roman" w:cs="Times New Roman"/>
          <w:sz w:val="24"/>
          <w:szCs w:val="24"/>
          <w:lang w:eastAsia="en-GB"/>
        </w:rPr>
        <w:t xml:space="preserve">Assignment </w:t>
      </w:r>
      <w:r w:rsidR="00BA5C62" w:rsidRPr="00BA5C62">
        <w:rPr>
          <w:rFonts w:ascii="Times New Roman" w:hAnsi="Times New Roman" w:cs="Times New Roman"/>
          <w:sz w:val="24"/>
          <w:szCs w:val="24"/>
          <w:lang w:eastAsia="en-GB"/>
        </w:rPr>
        <w:t>Title:</w:t>
      </w:r>
      <w:r w:rsidRPr="00BA5C62">
        <w:rPr>
          <w:rFonts w:ascii="Times New Roman" w:hAnsi="Times New Roman" w:cs="Times New Roman"/>
          <w:sz w:val="24"/>
          <w:szCs w:val="24"/>
          <w:lang w:eastAsia="en-GB"/>
        </w:rPr>
        <w:t xml:space="preserve"> Component 2</w:t>
      </w:r>
      <w:r w:rsidR="00BA5C62" w:rsidRPr="00BA5C62">
        <w:rPr>
          <w:rFonts w:ascii="Times New Roman" w:hAnsi="Times New Roman" w:cs="Times New Roman"/>
          <w:sz w:val="24"/>
          <w:szCs w:val="24"/>
          <w:lang w:eastAsia="en-GB"/>
        </w:rPr>
        <w:t>: Individual Report</w:t>
      </w:r>
    </w:p>
    <w:p w14:paraId="24B9FC83" w14:textId="1E051E4F" w:rsidR="008526FC" w:rsidRPr="00BA5C62" w:rsidRDefault="008526FC" w:rsidP="008526F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Introduction</w:t>
      </w:r>
    </w:p>
    <w:p w14:paraId="0E18F201" w14:textId="77777777" w:rsidR="008526FC" w:rsidRPr="00BA5C62" w:rsidRDefault="008526FC" w:rsidP="008526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Human Resource (HR) managers are central to the effective functioning of organisations. Their role extends beyond administrative duties to strategic responsibilities that directly influence organisational success. In today’s competitive global environment, HR managers act as facilitators of change, aligning workforce capabilities with business objectives (Armstrong, 2020).</w:t>
      </w:r>
    </w:p>
    <w:p w14:paraId="6E08BD9E" w14:textId="77777777" w:rsidR="008526FC" w:rsidRPr="00BA5C62" w:rsidRDefault="008526FC" w:rsidP="008526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Key HR functions illustrate this strategic importance. </w:t>
      </w:r>
      <w:r w:rsidRPr="00BA5C62">
        <w:rPr>
          <w:rFonts w:ascii="Times New Roman" w:eastAsia="Times New Roman" w:hAnsi="Times New Roman" w:cs="Times New Roman"/>
          <w:b/>
          <w:bCs/>
          <w:kern w:val="0"/>
          <w:sz w:val="24"/>
          <w:szCs w:val="24"/>
          <w:lang w:eastAsia="en-GB"/>
          <w14:ligatures w14:val="none"/>
        </w:rPr>
        <w:t>Recruitment</w:t>
      </w:r>
      <w:r w:rsidRPr="00BA5C62">
        <w:rPr>
          <w:rFonts w:ascii="Times New Roman" w:eastAsia="Times New Roman" w:hAnsi="Times New Roman" w:cs="Times New Roman"/>
          <w:kern w:val="0"/>
          <w:sz w:val="24"/>
          <w:szCs w:val="24"/>
          <w:lang w:eastAsia="en-GB"/>
          <w14:ligatures w14:val="none"/>
        </w:rPr>
        <w:t xml:space="preserve"> ensures organisations attract and retain individuals with the right skills and cultural fit, enabling them to remain competitive (Dessler, 2020). </w:t>
      </w:r>
      <w:r w:rsidRPr="00BA5C62">
        <w:rPr>
          <w:rFonts w:ascii="Times New Roman" w:eastAsia="Times New Roman" w:hAnsi="Times New Roman" w:cs="Times New Roman"/>
          <w:b/>
          <w:bCs/>
          <w:kern w:val="0"/>
          <w:sz w:val="24"/>
          <w:szCs w:val="24"/>
          <w:lang w:eastAsia="en-GB"/>
          <w14:ligatures w14:val="none"/>
        </w:rPr>
        <w:t>Training and development</w:t>
      </w:r>
      <w:r w:rsidRPr="00BA5C62">
        <w:rPr>
          <w:rFonts w:ascii="Times New Roman" w:eastAsia="Times New Roman" w:hAnsi="Times New Roman" w:cs="Times New Roman"/>
          <w:kern w:val="0"/>
          <w:sz w:val="24"/>
          <w:szCs w:val="24"/>
          <w:lang w:eastAsia="en-GB"/>
          <w14:ligatures w14:val="none"/>
        </w:rPr>
        <w:t xml:space="preserve"> enhance employee capabilities, preparing them for evolving challenges and fostering innovation (Bratton and Gold, 2017). </w:t>
      </w:r>
      <w:r w:rsidRPr="00BA5C62">
        <w:rPr>
          <w:rFonts w:ascii="Times New Roman" w:eastAsia="Times New Roman" w:hAnsi="Times New Roman" w:cs="Times New Roman"/>
          <w:b/>
          <w:bCs/>
          <w:kern w:val="0"/>
          <w:sz w:val="24"/>
          <w:szCs w:val="24"/>
          <w:lang w:eastAsia="en-GB"/>
          <w14:ligatures w14:val="none"/>
        </w:rPr>
        <w:t>Performance management</w:t>
      </w:r>
      <w:r w:rsidRPr="00BA5C62">
        <w:rPr>
          <w:rFonts w:ascii="Times New Roman" w:eastAsia="Times New Roman" w:hAnsi="Times New Roman" w:cs="Times New Roman"/>
          <w:kern w:val="0"/>
          <w:sz w:val="24"/>
          <w:szCs w:val="24"/>
          <w:lang w:eastAsia="en-GB"/>
          <w14:ligatures w14:val="none"/>
        </w:rPr>
        <w:t xml:space="preserve"> provides mechanisms to evaluate, reward, and improve employee contributions, ensuring accountability and motivation (Armstrong, 2020). </w:t>
      </w:r>
      <w:r w:rsidRPr="00BA5C62">
        <w:rPr>
          <w:rFonts w:ascii="Times New Roman" w:eastAsia="Times New Roman" w:hAnsi="Times New Roman" w:cs="Times New Roman"/>
          <w:b/>
          <w:bCs/>
          <w:kern w:val="0"/>
          <w:sz w:val="24"/>
          <w:szCs w:val="24"/>
          <w:lang w:eastAsia="en-GB"/>
          <w14:ligatures w14:val="none"/>
        </w:rPr>
        <w:t>Employee relations</w:t>
      </w:r>
      <w:r w:rsidRPr="00BA5C62">
        <w:rPr>
          <w:rFonts w:ascii="Times New Roman" w:eastAsia="Times New Roman" w:hAnsi="Times New Roman" w:cs="Times New Roman"/>
          <w:kern w:val="0"/>
          <w:sz w:val="24"/>
          <w:szCs w:val="24"/>
          <w:lang w:eastAsia="en-GB"/>
          <w14:ligatures w14:val="none"/>
        </w:rPr>
        <w:t xml:space="preserve"> maintain workplace harmony, resolve conflicts, and ensure compliance with labour laws, which is vital for sustaining productivity and engagement (Johnson, Scholes and Whittington, 2017).</w:t>
      </w:r>
    </w:p>
    <w:p w14:paraId="605F4B82" w14:textId="77777777" w:rsidR="008526FC" w:rsidRPr="00BA5C62" w:rsidRDefault="008526FC" w:rsidP="008526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These functions are interconnected and collectively contribute to organisational resilience. Recruitment feeds into training, which supports performance management, while employee relations underpin all aspects by fostering trust and collaboration. HR managers must therefore balance operational efficiency with strategic foresight.</w:t>
      </w:r>
    </w:p>
    <w:p w14:paraId="2204999F" w14:textId="77777777" w:rsidR="008526FC" w:rsidRPr="00BA5C62" w:rsidRDefault="008526FC" w:rsidP="008526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This report explores the role of HR managers by examining the internal and external environment in which they operate, applying a business environment model to understand influencing factors, and analysing HR practices within a global organisation. </w:t>
      </w:r>
    </w:p>
    <w:p w14:paraId="6BAB311E" w14:textId="77777777" w:rsidR="0030238C" w:rsidRPr="00BA5C62" w:rsidRDefault="008526FC" w:rsidP="008526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Th</w:t>
      </w:r>
      <w:r w:rsidR="0030238C" w:rsidRPr="00BA5C62">
        <w:rPr>
          <w:rFonts w:ascii="Times New Roman" w:eastAsia="Times New Roman" w:hAnsi="Times New Roman" w:cs="Times New Roman"/>
          <w:kern w:val="0"/>
          <w:sz w:val="24"/>
          <w:szCs w:val="24"/>
          <w:lang w:eastAsia="en-GB"/>
          <w14:ligatures w14:val="none"/>
        </w:rPr>
        <w:t>is</w:t>
      </w:r>
      <w:r w:rsidRPr="00BA5C62">
        <w:rPr>
          <w:rFonts w:ascii="Times New Roman" w:eastAsia="Times New Roman" w:hAnsi="Times New Roman" w:cs="Times New Roman"/>
          <w:kern w:val="0"/>
          <w:sz w:val="24"/>
          <w:szCs w:val="24"/>
          <w:lang w:eastAsia="en-GB"/>
          <w14:ligatures w14:val="none"/>
        </w:rPr>
        <w:t xml:space="preserve"> report is structured into five sections:  </w:t>
      </w:r>
      <w:r w:rsidRPr="00BA5C62">
        <w:rPr>
          <w:rFonts w:ascii="Times New Roman" w:eastAsia="Times New Roman" w:hAnsi="Times New Roman" w:cs="Times New Roman"/>
          <w:b/>
          <w:bCs/>
          <w:kern w:val="0"/>
          <w:sz w:val="24"/>
          <w:szCs w:val="24"/>
          <w:lang w:eastAsia="en-GB"/>
          <w14:ligatures w14:val="none"/>
        </w:rPr>
        <w:t>Internal and External Environment</w:t>
      </w:r>
      <w:r w:rsidRPr="00BA5C62">
        <w:rPr>
          <w:rFonts w:ascii="Times New Roman" w:eastAsia="Times New Roman" w:hAnsi="Times New Roman" w:cs="Times New Roman"/>
          <w:kern w:val="0"/>
          <w:sz w:val="24"/>
          <w:szCs w:val="24"/>
          <w:lang w:eastAsia="en-GB"/>
          <w14:ligatures w14:val="none"/>
        </w:rPr>
        <w:t xml:space="preserve">, </w:t>
      </w:r>
      <w:r w:rsidRPr="00BA5C62">
        <w:rPr>
          <w:rFonts w:ascii="Times New Roman" w:eastAsia="Times New Roman" w:hAnsi="Times New Roman" w:cs="Times New Roman"/>
          <w:b/>
          <w:bCs/>
          <w:kern w:val="0"/>
          <w:sz w:val="24"/>
          <w:szCs w:val="24"/>
          <w:lang w:eastAsia="en-GB"/>
          <w14:ligatures w14:val="none"/>
        </w:rPr>
        <w:t>Organisation Application</w:t>
      </w:r>
      <w:r w:rsidRPr="00BA5C62">
        <w:rPr>
          <w:rFonts w:ascii="Times New Roman" w:eastAsia="Times New Roman" w:hAnsi="Times New Roman" w:cs="Times New Roman"/>
          <w:kern w:val="0"/>
          <w:sz w:val="24"/>
          <w:szCs w:val="24"/>
          <w:lang w:eastAsia="en-GB"/>
          <w14:ligatures w14:val="none"/>
        </w:rPr>
        <w:t xml:space="preserve">, </w:t>
      </w:r>
      <w:r w:rsidRPr="00BA5C62">
        <w:rPr>
          <w:rFonts w:ascii="Times New Roman" w:eastAsia="Times New Roman" w:hAnsi="Times New Roman" w:cs="Times New Roman"/>
          <w:b/>
          <w:bCs/>
          <w:kern w:val="0"/>
          <w:sz w:val="24"/>
          <w:szCs w:val="24"/>
          <w:lang w:eastAsia="en-GB"/>
          <w14:ligatures w14:val="none"/>
        </w:rPr>
        <w:t>Application of Model</w:t>
      </w:r>
      <w:r w:rsidRPr="00BA5C62">
        <w:rPr>
          <w:rFonts w:ascii="Times New Roman" w:eastAsia="Times New Roman" w:hAnsi="Times New Roman" w:cs="Times New Roman"/>
          <w:kern w:val="0"/>
          <w:sz w:val="24"/>
          <w:szCs w:val="24"/>
          <w:lang w:eastAsia="en-GB"/>
          <w14:ligatures w14:val="none"/>
        </w:rPr>
        <w:t xml:space="preserve">, and </w:t>
      </w:r>
      <w:r w:rsidRPr="00BA5C62">
        <w:rPr>
          <w:rFonts w:ascii="Times New Roman" w:eastAsia="Times New Roman" w:hAnsi="Times New Roman" w:cs="Times New Roman"/>
          <w:b/>
          <w:bCs/>
          <w:kern w:val="0"/>
          <w:sz w:val="24"/>
          <w:szCs w:val="24"/>
          <w:lang w:eastAsia="en-GB"/>
          <w14:ligatures w14:val="none"/>
        </w:rPr>
        <w:t>Conclusion</w:t>
      </w:r>
      <w:r w:rsidRPr="00BA5C62">
        <w:rPr>
          <w:rFonts w:ascii="Times New Roman" w:eastAsia="Times New Roman" w:hAnsi="Times New Roman" w:cs="Times New Roman"/>
          <w:kern w:val="0"/>
          <w:sz w:val="24"/>
          <w:szCs w:val="24"/>
          <w:lang w:eastAsia="en-GB"/>
          <w14:ligatures w14:val="none"/>
        </w:rPr>
        <w:t xml:space="preserve">. </w:t>
      </w:r>
    </w:p>
    <w:p w14:paraId="025827D6" w14:textId="79B34313" w:rsidR="00275A32" w:rsidRPr="00BA5C62" w:rsidRDefault="008C5D18" w:rsidP="00275A32">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lastRenderedPageBreak/>
        <w:t>PESTEL Analysis and HR Functions</w:t>
      </w:r>
    </w:p>
    <w:p w14:paraId="3DF70F5B" w14:textId="1F3AB9AD" w:rsidR="009A1B83" w:rsidRPr="00BA5C62" w:rsidRDefault="00275A32" w:rsidP="009A1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PESTEL analysis is a widely used framework for examining the external environment and its impact on organisational functions, including human resource management. By analysing Political, Economic, Social, Technological, Environmental, and Legal factors, HR managers can anticipate challenges and opportunities that shape recruitment, training, performance management, and employee relations. For example, political and legal changes such as employment law reforms, minimum wage adjustments, or health and safety regulations directly influence HR compliance and policy design. Economic conditions, including inflation, recession, or labour market fluctuations, affect compensation strategies, workforce planning, and talent retention. Social factors, such as demographic shifts, diversity expectations, and employee attitudes towards work-life balance, require HR to adapt engagement and inclusion strategies. Technological advancements drive digital HR systems, e-learning platforms, and data-driven performance management, while environmental concerns encourage sustainable HR practices such as green recruitment and corporate social responsibility initiatives (Taylor, 2021; Armstrong, 2020)</w:t>
      </w:r>
      <w:r w:rsidR="009A1B83" w:rsidRPr="00BA5C62">
        <w:rPr>
          <w:rFonts w:ascii="Times New Roman" w:hAnsi="Times New Roman" w:cs="Times New Roman"/>
          <w:sz w:val="24"/>
          <w:szCs w:val="24"/>
        </w:rPr>
        <w:t xml:space="preserve"> </w:t>
      </w:r>
      <w:r w:rsidR="009A1B83" w:rsidRPr="00BA5C62">
        <w:rPr>
          <w:rFonts w:ascii="Times New Roman" w:eastAsia="Times New Roman" w:hAnsi="Times New Roman" w:cs="Times New Roman"/>
          <w:kern w:val="0"/>
          <w:sz w:val="24"/>
          <w:szCs w:val="24"/>
          <w:lang w:eastAsia="en-GB"/>
          <w14:ligatures w14:val="none"/>
        </w:rPr>
        <w:t>Internal and external environmental factors also influence HR managers’ effectiveness. Internally, organisational culture, leadership style, and available resources determine the extent to which HR can implement innovative practices. Externally, competitive labour markets, globalisation, and regulatory frameworks require HR managers to adopt flexible and adaptive strategies (Taylor, 2021).</w:t>
      </w:r>
    </w:p>
    <w:p w14:paraId="4A14F37F" w14:textId="77777777" w:rsidR="009A1B83" w:rsidRPr="00BA5C62" w:rsidRDefault="009A1B83" w:rsidP="009A1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7079E">
        <w:rPr>
          <w:rFonts w:ascii="Times New Roman" w:eastAsia="Times New Roman" w:hAnsi="Times New Roman" w:cs="Times New Roman"/>
          <w:b/>
          <w:bCs/>
          <w:kern w:val="0"/>
          <w:sz w:val="24"/>
          <w:szCs w:val="24"/>
          <w:lang w:eastAsia="en-GB"/>
          <w14:ligatures w14:val="none"/>
        </w:rPr>
        <w:t>The impact of PESTEL</w:t>
      </w:r>
      <w:r w:rsidRPr="00BA5C62">
        <w:rPr>
          <w:rFonts w:ascii="Times New Roman" w:eastAsia="Times New Roman" w:hAnsi="Times New Roman" w:cs="Times New Roman"/>
          <w:kern w:val="0"/>
          <w:sz w:val="24"/>
          <w:szCs w:val="24"/>
          <w:lang w:eastAsia="en-GB"/>
          <w14:ligatures w14:val="none"/>
        </w:rPr>
        <w:t xml:space="preserve"> varies across countries due to cultural, legal, and economic differences. For instance, collectivist cultures such as Japan emphasise teamwork and long-term employment, while individualist cultures like the US prioritise personal achievement and mobility. Legal frameworks differ significantly, with EU countries enforcing strict labour protections compared to emerging economies with less comprehensive regulations. Economic disparities also shape HR strategies, with high-growth economies focusing on talent acquisition and recessionary contexts emphasising cost control (Taylor, 2021).</w:t>
      </w:r>
    </w:p>
    <w:p w14:paraId="35A86AC5" w14:textId="20CE23A8" w:rsidR="009A1B83" w:rsidRPr="00BA5C62" w:rsidRDefault="009A1B83" w:rsidP="009A1B8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Thus, HR managers must balance global consistency with local responsiveness, interpreting PESTEL factors in context to design effective, sustainable HR practices.</w:t>
      </w:r>
    </w:p>
    <w:p w14:paraId="253622C9" w14:textId="77777777" w:rsidR="009A1B83" w:rsidRPr="00BA5C62" w:rsidRDefault="009A1B83" w:rsidP="00275A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A84CB6" w14:textId="77777777" w:rsidR="009A1B83" w:rsidRPr="00BA5C62" w:rsidRDefault="009A1B83" w:rsidP="00275A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2E0B6D5" w14:textId="36D0C682" w:rsidR="008526FC" w:rsidRPr="00BA5C62" w:rsidRDefault="008C5D18" w:rsidP="008C5D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Linking PESTEL to HR functions</w:t>
      </w:r>
      <w:r w:rsidRPr="00BA5C62">
        <w:rPr>
          <w:rFonts w:ascii="Times New Roman" w:eastAsia="Times New Roman" w:hAnsi="Times New Roman" w:cs="Times New Roman"/>
          <w:kern w:val="0"/>
          <w:sz w:val="24"/>
          <w:szCs w:val="24"/>
          <w:lang w:eastAsia="en-GB"/>
          <w14:ligatures w14:val="none"/>
        </w:rPr>
        <w:t xml:space="preserve"> demonstrates its practical relevance. Political and legal factors shape employment law, health and safety standards, and diversity policies. Economic conditions influence recruitment budgets, compensation strategies, and workforce planning. Social trends affect employee expectations around flexibility, inclusion, and work-life balance. Technological changes drive HR to adopt digital tools for recruitment, training, and performance management. Environmental pressures encourage HR to embed sustainability into organizational values and practices. Thus, HR must integrate both external PESTEL insights and internal organizational realities to design adaptive, compliant, and employee-focused policies (Armstrong, 2020).</w:t>
      </w:r>
    </w:p>
    <w:p w14:paraId="5242DEBB" w14:textId="77777777" w:rsidR="00566D2C" w:rsidRPr="00BA5C62" w:rsidRDefault="00566D2C" w:rsidP="008C5D1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499CAB1" w14:textId="77777777" w:rsidR="00566D2C" w:rsidRPr="00BA5C62" w:rsidRDefault="00566D2C" w:rsidP="00566D2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Unilever’s Global Operations and HR Practices</w:t>
      </w:r>
    </w:p>
    <w:p w14:paraId="4B01E727" w14:textId="77777777" w:rsidR="00566D2C" w:rsidRPr="00BA5C62" w:rsidRDefault="00566D2C" w:rsidP="00566D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lastRenderedPageBreak/>
        <w:t>Unilever is one of the world’s largest fast-moving consumer goods (FMCG) companies, headquartered in London. It operates in over 190 countries, serving 3.4 billion people daily through brands such as Dove, Lipton, and Ben &amp; Jerry’s. With more than 127,000 employees worldwide, Unilever’s global presence is supported by a decentralized structure that allows adaptation to local markets while maintaining a unified corporate strategy focused on sustainability and innovation (Armstrong, 2020).</w:t>
      </w:r>
    </w:p>
    <w:p w14:paraId="230DB0F1" w14:textId="77777777" w:rsidR="00566D2C" w:rsidRPr="00BA5C62" w:rsidRDefault="00566D2C" w:rsidP="00566D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Unilever’s HR practices are central to sustaining its global operations. Recruitment emphasizes employer branding and talent pipelines, including graduate programs and leadership development schemes that attract diverse talent across regions. Training is continuous, with initiatives such as the “Future Leaders Programme” and digital learning platforms designed to build skills aligned with technological and market changes. Performance management is structured around data-driven systems that measure productivity, engagement, and leadership effectiveness, ensuring alignment with corporate goals. Employee relations are prioritized through collective bargaining, diversity and inclusion initiatives, and well-being programs, fostering trust and collaboration across different cultural contexts (Armstrong, 2020).</w:t>
      </w:r>
    </w:p>
    <w:p w14:paraId="5A5CCE82" w14:textId="77777777" w:rsidR="003647FE" w:rsidRPr="00BA5C62" w:rsidRDefault="003647FE" w:rsidP="003647FE">
      <w:pPr>
        <w:pStyle w:val="NormalWeb"/>
      </w:pPr>
      <w:r w:rsidRPr="00BA5C62">
        <w:t>By integrating HR practices with its global strategy, Unilever achieves a balance between consistency and local responsiveness. As a multinational organisation operating in over 190 countries, Unilever must adapt its HR policies to diverse political, economic, and cultural contexts. Political and legal frameworks, such as labour laws, health and safety regulations, and diversity requirements, directly shape recruitment and employee relations strategies. For instance, compliance with European Union employment legislation requires strict adherence to collective bargaining and equality standards, while operations in emerging economies may demand flexibility in navigating less formalised labour markets (Armstrong, 2020).</w:t>
      </w:r>
    </w:p>
    <w:p w14:paraId="356B2E70" w14:textId="77777777" w:rsidR="003647FE" w:rsidRPr="00BA5C62" w:rsidRDefault="003647FE" w:rsidP="003647FE">
      <w:pPr>
        <w:pStyle w:val="NormalWeb"/>
      </w:pPr>
      <w:r w:rsidRPr="00BA5C62">
        <w:t>Economic conditions also play a crucial role. In high-growth markets, HR focuses on talent acquisition and leadership development to sustain expansion, whereas in recessionary contexts, emphasis shifts towards workforce restructuring, cost control, and employee retention. Social and cultural differences further influence HR practices. In collectivist cultures such as Asia, HR policies often emphasise teamwork, loyalty, and long-term employment, while in individualist cultures like the United States, performance management systems prioritise personal achievement and mobility (Taylor, 2021).</w:t>
      </w:r>
    </w:p>
    <w:p w14:paraId="20FDA410" w14:textId="77777777" w:rsidR="003647FE" w:rsidRPr="00BA5C62" w:rsidRDefault="003647FE" w:rsidP="003647FE">
      <w:pPr>
        <w:pStyle w:val="NormalWeb"/>
      </w:pPr>
      <w:r w:rsidRPr="00BA5C62">
        <w:t>Training and development are central to Unilever’s HR approach, with global leadership programmes and digital learning platforms ensuring employees acquire skills aligned with technological and market changes. Performance management is supported by data-driven systems that measure productivity and engagement, while employee relations are strengthened through diversity initiatives, well-being programmes, and sustainability-focused values.</w:t>
      </w:r>
    </w:p>
    <w:p w14:paraId="3D8BAAE4" w14:textId="77777777" w:rsidR="003647FE" w:rsidRPr="00BA5C62" w:rsidRDefault="003647FE" w:rsidP="003647FE">
      <w:pPr>
        <w:pStyle w:val="NormalWeb"/>
      </w:pPr>
      <w:r w:rsidRPr="00BA5C62">
        <w:t>This adaptability enables Unilever to remain competitive while promoting sustainability and social responsibility worldwide. By aligning HR practices with both global corporate objectives and local environmental realities, Unilever demonstrates how multinational organisations can integrate strategic HRM with responsiveness to external pressures (Armstrong, 2020; Taylor, 2021).</w:t>
      </w:r>
    </w:p>
    <w:p w14:paraId="6BE15707" w14:textId="6C2105D1" w:rsidR="003647FE" w:rsidRPr="00BA5C62" w:rsidRDefault="003647FE" w:rsidP="003647FE">
      <w:pPr>
        <w:pStyle w:val="NormalWeb"/>
      </w:pPr>
    </w:p>
    <w:p w14:paraId="14C04A6E" w14:textId="77777777" w:rsidR="003E6817" w:rsidRPr="00BA5C62" w:rsidRDefault="003E6817" w:rsidP="00566D2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9A26D2D" w14:textId="77777777" w:rsidR="003E6817" w:rsidRPr="00BA5C62" w:rsidRDefault="003E6817" w:rsidP="003E6817">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PESTEL and HR Practices</w:t>
      </w:r>
    </w:p>
    <w:p w14:paraId="2BA4D50C" w14:textId="3C172400" w:rsidR="002F248F" w:rsidRPr="00BA5C62" w:rsidRDefault="003E6817" w:rsidP="003E681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PESTEL analysis provides a structured framework for examining Political, Economic, Social, Technological, Environmental, and Legal influences on HR management. Each factor directly affects how HR functions are designed and implemented. For example, political and legal changes such as employment law reforms or </w:t>
      </w:r>
      <w:r w:rsidR="00BA5C62" w:rsidRPr="00BA5C62">
        <w:rPr>
          <w:rFonts w:ascii="Times New Roman" w:eastAsia="Times New Roman" w:hAnsi="Times New Roman" w:cs="Times New Roman"/>
          <w:kern w:val="0"/>
          <w:sz w:val="24"/>
          <w:szCs w:val="24"/>
          <w:lang w:eastAsia="en-GB"/>
          <w14:ligatures w14:val="none"/>
        </w:rPr>
        <w:t>labour</w:t>
      </w:r>
      <w:r w:rsidRPr="00BA5C62">
        <w:rPr>
          <w:rFonts w:ascii="Times New Roman" w:eastAsia="Times New Roman" w:hAnsi="Times New Roman" w:cs="Times New Roman"/>
          <w:kern w:val="0"/>
          <w:sz w:val="24"/>
          <w:szCs w:val="24"/>
          <w:lang w:eastAsia="en-GB"/>
          <w14:ligatures w14:val="none"/>
        </w:rPr>
        <w:t xml:space="preserve"> rights legislation determine compliance requirements and influence recruitment policies. Economic conditions like inflation or recession impact compensation strategies and workforce planning. Social trends, including demographic shifts and employee expectations around diversity and inclusion, shape HR’s approach to engagement and retention. Technological advancements drive digital HR systems, e-learning, and data-driven performance management. Environmental pressures encourage sustainable HR practices, such as green recruitment and corporate social responsibility initiatives (Taylor, 2021; CIPD, 2025).</w:t>
      </w:r>
    </w:p>
    <w:p w14:paraId="6ED281A1" w14:textId="77777777" w:rsidR="002F248F" w:rsidRPr="00BA5C62" w:rsidRDefault="002F248F" w:rsidP="002F248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Internal and External Environmental Factors</w:t>
      </w:r>
    </w:p>
    <w:p w14:paraId="084A5DF8" w14:textId="2069884B" w:rsidR="00D758FF" w:rsidRPr="00BA5C62" w:rsidRDefault="002F248F" w:rsidP="002F24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HR managers’ effectiveness depends on their ability to balance internal factors (organizational culture, leadership style, resources, and workforce demographics) with external forces (competition, labour market dynamics, and regulatory frameworks). Internally, a supportive culture and adequate resources enable HR managers to implement innovative practices. Conversely, resistance to change or limited budgets constrain effectiveness. Externally, competitive labour markets require HR to adopt proactive recruitment and retention strategies, while globalized operations demand sensitivity to diverse legal and cultural contexts (Taylor, 2021; HR Lineup, 2025).</w:t>
      </w:r>
    </w:p>
    <w:p w14:paraId="47688171" w14:textId="77777777" w:rsidR="002F248F" w:rsidRPr="00BA5C62" w:rsidRDefault="002F248F" w:rsidP="002F248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t>Country-Specific Differences</w:t>
      </w:r>
    </w:p>
    <w:p w14:paraId="7384A6E4" w14:textId="01D97847" w:rsidR="0017079E" w:rsidRPr="00B158DE" w:rsidRDefault="002F248F" w:rsidP="002F24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The impact of PESTEL forces varies across countries due to cultural, legal, and economic differences:</w:t>
      </w:r>
    </w:p>
    <w:p w14:paraId="3306ED57" w14:textId="5D82B4D3" w:rsidR="00B0594E" w:rsidRPr="00BA5C62" w:rsidRDefault="00B0594E" w:rsidP="002F24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16BB2BA" w14:textId="348A2F32" w:rsidR="00275A32" w:rsidRPr="00BA5C62" w:rsidRDefault="00275A32" w:rsidP="005C3EE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                                                             </w:t>
      </w:r>
    </w:p>
    <w:tbl>
      <w:tblPr>
        <w:tblStyle w:val="TableGrid"/>
        <w:tblW w:w="0" w:type="auto"/>
        <w:tblLook w:val="04A0" w:firstRow="1" w:lastRow="0" w:firstColumn="1" w:lastColumn="0" w:noHBand="0" w:noVBand="1"/>
      </w:tblPr>
      <w:tblGrid>
        <w:gridCol w:w="3005"/>
        <w:gridCol w:w="3005"/>
        <w:gridCol w:w="3006"/>
      </w:tblGrid>
      <w:tr w:rsidR="0017079E" w14:paraId="659B8E0C" w14:textId="77777777" w:rsidTr="0017079E">
        <w:tc>
          <w:tcPr>
            <w:tcW w:w="3005" w:type="dxa"/>
          </w:tcPr>
          <w:p w14:paraId="294805A3" w14:textId="5969F731" w:rsidR="0017079E" w:rsidRDefault="0017079E" w:rsidP="0017079E">
            <w:pPr>
              <w:spacing w:before="100" w:beforeAutospacing="1" w:after="100" w:afterAutospacing="1"/>
              <w:rPr>
                <w:rFonts w:ascii="Times New Roman" w:eastAsia="Times New Roman" w:hAnsi="Times New Roman" w:cs="Times New Roman"/>
                <w:kern w:val="0"/>
                <w:sz w:val="24"/>
                <w:szCs w:val="24"/>
                <w:lang w:eastAsia="en-GB"/>
                <w14:ligatures w14:val="none"/>
              </w:rPr>
            </w:pPr>
            <w:r w:rsidRPr="00A916BD">
              <w:rPr>
                <w:rFonts w:ascii="Times New Roman" w:eastAsia="Times New Roman" w:hAnsi="Times New Roman" w:cs="Times New Roman"/>
                <w:b/>
                <w:bCs/>
                <w:kern w:val="0"/>
                <w:sz w:val="24"/>
                <w:szCs w:val="24"/>
                <w:lang w:eastAsia="en-GB"/>
                <w14:ligatures w14:val="none"/>
              </w:rPr>
              <w:t xml:space="preserve">Factors    </w:t>
            </w:r>
          </w:p>
        </w:tc>
        <w:tc>
          <w:tcPr>
            <w:tcW w:w="3005" w:type="dxa"/>
          </w:tcPr>
          <w:p w14:paraId="4B0D0CF7" w14:textId="299CBDC3" w:rsidR="0017079E" w:rsidRDefault="0017079E" w:rsidP="0017079E">
            <w:pPr>
              <w:spacing w:before="100" w:beforeAutospacing="1" w:after="100" w:afterAutospacing="1"/>
              <w:rPr>
                <w:rFonts w:ascii="Times New Roman" w:eastAsia="Times New Roman" w:hAnsi="Times New Roman" w:cs="Times New Roman"/>
                <w:kern w:val="0"/>
                <w:sz w:val="24"/>
                <w:szCs w:val="24"/>
                <w:lang w:eastAsia="en-GB"/>
                <w14:ligatures w14:val="none"/>
              </w:rPr>
            </w:pPr>
            <w:r w:rsidRPr="00A916BD">
              <w:rPr>
                <w:rFonts w:ascii="Times New Roman" w:eastAsia="Times New Roman" w:hAnsi="Times New Roman" w:cs="Times New Roman"/>
                <w:b/>
                <w:bCs/>
                <w:kern w:val="0"/>
                <w:sz w:val="24"/>
                <w:szCs w:val="24"/>
                <w:lang w:eastAsia="en-GB"/>
                <w14:ligatures w14:val="none"/>
              </w:rPr>
              <w:t xml:space="preserve">  Impact on HR in Different Countries         </w:t>
            </w:r>
          </w:p>
        </w:tc>
        <w:tc>
          <w:tcPr>
            <w:tcW w:w="3006" w:type="dxa"/>
          </w:tcPr>
          <w:p w14:paraId="4EB735E6" w14:textId="7D2898AF" w:rsidR="0017079E" w:rsidRDefault="0017079E" w:rsidP="0017079E">
            <w:pPr>
              <w:spacing w:before="100" w:beforeAutospacing="1" w:after="100" w:afterAutospacing="1"/>
              <w:rPr>
                <w:rFonts w:ascii="Times New Roman" w:eastAsia="Times New Roman" w:hAnsi="Times New Roman" w:cs="Times New Roman"/>
                <w:kern w:val="0"/>
                <w:sz w:val="24"/>
                <w:szCs w:val="24"/>
                <w:lang w:eastAsia="en-GB"/>
                <w14:ligatures w14:val="none"/>
              </w:rPr>
            </w:pPr>
            <w:r w:rsidRPr="00A916BD">
              <w:rPr>
                <w:rFonts w:ascii="Times New Roman" w:eastAsia="Times New Roman" w:hAnsi="Times New Roman" w:cs="Times New Roman"/>
                <w:b/>
                <w:bCs/>
                <w:kern w:val="0"/>
                <w:sz w:val="24"/>
                <w:szCs w:val="24"/>
                <w:lang w:eastAsia="en-GB"/>
                <w14:ligatures w14:val="none"/>
              </w:rPr>
              <w:t>Examples</w:t>
            </w:r>
          </w:p>
        </w:tc>
      </w:tr>
      <w:tr w:rsidR="0017079E" w14:paraId="22ECAAC1" w14:textId="77777777" w:rsidTr="0017079E">
        <w:tc>
          <w:tcPr>
            <w:tcW w:w="3005" w:type="dxa"/>
          </w:tcPr>
          <w:p w14:paraId="1BA545DE" w14:textId="6FBE33A0"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Culture</w:t>
            </w:r>
          </w:p>
        </w:tc>
        <w:tc>
          <w:tcPr>
            <w:tcW w:w="3005" w:type="dxa"/>
          </w:tcPr>
          <w:p w14:paraId="2E761184" w14:textId="7B63E2DA"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Communication styles, and leadership</w:t>
            </w:r>
            <w:r>
              <w:rPr>
                <w:rFonts w:ascii="Times New Roman" w:eastAsia="Times New Roman" w:hAnsi="Times New Roman" w:cs="Times New Roman"/>
                <w:kern w:val="0"/>
                <w:sz w:val="24"/>
                <w:szCs w:val="24"/>
                <w:lang w:eastAsia="en-GB"/>
                <w14:ligatures w14:val="none"/>
              </w:rPr>
              <w:t xml:space="preserve"> p</w:t>
            </w:r>
            <w:r w:rsidRPr="00BA5C62">
              <w:rPr>
                <w:rFonts w:ascii="Times New Roman" w:eastAsia="Times New Roman" w:hAnsi="Times New Roman" w:cs="Times New Roman"/>
                <w:kern w:val="0"/>
                <w:sz w:val="24"/>
                <w:szCs w:val="24"/>
                <w:lang w:eastAsia="en-GB"/>
                <w14:ligatures w14:val="none"/>
              </w:rPr>
              <w:t>references. HR must adapt to practices .</w:t>
            </w:r>
            <w:r>
              <w:rPr>
                <w:rFonts w:ascii="Times New Roman" w:eastAsia="Times New Roman" w:hAnsi="Times New Roman" w:cs="Times New Roman"/>
                <w:kern w:val="0"/>
                <w:sz w:val="24"/>
                <w:szCs w:val="24"/>
                <w:lang w:eastAsia="en-GB"/>
                <w14:ligatures w14:val="none"/>
              </w:rPr>
              <w:t>H</w:t>
            </w:r>
            <w:r w:rsidRPr="00BA5C62">
              <w:rPr>
                <w:rFonts w:ascii="Times New Roman" w:eastAsia="Times New Roman" w:hAnsi="Times New Roman" w:cs="Times New Roman"/>
                <w:kern w:val="0"/>
                <w:sz w:val="24"/>
                <w:szCs w:val="24"/>
                <w:lang w:eastAsia="en-GB"/>
                <w14:ligatures w14:val="none"/>
              </w:rPr>
              <w:t xml:space="preserve">R must adapt to </w:t>
            </w:r>
            <w:r w:rsidRPr="00BA5C62">
              <w:rPr>
                <w:rFonts w:ascii="Times New Roman" w:eastAsia="Times New Roman" w:hAnsi="Times New Roman" w:cs="Times New Roman"/>
                <w:kern w:val="0"/>
                <w:sz w:val="24"/>
                <w:szCs w:val="24"/>
                <w:lang w:eastAsia="en-GB"/>
                <w14:ligatures w14:val="none"/>
              </w:rPr>
              <w:t xml:space="preserve">practices </w:t>
            </w:r>
            <w:r>
              <w:rPr>
                <w:rFonts w:ascii="Times New Roman" w:eastAsia="Times New Roman" w:hAnsi="Times New Roman" w:cs="Times New Roman"/>
                <w:kern w:val="0"/>
                <w:sz w:val="24"/>
                <w:szCs w:val="24"/>
                <w:lang w:eastAsia="en-GB"/>
                <w14:ligatures w14:val="none"/>
              </w:rPr>
              <w:t>t</w:t>
            </w:r>
            <w:r w:rsidRPr="00BA5C62">
              <w:rPr>
                <w:rFonts w:ascii="Times New Roman" w:eastAsia="Times New Roman" w:hAnsi="Times New Roman" w:cs="Times New Roman"/>
                <w:kern w:val="0"/>
                <w:sz w:val="24"/>
                <w:szCs w:val="24"/>
                <w:lang w:eastAsia="en-GB"/>
                <w14:ligatures w14:val="none"/>
              </w:rPr>
              <w:t>o</w:t>
            </w:r>
            <w:r w:rsidRPr="00BA5C62">
              <w:rPr>
                <w:rFonts w:ascii="Times New Roman" w:eastAsia="Times New Roman" w:hAnsi="Times New Roman" w:cs="Times New Roman"/>
                <w:kern w:val="0"/>
                <w:sz w:val="24"/>
                <w:szCs w:val="24"/>
                <w:lang w:eastAsia="en-GB"/>
                <w14:ligatures w14:val="none"/>
              </w:rPr>
              <w:t xml:space="preserve"> align with local norms.                                       </w:t>
            </w:r>
          </w:p>
        </w:tc>
        <w:tc>
          <w:tcPr>
            <w:tcW w:w="3006" w:type="dxa"/>
          </w:tcPr>
          <w:p w14:paraId="028AD3D1" w14:textId="5D3A1B1A"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Japan emphasises on teamwork,</w:t>
            </w:r>
            <w:r w:rsidRPr="00BA5C62">
              <w:rPr>
                <w:rFonts w:ascii="Times New Roman" w:eastAsia="Times New Roman" w:hAnsi="Times New Roman" w:cs="Times New Roman"/>
                <w:kern w:val="0"/>
                <w:sz w:val="24"/>
                <w:szCs w:val="24"/>
                <w:lang w:eastAsia="en-GB"/>
                <w14:ligatures w14:val="none"/>
              </w:rPr>
              <w:t xml:space="preserve"> </w:t>
            </w:r>
            <w:r w:rsidRPr="00BA5C62">
              <w:rPr>
                <w:rFonts w:ascii="Times New Roman" w:eastAsia="Times New Roman" w:hAnsi="Times New Roman" w:cs="Times New Roman"/>
                <w:kern w:val="0"/>
                <w:sz w:val="24"/>
                <w:szCs w:val="24"/>
                <w:lang w:eastAsia="en-GB"/>
                <w14:ligatures w14:val="none"/>
              </w:rPr>
              <w:t>while individualist cultures (</w:t>
            </w:r>
            <w:proofErr w:type="spellStart"/>
            <w:r w:rsidRPr="00BA5C62">
              <w:rPr>
                <w:rFonts w:ascii="Times New Roman" w:eastAsia="Times New Roman" w:hAnsi="Times New Roman" w:cs="Times New Roman"/>
                <w:kern w:val="0"/>
                <w:sz w:val="24"/>
                <w:szCs w:val="24"/>
                <w:lang w:eastAsia="en-GB"/>
                <w14:ligatures w14:val="none"/>
              </w:rPr>
              <w:t>e.g</w:t>
            </w:r>
            <w:proofErr w:type="spellEnd"/>
            <w:r w:rsidRPr="00BA5C62">
              <w:rPr>
                <w:rFonts w:ascii="Times New Roman" w:eastAsia="Times New Roman" w:hAnsi="Times New Roman" w:cs="Times New Roman"/>
                <w:kern w:val="0"/>
                <w:sz w:val="24"/>
                <w:szCs w:val="24"/>
                <w:lang w:eastAsia="en-GB"/>
                <w14:ligatures w14:val="none"/>
              </w:rPr>
              <w:t xml:space="preserve"> US)</w:t>
            </w:r>
            <w:r>
              <w:rPr>
                <w:rFonts w:ascii="Times New Roman" w:eastAsia="Times New Roman" w:hAnsi="Times New Roman" w:cs="Times New Roman"/>
                <w:kern w:val="0"/>
                <w:sz w:val="24"/>
                <w:szCs w:val="24"/>
                <w:lang w:eastAsia="en-GB"/>
                <w14:ligatures w14:val="none"/>
              </w:rPr>
              <w:t xml:space="preserve"> </w:t>
            </w:r>
            <w:r w:rsidRPr="00BA5C62">
              <w:rPr>
                <w:rFonts w:ascii="Times New Roman" w:eastAsia="Times New Roman" w:hAnsi="Times New Roman" w:cs="Times New Roman"/>
                <w:kern w:val="0"/>
                <w:sz w:val="24"/>
                <w:szCs w:val="24"/>
                <w:lang w:eastAsia="en-GB"/>
                <w14:ligatures w14:val="none"/>
              </w:rPr>
              <w:t>prioritise personal achievement</w:t>
            </w:r>
          </w:p>
        </w:tc>
      </w:tr>
      <w:tr w:rsidR="0017079E" w14:paraId="71EEB9D8" w14:textId="77777777" w:rsidTr="0017079E">
        <w:tc>
          <w:tcPr>
            <w:tcW w:w="3005" w:type="dxa"/>
          </w:tcPr>
          <w:p w14:paraId="6C5F7FEF" w14:textId="54EF7FCD"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Legal Regulations   </w:t>
            </w:r>
          </w:p>
        </w:tc>
        <w:tc>
          <w:tcPr>
            <w:tcW w:w="3005" w:type="dxa"/>
          </w:tcPr>
          <w:p w14:paraId="26BBF228" w14:textId="640B7C97"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Employment laws differ widely</w:t>
            </w:r>
            <w:r w:rsidR="00CD19B3" w:rsidRPr="00BA5C62">
              <w:rPr>
                <w:rFonts w:ascii="Times New Roman" w:eastAsia="Times New Roman" w:hAnsi="Times New Roman" w:cs="Times New Roman"/>
                <w:kern w:val="0"/>
                <w:sz w:val="24"/>
                <w:szCs w:val="24"/>
                <w:lang w:eastAsia="en-GB"/>
                <w14:ligatures w14:val="none"/>
              </w:rPr>
              <w:t xml:space="preserve"> </w:t>
            </w:r>
            <w:r w:rsidR="00CD19B3" w:rsidRPr="00BA5C62">
              <w:rPr>
                <w:rFonts w:ascii="Times New Roman" w:eastAsia="Times New Roman" w:hAnsi="Times New Roman" w:cs="Times New Roman"/>
                <w:kern w:val="0"/>
                <w:sz w:val="24"/>
                <w:szCs w:val="24"/>
                <w:lang w:eastAsia="en-GB"/>
                <w14:ligatures w14:val="none"/>
              </w:rPr>
              <w:t>Influencing recruitment contracts</w:t>
            </w:r>
            <w:r w:rsidRPr="00BA5C62">
              <w:rPr>
                <w:rFonts w:ascii="Times New Roman" w:eastAsia="Times New Roman" w:hAnsi="Times New Roman" w:cs="Times New Roman"/>
                <w:kern w:val="0"/>
                <w:sz w:val="24"/>
                <w:szCs w:val="24"/>
                <w:lang w:eastAsia="en-GB"/>
                <w14:ligatures w14:val="none"/>
              </w:rPr>
              <w:t xml:space="preserve"> </w:t>
            </w:r>
            <w:r w:rsidR="00CD19B3" w:rsidRPr="00BA5C62">
              <w:rPr>
                <w:rFonts w:ascii="Times New Roman" w:eastAsia="Times New Roman" w:hAnsi="Times New Roman" w:cs="Times New Roman"/>
                <w:kern w:val="0"/>
                <w:sz w:val="24"/>
                <w:szCs w:val="24"/>
                <w:lang w:eastAsia="en-GB"/>
                <w14:ligatures w14:val="none"/>
              </w:rPr>
              <w:t>and Employee relations</w:t>
            </w:r>
            <w:r w:rsidRPr="00BA5C62">
              <w:rPr>
                <w:rFonts w:ascii="Times New Roman" w:eastAsia="Times New Roman" w:hAnsi="Times New Roman" w:cs="Times New Roman"/>
                <w:kern w:val="0"/>
                <w:sz w:val="24"/>
                <w:szCs w:val="24"/>
                <w:lang w:eastAsia="en-GB"/>
                <w14:ligatures w14:val="none"/>
              </w:rPr>
              <w:t xml:space="preserve">       </w:t>
            </w:r>
          </w:p>
        </w:tc>
        <w:tc>
          <w:tcPr>
            <w:tcW w:w="3006" w:type="dxa"/>
          </w:tcPr>
          <w:p w14:paraId="1345A59A" w14:textId="32A46056" w:rsidR="0017079E" w:rsidRDefault="00CD19B3"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EU countries enforce strict labour </w:t>
            </w:r>
            <w:r>
              <w:rPr>
                <w:rFonts w:ascii="Times New Roman" w:eastAsia="Times New Roman" w:hAnsi="Times New Roman" w:cs="Times New Roman"/>
                <w:kern w:val="0"/>
                <w:sz w:val="24"/>
                <w:szCs w:val="24"/>
                <w:lang w:eastAsia="en-GB"/>
                <w14:ligatures w14:val="none"/>
              </w:rPr>
              <w:t xml:space="preserve">protections, while emerging economies may have </w:t>
            </w:r>
            <w:r w:rsidR="00B158DE">
              <w:rPr>
                <w:rFonts w:ascii="Times New Roman" w:eastAsia="Times New Roman" w:hAnsi="Times New Roman" w:cs="Times New Roman"/>
                <w:kern w:val="0"/>
                <w:sz w:val="24"/>
                <w:szCs w:val="24"/>
                <w:lang w:eastAsia="en-GB"/>
                <w14:ligatures w14:val="none"/>
              </w:rPr>
              <w:t>fewer</w:t>
            </w:r>
            <w:r>
              <w:rPr>
                <w:rFonts w:ascii="Times New Roman" w:eastAsia="Times New Roman" w:hAnsi="Times New Roman" w:cs="Times New Roman"/>
                <w:kern w:val="0"/>
                <w:sz w:val="24"/>
                <w:szCs w:val="24"/>
                <w:lang w:eastAsia="en-GB"/>
                <w14:ligatures w14:val="none"/>
              </w:rPr>
              <w:t xml:space="preserve"> comprehensive frameworks</w:t>
            </w:r>
            <w:r w:rsidRPr="00BA5C62">
              <w:rPr>
                <w:rFonts w:ascii="Times New Roman" w:eastAsia="Times New Roman" w:hAnsi="Times New Roman" w:cs="Times New Roman"/>
                <w:kern w:val="0"/>
                <w:sz w:val="24"/>
                <w:szCs w:val="24"/>
                <w:lang w:eastAsia="en-GB"/>
                <w14:ligatures w14:val="none"/>
              </w:rPr>
              <w:t xml:space="preserve">               </w:t>
            </w:r>
          </w:p>
        </w:tc>
      </w:tr>
      <w:tr w:rsidR="0017079E" w14:paraId="002598B9" w14:textId="77777777" w:rsidTr="0017079E">
        <w:tc>
          <w:tcPr>
            <w:tcW w:w="3005" w:type="dxa"/>
          </w:tcPr>
          <w:p w14:paraId="6E5C7672" w14:textId="6EAD285D" w:rsidR="0017079E" w:rsidRDefault="0017079E"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Economic conditions    </w:t>
            </w:r>
          </w:p>
        </w:tc>
        <w:tc>
          <w:tcPr>
            <w:tcW w:w="3005" w:type="dxa"/>
          </w:tcPr>
          <w:p w14:paraId="6C38F1AA" w14:textId="5B5EC399" w:rsidR="0017079E" w:rsidRDefault="00CD19B3"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HR strategies must reflect local Economic realities, </w:t>
            </w:r>
            <w:r w:rsidRPr="00BA5C62">
              <w:rPr>
                <w:rFonts w:ascii="Times New Roman" w:eastAsia="Times New Roman" w:hAnsi="Times New Roman" w:cs="Times New Roman"/>
                <w:kern w:val="0"/>
                <w:sz w:val="24"/>
                <w:szCs w:val="24"/>
                <w:lang w:eastAsia="en-GB"/>
                <w14:ligatures w14:val="none"/>
              </w:rPr>
              <w:lastRenderedPageBreak/>
              <w:t xml:space="preserve">such as </w:t>
            </w:r>
            <w:r w:rsidR="00B158DE" w:rsidRPr="00BA5C62">
              <w:rPr>
                <w:rFonts w:ascii="Times New Roman" w:eastAsia="Times New Roman" w:hAnsi="Times New Roman" w:cs="Times New Roman"/>
                <w:kern w:val="0"/>
                <w:sz w:val="24"/>
                <w:szCs w:val="24"/>
                <w:lang w:eastAsia="en-GB"/>
                <w14:ligatures w14:val="none"/>
              </w:rPr>
              <w:t>wage levels</w:t>
            </w:r>
            <w:r w:rsidRPr="00BA5C62">
              <w:rPr>
                <w:rFonts w:ascii="Times New Roman" w:eastAsia="Times New Roman" w:hAnsi="Times New Roman" w:cs="Times New Roman"/>
                <w:kern w:val="0"/>
                <w:sz w:val="24"/>
                <w:szCs w:val="24"/>
                <w:lang w:eastAsia="en-GB"/>
                <w14:ligatures w14:val="none"/>
              </w:rPr>
              <w:t xml:space="preserve"> and unemployment rates              </w:t>
            </w:r>
          </w:p>
        </w:tc>
        <w:tc>
          <w:tcPr>
            <w:tcW w:w="3006" w:type="dxa"/>
          </w:tcPr>
          <w:p w14:paraId="5F9C0982" w14:textId="03A448C7" w:rsidR="0017079E" w:rsidRDefault="00CD19B3" w:rsidP="005C3EEA">
            <w:pPr>
              <w:spacing w:before="100" w:beforeAutospacing="1" w:after="100" w:afterAutospacing="1"/>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In high economies, HR focuses on talent </w:t>
            </w:r>
            <w:r>
              <w:rPr>
                <w:rFonts w:ascii="Times New Roman" w:eastAsia="Times New Roman" w:hAnsi="Times New Roman" w:cs="Times New Roman"/>
                <w:kern w:val="0"/>
                <w:sz w:val="24"/>
                <w:szCs w:val="24"/>
                <w:lang w:eastAsia="en-GB"/>
                <w14:ligatures w14:val="none"/>
              </w:rPr>
              <w:lastRenderedPageBreak/>
              <w:t xml:space="preserve">acquisitions, while in recessionary </w:t>
            </w:r>
            <w:r w:rsidR="00B158DE">
              <w:rPr>
                <w:rFonts w:ascii="Times New Roman" w:eastAsia="Times New Roman" w:hAnsi="Times New Roman" w:cs="Times New Roman"/>
                <w:kern w:val="0"/>
                <w:sz w:val="24"/>
                <w:szCs w:val="24"/>
                <w:lang w:eastAsia="en-GB"/>
                <w14:ligatures w14:val="none"/>
              </w:rPr>
              <w:t>contexts,</w:t>
            </w:r>
            <w:r>
              <w:rPr>
                <w:rFonts w:ascii="Times New Roman" w:eastAsia="Times New Roman" w:hAnsi="Times New Roman" w:cs="Times New Roman"/>
                <w:kern w:val="0"/>
                <w:sz w:val="24"/>
                <w:szCs w:val="24"/>
                <w:lang w:eastAsia="en-GB"/>
                <w14:ligatures w14:val="none"/>
              </w:rPr>
              <w:t xml:space="preserve"> emphasis shifts on cost control and </w:t>
            </w:r>
            <w:r w:rsidR="00B158DE">
              <w:rPr>
                <w:rFonts w:ascii="Times New Roman" w:eastAsia="Times New Roman" w:hAnsi="Times New Roman" w:cs="Times New Roman"/>
                <w:kern w:val="0"/>
                <w:sz w:val="24"/>
                <w:szCs w:val="24"/>
                <w:lang w:eastAsia="en-GB"/>
                <w14:ligatures w14:val="none"/>
              </w:rPr>
              <w:t>workforce restructuring</w:t>
            </w:r>
            <w:r>
              <w:rPr>
                <w:rFonts w:ascii="Times New Roman" w:eastAsia="Times New Roman" w:hAnsi="Times New Roman" w:cs="Times New Roman"/>
                <w:kern w:val="0"/>
                <w:sz w:val="24"/>
                <w:szCs w:val="24"/>
                <w:lang w:eastAsia="en-GB"/>
                <w14:ligatures w14:val="none"/>
              </w:rPr>
              <w:t xml:space="preserve"> </w:t>
            </w:r>
          </w:p>
        </w:tc>
      </w:tr>
    </w:tbl>
    <w:p w14:paraId="25D06F30" w14:textId="77777777" w:rsidR="009A1071" w:rsidRPr="00BA5C62" w:rsidRDefault="009A1071" w:rsidP="009A1071">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A5C62">
        <w:rPr>
          <w:rFonts w:ascii="Times New Roman" w:eastAsia="Times New Roman" w:hAnsi="Times New Roman" w:cs="Times New Roman"/>
          <w:b/>
          <w:bCs/>
          <w:kern w:val="0"/>
          <w:sz w:val="24"/>
          <w:szCs w:val="24"/>
          <w:lang w:eastAsia="en-GB"/>
          <w14:ligatures w14:val="none"/>
        </w:rPr>
        <w:lastRenderedPageBreak/>
        <w:t>Evaluation</w:t>
      </w:r>
    </w:p>
    <w:p w14:paraId="48465642" w14:textId="77777777" w:rsidR="009A1071" w:rsidRPr="00BA5C62" w:rsidRDefault="009A1071" w:rsidP="009A10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The usefulness of PESTEL lies in its ability to provide a macro-level view of external influences, enabling HR managers to anticipate challenges and align practices with organizational strategy. However, its limitations include being descriptive rather than prescriptive, requiring integration with internal analysis to be actionable. HR managers must therefore combine PESTEL insights with knowledge of internal culture, leadership, and resources to remain effective.</w:t>
      </w:r>
    </w:p>
    <w:p w14:paraId="4A00957A" w14:textId="4D68094D" w:rsidR="009A1071" w:rsidRPr="00BA5C62" w:rsidRDefault="009A1071" w:rsidP="009A10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Country-specific variations further complicate HR management. For example, legal compliance is more complex in multinational organizations, requiring HR to navigate diverse employment laws. Cultural differences affect employee engagement strategies, while economic disparities influence compensation and workforce planning. Effective HR managers are those who can interpret PESTEL factors in context, adapt practices to local realities, and maintain alignment with global organizational goals (Taylor, 2021; </w:t>
      </w:r>
      <w:proofErr w:type="spellStart"/>
      <w:r w:rsidRPr="00BA5C62">
        <w:rPr>
          <w:rFonts w:ascii="Times New Roman" w:eastAsia="Times New Roman" w:hAnsi="Times New Roman" w:cs="Times New Roman"/>
          <w:kern w:val="0"/>
          <w:sz w:val="24"/>
          <w:szCs w:val="24"/>
          <w:lang w:eastAsia="en-GB"/>
          <w14:ligatures w14:val="none"/>
        </w:rPr>
        <w:t>Pestleanalysis</w:t>
      </w:r>
      <w:proofErr w:type="spellEnd"/>
      <w:r w:rsidRPr="00BA5C62">
        <w:rPr>
          <w:rFonts w:ascii="Times New Roman" w:eastAsia="Times New Roman" w:hAnsi="Times New Roman" w:cs="Times New Roman"/>
          <w:kern w:val="0"/>
          <w:sz w:val="24"/>
          <w:szCs w:val="24"/>
          <w:lang w:eastAsia="en-GB"/>
          <w14:ligatures w14:val="none"/>
        </w:rPr>
        <w:t>, 2019).</w:t>
      </w:r>
    </w:p>
    <w:p w14:paraId="2401E3A0" w14:textId="77777777" w:rsidR="00107974" w:rsidRPr="00BA5C62" w:rsidRDefault="00107974" w:rsidP="009A10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BF08FF7" w14:textId="77777777" w:rsidR="00107974" w:rsidRPr="00CF0FB4" w:rsidRDefault="00107974" w:rsidP="0010797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F0FB4">
        <w:rPr>
          <w:rFonts w:ascii="Times New Roman" w:eastAsia="Times New Roman" w:hAnsi="Times New Roman" w:cs="Times New Roman"/>
          <w:b/>
          <w:bCs/>
          <w:kern w:val="0"/>
          <w:sz w:val="24"/>
          <w:szCs w:val="24"/>
          <w:lang w:eastAsia="en-GB"/>
          <w14:ligatures w14:val="none"/>
        </w:rPr>
        <w:t>Conclusion</w:t>
      </w:r>
    </w:p>
    <w:p w14:paraId="06CFF045" w14:textId="77777777" w:rsidR="00107974" w:rsidRPr="00BA5C62" w:rsidRDefault="00107974" w:rsidP="0010797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In conclusion, Unilever’s ability to integrate HR practices with its global strategy highlights the importance of balancing consistency with local responsiveness. Operating across more than 190 countries, the organisation faces diverse political, economic, and cultural environments that directly influence how HR manages recruitment, training, performance management, and employee relations. Political and legal frameworks, such as labour laws and equality legislation, require compliance and adaptation, while economic conditions shape workforce planning, compensation, and retention strategies. Cultural differences also play a significant role, with collectivist societies emphasising teamwork and loyalty, and individualist contexts prioritising personal achievement and mobility (Armstrong, 2020; Taylor, 2021).</w:t>
      </w:r>
    </w:p>
    <w:p w14:paraId="72412C27" w14:textId="77777777" w:rsidR="00107974" w:rsidRPr="00BA5C62" w:rsidRDefault="00107974" w:rsidP="0010797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Unilever’s HR practices demonstrate adaptability through initiatives such as global leadership programmes, digital learning platforms, and data-driven performance management systems. These ensure employees acquire skills aligned with technological and market changes, while diversity and well-being programmes strengthen employee relations and embed sustainability into organisational values. By aligning HR policies with both global corporate objectives and local realities, Unilever maintains competitiveness while promoting social responsibility.</w:t>
      </w:r>
    </w:p>
    <w:p w14:paraId="7410ED41" w14:textId="43AED10A" w:rsidR="00107974" w:rsidRPr="00BA5C62" w:rsidRDefault="00107974" w:rsidP="0010797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Ultimately, the organisation’s HR approach illustrates how multinational companies must interpret external pressures through frameworks such as PESTEL while remaining sensitive to internal dynamics and country-specific differences. This dual focus enables HR managers to design practices that are legally compliant, culturally appropriate, and economically viable. Unilever’s example reinforces the critical role of HR in sustaining global operations, ensuring </w:t>
      </w:r>
      <w:r w:rsidRPr="00BA5C62">
        <w:rPr>
          <w:rFonts w:ascii="Times New Roman" w:eastAsia="Times New Roman" w:hAnsi="Times New Roman" w:cs="Times New Roman"/>
          <w:kern w:val="0"/>
          <w:sz w:val="24"/>
          <w:szCs w:val="24"/>
          <w:lang w:eastAsia="en-GB"/>
          <w14:ligatures w14:val="none"/>
        </w:rPr>
        <w:lastRenderedPageBreak/>
        <w:t>that strategic objectives are achieved while fostering inclusion, adaptability, and long-term organisational success (Armstrong, 2020; Taylor, 2021).</w:t>
      </w:r>
    </w:p>
    <w:p w14:paraId="4CD2101E" w14:textId="77777777" w:rsidR="009A1071" w:rsidRPr="00BA5C62" w:rsidRDefault="009A1071" w:rsidP="002F24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F02412" w14:textId="77777777" w:rsidR="009A1071" w:rsidRPr="00BA5C62" w:rsidRDefault="009A1071" w:rsidP="002F24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2C8487D" w14:textId="541B2ED3" w:rsidR="008526FC" w:rsidRPr="00CF0FB4" w:rsidRDefault="00B158DE" w:rsidP="008526F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F0FB4">
        <w:rPr>
          <w:rFonts w:ascii="Times New Roman" w:eastAsia="Times New Roman" w:hAnsi="Times New Roman" w:cs="Times New Roman"/>
          <w:b/>
          <w:bCs/>
          <w:kern w:val="0"/>
          <w:sz w:val="24"/>
          <w:szCs w:val="24"/>
          <w:lang w:eastAsia="en-GB"/>
          <w14:ligatures w14:val="none"/>
        </w:rPr>
        <w:t>References</w:t>
      </w:r>
    </w:p>
    <w:p w14:paraId="0246BA90" w14:textId="77777777" w:rsidR="00B65324" w:rsidRPr="00BA5C62" w:rsidRDefault="00B65324" w:rsidP="008526F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66C5822" w14:textId="77777777" w:rsidR="008526FC" w:rsidRPr="00BA5C62" w:rsidRDefault="008526FC"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Armstrong, M. (2020). </w:t>
      </w:r>
      <w:r w:rsidRPr="00BA5C62">
        <w:rPr>
          <w:rFonts w:ascii="Times New Roman" w:eastAsia="Times New Roman" w:hAnsi="Times New Roman" w:cs="Times New Roman"/>
          <w:i/>
          <w:iCs/>
          <w:kern w:val="0"/>
          <w:sz w:val="24"/>
          <w:szCs w:val="24"/>
          <w:lang w:eastAsia="en-GB"/>
          <w14:ligatures w14:val="none"/>
        </w:rPr>
        <w:t>Armstrong’s Handbook of Human Resource Management Practice</w:t>
      </w:r>
      <w:r w:rsidRPr="00BA5C62">
        <w:rPr>
          <w:rFonts w:ascii="Times New Roman" w:eastAsia="Times New Roman" w:hAnsi="Times New Roman" w:cs="Times New Roman"/>
          <w:kern w:val="0"/>
          <w:sz w:val="24"/>
          <w:szCs w:val="24"/>
          <w:lang w:eastAsia="en-GB"/>
          <w14:ligatures w14:val="none"/>
        </w:rPr>
        <w:t>. 15th ed. London: Kogan Page.</w:t>
      </w:r>
    </w:p>
    <w:p w14:paraId="657DFE1F" w14:textId="77777777" w:rsidR="008526FC" w:rsidRPr="00BA5C62" w:rsidRDefault="008526FC"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Bratton, J. &amp; Gold, J. (2017). </w:t>
      </w:r>
      <w:r w:rsidRPr="00BA5C62">
        <w:rPr>
          <w:rFonts w:ascii="Times New Roman" w:eastAsia="Times New Roman" w:hAnsi="Times New Roman" w:cs="Times New Roman"/>
          <w:i/>
          <w:iCs/>
          <w:kern w:val="0"/>
          <w:sz w:val="24"/>
          <w:szCs w:val="24"/>
          <w:lang w:eastAsia="en-GB"/>
          <w14:ligatures w14:val="none"/>
        </w:rPr>
        <w:t>Human Resource Management: Theory and Practice</w:t>
      </w:r>
      <w:r w:rsidRPr="00BA5C62">
        <w:rPr>
          <w:rFonts w:ascii="Times New Roman" w:eastAsia="Times New Roman" w:hAnsi="Times New Roman" w:cs="Times New Roman"/>
          <w:kern w:val="0"/>
          <w:sz w:val="24"/>
          <w:szCs w:val="24"/>
          <w:lang w:eastAsia="en-GB"/>
          <w14:ligatures w14:val="none"/>
        </w:rPr>
        <w:t>. 6th ed. London: Palgrave.</w:t>
      </w:r>
    </w:p>
    <w:p w14:paraId="2D8AC913" w14:textId="77777777" w:rsidR="008526FC" w:rsidRPr="00BA5C62" w:rsidRDefault="008526FC"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Dessler, G. (2020). </w:t>
      </w:r>
      <w:r w:rsidRPr="00BA5C62">
        <w:rPr>
          <w:rFonts w:ascii="Times New Roman" w:eastAsia="Times New Roman" w:hAnsi="Times New Roman" w:cs="Times New Roman"/>
          <w:i/>
          <w:iCs/>
          <w:kern w:val="0"/>
          <w:sz w:val="24"/>
          <w:szCs w:val="24"/>
          <w:lang w:eastAsia="en-GB"/>
          <w14:ligatures w14:val="none"/>
        </w:rPr>
        <w:t>Human Resource Management</w:t>
      </w:r>
      <w:r w:rsidRPr="00BA5C62">
        <w:rPr>
          <w:rFonts w:ascii="Times New Roman" w:eastAsia="Times New Roman" w:hAnsi="Times New Roman" w:cs="Times New Roman"/>
          <w:kern w:val="0"/>
          <w:sz w:val="24"/>
          <w:szCs w:val="24"/>
          <w:lang w:eastAsia="en-GB"/>
          <w14:ligatures w14:val="none"/>
        </w:rPr>
        <w:t>. 16th ed. Pearson Education.</w:t>
      </w:r>
    </w:p>
    <w:p w14:paraId="074CF6B0" w14:textId="7B674DC9" w:rsidR="00163148" w:rsidRPr="00BA5C62" w:rsidRDefault="00163148" w:rsidP="00163148">
      <w:pPr>
        <w:spacing w:after="0" w:line="240" w:lineRule="auto"/>
        <w:ind w:left="720"/>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Armstrong, M. (2020) </w:t>
      </w:r>
      <w:r w:rsidRPr="00BA5C62">
        <w:rPr>
          <w:rFonts w:ascii="Times New Roman" w:eastAsia="Times New Roman" w:hAnsi="Times New Roman" w:cs="Times New Roman"/>
          <w:i/>
          <w:iCs/>
          <w:kern w:val="0"/>
          <w:sz w:val="24"/>
          <w:szCs w:val="24"/>
          <w:lang w:eastAsia="en-GB"/>
          <w14:ligatures w14:val="none"/>
        </w:rPr>
        <w:t>Armstrong’s Handbook of Human Resource Management Practice</w:t>
      </w:r>
      <w:r w:rsidRPr="00BA5C62">
        <w:rPr>
          <w:rFonts w:ascii="Times New Roman" w:eastAsia="Times New Roman" w:hAnsi="Times New Roman" w:cs="Times New Roman"/>
          <w:kern w:val="0"/>
          <w:sz w:val="24"/>
          <w:szCs w:val="24"/>
          <w:lang w:eastAsia="en-GB"/>
          <w14:ligatures w14:val="none"/>
        </w:rPr>
        <w:t xml:space="preserve">. 15th </w:t>
      </w:r>
      <w:proofErr w:type="spellStart"/>
      <w:r w:rsidRPr="00BA5C62">
        <w:rPr>
          <w:rFonts w:ascii="Times New Roman" w:eastAsia="Times New Roman" w:hAnsi="Times New Roman" w:cs="Times New Roman"/>
          <w:kern w:val="0"/>
          <w:sz w:val="24"/>
          <w:szCs w:val="24"/>
          <w:lang w:eastAsia="en-GB"/>
          <w14:ligatures w14:val="none"/>
        </w:rPr>
        <w:t>edn</w:t>
      </w:r>
      <w:proofErr w:type="spellEnd"/>
      <w:r w:rsidRPr="00BA5C62">
        <w:rPr>
          <w:rFonts w:ascii="Times New Roman" w:eastAsia="Times New Roman" w:hAnsi="Times New Roman" w:cs="Times New Roman"/>
          <w:kern w:val="0"/>
          <w:sz w:val="24"/>
          <w:szCs w:val="24"/>
          <w:lang w:eastAsia="en-GB"/>
          <w14:ligatures w14:val="none"/>
        </w:rPr>
        <w:t>. London: Kogan Page.</w:t>
      </w:r>
    </w:p>
    <w:p w14:paraId="2EA07563" w14:textId="77777777" w:rsidR="00163148" w:rsidRDefault="00163148"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BA5C62">
        <w:rPr>
          <w:rFonts w:ascii="Times New Roman" w:eastAsia="Times New Roman" w:hAnsi="Times New Roman" w:cs="Times New Roman"/>
          <w:kern w:val="0"/>
          <w:sz w:val="24"/>
          <w:szCs w:val="24"/>
          <w:lang w:eastAsia="en-GB"/>
          <w14:ligatures w14:val="none"/>
        </w:rPr>
        <w:t xml:space="preserve">Dessler, G. (2021) </w:t>
      </w:r>
      <w:r w:rsidRPr="00BA5C62">
        <w:rPr>
          <w:rFonts w:ascii="Times New Roman" w:eastAsia="Times New Roman" w:hAnsi="Times New Roman" w:cs="Times New Roman"/>
          <w:i/>
          <w:iCs/>
          <w:kern w:val="0"/>
          <w:sz w:val="24"/>
          <w:szCs w:val="24"/>
          <w:lang w:eastAsia="en-GB"/>
          <w14:ligatures w14:val="none"/>
        </w:rPr>
        <w:t>Human Resource Management</w:t>
      </w:r>
      <w:r w:rsidRPr="00BA5C62">
        <w:rPr>
          <w:rFonts w:ascii="Times New Roman" w:eastAsia="Times New Roman" w:hAnsi="Times New Roman" w:cs="Times New Roman"/>
          <w:kern w:val="0"/>
          <w:sz w:val="24"/>
          <w:szCs w:val="24"/>
          <w:lang w:eastAsia="en-GB"/>
          <w14:ligatures w14:val="none"/>
        </w:rPr>
        <w:t xml:space="preserve">. 16th </w:t>
      </w:r>
      <w:proofErr w:type="spellStart"/>
      <w:r w:rsidRPr="00BA5C62">
        <w:rPr>
          <w:rFonts w:ascii="Times New Roman" w:eastAsia="Times New Roman" w:hAnsi="Times New Roman" w:cs="Times New Roman"/>
          <w:kern w:val="0"/>
          <w:sz w:val="24"/>
          <w:szCs w:val="24"/>
          <w:lang w:eastAsia="en-GB"/>
          <w14:ligatures w14:val="none"/>
        </w:rPr>
        <w:t>edn</w:t>
      </w:r>
      <w:proofErr w:type="spellEnd"/>
      <w:r w:rsidRPr="00BA5C62">
        <w:rPr>
          <w:rFonts w:ascii="Times New Roman" w:eastAsia="Times New Roman" w:hAnsi="Times New Roman" w:cs="Times New Roman"/>
          <w:kern w:val="0"/>
          <w:sz w:val="24"/>
          <w:szCs w:val="24"/>
          <w:lang w:eastAsia="en-GB"/>
          <w14:ligatures w14:val="none"/>
        </w:rPr>
        <w:t>. Harlow: Pearson Education.</w:t>
      </w:r>
    </w:p>
    <w:p w14:paraId="7EE61AA4" w14:textId="7FBD6C90" w:rsidR="00B158DE" w:rsidRDefault="00B158DE"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CIPD (2025) PESTEL Analysis Factsheet. Available at: CIPD</w:t>
      </w:r>
    </w:p>
    <w:p w14:paraId="4E4F8A08" w14:textId="78D0D9BB" w:rsidR="00B158DE" w:rsidRDefault="00B158DE"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HR Lineup (2025) What is a PESTEL for HR Industry? Available at HR Lineup</w:t>
      </w:r>
    </w:p>
    <w:p w14:paraId="041DB341" w14:textId="334D7DB2" w:rsidR="00B158DE" w:rsidRPr="00BA5C62" w:rsidRDefault="00B158DE"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roofErr w:type="spellStart"/>
      <w:r>
        <w:rPr>
          <w:rFonts w:ascii="Times New Roman" w:eastAsia="Times New Roman" w:hAnsi="Times New Roman" w:cs="Times New Roman"/>
          <w:kern w:val="0"/>
          <w:sz w:val="24"/>
          <w:szCs w:val="24"/>
          <w:lang w:eastAsia="en-GB"/>
          <w14:ligatures w14:val="none"/>
        </w:rPr>
        <w:t>Pestelanalysis</w:t>
      </w:r>
      <w:proofErr w:type="spellEnd"/>
      <w:r>
        <w:rPr>
          <w:rFonts w:ascii="Times New Roman" w:eastAsia="Times New Roman" w:hAnsi="Times New Roman" w:cs="Times New Roman"/>
          <w:kern w:val="0"/>
          <w:sz w:val="24"/>
          <w:szCs w:val="24"/>
          <w:lang w:eastAsia="en-GB"/>
          <w14:ligatures w14:val="none"/>
        </w:rPr>
        <w:t xml:space="preserve"> (2019)</w:t>
      </w:r>
      <w:r w:rsidR="00CF0FB4">
        <w:rPr>
          <w:rFonts w:ascii="Times New Roman" w:eastAsia="Times New Roman" w:hAnsi="Times New Roman" w:cs="Times New Roman"/>
          <w:kern w:val="0"/>
          <w:sz w:val="24"/>
          <w:szCs w:val="24"/>
          <w:lang w:eastAsia="en-GB"/>
          <w14:ligatures w14:val="none"/>
        </w:rPr>
        <w:t xml:space="preserve"> PESTEL analysis for Human Resources Available at </w:t>
      </w:r>
      <w:proofErr w:type="spellStart"/>
      <w:r w:rsidR="00CF0FB4" w:rsidRPr="00CF0FB4">
        <w:rPr>
          <w:rFonts w:ascii="Times New Roman" w:eastAsia="Times New Roman" w:hAnsi="Times New Roman" w:cs="Times New Roman"/>
          <w:kern w:val="0"/>
          <w:sz w:val="24"/>
          <w:szCs w:val="24"/>
          <w:u w:val="single"/>
          <w:lang w:eastAsia="en-GB"/>
          <w14:ligatures w14:val="none"/>
        </w:rPr>
        <w:t>Pestelanalysis</w:t>
      </w:r>
      <w:proofErr w:type="spellEnd"/>
    </w:p>
    <w:p w14:paraId="41536ABC" w14:textId="77777777" w:rsidR="00163148" w:rsidRPr="00BA5C62" w:rsidRDefault="00163148"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2BD5763D" w14:textId="77777777" w:rsidR="00163148" w:rsidRPr="00BA5C62" w:rsidRDefault="00163148" w:rsidP="00163148">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112BFFE1" w14:textId="77777777" w:rsidR="007A168D" w:rsidRPr="00BA5C62" w:rsidRDefault="007A168D">
      <w:pPr>
        <w:rPr>
          <w:rFonts w:ascii="Times New Roman" w:hAnsi="Times New Roman" w:cs="Times New Roman"/>
          <w:sz w:val="24"/>
          <w:szCs w:val="24"/>
        </w:rPr>
      </w:pPr>
    </w:p>
    <w:p w14:paraId="5901E177" w14:textId="0649577F" w:rsidR="000F5BBD" w:rsidRPr="00BA5C62" w:rsidRDefault="000F5BBD">
      <w:pPr>
        <w:rPr>
          <w:rFonts w:ascii="Times New Roman" w:hAnsi="Times New Roman" w:cs="Times New Roman"/>
          <w:sz w:val="24"/>
          <w:szCs w:val="24"/>
        </w:rPr>
      </w:pPr>
    </w:p>
    <w:p w14:paraId="1660C000" w14:textId="77777777" w:rsidR="001E1EF6" w:rsidRPr="00BA5C62" w:rsidRDefault="001E1EF6">
      <w:pPr>
        <w:rPr>
          <w:rFonts w:ascii="Times New Roman" w:hAnsi="Times New Roman" w:cs="Times New Roman"/>
          <w:sz w:val="24"/>
          <w:szCs w:val="24"/>
        </w:rPr>
      </w:pPr>
    </w:p>
    <w:p w14:paraId="5DDE2E7D" w14:textId="77777777" w:rsidR="001E1EF6" w:rsidRPr="00BA5C62" w:rsidRDefault="001E1EF6">
      <w:pPr>
        <w:rPr>
          <w:rFonts w:ascii="Times New Roman" w:hAnsi="Times New Roman" w:cs="Times New Roman"/>
          <w:sz w:val="24"/>
          <w:szCs w:val="24"/>
        </w:rPr>
      </w:pPr>
    </w:p>
    <w:p w14:paraId="1B511785" w14:textId="77777777" w:rsidR="001B453A" w:rsidRPr="00BA5C62" w:rsidRDefault="001B453A">
      <w:pPr>
        <w:rPr>
          <w:rFonts w:ascii="Times New Roman" w:hAnsi="Times New Roman" w:cs="Times New Roman"/>
          <w:sz w:val="24"/>
          <w:szCs w:val="24"/>
        </w:rPr>
      </w:pPr>
    </w:p>
    <w:p w14:paraId="40427404" w14:textId="6C4B2ED8" w:rsidR="001B453A" w:rsidRPr="00BA5C62" w:rsidRDefault="001B453A">
      <w:pPr>
        <w:rPr>
          <w:rFonts w:ascii="Times New Roman" w:hAnsi="Times New Roman" w:cs="Times New Roman"/>
          <w:sz w:val="24"/>
          <w:szCs w:val="24"/>
        </w:rPr>
      </w:pPr>
      <w:r w:rsidRPr="00BA5C62">
        <w:rPr>
          <w:rFonts w:ascii="Times New Roman" w:hAnsi="Times New Roman" w:cs="Times New Roman"/>
          <w:sz w:val="24"/>
          <w:szCs w:val="24"/>
        </w:rPr>
        <w:t xml:space="preserve"> </w:t>
      </w:r>
    </w:p>
    <w:p w14:paraId="4C334F3B" w14:textId="77777777" w:rsidR="001B453A" w:rsidRPr="00BA5C62" w:rsidRDefault="001B453A">
      <w:pPr>
        <w:rPr>
          <w:rFonts w:ascii="Times New Roman" w:hAnsi="Times New Roman" w:cs="Times New Roman"/>
          <w:sz w:val="24"/>
          <w:szCs w:val="24"/>
        </w:rPr>
      </w:pPr>
    </w:p>
    <w:p w14:paraId="468C6CA5" w14:textId="77777777" w:rsidR="000B483E" w:rsidRPr="00BA5C62" w:rsidRDefault="000B483E">
      <w:pPr>
        <w:rPr>
          <w:rFonts w:ascii="Times New Roman" w:hAnsi="Times New Roman" w:cs="Times New Roman"/>
          <w:sz w:val="24"/>
          <w:szCs w:val="24"/>
        </w:rPr>
      </w:pPr>
    </w:p>
    <w:p w14:paraId="538BEBF6" w14:textId="77777777" w:rsidR="000B483E" w:rsidRPr="00BA5C62" w:rsidRDefault="000B483E">
      <w:pPr>
        <w:rPr>
          <w:rFonts w:ascii="Times New Roman" w:hAnsi="Times New Roman" w:cs="Times New Roman"/>
          <w:sz w:val="24"/>
          <w:szCs w:val="24"/>
        </w:rPr>
      </w:pPr>
    </w:p>
    <w:p w14:paraId="12CF7004" w14:textId="77777777" w:rsidR="00414816" w:rsidRPr="00BA5C62" w:rsidRDefault="00414816">
      <w:pPr>
        <w:rPr>
          <w:rFonts w:ascii="Times New Roman" w:hAnsi="Times New Roman" w:cs="Times New Roman"/>
          <w:sz w:val="24"/>
          <w:szCs w:val="24"/>
        </w:rPr>
      </w:pPr>
    </w:p>
    <w:p w14:paraId="7F1AE571" w14:textId="77777777" w:rsidR="00414816" w:rsidRPr="00BA5C62" w:rsidRDefault="00414816">
      <w:pPr>
        <w:rPr>
          <w:rFonts w:ascii="Times New Roman" w:hAnsi="Times New Roman" w:cs="Times New Roman"/>
          <w:sz w:val="24"/>
          <w:szCs w:val="24"/>
        </w:rPr>
      </w:pPr>
    </w:p>
    <w:p w14:paraId="660CED0C" w14:textId="77777777" w:rsidR="00414816" w:rsidRPr="00BA5C62" w:rsidRDefault="00414816">
      <w:pPr>
        <w:rPr>
          <w:rFonts w:ascii="Times New Roman" w:hAnsi="Times New Roman" w:cs="Times New Roman"/>
          <w:sz w:val="24"/>
          <w:szCs w:val="24"/>
        </w:rPr>
      </w:pPr>
    </w:p>
    <w:p w14:paraId="56DC0094" w14:textId="77777777" w:rsidR="00414816" w:rsidRPr="00BA5C62" w:rsidRDefault="00414816">
      <w:pPr>
        <w:rPr>
          <w:rFonts w:ascii="Times New Roman" w:hAnsi="Times New Roman" w:cs="Times New Roman"/>
          <w:sz w:val="24"/>
          <w:szCs w:val="24"/>
        </w:rPr>
      </w:pPr>
    </w:p>
    <w:p w14:paraId="7CF005DB" w14:textId="1E655631" w:rsidR="00E738A0" w:rsidRPr="00BA5C62" w:rsidRDefault="005714A3">
      <w:pPr>
        <w:rPr>
          <w:rFonts w:ascii="Times New Roman" w:hAnsi="Times New Roman" w:cs="Times New Roman"/>
          <w:sz w:val="24"/>
          <w:szCs w:val="24"/>
        </w:rPr>
      </w:pPr>
      <w:r w:rsidRPr="00BA5C62">
        <w:rPr>
          <w:rFonts w:ascii="Times New Roman" w:hAnsi="Times New Roman" w:cs="Times New Roman"/>
          <w:sz w:val="24"/>
          <w:szCs w:val="24"/>
        </w:rPr>
        <w:t xml:space="preserve"> </w:t>
      </w:r>
    </w:p>
    <w:p w14:paraId="00B6C157" w14:textId="77777777" w:rsidR="005714A3" w:rsidRPr="00BA5C62" w:rsidRDefault="005714A3">
      <w:pPr>
        <w:rPr>
          <w:rFonts w:ascii="Times New Roman" w:hAnsi="Times New Roman" w:cs="Times New Roman"/>
          <w:sz w:val="24"/>
          <w:szCs w:val="24"/>
        </w:rPr>
      </w:pPr>
    </w:p>
    <w:sectPr w:rsidR="005714A3" w:rsidRPr="00BA5C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CCFCF" w14:textId="77777777" w:rsidR="009F19FD" w:rsidRDefault="009F19FD" w:rsidP="003647FE">
      <w:pPr>
        <w:spacing w:after="0" w:line="240" w:lineRule="auto"/>
      </w:pPr>
      <w:r>
        <w:separator/>
      </w:r>
    </w:p>
  </w:endnote>
  <w:endnote w:type="continuationSeparator" w:id="0">
    <w:p w14:paraId="297D6311" w14:textId="77777777" w:rsidR="009F19FD" w:rsidRDefault="009F19FD" w:rsidP="00364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A5438" w14:textId="77777777" w:rsidR="009F19FD" w:rsidRDefault="009F19FD" w:rsidP="003647FE">
      <w:pPr>
        <w:spacing w:after="0" w:line="240" w:lineRule="auto"/>
      </w:pPr>
      <w:r>
        <w:separator/>
      </w:r>
    </w:p>
  </w:footnote>
  <w:footnote w:type="continuationSeparator" w:id="0">
    <w:p w14:paraId="5AB375D7" w14:textId="77777777" w:rsidR="009F19FD" w:rsidRDefault="009F19FD" w:rsidP="003647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A3DB1"/>
    <w:multiLevelType w:val="multilevel"/>
    <w:tmpl w:val="E8D8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75AEB"/>
    <w:multiLevelType w:val="multilevel"/>
    <w:tmpl w:val="7E24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23F05"/>
    <w:multiLevelType w:val="multilevel"/>
    <w:tmpl w:val="BA8E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0814B4"/>
    <w:multiLevelType w:val="multilevel"/>
    <w:tmpl w:val="E45A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4A4818"/>
    <w:multiLevelType w:val="multilevel"/>
    <w:tmpl w:val="18A4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47272C"/>
    <w:multiLevelType w:val="multilevel"/>
    <w:tmpl w:val="F592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E27B1F"/>
    <w:multiLevelType w:val="multilevel"/>
    <w:tmpl w:val="402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A242E4"/>
    <w:multiLevelType w:val="multilevel"/>
    <w:tmpl w:val="E1B8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082472">
    <w:abstractNumId w:val="5"/>
  </w:num>
  <w:num w:numId="2" w16cid:durableId="1639529490">
    <w:abstractNumId w:val="0"/>
  </w:num>
  <w:num w:numId="3" w16cid:durableId="650600806">
    <w:abstractNumId w:val="2"/>
  </w:num>
  <w:num w:numId="4" w16cid:durableId="1773088789">
    <w:abstractNumId w:val="7"/>
  </w:num>
  <w:num w:numId="5" w16cid:durableId="1107627584">
    <w:abstractNumId w:val="4"/>
  </w:num>
  <w:num w:numId="6" w16cid:durableId="559487521">
    <w:abstractNumId w:val="6"/>
  </w:num>
  <w:num w:numId="7" w16cid:durableId="1378580364">
    <w:abstractNumId w:val="1"/>
  </w:num>
  <w:num w:numId="8" w16cid:durableId="316999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A3"/>
    <w:rsid w:val="0005783F"/>
    <w:rsid w:val="0008000A"/>
    <w:rsid w:val="000B483E"/>
    <w:rsid w:val="000F5BBD"/>
    <w:rsid w:val="00107974"/>
    <w:rsid w:val="00140A6F"/>
    <w:rsid w:val="00141F32"/>
    <w:rsid w:val="00142251"/>
    <w:rsid w:val="00163148"/>
    <w:rsid w:val="0017079E"/>
    <w:rsid w:val="00180B86"/>
    <w:rsid w:val="001B453A"/>
    <w:rsid w:val="001C6B46"/>
    <w:rsid w:val="001E1EF6"/>
    <w:rsid w:val="002522BA"/>
    <w:rsid w:val="00275A32"/>
    <w:rsid w:val="002A62C0"/>
    <w:rsid w:val="002F0C46"/>
    <w:rsid w:val="002F248F"/>
    <w:rsid w:val="0030238C"/>
    <w:rsid w:val="00303EEC"/>
    <w:rsid w:val="0031691A"/>
    <w:rsid w:val="0032393F"/>
    <w:rsid w:val="003647FE"/>
    <w:rsid w:val="003B3699"/>
    <w:rsid w:val="003E6817"/>
    <w:rsid w:val="00414816"/>
    <w:rsid w:val="004B57FF"/>
    <w:rsid w:val="005511F1"/>
    <w:rsid w:val="00566D2C"/>
    <w:rsid w:val="005714A3"/>
    <w:rsid w:val="00580B38"/>
    <w:rsid w:val="005C3EEA"/>
    <w:rsid w:val="005E6E83"/>
    <w:rsid w:val="00615612"/>
    <w:rsid w:val="006D5E40"/>
    <w:rsid w:val="00705200"/>
    <w:rsid w:val="00753DC8"/>
    <w:rsid w:val="007A168D"/>
    <w:rsid w:val="008526FC"/>
    <w:rsid w:val="008665B3"/>
    <w:rsid w:val="008C5D18"/>
    <w:rsid w:val="00952C13"/>
    <w:rsid w:val="00966C05"/>
    <w:rsid w:val="009A1071"/>
    <w:rsid w:val="009A1B83"/>
    <w:rsid w:val="009F19FD"/>
    <w:rsid w:val="00A03F0D"/>
    <w:rsid w:val="00A30E30"/>
    <w:rsid w:val="00AA4422"/>
    <w:rsid w:val="00AE0588"/>
    <w:rsid w:val="00B0594E"/>
    <w:rsid w:val="00B158DE"/>
    <w:rsid w:val="00B530B9"/>
    <w:rsid w:val="00B65324"/>
    <w:rsid w:val="00B661EB"/>
    <w:rsid w:val="00B918A7"/>
    <w:rsid w:val="00B96A20"/>
    <w:rsid w:val="00BA5C62"/>
    <w:rsid w:val="00BC5EC0"/>
    <w:rsid w:val="00BF06C1"/>
    <w:rsid w:val="00CA12F2"/>
    <w:rsid w:val="00CC15C0"/>
    <w:rsid w:val="00CD19B3"/>
    <w:rsid w:val="00CF0FB4"/>
    <w:rsid w:val="00D03274"/>
    <w:rsid w:val="00D1058E"/>
    <w:rsid w:val="00D758FF"/>
    <w:rsid w:val="00D83975"/>
    <w:rsid w:val="00E443D4"/>
    <w:rsid w:val="00E73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37C54"/>
  <w15:chartTrackingRefBased/>
  <w15:docId w15:val="{B4EA4750-D00D-4949-BE92-912685130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4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4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4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4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4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4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4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4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4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4A3"/>
    <w:rPr>
      <w:rFonts w:eastAsiaTheme="majorEastAsia" w:cstheme="majorBidi"/>
      <w:color w:val="272727" w:themeColor="text1" w:themeTint="D8"/>
    </w:rPr>
  </w:style>
  <w:style w:type="paragraph" w:styleId="Title">
    <w:name w:val="Title"/>
    <w:basedOn w:val="Normal"/>
    <w:next w:val="Normal"/>
    <w:link w:val="TitleChar"/>
    <w:uiPriority w:val="10"/>
    <w:qFormat/>
    <w:rsid w:val="00571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4A3"/>
    <w:pPr>
      <w:spacing w:before="160"/>
      <w:jc w:val="center"/>
    </w:pPr>
    <w:rPr>
      <w:i/>
      <w:iCs/>
      <w:color w:val="404040" w:themeColor="text1" w:themeTint="BF"/>
    </w:rPr>
  </w:style>
  <w:style w:type="character" w:customStyle="1" w:styleId="QuoteChar">
    <w:name w:val="Quote Char"/>
    <w:basedOn w:val="DefaultParagraphFont"/>
    <w:link w:val="Quote"/>
    <w:uiPriority w:val="29"/>
    <w:rsid w:val="005714A3"/>
    <w:rPr>
      <w:i/>
      <w:iCs/>
      <w:color w:val="404040" w:themeColor="text1" w:themeTint="BF"/>
    </w:rPr>
  </w:style>
  <w:style w:type="paragraph" w:styleId="ListParagraph">
    <w:name w:val="List Paragraph"/>
    <w:basedOn w:val="Normal"/>
    <w:uiPriority w:val="34"/>
    <w:qFormat/>
    <w:rsid w:val="005714A3"/>
    <w:pPr>
      <w:ind w:left="720"/>
      <w:contextualSpacing/>
    </w:pPr>
  </w:style>
  <w:style w:type="character" w:styleId="IntenseEmphasis">
    <w:name w:val="Intense Emphasis"/>
    <w:basedOn w:val="DefaultParagraphFont"/>
    <w:uiPriority w:val="21"/>
    <w:qFormat/>
    <w:rsid w:val="005714A3"/>
    <w:rPr>
      <w:i/>
      <w:iCs/>
      <w:color w:val="0F4761" w:themeColor="accent1" w:themeShade="BF"/>
    </w:rPr>
  </w:style>
  <w:style w:type="paragraph" w:styleId="IntenseQuote">
    <w:name w:val="Intense Quote"/>
    <w:basedOn w:val="Normal"/>
    <w:next w:val="Normal"/>
    <w:link w:val="IntenseQuoteChar"/>
    <w:uiPriority w:val="30"/>
    <w:qFormat/>
    <w:rsid w:val="00571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4A3"/>
    <w:rPr>
      <w:i/>
      <w:iCs/>
      <w:color w:val="0F4761" w:themeColor="accent1" w:themeShade="BF"/>
    </w:rPr>
  </w:style>
  <w:style w:type="character" w:styleId="IntenseReference">
    <w:name w:val="Intense Reference"/>
    <w:basedOn w:val="DefaultParagraphFont"/>
    <w:uiPriority w:val="32"/>
    <w:qFormat/>
    <w:rsid w:val="005714A3"/>
    <w:rPr>
      <w:b/>
      <w:bCs/>
      <w:smallCaps/>
      <w:color w:val="0F4761" w:themeColor="accent1" w:themeShade="BF"/>
      <w:spacing w:val="5"/>
    </w:rPr>
  </w:style>
  <w:style w:type="paragraph" w:styleId="Header">
    <w:name w:val="header"/>
    <w:basedOn w:val="Normal"/>
    <w:link w:val="HeaderChar"/>
    <w:uiPriority w:val="99"/>
    <w:unhideWhenUsed/>
    <w:rsid w:val="00364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7FE"/>
  </w:style>
  <w:style w:type="paragraph" w:styleId="Footer">
    <w:name w:val="footer"/>
    <w:basedOn w:val="Normal"/>
    <w:link w:val="FooterChar"/>
    <w:uiPriority w:val="99"/>
    <w:unhideWhenUsed/>
    <w:rsid w:val="00364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7FE"/>
  </w:style>
  <w:style w:type="paragraph" w:styleId="NormalWeb">
    <w:name w:val="Normal (Web)"/>
    <w:basedOn w:val="Normal"/>
    <w:uiPriority w:val="99"/>
    <w:semiHidden/>
    <w:unhideWhenUsed/>
    <w:rsid w:val="003647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BA5C62"/>
    <w:pPr>
      <w:spacing w:after="0" w:line="240" w:lineRule="auto"/>
    </w:pPr>
  </w:style>
  <w:style w:type="table" w:styleId="TableGrid">
    <w:name w:val="Table Grid"/>
    <w:basedOn w:val="TableNormal"/>
    <w:uiPriority w:val="39"/>
    <w:rsid w:val="00170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1</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Alfred Olatunbosun Ojekere (2226760)</cp:lastModifiedBy>
  <cp:revision>30</cp:revision>
  <dcterms:created xsi:type="dcterms:W3CDTF">2025-12-05T05:05:00Z</dcterms:created>
  <dcterms:modified xsi:type="dcterms:W3CDTF">2025-12-19T10:52:00Z</dcterms:modified>
</cp:coreProperties>
</file>