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2217"/>
        <w:gridCol w:w="6799"/>
      </w:tblGrid>
      <w:tr w:rsidR="009E1144" w:rsidRPr="00CE6F23" w14:paraId="075FE13A" w14:textId="77777777" w:rsidTr="00CE6F23">
        <w:tc>
          <w:tcPr>
            <w:tcW w:w="2217" w:type="dxa"/>
          </w:tcPr>
          <w:p w14:paraId="595FE3AC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Module Code</w:t>
            </w:r>
          </w:p>
        </w:tc>
        <w:tc>
          <w:tcPr>
            <w:tcW w:w="6799" w:type="dxa"/>
          </w:tcPr>
          <w:p w14:paraId="4EAE14C6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BMLW5016</w:t>
            </w:r>
          </w:p>
        </w:tc>
      </w:tr>
      <w:tr w:rsidR="009E1144" w:rsidRPr="00CE6F23" w14:paraId="625B23E9" w14:textId="77777777" w:rsidTr="00CE6F23">
        <w:tc>
          <w:tcPr>
            <w:tcW w:w="2217" w:type="dxa"/>
          </w:tcPr>
          <w:p w14:paraId="045013C3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Title</w:t>
            </w:r>
          </w:p>
        </w:tc>
        <w:tc>
          <w:tcPr>
            <w:tcW w:w="6799" w:type="dxa"/>
          </w:tcPr>
          <w:p w14:paraId="0F12E155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  <w:highlight w:val="green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Civil Litigation</w:t>
            </w:r>
          </w:p>
        </w:tc>
      </w:tr>
      <w:tr w:rsidR="009E1144" w:rsidRPr="00CE6F23" w14:paraId="03D5BCD5" w14:textId="77777777" w:rsidTr="00CE6F23">
        <w:tc>
          <w:tcPr>
            <w:tcW w:w="2217" w:type="dxa"/>
          </w:tcPr>
          <w:p w14:paraId="5D7D9E06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Date</w:t>
            </w:r>
          </w:p>
        </w:tc>
        <w:sdt>
          <w:sdtPr>
            <w:rPr>
              <w:rFonts w:cs="Arial"/>
              <w:b/>
              <w:sz w:val="24"/>
              <w:szCs w:val="24"/>
            </w:rPr>
            <w:id w:val="1023293902"/>
            <w:placeholder>
              <w:docPart w:val="CA9321D0E7424881AD68B232142F4B5A"/>
            </w:placeholder>
            <w:date w:fullDate="2023-1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799" w:type="dxa"/>
              </w:tcPr>
              <w:p w14:paraId="37243A1A" w14:textId="77777777" w:rsidR="009E1144" w:rsidRPr="00CE6F23" w:rsidRDefault="009E1144" w:rsidP="00FD6F1B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CE6F23">
                  <w:rPr>
                    <w:rFonts w:cs="Arial"/>
                    <w:b/>
                    <w:sz w:val="24"/>
                    <w:szCs w:val="24"/>
                  </w:rPr>
                  <w:t>13/12/2023</w:t>
                </w:r>
              </w:p>
            </w:tc>
          </w:sdtContent>
        </w:sdt>
      </w:tr>
      <w:tr w:rsidR="009E1144" w:rsidRPr="00CE6F23" w14:paraId="5BA4D2AB" w14:textId="77777777" w:rsidTr="00CE6F23">
        <w:tc>
          <w:tcPr>
            <w:tcW w:w="2217" w:type="dxa"/>
          </w:tcPr>
          <w:p w14:paraId="39B9F27F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Level</w:t>
            </w:r>
          </w:p>
        </w:tc>
        <w:sdt>
          <w:sdtPr>
            <w:rPr>
              <w:rFonts w:cs="Arial"/>
              <w:b/>
              <w:sz w:val="24"/>
              <w:szCs w:val="24"/>
            </w:rPr>
            <w:id w:val="-534512556"/>
            <w:placeholder>
              <w:docPart w:val="ABDA1ADB6F0C4D8893DBB5CC863542DC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799" w:type="dxa"/>
              </w:tcPr>
              <w:p w14:paraId="2D98D80A" w14:textId="77777777" w:rsidR="009E1144" w:rsidRPr="00CE6F23" w:rsidRDefault="009E1144" w:rsidP="00FD6F1B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CE6F23">
                  <w:rPr>
                    <w:rFonts w:cs="Arial"/>
                    <w:b/>
                    <w:sz w:val="24"/>
                    <w:szCs w:val="24"/>
                  </w:rPr>
                  <w:t>5</w:t>
                </w:r>
              </w:p>
            </w:tc>
          </w:sdtContent>
        </w:sdt>
      </w:tr>
      <w:tr w:rsidR="009E1144" w:rsidRPr="00CE6F23" w14:paraId="6B8BDE35" w14:textId="77777777" w:rsidTr="00CE6F23">
        <w:tc>
          <w:tcPr>
            <w:tcW w:w="2217" w:type="dxa"/>
          </w:tcPr>
          <w:p w14:paraId="5D32DE8F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Credits</w:t>
            </w:r>
          </w:p>
        </w:tc>
        <w:tc>
          <w:tcPr>
            <w:tcW w:w="6799" w:type="dxa"/>
          </w:tcPr>
          <w:p w14:paraId="0390F822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20</w:t>
            </w:r>
          </w:p>
        </w:tc>
      </w:tr>
      <w:tr w:rsidR="009E1144" w:rsidRPr="00CE6F23" w14:paraId="7A49AF7A" w14:textId="77777777" w:rsidTr="00CE6F23">
        <w:tc>
          <w:tcPr>
            <w:tcW w:w="2217" w:type="dxa"/>
          </w:tcPr>
          <w:p w14:paraId="6FD87762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Pre-Requisites</w:t>
            </w:r>
          </w:p>
        </w:tc>
        <w:tc>
          <w:tcPr>
            <w:tcW w:w="6799" w:type="dxa"/>
          </w:tcPr>
          <w:p w14:paraId="5E68EC9A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CE6F23">
              <w:rPr>
                <w:rFonts w:cs="Arial"/>
                <w:b/>
                <w:sz w:val="24"/>
                <w:szCs w:val="24"/>
              </w:rPr>
              <w:t>BMLW5017 Contract Law and BMLW5020 Tort Law</w:t>
            </w:r>
          </w:p>
        </w:tc>
      </w:tr>
      <w:tr w:rsidR="009E1144" w:rsidRPr="00CE6F23" w14:paraId="1D9B23C1" w14:textId="77777777" w:rsidTr="00CE6F23">
        <w:tc>
          <w:tcPr>
            <w:tcW w:w="2217" w:type="dxa"/>
          </w:tcPr>
          <w:p w14:paraId="77DDCBDC" w14:textId="77777777" w:rsidR="009E1144" w:rsidRPr="00CE6F23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bCs/>
                <w:sz w:val="24"/>
                <w:szCs w:val="24"/>
              </w:rPr>
            </w:pPr>
            <w:r w:rsidRPr="00CE6F23">
              <w:rPr>
                <w:rFonts w:cs="Arial"/>
                <w:b/>
                <w:bCs/>
                <w:sz w:val="24"/>
                <w:szCs w:val="24"/>
              </w:rPr>
              <w:t>DBS Check</w:t>
            </w:r>
          </w:p>
        </w:tc>
        <w:tc>
          <w:tcPr>
            <w:tcW w:w="6799" w:type="dxa"/>
          </w:tcPr>
          <w:p w14:paraId="12E2B089" w14:textId="77777777" w:rsidR="009E1144" w:rsidRPr="00CE6F23" w:rsidDel="00166F75" w:rsidRDefault="009E1144" w:rsidP="00FD6F1B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bCs/>
                <w:sz w:val="24"/>
                <w:szCs w:val="24"/>
              </w:rPr>
            </w:pPr>
            <w:r w:rsidRPr="00CE6F23">
              <w:rPr>
                <w:rFonts w:cs="Arial"/>
                <w:b/>
                <w:bCs/>
                <w:sz w:val="24"/>
                <w:szCs w:val="24"/>
              </w:rPr>
              <w:t xml:space="preserve">May be required  </w:t>
            </w:r>
            <w:sdt>
              <w:sdtPr>
                <w:rPr>
                  <w:rFonts w:cs="Arial"/>
                  <w:b/>
                  <w:bCs/>
                  <w:sz w:val="24"/>
                  <w:szCs w:val="24"/>
                </w:rPr>
                <w:id w:val="188999961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CE6F23">
                  <w:rPr>
                    <w:rFonts w:ascii="MS Gothic" w:eastAsia="MS Gothic" w:hAnsi="MS Gothic" w:cs="Arial"/>
                    <w:b/>
                    <w:bCs/>
                    <w:sz w:val="24"/>
                    <w:szCs w:val="24"/>
                  </w:rPr>
                  <w:t>☐</w:t>
                </w:r>
              </w:sdtContent>
            </w:sdt>
            <w:r w:rsidRPr="00CE6F23">
              <w:rPr>
                <w:rFonts w:cs="Arial"/>
                <w:b/>
                <w:bCs/>
                <w:sz w:val="24"/>
                <w:szCs w:val="24"/>
              </w:rPr>
              <w:tab/>
            </w:r>
            <w:r w:rsidRPr="00CE6F23">
              <w:rPr>
                <w:rFonts w:cs="Arial"/>
                <w:b/>
                <w:bCs/>
                <w:sz w:val="24"/>
                <w:szCs w:val="24"/>
              </w:rPr>
              <w:tab/>
            </w:r>
            <w:r w:rsidRPr="00CE6F23">
              <w:rPr>
                <w:rFonts w:cs="Arial"/>
                <w:b/>
                <w:bCs/>
                <w:sz w:val="24"/>
                <w:szCs w:val="24"/>
              </w:rPr>
              <w:tab/>
              <w:t xml:space="preserve">Not required </w:t>
            </w:r>
            <w:r w:rsidRPr="00CE6F23">
              <w:rPr>
                <w:rFonts w:cs="Arial"/>
                <w:b/>
                <w:bCs/>
                <w:sz w:val="24"/>
                <w:szCs w:val="24"/>
              </w:rPr>
              <w:tab/>
            </w:r>
            <w:sdt>
              <w:sdtPr>
                <w:rPr>
                  <w:rFonts w:cs="Arial"/>
                  <w:b/>
                  <w:bCs/>
                  <w:sz w:val="24"/>
                  <w:szCs w:val="24"/>
                </w:rPr>
                <w:id w:val="-65613988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CE6F23">
                  <w:rPr>
                    <w:rFonts w:ascii="MS Gothic" w:eastAsia="MS Gothic" w:hAnsi="MS Gothic" w:cs="Arial"/>
                    <w:b/>
                    <w:bCs/>
                    <w:sz w:val="24"/>
                    <w:szCs w:val="24"/>
                  </w:rPr>
                  <w:t>☒</w:t>
                </w:r>
              </w:sdtContent>
            </w:sdt>
            <w:r w:rsidRPr="00CE6F23">
              <w:rPr>
                <w:rFonts w:cs="Arial"/>
                <w:b/>
                <w:bCs/>
                <w:sz w:val="24"/>
                <w:szCs w:val="24"/>
              </w:rPr>
              <w:t xml:space="preserve">  </w:t>
            </w:r>
            <w:r w:rsidRPr="00CE6F23">
              <w:rPr>
                <w:rFonts w:cs="Arial"/>
                <w:b/>
                <w:bCs/>
                <w:sz w:val="24"/>
                <w:szCs w:val="24"/>
              </w:rPr>
              <w:tab/>
            </w:r>
          </w:p>
        </w:tc>
      </w:tr>
    </w:tbl>
    <w:p w14:paraId="63B76E7D" w14:textId="77777777" w:rsidR="009E1144" w:rsidRPr="00CE6F23" w:rsidRDefault="009E1144" w:rsidP="009E114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731BF78D" w14:textId="77777777" w:rsidR="009E1144" w:rsidRPr="00474B68" w:rsidRDefault="009E1144" w:rsidP="009E1144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474B68">
        <w:rPr>
          <w:rFonts w:ascii="Arial" w:hAnsi="Arial" w:cs="Arial"/>
          <w:b/>
          <w:sz w:val="22"/>
          <w:szCs w:val="22"/>
        </w:rPr>
        <w:t>AIM(S)</w:t>
      </w:r>
    </w:p>
    <w:p w14:paraId="12F4D53C" w14:textId="77777777" w:rsidR="009E1144" w:rsidRPr="003C1EAE" w:rsidRDefault="009E1144" w:rsidP="009E1144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cs="Arial"/>
          <w:b/>
        </w:rPr>
      </w:pPr>
      <w:r w:rsidRPr="003C1EAE">
        <w:rPr>
          <w:rFonts w:cs="Arial"/>
        </w:rPr>
        <w:t>To provide relevant underpinning knowledge and understanding towards units of the Legal Advice standards; specifically, Personal Injury Legal Advice and Casework</w:t>
      </w:r>
      <w:r>
        <w:rPr>
          <w:rFonts w:cs="Arial"/>
        </w:rPr>
        <w:t xml:space="preserve"> and develop a broad and critical understanding of civil litigation</w:t>
      </w:r>
      <w:r w:rsidRPr="003C1EAE">
        <w:rPr>
          <w:rFonts w:cs="Arial"/>
        </w:rPr>
        <w:t>.</w:t>
      </w:r>
    </w:p>
    <w:p w14:paraId="29060E9A" w14:textId="77777777" w:rsidR="00A0320E" w:rsidRDefault="00A0320E" w:rsidP="009E1144">
      <w:pPr>
        <w:jc w:val="both"/>
        <w:rPr>
          <w:rFonts w:cs="Arial"/>
          <w:b/>
        </w:rPr>
      </w:pPr>
    </w:p>
    <w:p w14:paraId="3AC041D3" w14:textId="20098A29" w:rsidR="009E1144" w:rsidRPr="003C1EAE" w:rsidRDefault="009E1144" w:rsidP="009E1144">
      <w:pPr>
        <w:jc w:val="both"/>
        <w:rPr>
          <w:rFonts w:cs="Arial"/>
          <w:b/>
        </w:rPr>
      </w:pPr>
      <w:r w:rsidRPr="003C1EAE">
        <w:rPr>
          <w:rFonts w:cs="Arial"/>
          <w:b/>
        </w:rPr>
        <w:t>LEARNING OUTCOMES</w:t>
      </w:r>
    </w:p>
    <w:p w14:paraId="7CAA0827" w14:textId="77777777" w:rsidR="009E1144" w:rsidRPr="003C1EAE" w:rsidRDefault="009E1144" w:rsidP="009E1144">
      <w:p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</w:rPr>
      </w:pPr>
      <w:r w:rsidRPr="003C1EAE">
        <w:rPr>
          <w:rFonts w:cs="Arial"/>
        </w:rPr>
        <w:t>Upon the successful completion of this module, the student should be able to:</w:t>
      </w:r>
    </w:p>
    <w:p w14:paraId="2207AB78" w14:textId="77777777" w:rsidR="009E1144" w:rsidRPr="003C1EAE" w:rsidRDefault="009E1144" w:rsidP="009E1144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cs="Arial"/>
        </w:rPr>
      </w:pPr>
      <w:r>
        <w:rPr>
          <w:rFonts w:cs="Arial"/>
        </w:rPr>
        <w:t>d</w:t>
      </w:r>
      <w:r w:rsidRPr="003C1EAE">
        <w:rPr>
          <w:rFonts w:cs="Arial"/>
        </w:rPr>
        <w:t xml:space="preserve">emonstrate knowledge and critical understanding of the well-established principles of the main underlying features that enable an act of </w:t>
      </w:r>
      <w:proofErr w:type="gramStart"/>
      <w:r w:rsidRPr="003C1EAE">
        <w:rPr>
          <w:rFonts w:cs="Arial"/>
        </w:rPr>
        <w:t>litigation</w:t>
      </w:r>
      <w:r>
        <w:rPr>
          <w:rFonts w:cs="Arial"/>
        </w:rPr>
        <w:t>;</w:t>
      </w:r>
      <w:proofErr w:type="gramEnd"/>
      <w:r w:rsidRPr="003C1EAE">
        <w:rPr>
          <w:rFonts w:cs="Arial"/>
        </w:rPr>
        <w:t xml:space="preserve"> </w:t>
      </w:r>
    </w:p>
    <w:p w14:paraId="1B49D245" w14:textId="77777777" w:rsidR="009E1144" w:rsidRPr="003C1EAE" w:rsidRDefault="009E1144" w:rsidP="009E1144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cs="Arial"/>
        </w:rPr>
      </w:pPr>
      <w:r>
        <w:rPr>
          <w:rFonts w:cs="Arial"/>
        </w:rPr>
        <w:t>demonstrate a critical u</w:t>
      </w:r>
      <w:r w:rsidRPr="003C1EAE">
        <w:rPr>
          <w:rFonts w:cs="Arial"/>
        </w:rPr>
        <w:t>nderstand</w:t>
      </w:r>
      <w:r>
        <w:rPr>
          <w:rFonts w:cs="Arial"/>
        </w:rPr>
        <w:t>ing of the</w:t>
      </w:r>
      <w:r w:rsidRPr="003C1EAE">
        <w:rPr>
          <w:rFonts w:cs="Arial"/>
        </w:rPr>
        <w:t xml:space="preserve"> pre-action steps </w:t>
      </w:r>
      <w:r>
        <w:rPr>
          <w:rFonts w:cs="Arial"/>
        </w:rPr>
        <w:t xml:space="preserve">that </w:t>
      </w:r>
      <w:r w:rsidRPr="003C1EAE">
        <w:rPr>
          <w:rFonts w:cs="Arial"/>
        </w:rPr>
        <w:t>should be considered before a claim is issued</w:t>
      </w:r>
      <w:r>
        <w:rPr>
          <w:rFonts w:cs="Arial"/>
        </w:rPr>
        <w:t>,</w:t>
      </w:r>
      <w:r w:rsidRPr="003C1EAE">
        <w:rPr>
          <w:rFonts w:cs="Arial"/>
        </w:rPr>
        <w:t xml:space="preserve"> and the initial stages of </w:t>
      </w:r>
      <w:proofErr w:type="gramStart"/>
      <w:r w:rsidRPr="003C1EAE">
        <w:rPr>
          <w:rFonts w:cs="Arial"/>
        </w:rPr>
        <w:t>proceedings</w:t>
      </w:r>
      <w:r>
        <w:rPr>
          <w:rFonts w:cs="Arial"/>
        </w:rPr>
        <w:t>;</w:t>
      </w:r>
      <w:proofErr w:type="gramEnd"/>
    </w:p>
    <w:p w14:paraId="7A1452F7" w14:textId="77777777" w:rsidR="009E1144" w:rsidRPr="003C1EAE" w:rsidRDefault="009E1144" w:rsidP="009E1144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cs="Arial"/>
        </w:rPr>
      </w:pPr>
      <w:r>
        <w:rPr>
          <w:rFonts w:cs="Arial"/>
        </w:rPr>
        <w:t>a</w:t>
      </w:r>
      <w:r w:rsidRPr="003C1EAE">
        <w:rPr>
          <w:rFonts w:cs="Arial"/>
        </w:rPr>
        <w:t>nalyse the well-established principles of the trial process</w:t>
      </w:r>
      <w:r>
        <w:rPr>
          <w:rFonts w:cs="Arial"/>
        </w:rPr>
        <w:t xml:space="preserve"> -</w:t>
      </w:r>
      <w:r w:rsidRPr="003C1EAE">
        <w:rPr>
          <w:rFonts w:cs="Arial"/>
        </w:rPr>
        <w:t xml:space="preserve"> from pre-trial settlement</w:t>
      </w:r>
      <w:r>
        <w:rPr>
          <w:rFonts w:cs="Arial"/>
        </w:rPr>
        <w:t>,</w:t>
      </w:r>
      <w:r w:rsidRPr="003C1EAE">
        <w:rPr>
          <w:rFonts w:cs="Arial"/>
        </w:rPr>
        <w:t xml:space="preserve"> to trial</w:t>
      </w:r>
      <w:r>
        <w:rPr>
          <w:rFonts w:cs="Arial"/>
        </w:rPr>
        <w:t>,</w:t>
      </w:r>
      <w:r w:rsidRPr="003C1EAE">
        <w:rPr>
          <w:rFonts w:cs="Arial"/>
        </w:rPr>
        <w:t xml:space="preserve"> to resolution. </w:t>
      </w:r>
    </w:p>
    <w:p w14:paraId="78BFCCE1" w14:textId="77777777" w:rsidR="009E1144" w:rsidRPr="003C1EA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7123DD61" w14:textId="77777777" w:rsidR="009E1144" w:rsidRPr="003C1EAE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</w:rPr>
      </w:pPr>
      <w:r w:rsidRPr="003C1EAE">
        <w:rPr>
          <w:rFonts w:cs="Arial"/>
          <w:b/>
        </w:rPr>
        <w:t>INDICATIVE CONTENT</w:t>
      </w:r>
    </w:p>
    <w:p w14:paraId="07F0C602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Key features of the Civil Procedure Rules (CPR)</w:t>
      </w:r>
      <w:r>
        <w:rPr>
          <w:rFonts w:ascii="Arial" w:eastAsia="Times New Roman" w:hAnsi="Arial" w:cs="Arial"/>
          <w:lang w:eastAsia="en-GB"/>
        </w:rPr>
        <w:t>.</w:t>
      </w:r>
    </w:p>
    <w:p w14:paraId="3AE8E044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Remedies available, including the assessment of damages and interest</w:t>
      </w:r>
      <w:r>
        <w:rPr>
          <w:rFonts w:ascii="Arial" w:eastAsia="Times New Roman" w:hAnsi="Arial" w:cs="Arial"/>
          <w:lang w:eastAsia="en-GB"/>
        </w:rPr>
        <w:t>.</w:t>
      </w:r>
    </w:p>
    <w:p w14:paraId="12F06A9F" w14:textId="0F09A46F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3C1EAE">
        <w:rPr>
          <w:rFonts w:ascii="Arial" w:eastAsia="Times New Roman" w:hAnsi="Arial" w:cs="Arial"/>
          <w:lang w:eastAsia="en-GB"/>
        </w:rPr>
        <w:t>Pre-action protocols and practices in litigation</w:t>
      </w:r>
      <w:r>
        <w:rPr>
          <w:rFonts w:ascii="Arial" w:eastAsia="Times New Roman" w:hAnsi="Arial" w:cs="Arial"/>
          <w:lang w:eastAsia="en-GB"/>
        </w:rPr>
        <w:t>.</w:t>
      </w:r>
    </w:p>
    <w:p w14:paraId="2C37080A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</w:t>
      </w:r>
      <w:r w:rsidRPr="003C1EAE">
        <w:rPr>
          <w:rFonts w:ascii="Arial" w:eastAsia="Times New Roman" w:hAnsi="Arial" w:cs="Arial"/>
          <w:lang w:eastAsia="en-GB"/>
        </w:rPr>
        <w:t>rack allocation system</w:t>
      </w:r>
      <w:r>
        <w:rPr>
          <w:rFonts w:ascii="Arial" w:eastAsia="Times New Roman" w:hAnsi="Arial" w:cs="Arial"/>
          <w:lang w:eastAsia="en-GB"/>
        </w:rPr>
        <w:t>.</w:t>
      </w:r>
    </w:p>
    <w:p w14:paraId="563C3CE6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P</w:t>
      </w:r>
      <w:r w:rsidRPr="003C1EAE">
        <w:rPr>
          <w:rFonts w:ascii="Arial" w:eastAsia="Times New Roman" w:hAnsi="Arial" w:cs="Arial"/>
          <w:lang w:eastAsia="en-GB"/>
        </w:rPr>
        <w:t>urpose of witness statements and summonses, and the accompanying practical considerations of preparing evidence</w:t>
      </w:r>
      <w:r>
        <w:rPr>
          <w:rFonts w:ascii="Arial" w:eastAsia="Times New Roman" w:hAnsi="Arial" w:cs="Arial"/>
          <w:lang w:eastAsia="en-GB"/>
        </w:rPr>
        <w:t>.</w:t>
      </w:r>
    </w:p>
    <w:p w14:paraId="5FF93884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O</w:t>
      </w:r>
      <w:r w:rsidRPr="003C1EAE">
        <w:rPr>
          <w:rFonts w:ascii="Arial" w:eastAsia="Times New Roman" w:hAnsi="Arial" w:cs="Arial"/>
          <w:lang w:eastAsia="en-GB"/>
        </w:rPr>
        <w:t>ffers of settlement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and interim payments and remedies</w:t>
      </w:r>
      <w:r>
        <w:rPr>
          <w:rFonts w:ascii="Arial" w:eastAsia="Times New Roman" w:hAnsi="Arial" w:cs="Arial"/>
          <w:lang w:eastAsia="en-GB"/>
        </w:rPr>
        <w:t>.</w:t>
      </w:r>
    </w:p>
    <w:p w14:paraId="76FA0E8B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O</w:t>
      </w:r>
      <w:r w:rsidRPr="003C1EAE">
        <w:rPr>
          <w:rFonts w:ascii="Arial" w:eastAsia="Times New Roman" w:hAnsi="Arial" w:cs="Arial"/>
          <w:lang w:eastAsia="en-GB"/>
        </w:rPr>
        <w:t>rders and judgments, how they are enforced</w:t>
      </w:r>
      <w:r>
        <w:rPr>
          <w:rFonts w:ascii="Arial" w:eastAsia="Times New Roman" w:hAnsi="Arial" w:cs="Arial"/>
          <w:lang w:eastAsia="en-GB"/>
        </w:rPr>
        <w:t>,</w:t>
      </w:r>
      <w:r w:rsidRPr="003C1EAE">
        <w:rPr>
          <w:rFonts w:ascii="Arial" w:eastAsia="Times New Roman" w:hAnsi="Arial" w:cs="Arial"/>
          <w:lang w:eastAsia="en-GB"/>
        </w:rPr>
        <w:t xml:space="preserve"> and the procedure of appealing a judgment</w:t>
      </w:r>
      <w:r>
        <w:rPr>
          <w:rFonts w:ascii="Arial" w:eastAsia="Times New Roman" w:hAnsi="Arial" w:cs="Arial"/>
          <w:lang w:eastAsia="en-GB"/>
        </w:rPr>
        <w:t>.</w:t>
      </w:r>
    </w:p>
    <w:p w14:paraId="720CEE98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C</w:t>
      </w:r>
      <w:r w:rsidRPr="003C1EAE">
        <w:rPr>
          <w:rFonts w:ascii="Arial" w:eastAsia="Times New Roman" w:hAnsi="Arial" w:cs="Arial"/>
          <w:lang w:eastAsia="en-GB"/>
        </w:rPr>
        <w:t>ivil costs regime</w:t>
      </w:r>
      <w:r>
        <w:rPr>
          <w:rFonts w:ascii="Arial" w:eastAsia="Times New Roman" w:hAnsi="Arial" w:cs="Arial"/>
          <w:lang w:eastAsia="en-GB"/>
        </w:rPr>
        <w:t>.</w:t>
      </w:r>
    </w:p>
    <w:p w14:paraId="752A200C" w14:textId="77777777" w:rsidR="009E1144" w:rsidRPr="003C1EAE" w:rsidRDefault="009E1144" w:rsidP="009E1144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contextualSpacing w:val="0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A</w:t>
      </w:r>
      <w:r w:rsidRPr="003C1EAE">
        <w:rPr>
          <w:rFonts w:ascii="Arial" w:eastAsia="Times New Roman" w:hAnsi="Arial" w:cs="Arial"/>
          <w:lang w:eastAsia="en-GB"/>
        </w:rPr>
        <w:t>lternative dispute resolution</w:t>
      </w:r>
      <w:r>
        <w:rPr>
          <w:rFonts w:ascii="Arial" w:eastAsia="Times New Roman" w:hAnsi="Arial" w:cs="Arial"/>
          <w:lang w:eastAsia="en-GB"/>
        </w:rPr>
        <w:t>.</w:t>
      </w:r>
      <w:r w:rsidRPr="003C1EAE">
        <w:rPr>
          <w:rFonts w:ascii="Arial" w:eastAsia="Times New Roman" w:hAnsi="Arial" w:cs="Arial"/>
          <w:lang w:eastAsia="en-GB"/>
        </w:rPr>
        <w:t xml:space="preserve"> </w:t>
      </w:r>
    </w:p>
    <w:p w14:paraId="6C1C5CAD" w14:textId="77777777" w:rsidR="009E1144" w:rsidRPr="003C1EAE" w:rsidRDefault="009E1144" w:rsidP="009E1144">
      <w:pPr>
        <w:pStyle w:val="ListParagraph"/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24D50F2D" w14:textId="77777777" w:rsidR="00A0320E" w:rsidRDefault="00A0320E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</w:rPr>
      </w:pPr>
    </w:p>
    <w:p w14:paraId="6B82F2F1" w14:textId="77777777" w:rsidR="00A0320E" w:rsidRDefault="00A0320E">
      <w:pPr>
        <w:rPr>
          <w:rFonts w:cs="Arial"/>
          <w:b/>
        </w:rPr>
      </w:pPr>
      <w:r>
        <w:rPr>
          <w:rFonts w:cs="Arial"/>
          <w:b/>
        </w:rPr>
        <w:br w:type="page"/>
      </w:r>
    </w:p>
    <w:p w14:paraId="171C3D7B" w14:textId="686AFD43" w:rsidR="009E1144" w:rsidRPr="0011198C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</w:rPr>
      </w:pPr>
      <w:r w:rsidRPr="003C1EAE">
        <w:rPr>
          <w:rFonts w:cs="Arial"/>
          <w:b/>
        </w:rPr>
        <w:lastRenderedPageBreak/>
        <w:t>Study Time Allocation</w:t>
      </w:r>
    </w:p>
    <w:p w14:paraId="316F4910" w14:textId="77777777" w:rsidR="009E1144" w:rsidRPr="00A0320E" w:rsidRDefault="009E1144" w:rsidP="009E1144">
      <w:pPr>
        <w:keepNext/>
        <w:overflowPunct w:val="0"/>
        <w:autoSpaceDE w:val="0"/>
        <w:autoSpaceDN w:val="0"/>
        <w:adjustRightInd w:val="0"/>
        <w:spacing w:before="120" w:after="120"/>
        <w:jc w:val="both"/>
        <w:textAlignment w:val="baseline"/>
        <w:rPr>
          <w:rFonts w:cs="Arial"/>
        </w:rPr>
      </w:pPr>
      <w:r w:rsidRPr="00A0320E">
        <w:rPr>
          <w:rFonts w:cs="Arial"/>
        </w:rPr>
        <w:t>The study time for the module is divided as follows:</w:t>
      </w: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E1144" w:rsidRPr="00A0320E" w14:paraId="5B769BD6" w14:textId="77777777" w:rsidTr="00FD6F1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552B931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1974021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283F5B9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Percentage</w:t>
            </w:r>
          </w:p>
        </w:tc>
      </w:tr>
      <w:tr w:rsidR="009E1144" w:rsidRPr="00A0320E" w14:paraId="5A8E5EBD" w14:textId="77777777" w:rsidTr="00FD6F1B">
        <w:tc>
          <w:tcPr>
            <w:tcW w:w="3969" w:type="dxa"/>
          </w:tcPr>
          <w:p w14:paraId="70455494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2ECAAAED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48</w:t>
            </w:r>
          </w:p>
        </w:tc>
        <w:tc>
          <w:tcPr>
            <w:tcW w:w="1843" w:type="dxa"/>
            <w:shd w:val="clear" w:color="auto" w:fill="auto"/>
          </w:tcPr>
          <w:p w14:paraId="300C1500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24%</w:t>
            </w:r>
          </w:p>
        </w:tc>
      </w:tr>
      <w:tr w:rsidR="009E1144" w:rsidRPr="00A0320E" w14:paraId="1AD79DEE" w14:textId="77777777" w:rsidTr="00FD6F1B">
        <w:tc>
          <w:tcPr>
            <w:tcW w:w="3969" w:type="dxa"/>
          </w:tcPr>
          <w:p w14:paraId="22D56C47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70A79DAE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152</w:t>
            </w:r>
          </w:p>
        </w:tc>
        <w:tc>
          <w:tcPr>
            <w:tcW w:w="1843" w:type="dxa"/>
            <w:shd w:val="clear" w:color="auto" w:fill="auto"/>
          </w:tcPr>
          <w:p w14:paraId="69591DC2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76%</w:t>
            </w:r>
          </w:p>
        </w:tc>
      </w:tr>
      <w:tr w:rsidR="009E1144" w:rsidRPr="00A0320E" w14:paraId="2D96A6D3" w14:textId="77777777" w:rsidTr="00FD6F1B">
        <w:tc>
          <w:tcPr>
            <w:tcW w:w="3969" w:type="dxa"/>
          </w:tcPr>
          <w:p w14:paraId="5CD27000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Placement learning</w:t>
            </w:r>
          </w:p>
        </w:tc>
        <w:tc>
          <w:tcPr>
            <w:tcW w:w="1701" w:type="dxa"/>
          </w:tcPr>
          <w:p w14:paraId="101FA737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  <w:lang w:eastAsia="zh-CN"/>
              </w:rPr>
              <w:t>--</w:t>
            </w:r>
          </w:p>
        </w:tc>
        <w:tc>
          <w:tcPr>
            <w:tcW w:w="1843" w:type="dxa"/>
          </w:tcPr>
          <w:p w14:paraId="295E9C15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  <w:lang w:eastAsia="zh-CN"/>
              </w:rPr>
              <w:t>--</w:t>
            </w:r>
          </w:p>
        </w:tc>
      </w:tr>
      <w:tr w:rsidR="009E1144" w:rsidRPr="00A0320E" w14:paraId="475F6AF0" w14:textId="77777777" w:rsidTr="00FD6F1B">
        <w:tc>
          <w:tcPr>
            <w:tcW w:w="3969" w:type="dxa"/>
          </w:tcPr>
          <w:p w14:paraId="078AB44A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TOTAL</w:t>
            </w:r>
          </w:p>
        </w:tc>
        <w:tc>
          <w:tcPr>
            <w:tcW w:w="1701" w:type="dxa"/>
          </w:tcPr>
          <w:p w14:paraId="6F3320DE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200</w:t>
            </w:r>
          </w:p>
        </w:tc>
        <w:tc>
          <w:tcPr>
            <w:tcW w:w="1843" w:type="dxa"/>
          </w:tcPr>
          <w:p w14:paraId="1780E860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6303056C" w14:textId="77777777" w:rsidR="009E1144" w:rsidRPr="00A0320E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</w:rPr>
      </w:pPr>
    </w:p>
    <w:p w14:paraId="05F3E22B" w14:textId="77777777" w:rsidR="009E1144" w:rsidRPr="00A0320E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</w:rPr>
      </w:pPr>
      <w:r w:rsidRPr="00A0320E">
        <w:rPr>
          <w:rFonts w:cs="Arial"/>
          <w:b/>
        </w:rPr>
        <w:t>ASSESSMENT</w:t>
      </w:r>
    </w:p>
    <w:p w14:paraId="232C78FC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A0320E">
        <w:rPr>
          <w:rFonts w:cs="Arial"/>
          <w:b/>
        </w:rPr>
        <w:t>Assessment Component 1</w:t>
      </w:r>
    </w:p>
    <w:p w14:paraId="7C2A2BF1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i/>
        </w:rPr>
      </w:pPr>
      <w:r w:rsidRPr="00A0320E">
        <w:rPr>
          <w:rFonts w:cs="Arial"/>
          <w:b/>
          <w:i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9E1144" w:rsidRPr="00A0320E" w14:paraId="349626CA" w14:textId="77777777" w:rsidTr="00FD6F1B">
        <w:sdt>
          <w:sdtPr>
            <w:rPr>
              <w:rFonts w:cs="Arial"/>
              <w:sz w:val="24"/>
              <w:szCs w:val="24"/>
            </w:rPr>
            <w:id w:val="-16069599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8E4B8EE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9977061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Written exam</w:t>
            </w:r>
          </w:p>
        </w:tc>
        <w:sdt>
          <w:sdtPr>
            <w:rPr>
              <w:rFonts w:cs="Arial"/>
              <w:sz w:val="24"/>
              <w:szCs w:val="24"/>
            </w:rPr>
            <w:id w:val="-173438158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1BF250F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CFD98F9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Coursework</w:t>
            </w:r>
          </w:p>
        </w:tc>
        <w:sdt>
          <w:sdtPr>
            <w:rPr>
              <w:rFonts w:cs="Arial"/>
              <w:sz w:val="24"/>
              <w:szCs w:val="24"/>
            </w:rPr>
            <w:id w:val="10817905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7E27136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51DD58C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Practical</w:t>
            </w:r>
          </w:p>
        </w:tc>
      </w:tr>
    </w:tbl>
    <w:p w14:paraId="7F5ADF6E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E1144" w:rsidRPr="00A0320E" w14:paraId="6393F11E" w14:textId="77777777" w:rsidTr="00FD6F1B">
        <w:trPr>
          <w:trHeight w:val="253"/>
        </w:trPr>
        <w:tc>
          <w:tcPr>
            <w:tcW w:w="3256" w:type="dxa"/>
          </w:tcPr>
          <w:p w14:paraId="5C3A8D2C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Mode of assessment</w:t>
            </w:r>
          </w:p>
        </w:tc>
        <w:tc>
          <w:tcPr>
            <w:tcW w:w="3969" w:type="dxa"/>
          </w:tcPr>
          <w:p w14:paraId="4D46C7E5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Volume</w:t>
            </w:r>
          </w:p>
        </w:tc>
        <w:tc>
          <w:tcPr>
            <w:tcW w:w="1559" w:type="dxa"/>
          </w:tcPr>
          <w:p w14:paraId="2F6F8026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Weighting</w:t>
            </w:r>
          </w:p>
        </w:tc>
      </w:tr>
      <w:tr w:rsidR="009E1144" w:rsidRPr="00A0320E" w14:paraId="119762C9" w14:textId="77777777" w:rsidTr="00FD6F1B">
        <w:tc>
          <w:tcPr>
            <w:tcW w:w="3256" w:type="dxa"/>
          </w:tcPr>
          <w:p w14:paraId="3D95F865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Written assignment</w:t>
            </w:r>
          </w:p>
        </w:tc>
        <w:tc>
          <w:tcPr>
            <w:tcW w:w="3969" w:type="dxa"/>
          </w:tcPr>
          <w:p w14:paraId="3D671521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2000 words</w:t>
            </w:r>
          </w:p>
        </w:tc>
        <w:tc>
          <w:tcPr>
            <w:tcW w:w="1559" w:type="dxa"/>
          </w:tcPr>
          <w:p w14:paraId="36A2760B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50%</w:t>
            </w:r>
          </w:p>
        </w:tc>
      </w:tr>
    </w:tbl>
    <w:p w14:paraId="04C584AF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287FEE3D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A0320E">
        <w:rPr>
          <w:rFonts w:cs="Arial"/>
          <w:b/>
        </w:rPr>
        <w:t>Assessment Component 2</w:t>
      </w:r>
    </w:p>
    <w:p w14:paraId="4EE36AA2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A0320E">
        <w:rPr>
          <w:rFonts w:cs="Arial"/>
          <w:b/>
          <w:i/>
        </w:rPr>
        <w:t>(Tick one)</w:t>
      </w: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9E1144" w:rsidRPr="00A0320E" w14:paraId="5CBD4204" w14:textId="77777777" w:rsidTr="00FD6F1B">
        <w:sdt>
          <w:sdtPr>
            <w:rPr>
              <w:rFonts w:cs="Arial"/>
              <w:sz w:val="24"/>
              <w:szCs w:val="24"/>
            </w:rPr>
            <w:id w:val="-119837895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57EA5D7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66ACEC8A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Written exam</w:t>
            </w:r>
          </w:p>
        </w:tc>
        <w:sdt>
          <w:sdtPr>
            <w:rPr>
              <w:rFonts w:cs="Arial"/>
              <w:sz w:val="24"/>
              <w:szCs w:val="24"/>
            </w:rPr>
            <w:id w:val="10982167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2FB5642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F28D993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Coursework</w:t>
            </w:r>
          </w:p>
        </w:tc>
        <w:sdt>
          <w:sdtPr>
            <w:rPr>
              <w:rFonts w:cs="Arial"/>
              <w:sz w:val="24"/>
              <w:szCs w:val="24"/>
            </w:rPr>
            <w:id w:val="-16098087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D2FADB2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cs="Arial"/>
                    <w:b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92788F0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Practical</w:t>
            </w:r>
          </w:p>
        </w:tc>
      </w:tr>
    </w:tbl>
    <w:p w14:paraId="639A83B2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E1144" w:rsidRPr="00A0320E" w14:paraId="281C4143" w14:textId="77777777" w:rsidTr="00FD6F1B">
        <w:tc>
          <w:tcPr>
            <w:tcW w:w="3256" w:type="dxa"/>
          </w:tcPr>
          <w:p w14:paraId="39BB2140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Mode of assessment</w:t>
            </w:r>
          </w:p>
        </w:tc>
        <w:tc>
          <w:tcPr>
            <w:tcW w:w="3969" w:type="dxa"/>
          </w:tcPr>
          <w:p w14:paraId="5AF76911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Volume</w:t>
            </w:r>
          </w:p>
        </w:tc>
        <w:tc>
          <w:tcPr>
            <w:tcW w:w="1559" w:type="dxa"/>
          </w:tcPr>
          <w:p w14:paraId="6086A2B1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Weighting</w:t>
            </w:r>
          </w:p>
        </w:tc>
      </w:tr>
      <w:tr w:rsidR="009E1144" w:rsidRPr="00A0320E" w14:paraId="66F42E24" w14:textId="77777777" w:rsidTr="00FD6F1B">
        <w:tc>
          <w:tcPr>
            <w:tcW w:w="3256" w:type="dxa"/>
          </w:tcPr>
          <w:p w14:paraId="5F005C76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Exam</w:t>
            </w:r>
          </w:p>
        </w:tc>
        <w:tc>
          <w:tcPr>
            <w:tcW w:w="3969" w:type="dxa"/>
          </w:tcPr>
          <w:p w14:paraId="2BE812C1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2 hours</w:t>
            </w:r>
          </w:p>
        </w:tc>
        <w:tc>
          <w:tcPr>
            <w:tcW w:w="1559" w:type="dxa"/>
          </w:tcPr>
          <w:p w14:paraId="01244192" w14:textId="77777777" w:rsidR="009E1144" w:rsidRPr="00A0320E" w:rsidRDefault="009E1144" w:rsidP="00FD6F1B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50%</w:t>
            </w:r>
          </w:p>
        </w:tc>
      </w:tr>
    </w:tbl>
    <w:p w14:paraId="409B0C72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0CBB0645" w14:textId="77777777" w:rsidR="009E1144" w:rsidRPr="00A0320E" w:rsidRDefault="009E1144" w:rsidP="009E1144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cs="Arial"/>
          <w:b/>
        </w:rPr>
      </w:pPr>
      <w:r w:rsidRPr="00A0320E">
        <w:rPr>
          <w:rFonts w:cs="Arial"/>
          <w:b/>
        </w:rPr>
        <w:t>Assessment Summary</w:t>
      </w: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E1144" w:rsidRPr="00A0320E" w14:paraId="5EF60ECA" w14:textId="77777777" w:rsidTr="00FD6F1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DEC4520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Activity type</w:t>
            </w:r>
          </w:p>
        </w:tc>
        <w:tc>
          <w:tcPr>
            <w:tcW w:w="1842" w:type="dxa"/>
          </w:tcPr>
          <w:p w14:paraId="6C24E870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Percentage</w:t>
            </w:r>
          </w:p>
        </w:tc>
      </w:tr>
      <w:tr w:rsidR="009E1144" w:rsidRPr="00A0320E" w14:paraId="1C075445" w14:textId="77777777" w:rsidTr="00FD6F1B">
        <w:tc>
          <w:tcPr>
            <w:tcW w:w="3261" w:type="dxa"/>
          </w:tcPr>
          <w:p w14:paraId="20A25033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Written exam</w:t>
            </w:r>
          </w:p>
        </w:tc>
        <w:tc>
          <w:tcPr>
            <w:tcW w:w="1842" w:type="dxa"/>
          </w:tcPr>
          <w:p w14:paraId="0DEB6ED3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50%</w:t>
            </w:r>
          </w:p>
        </w:tc>
      </w:tr>
      <w:tr w:rsidR="009E1144" w:rsidRPr="00A0320E" w14:paraId="28292D18" w14:textId="77777777" w:rsidTr="00FD6F1B">
        <w:tc>
          <w:tcPr>
            <w:tcW w:w="3261" w:type="dxa"/>
          </w:tcPr>
          <w:p w14:paraId="603896B5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Coursework</w:t>
            </w:r>
          </w:p>
        </w:tc>
        <w:tc>
          <w:tcPr>
            <w:tcW w:w="1842" w:type="dxa"/>
          </w:tcPr>
          <w:p w14:paraId="75FA8E12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50%</w:t>
            </w:r>
          </w:p>
        </w:tc>
      </w:tr>
      <w:tr w:rsidR="009E1144" w:rsidRPr="00A0320E" w14:paraId="57F75045" w14:textId="77777777" w:rsidTr="00FD6F1B">
        <w:tc>
          <w:tcPr>
            <w:tcW w:w="3261" w:type="dxa"/>
          </w:tcPr>
          <w:p w14:paraId="4EB3C291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Practical</w:t>
            </w:r>
          </w:p>
        </w:tc>
        <w:tc>
          <w:tcPr>
            <w:tcW w:w="1842" w:type="dxa"/>
          </w:tcPr>
          <w:p w14:paraId="613C0E23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  <w:lang w:eastAsia="zh-CN"/>
              </w:rPr>
              <w:t>--</w:t>
            </w:r>
          </w:p>
        </w:tc>
      </w:tr>
      <w:tr w:rsidR="009E1144" w:rsidRPr="00A0320E" w14:paraId="7D8F0F9D" w14:textId="77777777" w:rsidTr="00FD6F1B">
        <w:tc>
          <w:tcPr>
            <w:tcW w:w="3261" w:type="dxa"/>
          </w:tcPr>
          <w:p w14:paraId="45CF5510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TOTAL</w:t>
            </w:r>
          </w:p>
        </w:tc>
        <w:tc>
          <w:tcPr>
            <w:tcW w:w="1842" w:type="dxa"/>
          </w:tcPr>
          <w:p w14:paraId="3DFF132A" w14:textId="77777777" w:rsidR="009E1144" w:rsidRPr="00A0320E" w:rsidRDefault="009E1144" w:rsidP="00FD6F1B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745706AC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49A7F270" w14:textId="77777777" w:rsidR="009E1144" w:rsidRPr="00A0320E" w:rsidRDefault="009E1144" w:rsidP="009E114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4B0C9990" w14:textId="77777777" w:rsidR="009E1144" w:rsidRPr="00A0320E" w:rsidRDefault="009E1144" w:rsidP="009E1144">
      <w:pPr>
        <w:keepNext/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cs="Arial"/>
          <w:b/>
        </w:rPr>
      </w:pPr>
      <w:r w:rsidRPr="00A0320E">
        <w:rPr>
          <w:rFonts w:cs="Arial"/>
          <w:b/>
        </w:rPr>
        <w:t>INDICATIVE READING LIST</w:t>
      </w: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89"/>
      </w:tblGrid>
      <w:tr w:rsidR="009E1144" w:rsidRPr="00A0320E" w14:paraId="0058F586" w14:textId="77777777" w:rsidTr="00FD6F1B">
        <w:tc>
          <w:tcPr>
            <w:tcW w:w="1689" w:type="dxa"/>
            <w:shd w:val="clear" w:color="auto" w:fill="BFBFBF" w:themeFill="background1" w:themeFillShade="BF"/>
          </w:tcPr>
          <w:p w14:paraId="3D6C1236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Module Code</w:t>
            </w:r>
          </w:p>
        </w:tc>
        <w:tc>
          <w:tcPr>
            <w:tcW w:w="6971" w:type="dxa"/>
            <w:gridSpan w:val="2"/>
          </w:tcPr>
          <w:p w14:paraId="760386D8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BMLW5016</w:t>
            </w:r>
          </w:p>
        </w:tc>
      </w:tr>
      <w:tr w:rsidR="009E1144" w:rsidRPr="00A0320E" w14:paraId="4D04EE79" w14:textId="77777777" w:rsidTr="00FD6F1B">
        <w:tc>
          <w:tcPr>
            <w:tcW w:w="1689" w:type="dxa"/>
            <w:shd w:val="clear" w:color="auto" w:fill="BFBFBF" w:themeFill="background1" w:themeFillShade="BF"/>
          </w:tcPr>
          <w:p w14:paraId="6FCFBC44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F766B74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 xml:space="preserve">Civil Litigation </w:t>
            </w:r>
          </w:p>
        </w:tc>
      </w:tr>
      <w:tr w:rsidR="009E1144" w:rsidRPr="00A0320E" w14:paraId="1306996F" w14:textId="77777777" w:rsidTr="00FD6F1B">
        <w:tc>
          <w:tcPr>
            <w:tcW w:w="1689" w:type="dxa"/>
            <w:shd w:val="clear" w:color="auto" w:fill="BFBFBF" w:themeFill="background1" w:themeFillShade="BF"/>
          </w:tcPr>
          <w:p w14:paraId="513D6DAD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CA557E5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E29C210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A0320E">
              <w:rPr>
                <w:rFonts w:cs="Arial"/>
                <w:b/>
                <w:sz w:val="24"/>
                <w:szCs w:val="24"/>
              </w:rPr>
              <w:t>Electronic*</w:t>
            </w:r>
          </w:p>
        </w:tc>
      </w:tr>
      <w:tr w:rsidR="009E1144" w:rsidRPr="00A0320E" w14:paraId="6BBD303D" w14:textId="77777777" w:rsidTr="00FD6F1B">
        <w:tc>
          <w:tcPr>
            <w:tcW w:w="1689" w:type="dxa"/>
          </w:tcPr>
          <w:p w14:paraId="7F3904F2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497FBF02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 xml:space="preserve">Cunningham-Hill, S. and Elder, K. (2018) </w:t>
            </w:r>
            <w:r w:rsidRPr="00A0320E">
              <w:rPr>
                <w:rFonts w:cs="Arial"/>
                <w:i/>
                <w:iCs/>
                <w:sz w:val="24"/>
                <w:szCs w:val="24"/>
              </w:rPr>
              <w:t>Civil Litigation 2018-2019</w:t>
            </w:r>
            <w:r w:rsidRPr="00A0320E">
              <w:rPr>
                <w:rFonts w:cs="Arial"/>
                <w:sz w:val="24"/>
                <w:szCs w:val="24"/>
              </w:rPr>
              <w:t xml:space="preserve"> 11</w:t>
            </w:r>
            <w:r w:rsidRPr="00A0320E">
              <w:rPr>
                <w:rFonts w:cs="Arial"/>
                <w:sz w:val="24"/>
                <w:szCs w:val="24"/>
                <w:vertAlign w:val="superscript"/>
              </w:rPr>
              <w:t>th</w:t>
            </w:r>
            <w:r w:rsidRPr="00A0320E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A0320E">
              <w:rPr>
                <w:rFonts w:cs="Arial"/>
                <w:sz w:val="24"/>
                <w:szCs w:val="24"/>
              </w:rPr>
              <w:t>edn</w:t>
            </w:r>
            <w:proofErr w:type="spellEnd"/>
            <w:r w:rsidRPr="00A0320E">
              <w:rPr>
                <w:rFonts w:cs="Arial"/>
                <w:sz w:val="24"/>
                <w:szCs w:val="24"/>
              </w:rPr>
              <w:t xml:space="preserve"> OUP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 w:val="24"/>
                <w:szCs w:val="24"/>
              </w:rPr>
              <w:id w:val="14470332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4CF9CBF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p>
            </w:sdtContent>
          </w:sdt>
        </w:tc>
      </w:tr>
      <w:tr w:rsidR="009E1144" w:rsidRPr="00A0320E" w14:paraId="209C1E2F" w14:textId="77777777" w:rsidTr="00FD6F1B">
        <w:tc>
          <w:tcPr>
            <w:tcW w:w="1689" w:type="dxa"/>
          </w:tcPr>
          <w:p w14:paraId="53F080BB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Essential</w:t>
            </w:r>
          </w:p>
        </w:tc>
        <w:tc>
          <w:tcPr>
            <w:tcW w:w="5605" w:type="dxa"/>
          </w:tcPr>
          <w:p w14:paraId="4C87676A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 xml:space="preserve">Legg, M. (2016) </w:t>
            </w:r>
            <w:r w:rsidRPr="00A0320E">
              <w:rPr>
                <w:rFonts w:cs="Arial"/>
                <w:i/>
                <w:iCs/>
                <w:sz w:val="24"/>
                <w:szCs w:val="24"/>
              </w:rPr>
              <w:t>Case Management and Complex Civil Litigation</w:t>
            </w:r>
            <w:r w:rsidRPr="00A0320E">
              <w:rPr>
                <w:rFonts w:cs="Arial"/>
                <w:sz w:val="24"/>
                <w:szCs w:val="24"/>
              </w:rPr>
              <w:t xml:space="preserve"> Routledge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 w:val="24"/>
                <w:szCs w:val="24"/>
              </w:rPr>
              <w:id w:val="-3819424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197336A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p>
            </w:sdtContent>
          </w:sdt>
        </w:tc>
      </w:tr>
      <w:tr w:rsidR="009E1144" w:rsidRPr="00A0320E" w14:paraId="5637508D" w14:textId="77777777" w:rsidTr="00FD6F1B">
        <w:tc>
          <w:tcPr>
            <w:tcW w:w="1689" w:type="dxa"/>
          </w:tcPr>
          <w:p w14:paraId="203EBF27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Further</w:t>
            </w:r>
          </w:p>
        </w:tc>
        <w:tc>
          <w:tcPr>
            <w:tcW w:w="5605" w:type="dxa"/>
          </w:tcPr>
          <w:p w14:paraId="2238047D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 xml:space="preserve">Reid, C. (2013) </w:t>
            </w:r>
            <w:r w:rsidRPr="00A0320E">
              <w:rPr>
                <w:rFonts w:cs="Arial"/>
                <w:i/>
                <w:iCs/>
                <w:sz w:val="24"/>
                <w:szCs w:val="24"/>
              </w:rPr>
              <w:t>Civil Litigation</w:t>
            </w:r>
            <w:r w:rsidRPr="00A0320E">
              <w:rPr>
                <w:rFonts w:cs="Arial"/>
                <w:sz w:val="24"/>
                <w:szCs w:val="24"/>
              </w:rPr>
              <w:t xml:space="preserve"> 3</w:t>
            </w:r>
            <w:r w:rsidRPr="00A0320E">
              <w:rPr>
                <w:rFonts w:cs="Arial"/>
                <w:sz w:val="24"/>
                <w:szCs w:val="24"/>
                <w:vertAlign w:val="superscript"/>
              </w:rPr>
              <w:t>rd</w:t>
            </w:r>
            <w:r w:rsidRPr="00A0320E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A0320E">
              <w:rPr>
                <w:rFonts w:cs="Arial"/>
                <w:sz w:val="24"/>
                <w:szCs w:val="24"/>
              </w:rPr>
              <w:t>edn</w:t>
            </w:r>
            <w:proofErr w:type="spellEnd"/>
            <w:r w:rsidRPr="00A0320E">
              <w:rPr>
                <w:rFonts w:cs="Arial"/>
                <w:sz w:val="24"/>
                <w:szCs w:val="24"/>
              </w:rPr>
              <w:t xml:space="preserve"> OUP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 w:val="24"/>
                <w:szCs w:val="24"/>
              </w:rPr>
              <w:id w:val="13810594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A10EBEA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p>
            </w:sdtContent>
          </w:sdt>
        </w:tc>
      </w:tr>
      <w:tr w:rsidR="009E1144" w:rsidRPr="00A0320E" w14:paraId="54AF5B7C" w14:textId="77777777" w:rsidTr="00FD6F1B">
        <w:tc>
          <w:tcPr>
            <w:tcW w:w="1689" w:type="dxa"/>
          </w:tcPr>
          <w:p w14:paraId="231A1FF8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>Further</w:t>
            </w:r>
          </w:p>
        </w:tc>
        <w:tc>
          <w:tcPr>
            <w:tcW w:w="5605" w:type="dxa"/>
          </w:tcPr>
          <w:p w14:paraId="3C493267" w14:textId="77777777" w:rsidR="009E1144" w:rsidRPr="00A0320E" w:rsidRDefault="009E1144" w:rsidP="00FD6F1B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A0320E">
              <w:rPr>
                <w:rFonts w:cs="Arial"/>
                <w:sz w:val="24"/>
                <w:szCs w:val="24"/>
              </w:rPr>
              <w:t xml:space="preserve">Vandall, F.J. (2011) </w:t>
            </w:r>
            <w:r w:rsidRPr="00A0320E">
              <w:rPr>
                <w:rFonts w:cs="Arial"/>
                <w:i/>
                <w:iCs/>
                <w:sz w:val="24"/>
                <w:szCs w:val="24"/>
              </w:rPr>
              <w:t xml:space="preserve">A History of Civil Litigation: Political and Economic Perspectives </w:t>
            </w:r>
            <w:r w:rsidRPr="00A0320E">
              <w:rPr>
                <w:rFonts w:cs="Arial"/>
                <w:sz w:val="24"/>
                <w:szCs w:val="24"/>
              </w:rPr>
              <w:t>OUP</w:t>
            </w:r>
            <w:r w:rsidRPr="00A0320E">
              <w:rPr>
                <w:rFonts w:cs="Arial"/>
                <w:i/>
                <w:iCs/>
                <w:sz w:val="24"/>
                <w:szCs w:val="24"/>
              </w:rPr>
              <w:t xml:space="preserve"> </w:t>
            </w:r>
            <w:r w:rsidRPr="00A0320E">
              <w:rPr>
                <w:rFonts w:cs="Arial"/>
                <w:sz w:val="24"/>
                <w:szCs w:val="24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 w:val="24"/>
                <w:szCs w:val="24"/>
              </w:rPr>
              <w:id w:val="-1445175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1F73EE" w14:textId="77777777" w:rsidR="009E1144" w:rsidRPr="00A0320E" w:rsidRDefault="009E1144" w:rsidP="00FD6F1B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cs="Arial"/>
                    <w:sz w:val="24"/>
                    <w:szCs w:val="24"/>
                  </w:rPr>
                </w:pPr>
                <w:r w:rsidRPr="00A0320E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p>
            </w:sdtContent>
          </w:sdt>
        </w:tc>
      </w:tr>
    </w:tbl>
    <w:p w14:paraId="66557EB5" w14:textId="77777777" w:rsidR="009E1144" w:rsidRPr="00A0320E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78EADDB6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654887E6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2A927B44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508FAB15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32A31421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3548051D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26F8FC2F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38EF57F6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510E5DBF" w14:textId="77777777" w:rsidR="009E1144" w:rsidRDefault="009E1144" w:rsidP="009E114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79C6CAD5" w14:textId="77777777" w:rsidR="009E1144" w:rsidRDefault="009E1144"/>
    <w:p w14:paraId="3ADAE6E5" w14:textId="77777777" w:rsidR="009E1144" w:rsidRDefault="009E1144"/>
    <w:sectPr w:rsidR="009E114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E70FB4" w14:textId="77777777" w:rsidR="00D15A87" w:rsidRDefault="00D15A87" w:rsidP="00FE2D38">
      <w:pPr>
        <w:spacing w:after="0" w:line="240" w:lineRule="auto"/>
      </w:pPr>
      <w:r>
        <w:separator/>
      </w:r>
    </w:p>
  </w:endnote>
  <w:endnote w:type="continuationSeparator" w:id="0">
    <w:p w14:paraId="0C2EEDAB" w14:textId="77777777" w:rsidR="00D15A87" w:rsidRDefault="00D15A87" w:rsidP="00FE2D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863248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57859A" w14:textId="412FD213" w:rsidR="00A0320E" w:rsidRDefault="00A032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334661" w14:textId="77777777" w:rsidR="00A0320E" w:rsidRDefault="00A032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DADEE1B" w14:textId="77777777" w:rsidR="00D15A87" w:rsidRDefault="00D15A87" w:rsidP="00FE2D38">
      <w:pPr>
        <w:spacing w:after="0" w:line="240" w:lineRule="auto"/>
      </w:pPr>
      <w:r>
        <w:separator/>
      </w:r>
    </w:p>
  </w:footnote>
  <w:footnote w:type="continuationSeparator" w:id="0">
    <w:p w14:paraId="578D4381" w14:textId="77777777" w:rsidR="00D15A87" w:rsidRDefault="00D15A87" w:rsidP="00FE2D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955985"/>
    <w:multiLevelType w:val="hybridMultilevel"/>
    <w:tmpl w:val="FA1EF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290298">
    <w:abstractNumId w:val="1"/>
  </w:num>
  <w:num w:numId="2" w16cid:durableId="2118719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144"/>
    <w:rsid w:val="002E3A31"/>
    <w:rsid w:val="00516348"/>
    <w:rsid w:val="00537207"/>
    <w:rsid w:val="00664FCD"/>
    <w:rsid w:val="009E1144"/>
    <w:rsid w:val="00A0320E"/>
    <w:rsid w:val="00CE6F23"/>
    <w:rsid w:val="00D15A87"/>
    <w:rsid w:val="00FE2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1B7378"/>
  <w15:chartTrackingRefBased/>
  <w15:docId w15:val="{8793E386-A992-4D0B-ABFF-3AD268244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11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11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11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11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11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11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11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11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11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11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11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11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11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11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11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11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11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11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11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11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11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11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11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1144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E11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11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11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11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1144"/>
    <w:rPr>
      <w:b/>
      <w:bCs/>
      <w:smallCaps/>
      <w:color w:val="0F4761" w:themeColor="accent1" w:themeShade="BF"/>
      <w:spacing w:val="5"/>
    </w:rPr>
  </w:style>
  <w:style w:type="paragraph" w:customStyle="1" w:styleId="bullet">
    <w:name w:val="bullet"/>
    <w:link w:val="bulletChar"/>
    <w:qFormat/>
    <w:rsid w:val="009E1144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qFormat/>
    <w:rsid w:val="009E1144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qFormat/>
    <w:locked/>
    <w:rsid w:val="009E1144"/>
  </w:style>
  <w:style w:type="table" w:customStyle="1" w:styleId="TableGrid2">
    <w:name w:val="Table Grid2"/>
    <w:basedOn w:val="TableNormal"/>
    <w:next w:val="TableGrid"/>
    <w:uiPriority w:val="59"/>
    <w:rsid w:val="009E114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9E11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E2D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2D38"/>
  </w:style>
  <w:style w:type="paragraph" w:styleId="Footer">
    <w:name w:val="footer"/>
    <w:basedOn w:val="Normal"/>
    <w:link w:val="FooterChar"/>
    <w:uiPriority w:val="99"/>
    <w:unhideWhenUsed/>
    <w:rsid w:val="00FE2D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2D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CA9321D0E7424881AD68B232142F4B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64B983-5E48-4984-9700-F8F72B00045B}"/>
      </w:docPartPr>
      <w:docPartBody>
        <w:p w:rsidR="006824B8" w:rsidRDefault="006824B8" w:rsidP="006824B8">
          <w:pPr>
            <w:pStyle w:val="CA9321D0E7424881AD68B232142F4B5A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ABDA1ADB6F0C4D8893DBB5CC863542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609350-4825-4C99-A949-B8CE9D319F6C}"/>
      </w:docPartPr>
      <w:docPartBody>
        <w:p w:rsidR="006824B8" w:rsidRDefault="006824B8" w:rsidP="006824B8">
          <w:pPr>
            <w:pStyle w:val="ABDA1ADB6F0C4D8893DBB5CC863542DC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4B8"/>
    <w:rsid w:val="000A5A7E"/>
    <w:rsid w:val="00537207"/>
    <w:rsid w:val="00664FCD"/>
    <w:rsid w:val="00682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824B8"/>
    <w:rPr>
      <w:color w:val="808080"/>
    </w:rPr>
  </w:style>
  <w:style w:type="paragraph" w:customStyle="1" w:styleId="CA9321D0E7424881AD68B232142F4B5A">
    <w:name w:val="CA9321D0E7424881AD68B232142F4B5A"/>
    <w:rsid w:val="006824B8"/>
  </w:style>
  <w:style w:type="paragraph" w:customStyle="1" w:styleId="ABDA1ADB6F0C4D8893DBB5CC863542DC">
    <w:name w:val="ABDA1ADB6F0C4D8893DBB5CC863542DC"/>
    <w:rsid w:val="006824B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386</Words>
  <Characters>2205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4</cp:revision>
  <dcterms:created xsi:type="dcterms:W3CDTF">2024-08-29T13:52:00Z</dcterms:created>
  <dcterms:modified xsi:type="dcterms:W3CDTF">2025-01-07T20:59:00Z</dcterms:modified>
</cp:coreProperties>
</file>