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A57515" w14:textId="0B5C344E" w:rsidR="00B210BE" w:rsidRPr="0030630B" w:rsidRDefault="00B210BE" w:rsidP="006D2E6B">
      <w:pPr>
        <w:pStyle w:val="p1"/>
        <w:rPr>
          <w:rFonts w:ascii="Arial" w:eastAsia="SimSun" w:hAnsi="Arial" w:cs="Arial"/>
          <w:color w:val="000000" w:themeColor="text1"/>
          <w:kern w:val="24"/>
          <w:sz w:val="22"/>
          <w:szCs w:val="22"/>
        </w:rPr>
      </w:pPr>
      <w:r w:rsidRPr="0030630B">
        <w:rPr>
          <w:rFonts w:ascii="Arial" w:eastAsia="SimSun" w:hAnsi="Arial" w:cs="Arial"/>
          <w:color w:val="000000" w:themeColor="text1"/>
          <w:kern w:val="24"/>
          <w:sz w:val="22"/>
          <w:szCs w:val="22"/>
        </w:rPr>
        <w:t>I confirm that I have not presented any AI generated text as my own work. I confirm I have copies of my drafts, notes, and other resources I used before, and after the use of AI tools which I may be asked to provide in evidence.</w:t>
      </w:r>
    </w:p>
    <w:p w14:paraId="2A00455C" w14:textId="77777777" w:rsidR="0030630B" w:rsidRPr="0030630B" w:rsidRDefault="0030630B" w:rsidP="006D2E6B">
      <w:pPr>
        <w:pStyle w:val="p1"/>
        <w:rPr>
          <w:rFonts w:ascii="Arial" w:eastAsia="SimSun" w:hAnsi="Arial" w:cs="Arial"/>
          <w:color w:val="000000" w:themeColor="text1"/>
          <w:kern w:val="24"/>
          <w:sz w:val="22"/>
          <w:szCs w:val="22"/>
        </w:rPr>
      </w:pPr>
    </w:p>
    <w:p w14:paraId="790DBA1D" w14:textId="77777777" w:rsidR="0030630B" w:rsidRPr="0030630B" w:rsidRDefault="0030630B" w:rsidP="006D2E6B">
      <w:pPr>
        <w:pStyle w:val="p1"/>
        <w:rPr>
          <w:rFonts w:ascii="Arial" w:hAnsi="Arial" w:cs="Arial"/>
          <w:b/>
          <w:bCs/>
          <w:color w:val="000000" w:themeColor="text1"/>
          <w:sz w:val="22"/>
          <w:szCs w:val="22"/>
        </w:rPr>
      </w:pPr>
    </w:p>
    <w:p w14:paraId="326C535D" w14:textId="09D4BEB9" w:rsidR="00481FCF" w:rsidRDefault="006D2E6B" w:rsidP="006D2E6B">
      <w:pPr>
        <w:pStyle w:val="p1"/>
        <w:rPr>
          <w:rStyle w:val="apple-converted-space"/>
          <w:rFonts w:ascii="Arial" w:eastAsia="Times New Roman" w:hAnsi="Arial" w:cs="Arial"/>
          <w:b/>
          <w:bCs/>
          <w:color w:val="000000" w:themeColor="text1"/>
          <w:sz w:val="22"/>
          <w:szCs w:val="22"/>
          <w:shd w:val="clear" w:color="auto" w:fill="FFFFFF"/>
        </w:rPr>
      </w:pPr>
      <w:r w:rsidRPr="0030630B">
        <w:rPr>
          <w:rFonts w:ascii="Arial" w:hAnsi="Arial" w:cs="Arial"/>
          <w:b/>
          <w:bCs/>
          <w:color w:val="000000" w:themeColor="text1"/>
          <w:sz w:val="22"/>
          <w:szCs w:val="22"/>
        </w:rPr>
        <w:t>People across Time (HPFY3014)</w:t>
      </w:r>
      <w:r w:rsidR="00FA1096" w:rsidRPr="0030630B">
        <w:rPr>
          <w:rFonts w:ascii="Arial" w:hAnsi="Arial" w:cs="Arial"/>
          <w:color w:val="000000" w:themeColor="text1"/>
          <w:sz w:val="22"/>
          <w:szCs w:val="22"/>
        </w:rPr>
        <w:t xml:space="preserve">, </w:t>
      </w:r>
      <w:r w:rsidR="00481FCF" w:rsidRPr="0030630B">
        <w:rPr>
          <w:rFonts w:ascii="Arial" w:eastAsia="Times New Roman" w:hAnsi="Arial" w:cs="Arial"/>
          <w:b/>
          <w:bCs/>
          <w:color w:val="000000" w:themeColor="text1"/>
          <w:sz w:val="22"/>
          <w:szCs w:val="22"/>
          <w:shd w:val="clear" w:color="auto" w:fill="FFFFFF"/>
        </w:rPr>
        <w:t>Essay Plan</w:t>
      </w:r>
      <w:r w:rsidR="00481FCF" w:rsidRPr="0030630B">
        <w:rPr>
          <w:rStyle w:val="apple-converted-space"/>
          <w:rFonts w:ascii="Arial" w:eastAsia="Times New Roman" w:hAnsi="Arial" w:cs="Arial"/>
          <w:b/>
          <w:bCs/>
          <w:color w:val="000000" w:themeColor="text1"/>
          <w:sz w:val="22"/>
          <w:szCs w:val="22"/>
          <w:shd w:val="clear" w:color="auto" w:fill="FFFFFF"/>
        </w:rPr>
        <w:t> </w:t>
      </w:r>
    </w:p>
    <w:p w14:paraId="3F6BD619" w14:textId="77777777" w:rsidR="00D10184" w:rsidRPr="0030630B" w:rsidRDefault="00D10184" w:rsidP="006D2E6B">
      <w:pPr>
        <w:pStyle w:val="p1"/>
        <w:rPr>
          <w:rStyle w:val="apple-converted-space"/>
          <w:rFonts w:ascii="Arial" w:eastAsia="Times New Roman" w:hAnsi="Arial" w:cs="Arial"/>
          <w:b/>
          <w:bCs/>
          <w:color w:val="000000" w:themeColor="text1"/>
          <w:sz w:val="22"/>
          <w:szCs w:val="22"/>
          <w:shd w:val="clear" w:color="auto" w:fill="FFFFFF"/>
        </w:rPr>
      </w:pPr>
    </w:p>
    <w:p w14:paraId="22EFB293" w14:textId="77777777" w:rsidR="00FA1096" w:rsidRPr="0030630B" w:rsidRDefault="00FA1096" w:rsidP="006D2E6B">
      <w:pPr>
        <w:pStyle w:val="p1"/>
        <w:rPr>
          <w:rFonts w:ascii="Arial" w:hAnsi="Arial" w:cs="Arial"/>
          <w:color w:val="000000" w:themeColor="text1"/>
          <w:sz w:val="22"/>
          <w:szCs w:val="22"/>
        </w:rPr>
      </w:pPr>
    </w:p>
    <w:p w14:paraId="5026B379" w14:textId="13B07E95" w:rsidR="00BC28BD" w:rsidRDefault="00895975" w:rsidP="007B6F33">
      <w:pPr>
        <w:pStyle w:val="p1"/>
        <w:rPr>
          <w:rFonts w:ascii="Arial" w:hAnsi="Arial" w:cs="Arial"/>
          <w:b/>
          <w:bCs/>
          <w:color w:val="000000" w:themeColor="text1"/>
          <w:sz w:val="22"/>
          <w:szCs w:val="22"/>
          <w:u w:val="single"/>
        </w:rPr>
      </w:pPr>
      <w:r w:rsidRPr="0004541D">
        <w:rPr>
          <w:rFonts w:ascii="Arial" w:hAnsi="Arial" w:cs="Arial"/>
          <w:b/>
          <w:bCs/>
          <w:color w:val="000000" w:themeColor="text1"/>
          <w:sz w:val="22"/>
          <w:szCs w:val="22"/>
          <w:u w:val="single"/>
        </w:rPr>
        <w:t>Adapt and Rule</w:t>
      </w:r>
    </w:p>
    <w:p w14:paraId="293BE6AE" w14:textId="77777777" w:rsidR="0004541D" w:rsidRPr="0004541D" w:rsidRDefault="0004541D" w:rsidP="007B6F33">
      <w:pPr>
        <w:pStyle w:val="p1"/>
        <w:rPr>
          <w:rFonts w:ascii="Arial" w:hAnsi="Arial" w:cs="Arial"/>
          <w:b/>
          <w:bCs/>
          <w:color w:val="000000" w:themeColor="text1"/>
          <w:sz w:val="22"/>
          <w:szCs w:val="22"/>
        </w:rPr>
      </w:pPr>
    </w:p>
    <w:p w14:paraId="5EBDB617" w14:textId="77BFFED2" w:rsidR="00C24162" w:rsidRPr="0030630B" w:rsidRDefault="00895975" w:rsidP="007B6F33">
      <w:pPr>
        <w:pStyle w:val="p1"/>
        <w:rPr>
          <w:rFonts w:ascii="Arial" w:hAnsi="Arial" w:cs="Arial"/>
          <w:color w:val="000000" w:themeColor="text1"/>
          <w:sz w:val="22"/>
          <w:szCs w:val="22"/>
        </w:rPr>
      </w:pPr>
      <w:r w:rsidRPr="0030630B">
        <w:rPr>
          <w:rFonts w:ascii="Arial" w:hAnsi="Arial" w:cs="Arial"/>
          <w:color w:val="000000" w:themeColor="text1"/>
          <w:sz w:val="22"/>
          <w:szCs w:val="22"/>
        </w:rPr>
        <w:t>How the British Empire</w:t>
      </w:r>
      <w:r w:rsidR="005D4BEF" w:rsidRPr="0030630B">
        <w:rPr>
          <w:rFonts w:ascii="Arial" w:eastAsia="Times New Roman" w:hAnsi="Arial" w:cs="Arial"/>
          <w:color w:val="000000" w:themeColor="text1"/>
          <w:sz w:val="22"/>
          <w:szCs w:val="22"/>
          <w:shd w:val="clear" w:color="auto" w:fill="FFFFFF"/>
        </w:rPr>
        <w:t>, t</w:t>
      </w:r>
      <w:r w:rsidR="00456834" w:rsidRPr="0030630B">
        <w:rPr>
          <w:rFonts w:ascii="Arial" w:eastAsia="Times New Roman" w:hAnsi="Arial" w:cs="Arial"/>
          <w:color w:val="000000" w:themeColor="text1"/>
          <w:sz w:val="22"/>
          <w:szCs w:val="22"/>
          <w:shd w:val="clear" w:color="auto" w:fill="FFFFFF"/>
        </w:rPr>
        <w:t>he empire on which the sun never sets</w:t>
      </w:r>
      <w:r w:rsidR="005D4BEF" w:rsidRPr="0030630B">
        <w:rPr>
          <w:rFonts w:ascii="Arial" w:eastAsia="Times New Roman" w:hAnsi="Arial" w:cs="Arial"/>
          <w:color w:val="000000" w:themeColor="text1"/>
          <w:sz w:val="22"/>
          <w:szCs w:val="22"/>
          <w:shd w:val="clear" w:color="auto" w:fill="FFFFFF"/>
        </w:rPr>
        <w:t>,</w:t>
      </w:r>
      <w:r w:rsidRPr="0030630B">
        <w:rPr>
          <w:rFonts w:ascii="Arial" w:hAnsi="Arial" w:cs="Arial"/>
          <w:color w:val="000000" w:themeColor="text1"/>
          <w:sz w:val="22"/>
          <w:szCs w:val="22"/>
        </w:rPr>
        <w:t xml:space="preserve"> Adjusted to Environment, Culture, and Power</w:t>
      </w:r>
      <w:r w:rsidR="00102BD7" w:rsidRPr="0030630B">
        <w:rPr>
          <w:rStyle w:val="s1"/>
          <w:rFonts w:ascii="Arial" w:hAnsi="Arial" w:cs="Arial"/>
          <w:color w:val="000000" w:themeColor="text1"/>
          <w:sz w:val="22"/>
          <w:szCs w:val="22"/>
        </w:rPr>
        <w:t xml:space="preserve"> dynamics during the </w:t>
      </w:r>
      <w:r w:rsidR="00102BD7" w:rsidRPr="0030630B">
        <w:rPr>
          <w:rStyle w:val="s2"/>
          <w:rFonts w:ascii="Arial" w:hAnsi="Arial" w:cs="Arial"/>
          <w:color w:val="000000" w:themeColor="text1"/>
          <w:sz w:val="22"/>
          <w:szCs w:val="22"/>
        </w:rPr>
        <w:t>Modern World period (c. 1750–1919</w:t>
      </w:r>
      <w:r w:rsidR="00F6345A" w:rsidRPr="0030630B">
        <w:rPr>
          <w:rStyle w:val="s2"/>
          <w:rFonts w:ascii="Arial" w:hAnsi="Arial" w:cs="Arial"/>
          <w:color w:val="000000" w:themeColor="text1"/>
          <w:sz w:val="22"/>
          <w:szCs w:val="22"/>
        </w:rPr>
        <w:t>)</w:t>
      </w:r>
      <w:r w:rsidR="00F61A6B" w:rsidRPr="0030630B">
        <w:rPr>
          <w:rStyle w:val="s2"/>
          <w:rFonts w:ascii="Arial" w:hAnsi="Arial" w:cs="Arial"/>
          <w:b w:val="0"/>
          <w:bCs w:val="0"/>
          <w:color w:val="000000" w:themeColor="text1"/>
          <w:sz w:val="22"/>
          <w:szCs w:val="22"/>
        </w:rPr>
        <w:t xml:space="preserve">. This </w:t>
      </w:r>
      <w:r w:rsidR="00F61A6B" w:rsidRPr="0030630B">
        <w:rPr>
          <w:rStyle w:val="s1"/>
          <w:rFonts w:ascii="Arial" w:hAnsi="Arial" w:cs="Arial"/>
          <w:color w:val="000000" w:themeColor="text1"/>
          <w:sz w:val="22"/>
          <w:szCs w:val="22"/>
        </w:rPr>
        <w:t>f</w:t>
      </w:r>
      <w:r w:rsidR="00102BD7" w:rsidRPr="0030630B">
        <w:rPr>
          <w:rStyle w:val="s1"/>
          <w:rFonts w:ascii="Arial" w:hAnsi="Arial" w:cs="Arial"/>
          <w:color w:val="000000" w:themeColor="text1"/>
          <w:sz w:val="22"/>
          <w:szCs w:val="22"/>
        </w:rPr>
        <w:t>ocuses on</w:t>
      </w:r>
      <w:r w:rsidR="00102BD7" w:rsidRPr="0030630B">
        <w:rPr>
          <w:rStyle w:val="s1"/>
          <w:rFonts w:ascii="Arial" w:hAnsi="Arial" w:cs="Arial"/>
          <w:b/>
          <w:bCs/>
          <w:color w:val="000000" w:themeColor="text1"/>
          <w:sz w:val="22"/>
          <w:szCs w:val="22"/>
        </w:rPr>
        <w:t xml:space="preserve"> </w:t>
      </w:r>
      <w:r w:rsidR="00102BD7" w:rsidRPr="0030630B">
        <w:rPr>
          <w:rStyle w:val="s2"/>
          <w:rFonts w:ascii="Arial" w:hAnsi="Arial" w:cs="Arial"/>
          <w:b w:val="0"/>
          <w:bCs w:val="0"/>
          <w:color w:val="000000" w:themeColor="text1"/>
          <w:sz w:val="22"/>
          <w:szCs w:val="22"/>
        </w:rPr>
        <w:t>military, environmental, and cultural adaptation</w:t>
      </w:r>
      <w:r w:rsidR="00102BD7" w:rsidRPr="0030630B">
        <w:rPr>
          <w:rStyle w:val="s1"/>
          <w:rFonts w:ascii="Arial" w:hAnsi="Arial" w:cs="Arial"/>
          <w:b/>
          <w:bCs/>
          <w:color w:val="000000" w:themeColor="text1"/>
          <w:sz w:val="22"/>
          <w:szCs w:val="22"/>
        </w:rPr>
        <w:t xml:space="preserve"> </w:t>
      </w:r>
      <w:r w:rsidR="00102BD7" w:rsidRPr="0030630B">
        <w:rPr>
          <w:rStyle w:val="s1"/>
          <w:rFonts w:ascii="Arial" w:hAnsi="Arial" w:cs="Arial"/>
          <w:color w:val="000000" w:themeColor="text1"/>
          <w:sz w:val="22"/>
          <w:szCs w:val="22"/>
        </w:rPr>
        <w:t>across multiple regions</w:t>
      </w:r>
      <w:r w:rsidR="00102BD7" w:rsidRPr="0030630B">
        <w:rPr>
          <w:rFonts w:ascii="Arial" w:hAnsi="Arial" w:cs="Arial"/>
          <w:color w:val="000000" w:themeColor="text1"/>
          <w:sz w:val="22"/>
          <w:szCs w:val="22"/>
        </w:rPr>
        <w:t xml:space="preserve"> during Its Global Expansion</w:t>
      </w:r>
      <w:r w:rsidR="00142C00" w:rsidRPr="0030630B">
        <w:rPr>
          <w:rFonts w:ascii="Arial" w:hAnsi="Arial" w:cs="Arial"/>
          <w:color w:val="000000" w:themeColor="text1"/>
          <w:sz w:val="22"/>
          <w:szCs w:val="22"/>
        </w:rPr>
        <w:t>.</w:t>
      </w:r>
    </w:p>
    <w:p w14:paraId="10FB064E" w14:textId="77777777" w:rsidR="00055CBF" w:rsidRPr="0030630B" w:rsidRDefault="00895975">
      <w:pPr>
        <w:pStyle w:val="Heading1"/>
        <w:rPr>
          <w:rFonts w:ascii="Arial" w:hAnsi="Arial" w:cs="Arial"/>
          <w:color w:val="000000" w:themeColor="text1"/>
          <w:sz w:val="22"/>
          <w:szCs w:val="22"/>
        </w:rPr>
      </w:pPr>
      <w:r w:rsidRPr="0030630B">
        <w:rPr>
          <w:rFonts w:ascii="Arial" w:hAnsi="Arial" w:cs="Arial"/>
          <w:color w:val="000000" w:themeColor="text1"/>
          <w:sz w:val="22"/>
          <w:szCs w:val="22"/>
        </w:rPr>
        <w:t>Introduction</w:t>
      </w:r>
    </w:p>
    <w:p w14:paraId="092D8B72" w14:textId="2D111027" w:rsidR="00055CBF" w:rsidRPr="0030630B" w:rsidRDefault="00895975">
      <w:pPr>
        <w:rPr>
          <w:rFonts w:ascii="Arial" w:hAnsi="Arial" w:cs="Arial"/>
          <w:color w:val="000000" w:themeColor="text1"/>
        </w:rPr>
      </w:pPr>
      <w:r w:rsidRPr="0030630B">
        <w:rPr>
          <w:rFonts w:ascii="Arial" w:hAnsi="Arial" w:cs="Arial"/>
          <w:color w:val="000000" w:themeColor="text1"/>
        </w:rPr>
        <w:t xml:space="preserve">During the Modern World period (c. 1750–1919), the British Empire reached its global peak. This essay examines how British soldiers, governors, and officials adapted to the diverse environments and cultures they </w:t>
      </w:r>
      <w:r w:rsidR="008148AB" w:rsidRPr="0030630B">
        <w:rPr>
          <w:rFonts w:ascii="Arial" w:hAnsi="Arial" w:cs="Arial"/>
          <w:color w:val="000000" w:themeColor="text1"/>
        </w:rPr>
        <w:t>adapted to</w:t>
      </w:r>
      <w:r w:rsidRPr="0030630B">
        <w:rPr>
          <w:rFonts w:ascii="Arial" w:hAnsi="Arial" w:cs="Arial"/>
          <w:color w:val="000000" w:themeColor="text1"/>
        </w:rPr>
        <w:t xml:space="preserve"> across the empire</w:t>
      </w:r>
      <w:r w:rsidR="006177E2" w:rsidRPr="0030630B">
        <w:rPr>
          <w:rFonts w:ascii="Arial" w:hAnsi="Arial" w:cs="Arial"/>
          <w:color w:val="000000" w:themeColor="text1"/>
        </w:rPr>
        <w:t xml:space="preserve">, </w:t>
      </w:r>
      <w:r w:rsidRPr="0030630B">
        <w:rPr>
          <w:rFonts w:ascii="Arial" w:hAnsi="Arial" w:cs="Arial"/>
          <w:color w:val="000000" w:themeColor="text1"/>
        </w:rPr>
        <w:t xml:space="preserve">from India and Fiji to Africa and the Caribbean. Using firsthand accounts and academic research, the essay analyses how this adaptation (military, cultural, environmental) helped sustain British imperial control. It also </w:t>
      </w:r>
      <w:r w:rsidRPr="0030630B">
        <w:rPr>
          <w:rFonts w:ascii="Arial" w:hAnsi="Arial" w:cs="Arial"/>
          <w:color w:val="000000" w:themeColor="text1"/>
        </w:rPr>
        <w:t>reflects on the historical sources and methods scholars use to study these complex colonial dynamics.</w:t>
      </w:r>
    </w:p>
    <w:p w14:paraId="334B553A" w14:textId="2BA4F1DD" w:rsidR="00055CBF" w:rsidRPr="0030630B" w:rsidRDefault="00895975">
      <w:pPr>
        <w:pStyle w:val="Heading1"/>
        <w:rPr>
          <w:rFonts w:ascii="Arial" w:hAnsi="Arial" w:cs="Arial"/>
          <w:color w:val="000000" w:themeColor="text1"/>
          <w:sz w:val="22"/>
          <w:szCs w:val="22"/>
        </w:rPr>
      </w:pPr>
      <w:r w:rsidRPr="0030630B">
        <w:rPr>
          <w:rFonts w:ascii="Arial" w:hAnsi="Arial" w:cs="Arial"/>
          <w:color w:val="000000" w:themeColor="text1"/>
          <w:sz w:val="22"/>
          <w:szCs w:val="22"/>
        </w:rPr>
        <w:t xml:space="preserve">1. </w:t>
      </w:r>
      <w:r w:rsidR="00D237A1">
        <w:rPr>
          <w:rFonts w:ascii="Arial" w:hAnsi="Arial" w:cs="Arial"/>
          <w:color w:val="000000" w:themeColor="text1"/>
          <w:sz w:val="22"/>
          <w:szCs w:val="22"/>
        </w:rPr>
        <w:t>Evolve or Perish</w:t>
      </w:r>
      <w:r w:rsidR="00C05433">
        <w:rPr>
          <w:rFonts w:ascii="Arial" w:hAnsi="Arial" w:cs="Arial"/>
          <w:color w:val="000000" w:themeColor="text1"/>
          <w:sz w:val="22"/>
          <w:szCs w:val="22"/>
        </w:rPr>
        <w:t xml:space="preserve"> </w:t>
      </w:r>
      <w:r w:rsidR="00D237A1">
        <w:rPr>
          <w:rFonts w:ascii="Arial" w:hAnsi="Arial" w:cs="Arial"/>
          <w:color w:val="000000" w:themeColor="text1"/>
          <w:sz w:val="22"/>
          <w:szCs w:val="22"/>
        </w:rPr>
        <w:t>–</w:t>
      </w:r>
      <w:r w:rsidR="00C05433">
        <w:rPr>
          <w:rFonts w:ascii="Arial" w:hAnsi="Arial" w:cs="Arial"/>
          <w:color w:val="000000" w:themeColor="text1"/>
          <w:sz w:val="22"/>
          <w:szCs w:val="22"/>
        </w:rPr>
        <w:t xml:space="preserve"> </w:t>
      </w:r>
      <w:r w:rsidRPr="0030630B">
        <w:rPr>
          <w:rFonts w:ascii="Arial" w:hAnsi="Arial" w:cs="Arial"/>
          <w:color w:val="000000" w:themeColor="text1"/>
          <w:sz w:val="22"/>
          <w:szCs w:val="22"/>
        </w:rPr>
        <w:t>Environment</w:t>
      </w:r>
      <w:r w:rsidR="00E172D7">
        <w:rPr>
          <w:rFonts w:ascii="Arial" w:hAnsi="Arial" w:cs="Arial"/>
          <w:color w:val="000000" w:themeColor="text1"/>
          <w:sz w:val="22"/>
          <w:szCs w:val="22"/>
        </w:rPr>
        <w:t xml:space="preserve">, Tactics and the grit </w:t>
      </w:r>
      <w:r w:rsidR="00321F67">
        <w:rPr>
          <w:rFonts w:ascii="Arial" w:hAnsi="Arial" w:cs="Arial"/>
          <w:color w:val="000000" w:themeColor="text1"/>
          <w:sz w:val="22"/>
          <w:szCs w:val="22"/>
        </w:rPr>
        <w:t>in-between</w:t>
      </w:r>
      <w:r w:rsidR="00E172D7">
        <w:rPr>
          <w:rFonts w:ascii="Arial" w:hAnsi="Arial" w:cs="Arial"/>
          <w:color w:val="000000" w:themeColor="text1"/>
          <w:sz w:val="22"/>
          <w:szCs w:val="22"/>
        </w:rPr>
        <w:t>.</w:t>
      </w:r>
    </w:p>
    <w:p w14:paraId="6C11707A" w14:textId="0DD04A14" w:rsidR="00055CBF" w:rsidRPr="0030630B" w:rsidRDefault="00895975">
      <w:pPr>
        <w:rPr>
          <w:rFonts w:ascii="Arial" w:hAnsi="Arial" w:cs="Arial"/>
          <w:color w:val="000000" w:themeColor="text1"/>
        </w:rPr>
      </w:pPr>
      <w:r w:rsidRPr="0030630B">
        <w:rPr>
          <w:rFonts w:ascii="Arial" w:hAnsi="Arial" w:cs="Arial"/>
          <w:color w:val="000000" w:themeColor="text1"/>
        </w:rPr>
        <w:t>- India and Africa: Soldiers exchanged red coats for khaki due to heat and visibility in campaigns like Sudan (e.g. Kitchener's campaigns).</w:t>
      </w:r>
      <w:r w:rsidRPr="0030630B">
        <w:rPr>
          <w:rFonts w:ascii="Arial" w:hAnsi="Arial" w:cs="Arial"/>
          <w:color w:val="000000" w:themeColor="text1"/>
        </w:rPr>
        <w:br/>
        <w:t>- Australia: Settlers built irrigation systems and sheep farms to cope with arid terrain.</w:t>
      </w:r>
      <w:r w:rsidRPr="0030630B">
        <w:rPr>
          <w:rFonts w:ascii="Arial" w:hAnsi="Arial" w:cs="Arial"/>
          <w:color w:val="000000" w:themeColor="text1"/>
        </w:rPr>
        <w:br/>
        <w:t>- Egypt: Adapted Nile irrigation to support British cotton production.</w:t>
      </w:r>
      <w:r w:rsidRPr="0030630B">
        <w:rPr>
          <w:rFonts w:ascii="Arial" w:hAnsi="Arial" w:cs="Arial"/>
          <w:color w:val="000000" w:themeColor="text1"/>
        </w:rPr>
        <w:br/>
        <w:t>- Firsthand Source: Private William Thorn, 1857 “The sun was an enemy more feared than the sepoy.”</w:t>
      </w:r>
      <w:r w:rsidRPr="0030630B">
        <w:rPr>
          <w:rFonts w:ascii="Arial" w:hAnsi="Arial" w:cs="Arial"/>
          <w:color w:val="000000" w:themeColor="text1"/>
        </w:rPr>
        <w:br/>
        <w:t xml:space="preserve">- Historical Source: </w:t>
      </w:r>
      <w:r w:rsidR="001B46E9" w:rsidRPr="0030630B">
        <w:rPr>
          <w:rFonts w:ascii="Arial" w:hAnsi="Arial" w:cs="Arial"/>
          <w:color w:val="000000" w:themeColor="text1"/>
        </w:rPr>
        <w:t>Multiculturalism in the</w:t>
      </w:r>
      <w:r w:rsidR="00686FD8" w:rsidRPr="0030630B">
        <w:rPr>
          <w:rFonts w:ascii="Arial" w:hAnsi="Arial" w:cs="Arial"/>
          <w:color w:val="000000" w:themeColor="text1"/>
        </w:rPr>
        <w:t xml:space="preserve"> </w:t>
      </w:r>
      <w:r w:rsidR="001B46E9" w:rsidRPr="0030630B">
        <w:rPr>
          <w:rFonts w:ascii="Arial" w:hAnsi="Arial" w:cs="Arial"/>
          <w:color w:val="000000" w:themeColor="text1"/>
        </w:rPr>
        <w:t>British Commonwealth</w:t>
      </w:r>
      <w:r w:rsidR="00686FD8" w:rsidRPr="0030630B">
        <w:rPr>
          <w:rFonts w:ascii="Arial" w:hAnsi="Arial" w:cs="Arial"/>
          <w:color w:val="000000" w:themeColor="text1"/>
        </w:rPr>
        <w:t xml:space="preserve">: </w:t>
      </w:r>
      <w:r w:rsidR="001B46E9" w:rsidRPr="0030630B">
        <w:rPr>
          <w:rFonts w:ascii="Arial" w:hAnsi="Arial" w:cs="Arial"/>
          <w:color w:val="000000" w:themeColor="text1"/>
        </w:rPr>
        <w:t>Comparative Perspectives on Theory and Practice</w:t>
      </w:r>
      <w:r w:rsidRPr="0030630B">
        <w:rPr>
          <w:rFonts w:ascii="Arial" w:hAnsi="Arial" w:cs="Arial"/>
          <w:color w:val="000000" w:themeColor="text1"/>
        </w:rPr>
        <w:t xml:space="preserve"> – British administrative engineering projects altered landscapes for colonial profitability.</w:t>
      </w:r>
      <w:r w:rsidRPr="0030630B">
        <w:rPr>
          <w:rFonts w:ascii="Arial" w:hAnsi="Arial" w:cs="Arial"/>
          <w:color w:val="000000" w:themeColor="text1"/>
        </w:rPr>
        <w:br/>
        <w:t>- Interpretation: Adaptation to environment</w:t>
      </w:r>
      <w:r w:rsidRPr="0030630B">
        <w:rPr>
          <w:rFonts w:ascii="Arial" w:hAnsi="Arial" w:cs="Arial"/>
          <w:color w:val="000000" w:themeColor="text1"/>
        </w:rPr>
        <w:t xml:space="preserve"> was not optional</w:t>
      </w:r>
      <w:r w:rsidR="006177E2" w:rsidRPr="0030630B">
        <w:rPr>
          <w:rFonts w:ascii="Arial" w:hAnsi="Arial" w:cs="Arial"/>
          <w:color w:val="000000" w:themeColor="text1"/>
        </w:rPr>
        <w:t>,</w:t>
      </w:r>
      <w:r w:rsidRPr="0030630B">
        <w:rPr>
          <w:rFonts w:ascii="Arial" w:hAnsi="Arial" w:cs="Arial"/>
          <w:color w:val="000000" w:themeColor="text1"/>
        </w:rPr>
        <w:t xml:space="preserve"> it was survival and strategy.</w:t>
      </w:r>
    </w:p>
    <w:p w14:paraId="7414F36D" w14:textId="08F773B2" w:rsidR="00055CBF" w:rsidRPr="0030630B" w:rsidRDefault="00895975">
      <w:pPr>
        <w:pStyle w:val="Heading1"/>
        <w:rPr>
          <w:rFonts w:ascii="Arial" w:hAnsi="Arial" w:cs="Arial"/>
          <w:color w:val="000000" w:themeColor="text1"/>
          <w:sz w:val="22"/>
          <w:szCs w:val="22"/>
        </w:rPr>
      </w:pPr>
      <w:r w:rsidRPr="0030630B">
        <w:rPr>
          <w:rFonts w:ascii="Arial" w:hAnsi="Arial" w:cs="Arial"/>
          <w:color w:val="000000" w:themeColor="text1"/>
          <w:sz w:val="22"/>
          <w:szCs w:val="22"/>
        </w:rPr>
        <w:t xml:space="preserve">2. </w:t>
      </w:r>
      <w:r w:rsidR="00B66BE1">
        <w:rPr>
          <w:rFonts w:ascii="Arial" w:hAnsi="Arial" w:cs="Arial"/>
          <w:color w:val="000000" w:themeColor="text1"/>
          <w:sz w:val="22"/>
          <w:szCs w:val="22"/>
        </w:rPr>
        <w:t xml:space="preserve">The </w:t>
      </w:r>
      <w:r w:rsidR="006B6907">
        <w:rPr>
          <w:rFonts w:ascii="Arial" w:hAnsi="Arial" w:cs="Arial"/>
          <w:color w:val="000000" w:themeColor="text1"/>
          <w:sz w:val="22"/>
          <w:szCs w:val="22"/>
        </w:rPr>
        <w:t xml:space="preserve">Power Sandwich - </w:t>
      </w:r>
      <w:r w:rsidRPr="0030630B">
        <w:rPr>
          <w:rFonts w:ascii="Arial" w:hAnsi="Arial" w:cs="Arial"/>
          <w:color w:val="000000" w:themeColor="text1"/>
          <w:sz w:val="22"/>
          <w:szCs w:val="22"/>
        </w:rPr>
        <w:t>Alliances</w:t>
      </w:r>
      <w:r w:rsidR="00386BB4">
        <w:rPr>
          <w:rFonts w:ascii="Arial" w:hAnsi="Arial" w:cs="Arial"/>
          <w:color w:val="000000" w:themeColor="text1"/>
          <w:sz w:val="22"/>
          <w:szCs w:val="22"/>
        </w:rPr>
        <w:t xml:space="preserve">, </w:t>
      </w:r>
      <w:r w:rsidR="00B7027F">
        <w:rPr>
          <w:rFonts w:ascii="Arial" w:hAnsi="Arial" w:cs="Arial"/>
          <w:color w:val="000000" w:themeColor="text1"/>
          <w:sz w:val="22"/>
          <w:szCs w:val="22"/>
        </w:rPr>
        <w:t xml:space="preserve">Admiration </w:t>
      </w:r>
      <w:r w:rsidRPr="0030630B">
        <w:rPr>
          <w:rFonts w:ascii="Arial" w:hAnsi="Arial" w:cs="Arial"/>
          <w:color w:val="000000" w:themeColor="text1"/>
          <w:sz w:val="22"/>
          <w:szCs w:val="22"/>
        </w:rPr>
        <w:t>and Military Incorporation</w:t>
      </w:r>
    </w:p>
    <w:p w14:paraId="62CB8738" w14:textId="18582FD1" w:rsidR="00055CBF" w:rsidRPr="0030630B" w:rsidRDefault="00895975">
      <w:pPr>
        <w:rPr>
          <w:rFonts w:ascii="Arial" w:hAnsi="Arial" w:cs="Arial"/>
          <w:color w:val="000000" w:themeColor="text1"/>
        </w:rPr>
      </w:pPr>
      <w:r w:rsidRPr="0030630B">
        <w:rPr>
          <w:rFonts w:ascii="Arial" w:hAnsi="Arial" w:cs="Arial"/>
          <w:color w:val="000000" w:themeColor="text1"/>
        </w:rPr>
        <w:t>- Nepal: Gurkhas integrated into the British Army after 1816. British officers praised their mountain warfare skill.</w:t>
      </w:r>
      <w:r w:rsidRPr="0030630B">
        <w:rPr>
          <w:rFonts w:ascii="Arial" w:hAnsi="Arial" w:cs="Arial"/>
          <w:color w:val="000000" w:themeColor="text1"/>
        </w:rPr>
        <w:br/>
        <w:t xml:space="preserve">  - Quote: John </w:t>
      </w:r>
      <w:proofErr w:type="spellStart"/>
      <w:r w:rsidRPr="0030630B">
        <w:rPr>
          <w:rFonts w:ascii="Arial" w:hAnsi="Arial" w:cs="Arial"/>
          <w:color w:val="000000" w:themeColor="text1"/>
        </w:rPr>
        <w:t>Shipp</w:t>
      </w:r>
      <w:proofErr w:type="spellEnd"/>
      <w:r w:rsidR="006177E2" w:rsidRPr="0030630B">
        <w:rPr>
          <w:rFonts w:ascii="Arial" w:hAnsi="Arial" w:cs="Arial"/>
          <w:color w:val="000000" w:themeColor="text1"/>
        </w:rPr>
        <w:t xml:space="preserve"> </w:t>
      </w:r>
      <w:r w:rsidRPr="0030630B">
        <w:rPr>
          <w:rFonts w:ascii="Arial" w:hAnsi="Arial" w:cs="Arial"/>
          <w:color w:val="000000" w:themeColor="text1"/>
        </w:rPr>
        <w:t>“Little men, but lions in heart.”</w:t>
      </w:r>
      <w:r w:rsidRPr="0030630B">
        <w:rPr>
          <w:rFonts w:ascii="Arial" w:hAnsi="Arial" w:cs="Arial"/>
          <w:color w:val="000000" w:themeColor="text1"/>
        </w:rPr>
        <w:br/>
        <w:t>- Zulu Kingdom: British learned hard lessons at Isandlwana before adapting and ultimately winning at Ulundi.</w:t>
      </w:r>
      <w:r w:rsidRPr="0030630B">
        <w:rPr>
          <w:rFonts w:ascii="Arial" w:hAnsi="Arial" w:cs="Arial"/>
          <w:color w:val="000000" w:themeColor="text1"/>
        </w:rPr>
        <w:br/>
        <w:t xml:space="preserve">  - Source: Lt. John Chard (Rorke’s Drift): “Our position was desperate, yet we saw no fear in the men.”</w:t>
      </w:r>
    </w:p>
    <w:p w14:paraId="350F5B77" w14:textId="3969D01F" w:rsidR="00055CBF" w:rsidRPr="0030630B" w:rsidRDefault="00895975">
      <w:pPr>
        <w:pStyle w:val="Heading1"/>
        <w:rPr>
          <w:rFonts w:ascii="Arial" w:hAnsi="Arial" w:cs="Arial"/>
          <w:color w:val="000000" w:themeColor="text1"/>
          <w:sz w:val="22"/>
          <w:szCs w:val="22"/>
        </w:rPr>
      </w:pPr>
      <w:r w:rsidRPr="0030630B">
        <w:rPr>
          <w:rFonts w:ascii="Arial" w:hAnsi="Arial" w:cs="Arial"/>
          <w:color w:val="000000" w:themeColor="text1"/>
          <w:sz w:val="22"/>
          <w:szCs w:val="22"/>
        </w:rPr>
        <w:lastRenderedPageBreak/>
        <w:t xml:space="preserve">3. </w:t>
      </w:r>
      <w:r w:rsidR="00057E8D">
        <w:rPr>
          <w:rFonts w:ascii="Arial" w:hAnsi="Arial" w:cs="Arial"/>
          <w:color w:val="000000" w:themeColor="text1"/>
          <w:sz w:val="22"/>
          <w:szCs w:val="22"/>
        </w:rPr>
        <w:t xml:space="preserve">Hearts and </w:t>
      </w:r>
      <w:r w:rsidR="009355D8">
        <w:rPr>
          <w:rFonts w:ascii="Arial" w:hAnsi="Arial" w:cs="Arial"/>
          <w:color w:val="000000" w:themeColor="text1"/>
          <w:sz w:val="22"/>
          <w:szCs w:val="22"/>
        </w:rPr>
        <w:t>M</w:t>
      </w:r>
      <w:r w:rsidR="00057E8D">
        <w:rPr>
          <w:rFonts w:ascii="Arial" w:hAnsi="Arial" w:cs="Arial"/>
          <w:color w:val="000000" w:themeColor="text1"/>
          <w:sz w:val="22"/>
          <w:szCs w:val="22"/>
        </w:rPr>
        <w:t xml:space="preserve">inds </w:t>
      </w:r>
      <w:r w:rsidR="00712A56">
        <w:rPr>
          <w:rFonts w:ascii="Arial" w:hAnsi="Arial" w:cs="Arial"/>
          <w:color w:val="000000" w:themeColor="text1"/>
          <w:sz w:val="22"/>
          <w:szCs w:val="22"/>
        </w:rPr>
        <w:t>Machin</w:t>
      </w:r>
      <w:r w:rsidR="007E27D0">
        <w:rPr>
          <w:rFonts w:ascii="Arial" w:hAnsi="Arial" w:cs="Arial"/>
          <w:color w:val="000000" w:themeColor="text1"/>
          <w:sz w:val="22"/>
          <w:szCs w:val="22"/>
        </w:rPr>
        <w:t xml:space="preserve">e </w:t>
      </w:r>
      <w:r w:rsidR="00057E8D">
        <w:rPr>
          <w:rFonts w:ascii="Arial" w:hAnsi="Arial" w:cs="Arial"/>
          <w:color w:val="000000" w:themeColor="text1"/>
          <w:sz w:val="22"/>
          <w:szCs w:val="22"/>
        </w:rPr>
        <w:t>-</w:t>
      </w:r>
      <w:r w:rsidR="007E27D0">
        <w:rPr>
          <w:rFonts w:ascii="Arial" w:hAnsi="Arial" w:cs="Arial"/>
          <w:color w:val="000000" w:themeColor="text1"/>
          <w:sz w:val="22"/>
          <w:szCs w:val="22"/>
        </w:rPr>
        <w:t xml:space="preserve"> </w:t>
      </w:r>
      <w:r w:rsidRPr="0030630B">
        <w:rPr>
          <w:rFonts w:ascii="Arial" w:hAnsi="Arial" w:cs="Arial"/>
          <w:color w:val="000000" w:themeColor="text1"/>
          <w:sz w:val="22"/>
          <w:szCs w:val="22"/>
        </w:rPr>
        <w:t xml:space="preserve">Cultural </w:t>
      </w:r>
      <w:r w:rsidR="00322BC0">
        <w:rPr>
          <w:rFonts w:ascii="Arial" w:hAnsi="Arial" w:cs="Arial"/>
          <w:color w:val="000000" w:themeColor="text1"/>
          <w:sz w:val="22"/>
          <w:szCs w:val="22"/>
        </w:rPr>
        <w:t>Integration</w:t>
      </w:r>
      <w:r w:rsidRPr="0030630B">
        <w:rPr>
          <w:rFonts w:ascii="Arial" w:hAnsi="Arial" w:cs="Arial"/>
          <w:color w:val="000000" w:themeColor="text1"/>
          <w:sz w:val="22"/>
          <w:szCs w:val="22"/>
        </w:rPr>
        <w:t xml:space="preserve"> and Administrative </w:t>
      </w:r>
      <w:r w:rsidR="00322BC0">
        <w:rPr>
          <w:rFonts w:ascii="Arial" w:hAnsi="Arial" w:cs="Arial"/>
          <w:color w:val="000000" w:themeColor="text1"/>
          <w:sz w:val="22"/>
          <w:szCs w:val="22"/>
        </w:rPr>
        <w:t>Rule</w:t>
      </w:r>
    </w:p>
    <w:p w14:paraId="2934C231" w14:textId="739A17B3" w:rsidR="00055CBF" w:rsidRPr="0030630B" w:rsidRDefault="00895975">
      <w:pPr>
        <w:rPr>
          <w:rFonts w:ascii="Arial" w:hAnsi="Arial" w:cs="Arial"/>
          <w:color w:val="000000" w:themeColor="text1"/>
        </w:rPr>
      </w:pPr>
      <w:r w:rsidRPr="0030630B">
        <w:rPr>
          <w:rFonts w:ascii="Arial" w:hAnsi="Arial" w:cs="Arial"/>
          <w:color w:val="000000" w:themeColor="text1"/>
        </w:rPr>
        <w:t>- Fiji: Britain ruled with indigenous structures intact (e.g. Great Council of Chiefs).</w:t>
      </w:r>
      <w:r w:rsidRPr="0030630B">
        <w:rPr>
          <w:rFonts w:ascii="Arial" w:hAnsi="Arial" w:cs="Arial"/>
          <w:color w:val="000000" w:themeColor="text1"/>
        </w:rPr>
        <w:br/>
        <w:t xml:space="preserve">  - Governor Arthur Gordon: “The Fijians are not a conquered people… we rule by mutual understanding.”</w:t>
      </w:r>
      <w:r w:rsidRPr="0030630B">
        <w:rPr>
          <w:rFonts w:ascii="Arial" w:hAnsi="Arial" w:cs="Arial"/>
          <w:color w:val="000000" w:themeColor="text1"/>
        </w:rPr>
        <w:br/>
        <w:t>- India: Education reforms like Macaulay’s Minute and respect for princely states show imperial assimilation.</w:t>
      </w:r>
      <w:r w:rsidRPr="0030630B">
        <w:rPr>
          <w:rFonts w:ascii="Arial" w:hAnsi="Arial" w:cs="Arial"/>
          <w:color w:val="000000" w:themeColor="text1"/>
        </w:rPr>
        <w:br/>
        <w:t>- Egypt: Britain kept Islamic rulers in place (e.g. Khedive) as figureheads.</w:t>
      </w:r>
      <w:r w:rsidRPr="0030630B">
        <w:rPr>
          <w:rFonts w:ascii="Arial" w:hAnsi="Arial" w:cs="Arial"/>
          <w:color w:val="000000" w:themeColor="text1"/>
        </w:rPr>
        <w:br/>
        <w:t xml:space="preserve">  - Source: Lord Cromer, Modern Egypt “We govern through their traditions… not in spite of them.”</w:t>
      </w:r>
      <w:r w:rsidRPr="0030630B">
        <w:rPr>
          <w:rFonts w:ascii="Arial" w:hAnsi="Arial" w:cs="Arial"/>
          <w:color w:val="000000" w:themeColor="text1"/>
        </w:rPr>
        <w:br/>
        <w:t xml:space="preserve">- </w:t>
      </w:r>
      <w:r w:rsidR="00A40D29" w:rsidRPr="0030630B">
        <w:rPr>
          <w:rFonts w:ascii="Arial" w:hAnsi="Arial" w:cs="Arial"/>
          <w:color w:val="000000" w:themeColor="text1"/>
        </w:rPr>
        <w:t>Multiculturalism in the British Commonwealth: Comparative Perspectives on Theory and Practice</w:t>
      </w:r>
      <w:r w:rsidRPr="0030630B">
        <w:rPr>
          <w:rFonts w:ascii="Arial" w:hAnsi="Arial" w:cs="Arial"/>
          <w:color w:val="000000" w:themeColor="text1"/>
        </w:rPr>
        <w:t xml:space="preserve"> explores how colonial multi</w:t>
      </w:r>
      <w:r w:rsidRPr="0030630B">
        <w:rPr>
          <w:rFonts w:ascii="Arial" w:hAnsi="Arial" w:cs="Arial"/>
          <w:color w:val="000000" w:themeColor="text1"/>
        </w:rPr>
        <w:t>culturalism formed layered identities in governance.</w:t>
      </w:r>
      <w:r w:rsidRPr="0030630B">
        <w:rPr>
          <w:rFonts w:ascii="Arial" w:hAnsi="Arial" w:cs="Arial"/>
          <w:color w:val="000000" w:themeColor="text1"/>
        </w:rPr>
        <w:br/>
        <w:t>- Link: Successful governance often meant borrowing from, not bulldozing, local culture.</w:t>
      </w:r>
    </w:p>
    <w:p w14:paraId="680AA319" w14:textId="6EC09AB1" w:rsidR="00055CBF" w:rsidRPr="0030630B" w:rsidRDefault="00895975">
      <w:pPr>
        <w:pStyle w:val="Heading1"/>
        <w:rPr>
          <w:rFonts w:ascii="Arial" w:hAnsi="Arial" w:cs="Arial"/>
          <w:color w:val="000000" w:themeColor="text1"/>
          <w:sz w:val="22"/>
          <w:szCs w:val="22"/>
        </w:rPr>
      </w:pPr>
      <w:r w:rsidRPr="0030630B">
        <w:rPr>
          <w:rFonts w:ascii="Arial" w:hAnsi="Arial" w:cs="Arial"/>
          <w:color w:val="000000" w:themeColor="text1"/>
          <w:sz w:val="22"/>
          <w:szCs w:val="22"/>
        </w:rPr>
        <w:t xml:space="preserve">4. </w:t>
      </w:r>
      <w:r w:rsidR="00B0002C">
        <w:rPr>
          <w:rFonts w:ascii="Arial" w:hAnsi="Arial" w:cs="Arial"/>
          <w:color w:val="000000" w:themeColor="text1"/>
          <w:sz w:val="22"/>
          <w:szCs w:val="22"/>
        </w:rPr>
        <w:t xml:space="preserve">Empire Platter - </w:t>
      </w:r>
      <w:r w:rsidRPr="0030630B">
        <w:rPr>
          <w:rFonts w:ascii="Arial" w:hAnsi="Arial" w:cs="Arial"/>
          <w:color w:val="000000" w:themeColor="text1"/>
          <w:sz w:val="22"/>
          <w:szCs w:val="22"/>
        </w:rPr>
        <w:t>Multicultural Control and Symbolic Integration</w:t>
      </w:r>
    </w:p>
    <w:p w14:paraId="2D695012" w14:textId="49D2D49C" w:rsidR="0087732B" w:rsidRPr="0030630B" w:rsidRDefault="00895975">
      <w:pPr>
        <w:rPr>
          <w:rFonts w:ascii="Arial" w:hAnsi="Arial" w:cs="Arial"/>
          <w:color w:val="000000" w:themeColor="text1"/>
        </w:rPr>
      </w:pPr>
      <w:r w:rsidRPr="0030630B">
        <w:rPr>
          <w:rFonts w:ascii="Arial" w:hAnsi="Arial" w:cs="Arial"/>
          <w:color w:val="000000" w:themeColor="text1"/>
        </w:rPr>
        <w:t>- India: Queen Victoria crowned Empress of India in 1876 to align with local monarchy traditions.</w:t>
      </w:r>
      <w:r w:rsidRPr="0030630B">
        <w:rPr>
          <w:rFonts w:ascii="Arial" w:hAnsi="Arial" w:cs="Arial"/>
          <w:color w:val="000000" w:themeColor="text1"/>
        </w:rPr>
        <w:br/>
        <w:t>- Caribbean: Cultural blending in religion, music, and law helped stabilise colonial order.</w:t>
      </w:r>
      <w:r w:rsidRPr="0030630B">
        <w:rPr>
          <w:rFonts w:ascii="Arial" w:hAnsi="Arial" w:cs="Arial"/>
          <w:color w:val="000000" w:themeColor="text1"/>
        </w:rPr>
        <w:br/>
        <w:t>- Australia: Legal reforms and missionary-led education systems adapted to Aboriginal and settler needs.</w:t>
      </w:r>
      <w:r w:rsidRPr="0030630B">
        <w:rPr>
          <w:rFonts w:ascii="Arial" w:hAnsi="Arial" w:cs="Arial"/>
          <w:color w:val="000000" w:themeColor="text1"/>
        </w:rPr>
        <w:br/>
        <w:t xml:space="preserve">  - Firsthand Source: Lachlan Macquarie, NSW Governor “A man must listen to the land, or perish by it.”</w:t>
      </w:r>
      <w:r w:rsidRPr="0030630B">
        <w:rPr>
          <w:rFonts w:ascii="Arial" w:hAnsi="Arial" w:cs="Arial"/>
          <w:color w:val="000000" w:themeColor="text1"/>
        </w:rPr>
        <w:br/>
        <w:t>- Academic View: Multiculturalism in the British Commonwealth (Ashcroft &amp; Bevir) explains how British colonial governance evolved through contact with diverse traditions.</w:t>
      </w:r>
      <w:r w:rsidRPr="0030630B">
        <w:rPr>
          <w:rFonts w:ascii="Arial" w:hAnsi="Arial" w:cs="Arial"/>
          <w:color w:val="000000" w:themeColor="text1"/>
        </w:rPr>
        <w:br/>
        <w:t>- Link: The empire used identity and mu</w:t>
      </w:r>
      <w:r w:rsidRPr="0030630B">
        <w:rPr>
          <w:rFonts w:ascii="Arial" w:hAnsi="Arial" w:cs="Arial"/>
          <w:color w:val="000000" w:themeColor="text1"/>
        </w:rPr>
        <w:t>lticultural symbolism to enforce unity.</w:t>
      </w:r>
    </w:p>
    <w:p w14:paraId="0EEE3D1B" w14:textId="77777777" w:rsidR="00055CBF" w:rsidRPr="0030630B" w:rsidRDefault="00895975">
      <w:pPr>
        <w:pStyle w:val="Heading1"/>
        <w:rPr>
          <w:rFonts w:ascii="Arial" w:hAnsi="Arial" w:cs="Arial"/>
          <w:color w:val="000000" w:themeColor="text1"/>
          <w:sz w:val="22"/>
          <w:szCs w:val="22"/>
        </w:rPr>
      </w:pPr>
      <w:r w:rsidRPr="0030630B">
        <w:rPr>
          <w:rFonts w:ascii="Arial" w:hAnsi="Arial" w:cs="Arial"/>
          <w:color w:val="000000" w:themeColor="text1"/>
          <w:sz w:val="22"/>
          <w:szCs w:val="22"/>
        </w:rPr>
        <w:t>Conclusion</w:t>
      </w:r>
    </w:p>
    <w:p w14:paraId="64AAFEC3" w14:textId="588E5FF9" w:rsidR="00055CBF" w:rsidRPr="0030630B" w:rsidRDefault="00895975">
      <w:pPr>
        <w:rPr>
          <w:rFonts w:ascii="Arial" w:hAnsi="Arial" w:cs="Arial"/>
          <w:color w:val="000000" w:themeColor="text1"/>
        </w:rPr>
      </w:pPr>
      <w:r w:rsidRPr="0030630B">
        <w:rPr>
          <w:rFonts w:ascii="Arial" w:hAnsi="Arial" w:cs="Arial"/>
          <w:color w:val="000000" w:themeColor="text1"/>
        </w:rPr>
        <w:t xml:space="preserve">The British Empire’s success during </w:t>
      </w:r>
      <w:r w:rsidRPr="0030630B">
        <w:rPr>
          <w:rFonts w:ascii="Arial" w:hAnsi="Arial" w:cs="Arial"/>
          <w:color w:val="000000" w:themeColor="text1"/>
        </w:rPr>
        <w:t xml:space="preserve">the Modern World period depended not only on military </w:t>
      </w:r>
      <w:r w:rsidR="00344E56">
        <w:rPr>
          <w:rFonts w:ascii="Arial" w:hAnsi="Arial" w:cs="Arial"/>
          <w:color w:val="000000" w:themeColor="text1"/>
        </w:rPr>
        <w:t>might</w:t>
      </w:r>
      <w:r w:rsidRPr="0030630B">
        <w:rPr>
          <w:rFonts w:ascii="Arial" w:hAnsi="Arial" w:cs="Arial"/>
          <w:color w:val="000000" w:themeColor="text1"/>
        </w:rPr>
        <w:t xml:space="preserve">, but on its ability to </w:t>
      </w:r>
      <w:r w:rsidR="00486DA7">
        <w:rPr>
          <w:rFonts w:ascii="Arial" w:hAnsi="Arial" w:cs="Arial"/>
          <w:color w:val="000000" w:themeColor="text1"/>
        </w:rPr>
        <w:t xml:space="preserve">overcome and adapt to </w:t>
      </w:r>
      <w:r w:rsidRPr="0030630B">
        <w:rPr>
          <w:rFonts w:ascii="Arial" w:hAnsi="Arial" w:cs="Arial"/>
          <w:color w:val="000000" w:themeColor="text1"/>
        </w:rPr>
        <w:t>foreign climates, forge</w:t>
      </w:r>
      <w:r w:rsidR="00486DA7">
        <w:rPr>
          <w:rFonts w:ascii="Arial" w:hAnsi="Arial" w:cs="Arial"/>
          <w:color w:val="000000" w:themeColor="text1"/>
        </w:rPr>
        <w:t xml:space="preserve"> lasting</w:t>
      </w:r>
      <w:r w:rsidRPr="0030630B">
        <w:rPr>
          <w:rFonts w:ascii="Arial" w:hAnsi="Arial" w:cs="Arial"/>
          <w:color w:val="000000" w:themeColor="text1"/>
        </w:rPr>
        <w:t xml:space="preserve"> alliances</w:t>
      </w:r>
      <w:r w:rsidR="00486DA7">
        <w:rPr>
          <w:rFonts w:ascii="Arial" w:hAnsi="Arial" w:cs="Arial"/>
          <w:color w:val="000000" w:themeColor="text1"/>
        </w:rPr>
        <w:t xml:space="preserve"> with mutual respect</w:t>
      </w:r>
      <w:r w:rsidR="008A6FFD">
        <w:rPr>
          <w:rFonts w:ascii="Arial" w:hAnsi="Arial" w:cs="Arial"/>
          <w:color w:val="000000" w:themeColor="text1"/>
        </w:rPr>
        <w:t xml:space="preserve"> for what each brings to the table</w:t>
      </w:r>
      <w:r w:rsidRPr="0030630B">
        <w:rPr>
          <w:rFonts w:ascii="Arial" w:hAnsi="Arial" w:cs="Arial"/>
          <w:color w:val="000000" w:themeColor="text1"/>
        </w:rPr>
        <w:t>, and incorporate local customs. Scholars use letters, diaries, legal records, and post</w:t>
      </w:r>
      <w:r w:rsidR="00060942">
        <w:rPr>
          <w:rFonts w:ascii="Arial" w:hAnsi="Arial" w:cs="Arial"/>
          <w:color w:val="000000" w:themeColor="text1"/>
        </w:rPr>
        <w:t xml:space="preserve"> </w:t>
      </w:r>
      <w:r w:rsidRPr="0030630B">
        <w:rPr>
          <w:rFonts w:ascii="Arial" w:hAnsi="Arial" w:cs="Arial"/>
          <w:color w:val="000000" w:themeColor="text1"/>
        </w:rPr>
        <w:t>colonial critique to trace how this flexibility supported imperial expansion.</w:t>
      </w:r>
    </w:p>
    <w:p w14:paraId="0EFC6366" w14:textId="77777777" w:rsidR="00055CBF" w:rsidRPr="0030630B" w:rsidRDefault="00895975">
      <w:pPr>
        <w:pStyle w:val="Heading1"/>
        <w:rPr>
          <w:rFonts w:ascii="Arial" w:hAnsi="Arial" w:cs="Arial"/>
          <w:color w:val="000000" w:themeColor="text1"/>
          <w:sz w:val="22"/>
          <w:szCs w:val="22"/>
        </w:rPr>
      </w:pPr>
      <w:r w:rsidRPr="0030630B">
        <w:rPr>
          <w:rFonts w:ascii="Arial" w:hAnsi="Arial" w:cs="Arial"/>
          <w:color w:val="000000" w:themeColor="text1"/>
          <w:sz w:val="22"/>
          <w:szCs w:val="22"/>
        </w:rPr>
        <w:t>Sources and References for Essay</w:t>
      </w:r>
    </w:p>
    <w:p w14:paraId="037DEA65" w14:textId="77777777" w:rsidR="00055CBF" w:rsidRPr="0030630B" w:rsidRDefault="00895975" w:rsidP="00534BBD">
      <w:pPr>
        <w:pStyle w:val="Heading2"/>
        <w:ind w:left="720" w:hanging="720"/>
        <w:rPr>
          <w:rFonts w:ascii="Arial" w:hAnsi="Arial" w:cs="Arial"/>
          <w:color w:val="000000" w:themeColor="text1"/>
          <w:sz w:val="22"/>
          <w:szCs w:val="22"/>
        </w:rPr>
      </w:pPr>
      <w:r w:rsidRPr="0030630B">
        <w:rPr>
          <w:rFonts w:ascii="Arial" w:hAnsi="Arial" w:cs="Arial"/>
          <w:color w:val="000000" w:themeColor="text1"/>
          <w:sz w:val="22"/>
          <w:szCs w:val="22"/>
        </w:rPr>
        <w:t>Primary/Firsthand Accounts</w:t>
      </w:r>
    </w:p>
    <w:p w14:paraId="1095C9DC" w14:textId="77777777" w:rsidR="00055CBF" w:rsidRPr="0030630B" w:rsidRDefault="00895975" w:rsidP="00534BBD">
      <w:pPr>
        <w:ind w:left="720" w:hanging="720"/>
        <w:rPr>
          <w:rFonts w:ascii="Arial" w:hAnsi="Arial" w:cs="Arial"/>
          <w:color w:val="000000" w:themeColor="text1"/>
        </w:rPr>
      </w:pPr>
      <w:r w:rsidRPr="0030630B">
        <w:rPr>
          <w:rFonts w:ascii="Arial" w:hAnsi="Arial" w:cs="Arial"/>
          <w:color w:val="000000" w:themeColor="text1"/>
        </w:rPr>
        <w:t>1. John Shipp, Memoirs of the Extraordinary Military Career of John Shipp (1829).</w:t>
      </w:r>
      <w:r w:rsidRPr="0030630B">
        <w:rPr>
          <w:rFonts w:ascii="Arial" w:hAnsi="Arial" w:cs="Arial"/>
          <w:color w:val="000000" w:themeColor="text1"/>
        </w:rPr>
        <w:br/>
        <w:t>2. Private William Thorn, The War in India (1858).</w:t>
      </w:r>
      <w:r w:rsidRPr="0030630B">
        <w:rPr>
          <w:rFonts w:ascii="Arial" w:hAnsi="Arial" w:cs="Arial"/>
          <w:color w:val="000000" w:themeColor="text1"/>
        </w:rPr>
        <w:br/>
        <w:t>3. Lt. John Chard VC, Rorke’s Drift Report, 1879.</w:t>
      </w:r>
      <w:r w:rsidRPr="0030630B">
        <w:rPr>
          <w:rFonts w:ascii="Arial" w:hAnsi="Arial" w:cs="Arial"/>
          <w:color w:val="000000" w:themeColor="text1"/>
        </w:rPr>
        <w:br/>
        <w:t>4. Sir Arthur Gordon, Fiji Colonial Correspondence, 1875–1880.</w:t>
      </w:r>
      <w:r w:rsidRPr="0030630B">
        <w:rPr>
          <w:rFonts w:ascii="Arial" w:hAnsi="Arial" w:cs="Arial"/>
          <w:color w:val="000000" w:themeColor="text1"/>
        </w:rPr>
        <w:br/>
        <w:t>5. Lord Cromer (Evelyn Baring), Modern Egypt (1908).</w:t>
      </w:r>
      <w:r w:rsidRPr="0030630B">
        <w:rPr>
          <w:rFonts w:ascii="Arial" w:hAnsi="Arial" w:cs="Arial"/>
          <w:color w:val="000000" w:themeColor="text1"/>
        </w:rPr>
        <w:br/>
        <w:t>6. Lachlan Macquarie, Journals as Governor of New South Wales, 1810–1821.</w:t>
      </w:r>
    </w:p>
    <w:p w14:paraId="5D6DB3FE" w14:textId="77777777" w:rsidR="00055CBF" w:rsidRPr="0030630B" w:rsidRDefault="00895975" w:rsidP="00534BBD">
      <w:pPr>
        <w:pStyle w:val="Heading2"/>
        <w:ind w:left="720" w:hanging="720"/>
        <w:rPr>
          <w:rFonts w:ascii="Arial" w:hAnsi="Arial" w:cs="Arial"/>
          <w:color w:val="000000" w:themeColor="text1"/>
          <w:sz w:val="22"/>
          <w:szCs w:val="22"/>
        </w:rPr>
      </w:pPr>
      <w:r w:rsidRPr="0030630B">
        <w:rPr>
          <w:rFonts w:ascii="Arial" w:hAnsi="Arial" w:cs="Arial"/>
          <w:color w:val="000000" w:themeColor="text1"/>
          <w:sz w:val="22"/>
          <w:szCs w:val="22"/>
        </w:rPr>
        <w:lastRenderedPageBreak/>
        <w:t>Secondary / Scholarly Sources</w:t>
      </w:r>
    </w:p>
    <w:p w14:paraId="549F0485" w14:textId="77777777" w:rsidR="00055CBF" w:rsidRPr="0030630B" w:rsidRDefault="00895975" w:rsidP="00534BBD">
      <w:pPr>
        <w:ind w:left="720" w:hanging="720"/>
        <w:rPr>
          <w:rFonts w:ascii="Arial" w:hAnsi="Arial" w:cs="Arial"/>
          <w:color w:val="000000" w:themeColor="text1"/>
        </w:rPr>
      </w:pPr>
      <w:r w:rsidRPr="0030630B">
        <w:rPr>
          <w:rFonts w:ascii="Arial" w:hAnsi="Arial" w:cs="Arial"/>
          <w:color w:val="000000" w:themeColor="text1"/>
        </w:rPr>
        <w:t>1. Kissi, Edward. Caught between the Union Jack and the Nazi Swastika. The Journal of African History (2023).</w:t>
      </w:r>
      <w:r w:rsidRPr="0030630B">
        <w:rPr>
          <w:rFonts w:ascii="Arial" w:hAnsi="Arial" w:cs="Arial"/>
          <w:color w:val="000000" w:themeColor="text1"/>
        </w:rPr>
        <w:br/>
        <w:t>2. Ashcroft, Richard T., &amp; Bevir, Mark. Multiculturalism in the British Commonwealth (UC Press, 2019).</w:t>
      </w:r>
      <w:r w:rsidRPr="0030630B">
        <w:rPr>
          <w:rFonts w:ascii="Arial" w:hAnsi="Arial" w:cs="Arial"/>
          <w:color w:val="000000" w:themeColor="text1"/>
        </w:rPr>
        <w:br/>
        <w:t>3. Macaulay, Thomas B. Minute on Indian Education (1835).</w:t>
      </w:r>
      <w:r w:rsidRPr="0030630B">
        <w:rPr>
          <w:rFonts w:ascii="Arial" w:hAnsi="Arial" w:cs="Arial"/>
          <w:color w:val="000000" w:themeColor="text1"/>
        </w:rPr>
        <w:br/>
        <w:t>4. Ferguson, Niall. Empire: How Britain Made the Modern World (2003).</w:t>
      </w:r>
      <w:r w:rsidRPr="0030630B">
        <w:rPr>
          <w:rFonts w:ascii="Arial" w:hAnsi="Arial" w:cs="Arial"/>
          <w:color w:val="000000" w:themeColor="text1"/>
        </w:rPr>
        <w:br/>
        <w:t>5. Arnold, David. Colonizing the Body: State Medicine and Epidemic Disease in Nineteenth-Century India (1993).</w:t>
      </w:r>
      <w:r w:rsidRPr="0030630B">
        <w:rPr>
          <w:rFonts w:ascii="Arial" w:hAnsi="Arial" w:cs="Arial"/>
          <w:color w:val="000000" w:themeColor="text1"/>
        </w:rPr>
        <w:br/>
        <w:t>6. Said, Edward. Orientalism (1978).</w:t>
      </w:r>
    </w:p>
    <w:sectPr w:rsidR="00055CBF" w:rsidRPr="0030630B" w:rsidSect="00034616">
      <w:headerReference w:type="even" r:id="rId8"/>
      <w:headerReference w:type="default" r:id="rId9"/>
      <w:footerReference w:type="default" r:id="rId10"/>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6AE8F5" w14:textId="77777777" w:rsidR="00B36DCB" w:rsidRDefault="00B36DCB" w:rsidP="006A1C60">
      <w:pPr>
        <w:spacing w:after="0" w:line="240" w:lineRule="auto"/>
      </w:pPr>
      <w:r>
        <w:separator/>
      </w:r>
    </w:p>
  </w:endnote>
  <w:endnote w:type="continuationSeparator" w:id="0">
    <w:p w14:paraId="296D60A4" w14:textId="77777777" w:rsidR="00B36DCB" w:rsidRDefault="00B36DCB" w:rsidP="006A1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ourier">
    <w:altName w:val="Courier New"/>
    <w:panose1 w:val="020B0604020202020204"/>
    <w:charset w:val="00"/>
    <w:family w:val="auto"/>
    <w:pitch w:val="variable"/>
    <w:sig w:usb0="00000003" w:usb1="00000000" w:usb2="00000000" w:usb3="00000000" w:csb0="00000001"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EmphasizedBody">
    <w:altName w:val="Cambria"/>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58AAB" w14:textId="2C695FFF" w:rsidR="00FA1096" w:rsidRPr="00FA1096" w:rsidRDefault="00FA1096" w:rsidP="00FA1096">
    <w:pPr>
      <w:spacing w:after="0" w:line="240" w:lineRule="auto"/>
      <w:divId w:val="2001616207"/>
      <w:rPr>
        <w:rFonts w:ascii="Arial" w:hAnsi="Arial" w:cs="Arial"/>
        <w:lang w:val="en-GB" w:eastAsia="en-GB"/>
      </w:rPr>
    </w:pPr>
    <w:r w:rsidRPr="00FA1096">
      <w:rPr>
        <w:rFonts w:ascii="Arial" w:hAnsi="Arial" w:cs="Arial"/>
        <w:b/>
        <w:bCs/>
        <w:lang w:val="en-GB" w:eastAsia="en-GB"/>
      </w:rPr>
      <w:t>People across Time (HPFY3014)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37BAA" w14:textId="77777777" w:rsidR="00B36DCB" w:rsidRDefault="00B36DCB" w:rsidP="006A1C60">
      <w:pPr>
        <w:spacing w:after="0" w:line="240" w:lineRule="auto"/>
      </w:pPr>
      <w:r>
        <w:separator/>
      </w:r>
    </w:p>
  </w:footnote>
  <w:footnote w:type="continuationSeparator" w:id="0">
    <w:p w14:paraId="2DEB954D" w14:textId="77777777" w:rsidR="00B36DCB" w:rsidRDefault="00B36DCB" w:rsidP="006A1C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3732835"/>
      <w:docPartObj>
        <w:docPartGallery w:val="Page Numbers (Top of Page)"/>
        <w:docPartUnique/>
      </w:docPartObj>
    </w:sdtPr>
    <w:sdtEndPr>
      <w:rPr>
        <w:rStyle w:val="PageNumber"/>
      </w:rPr>
    </w:sdtEndPr>
    <w:sdtContent>
      <w:p w14:paraId="6E6D55BD" w14:textId="72AD6EC1" w:rsidR="001824AB" w:rsidRDefault="001824AB" w:rsidP="009C1BD5">
        <w:pPr>
          <w:pStyle w:val="Head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905786195"/>
      <w:docPartObj>
        <w:docPartGallery w:val="Page Numbers (Top of Page)"/>
        <w:docPartUnique/>
      </w:docPartObj>
    </w:sdtPr>
    <w:sdtEndPr>
      <w:rPr>
        <w:rStyle w:val="PageNumber"/>
      </w:rPr>
    </w:sdtEndPr>
    <w:sdtContent>
      <w:p w14:paraId="450F043D" w14:textId="01F1EADD" w:rsidR="006A1C60" w:rsidRDefault="006A1C60" w:rsidP="001824AB">
        <w:pPr>
          <w:pStyle w:val="Header"/>
          <w:framePr w:wrap="none" w:vAnchor="text" w:hAnchor="margin" w:xAlign="right" w:y="1"/>
          <w:ind w:right="360"/>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249D4C8" w14:textId="77777777" w:rsidR="006A1C60" w:rsidRDefault="006A1C60" w:rsidP="006A1C60">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Fonts w:ascii="Arial" w:hAnsi="Arial" w:cs="Arial"/>
      </w:rPr>
      <w:id w:val="1756402643"/>
      <w:docPartObj>
        <w:docPartGallery w:val="Page Numbers (Top of Page)"/>
        <w:docPartUnique/>
      </w:docPartObj>
    </w:sdtPr>
    <w:sdtEndPr>
      <w:rPr>
        <w:rStyle w:val="PageNumber"/>
      </w:rPr>
    </w:sdtEndPr>
    <w:sdtContent>
      <w:p w14:paraId="54F702B4" w14:textId="67033359" w:rsidR="001824AB" w:rsidRPr="001824AB" w:rsidRDefault="001824AB" w:rsidP="009C1BD5">
        <w:pPr>
          <w:pStyle w:val="Header"/>
          <w:framePr w:wrap="none" w:vAnchor="text" w:hAnchor="margin" w:xAlign="right" w:y="1"/>
          <w:jc w:val="right"/>
          <w:rPr>
            <w:rStyle w:val="PageNumber"/>
            <w:rFonts w:ascii="Arial" w:hAnsi="Arial" w:cs="Arial"/>
          </w:rPr>
        </w:pPr>
        <w:r w:rsidRPr="001824AB">
          <w:rPr>
            <w:rStyle w:val="PageNumber"/>
            <w:rFonts w:ascii="Arial" w:hAnsi="Arial" w:cs="Arial"/>
          </w:rPr>
          <w:fldChar w:fldCharType="begin"/>
        </w:r>
        <w:r w:rsidRPr="001824AB">
          <w:rPr>
            <w:rStyle w:val="PageNumber"/>
            <w:rFonts w:ascii="Arial" w:hAnsi="Arial" w:cs="Arial"/>
          </w:rPr>
          <w:instrText xml:space="preserve"> PAGE </w:instrText>
        </w:r>
        <w:r w:rsidRPr="001824AB">
          <w:rPr>
            <w:rStyle w:val="PageNumber"/>
            <w:rFonts w:ascii="Arial" w:hAnsi="Arial" w:cs="Arial"/>
          </w:rPr>
          <w:fldChar w:fldCharType="separate"/>
        </w:r>
        <w:r w:rsidRPr="001824AB">
          <w:rPr>
            <w:rStyle w:val="PageNumber"/>
            <w:rFonts w:ascii="Arial" w:hAnsi="Arial" w:cs="Arial"/>
            <w:noProof/>
          </w:rPr>
          <w:t>1</w:t>
        </w:r>
        <w:r w:rsidRPr="001824AB">
          <w:rPr>
            <w:rStyle w:val="PageNumber"/>
            <w:rFonts w:ascii="Arial" w:hAnsi="Arial" w:cs="Arial"/>
          </w:rPr>
          <w:fldChar w:fldCharType="end"/>
        </w:r>
      </w:p>
    </w:sdtContent>
  </w:sdt>
  <w:sdt>
    <w:sdtPr>
      <w:rPr>
        <w:rFonts w:ascii="Arial" w:eastAsiaTheme="minorHAnsi" w:hAnsi="Arial" w:cs="Arial"/>
        <w:lang w:val="en-GB"/>
      </w:rPr>
      <w:id w:val="-586157161"/>
      <w:docPartObj>
        <w:docPartGallery w:val="Page Numbers (Top of Page)"/>
        <w:docPartUnique/>
      </w:docPartObj>
    </w:sdtPr>
    <w:sdtEndPr>
      <w:rPr>
        <w:noProof/>
      </w:rPr>
    </w:sdtEndPr>
    <w:sdtContent>
      <w:p w14:paraId="00D5B84D" w14:textId="77777777" w:rsidR="001824AB" w:rsidRPr="001824AB" w:rsidRDefault="001824AB" w:rsidP="001824AB">
        <w:pPr>
          <w:tabs>
            <w:tab w:val="center" w:pos="4513"/>
            <w:tab w:val="right" w:pos="9026"/>
          </w:tabs>
          <w:spacing w:after="0" w:line="240" w:lineRule="auto"/>
          <w:jc w:val="right"/>
          <w:rPr>
            <w:rFonts w:ascii="Arial" w:eastAsiaTheme="minorHAnsi" w:hAnsi="Arial" w:cs="Arial"/>
            <w:lang w:val="en-GB"/>
          </w:rPr>
        </w:pPr>
        <w:r w:rsidRPr="001824AB">
          <w:rPr>
            <w:rFonts w:ascii="Arial" w:eastAsiaTheme="minorHAnsi" w:hAnsi="Arial" w:cs="Arial"/>
            <w:lang w:val="en-GB"/>
          </w:rPr>
          <w:fldChar w:fldCharType="begin"/>
        </w:r>
        <w:r w:rsidRPr="001824AB">
          <w:rPr>
            <w:rFonts w:ascii="Arial" w:eastAsiaTheme="minorHAnsi" w:hAnsi="Arial" w:cs="Arial"/>
            <w:lang w:val="en-GB"/>
          </w:rPr>
          <w:instrText xml:space="preserve"> PAGE   \* MERGEFORMAT </w:instrText>
        </w:r>
        <w:r w:rsidRPr="001824AB">
          <w:rPr>
            <w:rFonts w:ascii="Arial" w:eastAsiaTheme="minorHAnsi" w:hAnsi="Arial" w:cs="Arial"/>
            <w:lang w:val="en-GB"/>
          </w:rPr>
          <w:fldChar w:fldCharType="separate"/>
        </w:r>
        <w:r w:rsidRPr="001824AB">
          <w:rPr>
            <w:rFonts w:ascii="Arial" w:eastAsiaTheme="minorHAnsi" w:hAnsi="Arial" w:cs="Arial"/>
            <w:lang w:val="en-GB"/>
          </w:rPr>
          <w:t>1</w:t>
        </w:r>
        <w:r w:rsidRPr="001824AB">
          <w:rPr>
            <w:rFonts w:ascii="Arial" w:eastAsiaTheme="minorHAnsi" w:hAnsi="Arial" w:cs="Arial"/>
            <w:noProof/>
            <w:lang w:val="en-GB"/>
          </w:rPr>
          <w:fldChar w:fldCharType="end"/>
        </w:r>
      </w:p>
    </w:sdtContent>
  </w:sdt>
  <w:p w14:paraId="220C02B8" w14:textId="77777777" w:rsidR="001824AB" w:rsidRPr="001824AB" w:rsidRDefault="001824AB" w:rsidP="001824AB">
    <w:pPr>
      <w:tabs>
        <w:tab w:val="center" w:pos="4513"/>
        <w:tab w:val="right" w:pos="9026"/>
      </w:tabs>
      <w:spacing w:after="0" w:line="240" w:lineRule="auto"/>
      <w:rPr>
        <w:rFonts w:ascii="Arial" w:eastAsiaTheme="minorHAnsi" w:hAnsi="Arial" w:cs="Arial"/>
        <w:lang w:val="en-GB"/>
      </w:rPr>
    </w:pPr>
    <w:r w:rsidRPr="001824AB">
      <w:rPr>
        <w:rFonts w:ascii="Arial" w:eastAsiaTheme="minorHAnsi" w:hAnsi="Arial" w:cs="Arial"/>
        <w:lang w:val="en-GB"/>
      </w:rPr>
      <w:t>Callum Carter 2404122</w:t>
    </w:r>
  </w:p>
  <w:p w14:paraId="79EBEAA1" w14:textId="77777777" w:rsidR="006A1C60" w:rsidRPr="001824AB" w:rsidRDefault="006A1C60" w:rsidP="006A1C60">
    <w:pPr>
      <w:pStyle w:val="Header"/>
      <w:ind w:right="360"/>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37346524">
    <w:abstractNumId w:val="8"/>
  </w:num>
  <w:num w:numId="2" w16cid:durableId="314913897">
    <w:abstractNumId w:val="6"/>
  </w:num>
  <w:num w:numId="3" w16cid:durableId="1625110202">
    <w:abstractNumId w:val="5"/>
  </w:num>
  <w:num w:numId="4" w16cid:durableId="1347513927">
    <w:abstractNumId w:val="4"/>
  </w:num>
  <w:num w:numId="5" w16cid:durableId="389957592">
    <w:abstractNumId w:val="7"/>
  </w:num>
  <w:num w:numId="6" w16cid:durableId="1942184094">
    <w:abstractNumId w:val="3"/>
  </w:num>
  <w:num w:numId="7" w16cid:durableId="987250370">
    <w:abstractNumId w:val="2"/>
  </w:num>
  <w:num w:numId="8" w16cid:durableId="1713117156">
    <w:abstractNumId w:val="1"/>
  </w:num>
  <w:num w:numId="9" w16cid:durableId="13306683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7"/>
  <w:proofState w:spelling="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37B7"/>
    <w:rsid w:val="00034616"/>
    <w:rsid w:val="0003583D"/>
    <w:rsid w:val="0004541D"/>
    <w:rsid w:val="00055CBF"/>
    <w:rsid w:val="00057E8D"/>
    <w:rsid w:val="0006063C"/>
    <w:rsid w:val="00060942"/>
    <w:rsid w:val="00102BD7"/>
    <w:rsid w:val="00102E75"/>
    <w:rsid w:val="00142C00"/>
    <w:rsid w:val="0015074B"/>
    <w:rsid w:val="001824AB"/>
    <w:rsid w:val="00187CEB"/>
    <w:rsid w:val="001B46E9"/>
    <w:rsid w:val="0029639D"/>
    <w:rsid w:val="0030630B"/>
    <w:rsid w:val="00321F67"/>
    <w:rsid w:val="00322BC0"/>
    <w:rsid w:val="00326F90"/>
    <w:rsid w:val="00341960"/>
    <w:rsid w:val="00344E56"/>
    <w:rsid w:val="0037611C"/>
    <w:rsid w:val="00386BB4"/>
    <w:rsid w:val="003C7B11"/>
    <w:rsid w:val="00400635"/>
    <w:rsid w:val="004106B3"/>
    <w:rsid w:val="00456834"/>
    <w:rsid w:val="00481FCF"/>
    <w:rsid w:val="00486DA7"/>
    <w:rsid w:val="00495F71"/>
    <w:rsid w:val="00534BBD"/>
    <w:rsid w:val="005602F3"/>
    <w:rsid w:val="005D4BEF"/>
    <w:rsid w:val="005E5718"/>
    <w:rsid w:val="006177E2"/>
    <w:rsid w:val="00641D23"/>
    <w:rsid w:val="00686FD8"/>
    <w:rsid w:val="006A1C60"/>
    <w:rsid w:val="006B6907"/>
    <w:rsid w:val="006D2E6B"/>
    <w:rsid w:val="006F6ACE"/>
    <w:rsid w:val="00712A56"/>
    <w:rsid w:val="0073427F"/>
    <w:rsid w:val="007A332C"/>
    <w:rsid w:val="007B6F33"/>
    <w:rsid w:val="007C02A4"/>
    <w:rsid w:val="007E27D0"/>
    <w:rsid w:val="008148AB"/>
    <w:rsid w:val="00871E8D"/>
    <w:rsid w:val="0087732B"/>
    <w:rsid w:val="00895975"/>
    <w:rsid w:val="008A6FFD"/>
    <w:rsid w:val="009355D8"/>
    <w:rsid w:val="00A40D29"/>
    <w:rsid w:val="00A744D1"/>
    <w:rsid w:val="00AA1D8D"/>
    <w:rsid w:val="00B0002C"/>
    <w:rsid w:val="00B210BE"/>
    <w:rsid w:val="00B36DCB"/>
    <w:rsid w:val="00B47730"/>
    <w:rsid w:val="00B66BE1"/>
    <w:rsid w:val="00B7027F"/>
    <w:rsid w:val="00B735E3"/>
    <w:rsid w:val="00BC28BD"/>
    <w:rsid w:val="00C05433"/>
    <w:rsid w:val="00C24162"/>
    <w:rsid w:val="00C95A1E"/>
    <w:rsid w:val="00CB0664"/>
    <w:rsid w:val="00CD083D"/>
    <w:rsid w:val="00D10184"/>
    <w:rsid w:val="00D237A1"/>
    <w:rsid w:val="00E172D7"/>
    <w:rsid w:val="00E961C7"/>
    <w:rsid w:val="00F3657E"/>
    <w:rsid w:val="00F61A6B"/>
    <w:rsid w:val="00F6345A"/>
    <w:rsid w:val="00FA1096"/>
    <w:rsid w:val="00FB18A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F3B6F1"/>
  <w14:defaultImageDpi w14:val="300"/>
  <w15:docId w15:val="{DB885577-C30B-D94A-9C16-84CC945A73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7A332C"/>
    <w:pPr>
      <w:spacing w:after="0" w:line="240" w:lineRule="auto"/>
    </w:pPr>
    <w:rPr>
      <w:rFonts w:ascii=".AppleSystemUIFont" w:hAnsi=".AppleSystemUIFont" w:cs="Times New Roman"/>
      <w:sz w:val="30"/>
      <w:szCs w:val="30"/>
      <w:lang w:val="en-GB" w:eastAsia="en-GB"/>
    </w:rPr>
  </w:style>
  <w:style w:type="character" w:customStyle="1" w:styleId="s1">
    <w:name w:val="s1"/>
    <w:basedOn w:val="DefaultParagraphFont"/>
    <w:rsid w:val="007A332C"/>
    <w:rPr>
      <w:rFonts w:ascii="UICTFontTextStyleBody" w:hAnsi="UICTFontTextStyleBody" w:hint="default"/>
      <w:b w:val="0"/>
      <w:bCs w:val="0"/>
      <w:i w:val="0"/>
      <w:iCs w:val="0"/>
      <w:sz w:val="30"/>
      <w:szCs w:val="30"/>
    </w:rPr>
  </w:style>
  <w:style w:type="character" w:customStyle="1" w:styleId="s2">
    <w:name w:val="s2"/>
    <w:basedOn w:val="DefaultParagraphFont"/>
    <w:rsid w:val="007A332C"/>
    <w:rPr>
      <w:rFonts w:ascii="UICTFontTextStyleEmphasizedBody" w:hAnsi="UICTFontTextStyleEmphasizedBody" w:hint="default"/>
      <w:b/>
      <w:bCs/>
      <w:i w:val="0"/>
      <w:iCs w:val="0"/>
      <w:sz w:val="30"/>
      <w:szCs w:val="30"/>
    </w:rPr>
  </w:style>
  <w:style w:type="character" w:styleId="PageNumber">
    <w:name w:val="page number"/>
    <w:basedOn w:val="DefaultParagraphFont"/>
    <w:uiPriority w:val="99"/>
    <w:semiHidden/>
    <w:unhideWhenUsed/>
    <w:rsid w:val="006A1C60"/>
  </w:style>
  <w:style w:type="character" w:customStyle="1" w:styleId="apple-converted-space">
    <w:name w:val="apple-converted-space"/>
    <w:basedOn w:val="DefaultParagraphFont"/>
    <w:rsid w:val="00481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9965536">
      <w:bodyDiv w:val="1"/>
      <w:marLeft w:val="0"/>
      <w:marRight w:val="0"/>
      <w:marTop w:val="0"/>
      <w:marBottom w:val="0"/>
      <w:divBdr>
        <w:top w:val="none" w:sz="0" w:space="0" w:color="auto"/>
        <w:left w:val="none" w:sz="0" w:space="0" w:color="auto"/>
        <w:bottom w:val="none" w:sz="0" w:space="0" w:color="auto"/>
        <w:right w:val="none" w:sz="0" w:space="0" w:color="auto"/>
      </w:divBdr>
    </w:div>
    <w:div w:id="712773504">
      <w:bodyDiv w:val="1"/>
      <w:marLeft w:val="0"/>
      <w:marRight w:val="0"/>
      <w:marTop w:val="0"/>
      <w:marBottom w:val="0"/>
      <w:divBdr>
        <w:top w:val="none" w:sz="0" w:space="0" w:color="auto"/>
        <w:left w:val="none" w:sz="0" w:space="0" w:color="auto"/>
        <w:bottom w:val="none" w:sz="0" w:space="0" w:color="auto"/>
        <w:right w:val="none" w:sz="0" w:space="0" w:color="auto"/>
      </w:divBdr>
    </w:div>
    <w:div w:id="1605915788">
      <w:bodyDiv w:val="1"/>
      <w:marLeft w:val="0"/>
      <w:marRight w:val="0"/>
      <w:marTop w:val="0"/>
      <w:marBottom w:val="0"/>
      <w:divBdr>
        <w:top w:val="none" w:sz="0" w:space="0" w:color="auto"/>
        <w:left w:val="none" w:sz="0" w:space="0" w:color="auto"/>
        <w:bottom w:val="none" w:sz="0" w:space="0" w:color="auto"/>
        <w:right w:val="none" w:sz="0" w:space="0" w:color="auto"/>
      </w:divBdr>
    </w:div>
    <w:div w:id="2001616207">
      <w:bodyDiv w:val="1"/>
      <w:marLeft w:val="0"/>
      <w:marRight w:val="0"/>
      <w:marTop w:val="0"/>
      <w:marBottom w:val="0"/>
      <w:divBdr>
        <w:top w:val="none" w:sz="0" w:space="0" w:color="auto"/>
        <w:left w:val="none" w:sz="0" w:space="0" w:color="auto"/>
        <w:bottom w:val="none" w:sz="0" w:space="0" w:color="auto"/>
        <w:right w:val="none" w:sz="0" w:space="0" w:color="auto"/>
      </w:divBdr>
    </w:div>
    <w:div w:id="205202530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787</Words>
  <Characters>4490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5267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Callum Carter (2404122)</cp:lastModifiedBy>
  <cp:revision>2</cp:revision>
  <dcterms:created xsi:type="dcterms:W3CDTF">2025-07-06T20:18:00Z</dcterms:created>
  <dcterms:modified xsi:type="dcterms:W3CDTF">2025-07-06T20:18:00Z</dcterms:modified>
  <cp:category/>
</cp:coreProperties>
</file>