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324DEC" w14:textId="4F6DE545" w:rsidR="001E4E20" w:rsidRPr="002B15A2" w:rsidRDefault="00D34EFA">
      <w:pPr>
        <w:rPr>
          <w:rFonts w:ascii="Times New Roman" w:hAnsi="Times New Roman" w:cs="Times New Roman"/>
          <w:sz w:val="24"/>
          <w:szCs w:val="24"/>
        </w:rPr>
      </w:pPr>
      <w:r w:rsidRPr="002B15A2">
        <w:rPr>
          <w:rFonts w:ascii="Times New Roman" w:hAnsi="Times New Roman" w:cs="Times New Roman"/>
          <w:sz w:val="24"/>
          <w:szCs w:val="24"/>
        </w:rPr>
        <w:t>University of Wales</w:t>
      </w:r>
    </w:p>
    <w:p w14:paraId="6971D7BA" w14:textId="2AB6BCC7" w:rsidR="00D34EFA" w:rsidRPr="002B15A2" w:rsidRDefault="00D34EFA">
      <w:pPr>
        <w:rPr>
          <w:rFonts w:ascii="Times New Roman" w:hAnsi="Times New Roman" w:cs="Times New Roman"/>
          <w:sz w:val="24"/>
          <w:szCs w:val="24"/>
        </w:rPr>
      </w:pPr>
      <w:proofErr w:type="gramStart"/>
      <w:r w:rsidRPr="002B15A2">
        <w:rPr>
          <w:rFonts w:ascii="Times New Roman" w:hAnsi="Times New Roman" w:cs="Times New Roman"/>
          <w:sz w:val="24"/>
          <w:szCs w:val="24"/>
        </w:rPr>
        <w:t>Trinity  Saint</w:t>
      </w:r>
      <w:proofErr w:type="gramEnd"/>
      <w:r w:rsidRPr="002B15A2">
        <w:rPr>
          <w:rFonts w:ascii="Times New Roman" w:hAnsi="Times New Roman" w:cs="Times New Roman"/>
          <w:sz w:val="24"/>
          <w:szCs w:val="24"/>
        </w:rPr>
        <w:t xml:space="preserve"> David</w:t>
      </w:r>
    </w:p>
    <w:p w14:paraId="0BB49B4E" w14:textId="60CB5319" w:rsidR="00D34EFA" w:rsidRPr="002B15A2" w:rsidRDefault="00D34EFA">
      <w:pPr>
        <w:rPr>
          <w:rFonts w:ascii="Times New Roman" w:hAnsi="Times New Roman" w:cs="Times New Roman"/>
          <w:sz w:val="24"/>
          <w:szCs w:val="24"/>
        </w:rPr>
      </w:pPr>
      <w:r w:rsidRPr="002B15A2">
        <w:rPr>
          <w:rFonts w:ascii="Times New Roman" w:hAnsi="Times New Roman" w:cs="Times New Roman"/>
          <w:sz w:val="24"/>
          <w:szCs w:val="24"/>
        </w:rPr>
        <w:t>London</w:t>
      </w:r>
    </w:p>
    <w:p w14:paraId="74641C58" w14:textId="3FA05F78" w:rsidR="00D34EFA" w:rsidRPr="002B15A2" w:rsidRDefault="00D34EFA">
      <w:pPr>
        <w:rPr>
          <w:rFonts w:ascii="Times New Roman" w:hAnsi="Times New Roman" w:cs="Times New Roman"/>
          <w:sz w:val="24"/>
          <w:szCs w:val="24"/>
        </w:rPr>
      </w:pPr>
      <w:r w:rsidRPr="002B15A2">
        <w:rPr>
          <w:rFonts w:ascii="Times New Roman" w:hAnsi="Times New Roman" w:cs="Times New Roman"/>
          <w:sz w:val="24"/>
          <w:szCs w:val="24"/>
        </w:rPr>
        <w:t xml:space="preserve"> </w:t>
      </w:r>
    </w:p>
    <w:p w14:paraId="43BA7A7B" w14:textId="77777777" w:rsidR="00D34EFA" w:rsidRPr="002B15A2" w:rsidRDefault="00D34EFA">
      <w:pPr>
        <w:rPr>
          <w:rFonts w:ascii="Times New Roman" w:hAnsi="Times New Roman" w:cs="Times New Roman"/>
          <w:sz w:val="24"/>
          <w:szCs w:val="24"/>
        </w:rPr>
      </w:pPr>
    </w:p>
    <w:p w14:paraId="72E8B967" w14:textId="77777777" w:rsidR="00D34EFA" w:rsidRPr="002B15A2" w:rsidRDefault="00D34EFA" w:rsidP="00D34EFA">
      <w:pPr>
        <w:jc w:val="center"/>
        <w:rPr>
          <w:rFonts w:ascii="Times New Roman" w:hAnsi="Times New Roman" w:cs="Times New Roman"/>
          <w:b/>
          <w:bCs/>
          <w:i/>
          <w:iCs/>
          <w:color w:val="0F4761" w:themeColor="accent1" w:themeShade="BF"/>
          <w:kern w:val="2"/>
          <w:sz w:val="24"/>
          <w:szCs w:val="24"/>
          <w14:ligatures w14:val="standardContextual"/>
        </w:rPr>
      </w:pPr>
      <w:r w:rsidRPr="00D34EFA">
        <w:rPr>
          <w:rFonts w:ascii="Times New Roman" w:hAnsi="Times New Roman" w:cs="Times New Roman"/>
          <w:i/>
          <w:iCs/>
          <w:color w:val="0F4761" w:themeColor="accent1" w:themeShade="BF"/>
          <w:kern w:val="2"/>
          <w:sz w:val="24"/>
          <w:szCs w:val="24"/>
          <w14:ligatures w14:val="standardContextual"/>
        </w:rPr>
        <w:br/>
      </w:r>
    </w:p>
    <w:p w14:paraId="3E60AC94" w14:textId="77777777" w:rsidR="00D34EFA" w:rsidRPr="002B15A2" w:rsidRDefault="00D34EFA" w:rsidP="00D34EFA">
      <w:pPr>
        <w:jc w:val="center"/>
        <w:rPr>
          <w:rFonts w:ascii="Times New Roman" w:hAnsi="Times New Roman" w:cs="Times New Roman"/>
          <w:b/>
          <w:bCs/>
          <w:i/>
          <w:iCs/>
          <w:color w:val="0F4761" w:themeColor="accent1" w:themeShade="BF"/>
          <w:kern w:val="2"/>
          <w:sz w:val="24"/>
          <w:szCs w:val="24"/>
          <w14:ligatures w14:val="standardContextual"/>
        </w:rPr>
      </w:pPr>
    </w:p>
    <w:p w14:paraId="6AC8B497" w14:textId="77777777" w:rsidR="002B15A2" w:rsidRDefault="002B15A2" w:rsidP="00D34EFA">
      <w:pPr>
        <w:jc w:val="center"/>
        <w:rPr>
          <w:rFonts w:ascii="Times New Roman" w:hAnsi="Times New Roman" w:cs="Times New Roman"/>
          <w:b/>
          <w:bCs/>
          <w:i/>
          <w:iCs/>
          <w:color w:val="000000" w:themeColor="text1"/>
          <w:kern w:val="2"/>
          <w:sz w:val="28"/>
          <w:szCs w:val="28"/>
          <w14:ligatures w14:val="standardContextual"/>
        </w:rPr>
      </w:pPr>
    </w:p>
    <w:p w14:paraId="6188530D" w14:textId="77777777" w:rsidR="00875F65" w:rsidRDefault="00875F65" w:rsidP="00D34EFA">
      <w:pPr>
        <w:jc w:val="center"/>
        <w:rPr>
          <w:rFonts w:ascii="Times New Roman" w:hAnsi="Times New Roman" w:cs="Times New Roman"/>
          <w:b/>
          <w:bCs/>
          <w:i/>
          <w:iCs/>
          <w:color w:val="000000" w:themeColor="text1"/>
          <w:kern w:val="2"/>
          <w:sz w:val="28"/>
          <w:szCs w:val="28"/>
          <w14:ligatures w14:val="standardContextual"/>
        </w:rPr>
      </w:pPr>
    </w:p>
    <w:p w14:paraId="1E79D115" w14:textId="75D0ACF6" w:rsidR="00D34EFA" w:rsidRPr="00D34EFA" w:rsidRDefault="00D34EFA" w:rsidP="00D34EFA">
      <w:pPr>
        <w:jc w:val="center"/>
        <w:rPr>
          <w:rFonts w:ascii="Times New Roman" w:hAnsi="Times New Roman" w:cs="Times New Roman"/>
          <w:color w:val="000000" w:themeColor="text1"/>
          <w:kern w:val="2"/>
          <w:sz w:val="28"/>
          <w:szCs w:val="28"/>
          <w14:ligatures w14:val="standardContextual"/>
        </w:rPr>
      </w:pPr>
      <w:r w:rsidRPr="00D34EFA">
        <w:rPr>
          <w:rFonts w:ascii="Times New Roman" w:hAnsi="Times New Roman" w:cs="Times New Roman"/>
          <w:b/>
          <w:bCs/>
          <w:i/>
          <w:iCs/>
          <w:color w:val="000000" w:themeColor="text1"/>
          <w:kern w:val="2"/>
          <w:sz w:val="28"/>
          <w:szCs w:val="28"/>
          <w14:ligatures w14:val="standardContextual"/>
        </w:rPr>
        <w:t>Strategic Management Report: Strategy Formulation Plan for Toyota Motor Corporation in the Global Automotive Industry</w:t>
      </w:r>
    </w:p>
    <w:p w14:paraId="79C6970E" w14:textId="77777777" w:rsidR="00D34EFA" w:rsidRPr="002B15A2" w:rsidRDefault="00D34EFA">
      <w:pPr>
        <w:rPr>
          <w:rFonts w:ascii="Times New Roman" w:hAnsi="Times New Roman" w:cs="Times New Roman"/>
          <w:sz w:val="24"/>
          <w:szCs w:val="24"/>
        </w:rPr>
      </w:pPr>
    </w:p>
    <w:p w14:paraId="285204C9" w14:textId="77777777" w:rsidR="00D34EFA" w:rsidRPr="002B15A2" w:rsidRDefault="00D34EFA">
      <w:pPr>
        <w:rPr>
          <w:rFonts w:ascii="Times New Roman" w:hAnsi="Times New Roman" w:cs="Times New Roman"/>
          <w:sz w:val="24"/>
          <w:szCs w:val="24"/>
        </w:rPr>
      </w:pPr>
    </w:p>
    <w:p w14:paraId="07473B66" w14:textId="77777777" w:rsidR="00D34EFA" w:rsidRPr="002B15A2" w:rsidRDefault="00D34EFA">
      <w:pPr>
        <w:rPr>
          <w:rFonts w:ascii="Times New Roman" w:hAnsi="Times New Roman" w:cs="Times New Roman"/>
          <w:sz w:val="24"/>
          <w:szCs w:val="24"/>
        </w:rPr>
      </w:pPr>
    </w:p>
    <w:p w14:paraId="538068DF" w14:textId="77777777" w:rsidR="00D34EFA" w:rsidRPr="002B15A2" w:rsidRDefault="00D34EFA">
      <w:pPr>
        <w:rPr>
          <w:rFonts w:ascii="Times New Roman" w:hAnsi="Times New Roman" w:cs="Times New Roman"/>
          <w:sz w:val="24"/>
          <w:szCs w:val="24"/>
        </w:rPr>
      </w:pPr>
    </w:p>
    <w:p w14:paraId="50571A37" w14:textId="77777777" w:rsidR="00D34EFA" w:rsidRPr="002B15A2" w:rsidRDefault="00D34EFA">
      <w:pPr>
        <w:rPr>
          <w:rFonts w:ascii="Times New Roman" w:hAnsi="Times New Roman" w:cs="Times New Roman"/>
          <w:sz w:val="24"/>
          <w:szCs w:val="24"/>
        </w:rPr>
      </w:pPr>
    </w:p>
    <w:p w14:paraId="0FC20BC0" w14:textId="77777777" w:rsidR="002B15A2" w:rsidRDefault="002B15A2">
      <w:pPr>
        <w:rPr>
          <w:rFonts w:ascii="Times New Roman" w:hAnsi="Times New Roman" w:cs="Times New Roman"/>
          <w:sz w:val="24"/>
          <w:szCs w:val="24"/>
        </w:rPr>
      </w:pPr>
    </w:p>
    <w:p w14:paraId="4803AE05" w14:textId="77777777" w:rsidR="00875F65" w:rsidRDefault="00875F65">
      <w:pPr>
        <w:rPr>
          <w:rFonts w:ascii="Times New Roman" w:hAnsi="Times New Roman" w:cs="Times New Roman"/>
          <w:sz w:val="24"/>
          <w:szCs w:val="24"/>
        </w:rPr>
      </w:pPr>
    </w:p>
    <w:p w14:paraId="0745FBCB" w14:textId="77777777" w:rsidR="00875F65" w:rsidRDefault="00875F65">
      <w:pPr>
        <w:rPr>
          <w:rFonts w:ascii="Times New Roman" w:hAnsi="Times New Roman" w:cs="Times New Roman"/>
          <w:sz w:val="24"/>
          <w:szCs w:val="24"/>
        </w:rPr>
      </w:pPr>
    </w:p>
    <w:p w14:paraId="6C58A749" w14:textId="5037C9CF" w:rsidR="00D34EFA" w:rsidRPr="002B15A2" w:rsidRDefault="00D34EFA">
      <w:pPr>
        <w:rPr>
          <w:rFonts w:ascii="Times New Roman" w:hAnsi="Times New Roman" w:cs="Times New Roman"/>
          <w:sz w:val="24"/>
          <w:szCs w:val="24"/>
        </w:rPr>
      </w:pPr>
      <w:r w:rsidRPr="002B15A2">
        <w:rPr>
          <w:rFonts w:ascii="Times New Roman" w:hAnsi="Times New Roman" w:cs="Times New Roman"/>
          <w:sz w:val="24"/>
          <w:szCs w:val="24"/>
        </w:rPr>
        <w:t>Student name: Silviya Stancheva</w:t>
      </w:r>
    </w:p>
    <w:p w14:paraId="26B02B19" w14:textId="0F5E24F8" w:rsidR="00D34EFA" w:rsidRPr="002B15A2" w:rsidRDefault="00D34EFA">
      <w:pPr>
        <w:rPr>
          <w:rFonts w:ascii="Times New Roman" w:hAnsi="Times New Roman" w:cs="Times New Roman"/>
          <w:sz w:val="24"/>
          <w:szCs w:val="24"/>
        </w:rPr>
      </w:pPr>
      <w:r w:rsidRPr="002B15A2">
        <w:rPr>
          <w:rFonts w:ascii="Times New Roman" w:hAnsi="Times New Roman" w:cs="Times New Roman"/>
          <w:sz w:val="24"/>
          <w:szCs w:val="24"/>
        </w:rPr>
        <w:t>Student number: 2310452</w:t>
      </w:r>
    </w:p>
    <w:p w14:paraId="24FB3F61" w14:textId="0CC70726" w:rsidR="00D34EFA" w:rsidRPr="002B15A2" w:rsidRDefault="00D34EFA">
      <w:pPr>
        <w:rPr>
          <w:rFonts w:ascii="Times New Roman" w:hAnsi="Times New Roman" w:cs="Times New Roman"/>
          <w:sz w:val="24"/>
          <w:szCs w:val="24"/>
        </w:rPr>
      </w:pPr>
      <w:proofErr w:type="gramStart"/>
      <w:r w:rsidRPr="002B15A2">
        <w:rPr>
          <w:rFonts w:ascii="Times New Roman" w:hAnsi="Times New Roman" w:cs="Times New Roman"/>
          <w:sz w:val="24"/>
          <w:szCs w:val="24"/>
        </w:rPr>
        <w:t>Modul</w:t>
      </w:r>
      <w:r w:rsidR="004D2222">
        <w:rPr>
          <w:rFonts w:ascii="Times New Roman" w:hAnsi="Times New Roman" w:cs="Times New Roman"/>
          <w:sz w:val="24"/>
          <w:szCs w:val="24"/>
        </w:rPr>
        <w:t xml:space="preserve">e </w:t>
      </w:r>
      <w:r w:rsidRPr="002B15A2">
        <w:rPr>
          <w:rFonts w:ascii="Times New Roman" w:hAnsi="Times New Roman" w:cs="Times New Roman"/>
          <w:sz w:val="24"/>
          <w:szCs w:val="24"/>
        </w:rPr>
        <w:t xml:space="preserve"> code</w:t>
      </w:r>
      <w:proofErr w:type="gramEnd"/>
      <w:r w:rsidRPr="002B15A2">
        <w:rPr>
          <w:rFonts w:ascii="Times New Roman" w:hAnsi="Times New Roman" w:cs="Times New Roman"/>
          <w:sz w:val="24"/>
          <w:szCs w:val="24"/>
        </w:rPr>
        <w:t>: LCBB6015</w:t>
      </w:r>
    </w:p>
    <w:p w14:paraId="53C53A98" w14:textId="4A69E6D7" w:rsidR="00D34EFA" w:rsidRPr="002B15A2" w:rsidRDefault="00D34EFA">
      <w:pPr>
        <w:rPr>
          <w:rFonts w:ascii="Times New Roman" w:hAnsi="Times New Roman" w:cs="Times New Roman"/>
          <w:sz w:val="24"/>
          <w:szCs w:val="24"/>
        </w:rPr>
      </w:pPr>
      <w:r w:rsidRPr="002B15A2">
        <w:rPr>
          <w:rFonts w:ascii="Times New Roman" w:hAnsi="Times New Roman" w:cs="Times New Roman"/>
          <w:sz w:val="24"/>
          <w:szCs w:val="24"/>
        </w:rPr>
        <w:t>Modul</w:t>
      </w:r>
      <w:r w:rsidR="004D2222">
        <w:rPr>
          <w:rFonts w:ascii="Times New Roman" w:hAnsi="Times New Roman" w:cs="Times New Roman"/>
          <w:sz w:val="24"/>
          <w:szCs w:val="24"/>
        </w:rPr>
        <w:t>e</w:t>
      </w:r>
      <w:r w:rsidRPr="002B15A2">
        <w:rPr>
          <w:rFonts w:ascii="Times New Roman" w:hAnsi="Times New Roman" w:cs="Times New Roman"/>
          <w:sz w:val="24"/>
          <w:szCs w:val="24"/>
        </w:rPr>
        <w:t xml:space="preserve"> name: Strategic Management and Sustainability</w:t>
      </w:r>
    </w:p>
    <w:p w14:paraId="49CDC163" w14:textId="4AAFF0A2" w:rsidR="00D34EFA" w:rsidRPr="002B15A2" w:rsidRDefault="00D34EFA">
      <w:pPr>
        <w:rPr>
          <w:rFonts w:ascii="Times New Roman" w:hAnsi="Times New Roman" w:cs="Times New Roman"/>
          <w:sz w:val="24"/>
          <w:szCs w:val="24"/>
        </w:rPr>
      </w:pPr>
      <w:r w:rsidRPr="002B15A2">
        <w:rPr>
          <w:rFonts w:ascii="Times New Roman" w:hAnsi="Times New Roman" w:cs="Times New Roman"/>
          <w:sz w:val="24"/>
          <w:szCs w:val="24"/>
        </w:rPr>
        <w:t>Programme: BA(Hons) Business Management</w:t>
      </w:r>
    </w:p>
    <w:p w14:paraId="0E78C87C" w14:textId="6090550E" w:rsidR="00D34EFA" w:rsidRPr="002B15A2" w:rsidRDefault="00D34EFA">
      <w:pPr>
        <w:rPr>
          <w:rFonts w:ascii="Times New Roman" w:hAnsi="Times New Roman" w:cs="Times New Roman"/>
          <w:sz w:val="24"/>
          <w:szCs w:val="24"/>
        </w:rPr>
      </w:pPr>
      <w:r w:rsidRPr="002B15A2">
        <w:rPr>
          <w:rFonts w:ascii="Times New Roman" w:hAnsi="Times New Roman" w:cs="Times New Roman"/>
          <w:sz w:val="24"/>
          <w:szCs w:val="24"/>
        </w:rPr>
        <w:t>Lecturer name: Dr Nerys Dosseh</w:t>
      </w:r>
    </w:p>
    <w:p w14:paraId="65E4F2E8" w14:textId="77777777" w:rsidR="00D34EFA" w:rsidRPr="002B15A2" w:rsidRDefault="00D34EFA">
      <w:pPr>
        <w:rPr>
          <w:rFonts w:ascii="Times New Roman" w:hAnsi="Times New Roman" w:cs="Times New Roman"/>
          <w:sz w:val="24"/>
          <w:szCs w:val="24"/>
        </w:rPr>
      </w:pPr>
    </w:p>
    <w:p w14:paraId="309B775B" w14:textId="77777777" w:rsidR="00D34EFA" w:rsidRPr="002B15A2" w:rsidRDefault="00D34EFA">
      <w:pPr>
        <w:rPr>
          <w:rFonts w:ascii="Times New Roman" w:hAnsi="Times New Roman" w:cs="Times New Roman"/>
          <w:sz w:val="24"/>
          <w:szCs w:val="24"/>
        </w:rPr>
      </w:pPr>
    </w:p>
    <w:p w14:paraId="1C1C3415" w14:textId="77777777" w:rsidR="00D34EFA" w:rsidRPr="002B15A2" w:rsidRDefault="00D34EFA">
      <w:pPr>
        <w:rPr>
          <w:rFonts w:ascii="Times New Roman" w:hAnsi="Times New Roman" w:cs="Times New Roman"/>
          <w:sz w:val="24"/>
          <w:szCs w:val="24"/>
        </w:rPr>
      </w:pPr>
    </w:p>
    <w:p w14:paraId="5EE01A4C" w14:textId="77777777" w:rsidR="00D34EFA" w:rsidRPr="002B15A2" w:rsidRDefault="00D34EFA">
      <w:pPr>
        <w:rPr>
          <w:rFonts w:ascii="Times New Roman" w:hAnsi="Times New Roman" w:cs="Times New Roman"/>
          <w:sz w:val="24"/>
          <w:szCs w:val="24"/>
        </w:rPr>
      </w:pPr>
    </w:p>
    <w:p w14:paraId="778CDAFA" w14:textId="01A18210"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heme="majorEastAsia" w:hAnsi="Times New Roman" w:cs="Times New Roman"/>
          <w:b/>
          <w:bCs/>
          <w:sz w:val="24"/>
          <w:szCs w:val="24"/>
          <w:lang w:eastAsia="en-GB"/>
        </w:rPr>
        <w:lastRenderedPageBreak/>
        <w:t>Executive Summary</w:t>
      </w:r>
    </w:p>
    <w:p w14:paraId="71B9A44D"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This report evaluates Toyota Motor Corporation’s strategic position in the contemporary automotive industry and develops a strategy formulation plan to strengthen its long-term competitiveness. The automotive sector is being reshaped by electrification, connected and software-defined vehicles, advances in driver-assistance systems, stronger sustainability expectations, and the growth of mobility-based service models. Electric car sales exceeded 17 million in 2024 and are projected to surpass 20 million in 2025, confirming that electrification is now a structural shift in the global market rather than a temporary trend. Toyota remains one of the world’s strongest automotive manufacturers because of its scale, trusted brand, financial resilience, and operational excellence. Its FY2025 results showed high revenues and operating income, demonstrating that the company continues to perform strongly in commercial terms. However, Toyota also faces strategic pressure to accelerate its software-defined vehicle capabilities and battery electric vehicle development. This report finds that Toyota’s core resources remain valuable and difficult to imitate, but that its future advantage will depend on faster progress in software, electrification, and supply chain resilience. It therefore recommends an accelerated software-led electrification strategy supported by regional battery localisation, AI-enabled operations, flexible manufacturing, and selective strategic partnerships. </w:t>
      </w:r>
    </w:p>
    <w:p w14:paraId="79E104FF"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4889A18C"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63075BE3"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2C5D001D"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06DA1A8D"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783947AB"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487F7105"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5C1F9712"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42F3679A"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sdt>
      <w:sdtPr>
        <w:rPr>
          <w:kern w:val="2"/>
          <w14:ligatures w14:val="standardContextual"/>
        </w:rPr>
        <w:id w:val="-1625528686"/>
        <w:docPartObj>
          <w:docPartGallery w:val="Table of Contents"/>
          <w:docPartUnique/>
        </w:docPartObj>
      </w:sdtPr>
      <w:sdtEndPr>
        <w:rPr>
          <w:b/>
          <w:bCs/>
        </w:rPr>
      </w:sdtEndPr>
      <w:sdtContent>
        <w:p w14:paraId="0EDA6587" w14:textId="77777777" w:rsidR="00D34EFA" w:rsidRPr="00D34EFA" w:rsidRDefault="00D34EFA" w:rsidP="00D34EFA">
          <w:pPr>
            <w:keepNext/>
            <w:keepLines/>
            <w:spacing w:before="240" w:after="0"/>
            <w:rPr>
              <w:rFonts w:ascii="Times New Roman" w:eastAsiaTheme="majorEastAsia" w:hAnsi="Times New Roman" w:cs="Times New Roman"/>
              <w:b/>
              <w:bCs/>
              <w:color w:val="000000" w:themeColor="text1"/>
              <w:sz w:val="24"/>
              <w:szCs w:val="24"/>
              <w:lang w:eastAsia="en-GB"/>
            </w:rPr>
          </w:pPr>
          <w:r w:rsidRPr="00D34EFA">
            <w:rPr>
              <w:rFonts w:ascii="Times New Roman" w:eastAsiaTheme="majorEastAsia" w:hAnsi="Times New Roman" w:cs="Times New Roman"/>
              <w:b/>
              <w:bCs/>
              <w:color w:val="000000" w:themeColor="text1"/>
              <w:sz w:val="24"/>
              <w:szCs w:val="24"/>
              <w:lang w:eastAsia="en-GB"/>
            </w:rPr>
            <w:t>Contents</w:t>
          </w:r>
        </w:p>
        <w:p w14:paraId="6B7592B4" w14:textId="1E99DF9A" w:rsidR="00D34EFA" w:rsidRPr="00D34EFA" w:rsidRDefault="00D34EFA" w:rsidP="00D34EFA">
          <w:pPr>
            <w:tabs>
              <w:tab w:val="right" w:leader="dot" w:pos="9016"/>
            </w:tabs>
            <w:spacing w:after="100"/>
            <w:rPr>
              <w:noProof/>
              <w:color w:val="000000" w:themeColor="text1"/>
              <w:kern w:val="2"/>
              <w14:ligatures w14:val="standardContextual"/>
            </w:rPr>
          </w:pPr>
          <w:r w:rsidRPr="00D34EFA">
            <w:rPr>
              <w:kern w:val="2"/>
              <w14:ligatures w14:val="standardContextual"/>
            </w:rPr>
            <w:fldChar w:fldCharType="begin"/>
          </w:r>
          <w:r w:rsidRPr="00D34EFA">
            <w:rPr>
              <w:kern w:val="2"/>
              <w14:ligatures w14:val="standardContextual"/>
            </w:rPr>
            <w:instrText xml:space="preserve"> TOC \o "1-3" \h \z \u </w:instrText>
          </w:r>
          <w:r w:rsidRPr="00D34EFA">
            <w:rPr>
              <w:kern w:val="2"/>
              <w14:ligatures w14:val="standardContextual"/>
            </w:rPr>
            <w:fldChar w:fldCharType="separate"/>
          </w:r>
          <w:hyperlink w:anchor="_Toc224579222" w:history="1">
            <w:r w:rsidRPr="00D34EFA">
              <w:rPr>
                <w:rFonts w:ascii="Times New Roman" w:hAnsi="Times New Roman" w:cs="Times New Roman"/>
                <w:b/>
                <w:bCs/>
                <w:noProof/>
                <w:color w:val="000000" w:themeColor="text1"/>
                <w:kern w:val="2"/>
                <w:u w:val="single"/>
                <w14:ligatures w14:val="standardContextual"/>
              </w:rPr>
              <w:t>Introduction to Strategy</w:t>
            </w:r>
            <w:r w:rsidRPr="00D34EFA">
              <w:rPr>
                <w:noProof/>
                <w:webHidden/>
                <w:color w:val="000000" w:themeColor="text1"/>
                <w:kern w:val="2"/>
                <w14:ligatures w14:val="standardContextual"/>
              </w:rPr>
              <w:tab/>
            </w:r>
            <w:r w:rsidRPr="00D34EFA">
              <w:rPr>
                <w:noProof/>
                <w:webHidden/>
                <w:color w:val="000000" w:themeColor="text1"/>
                <w:kern w:val="2"/>
                <w14:ligatures w14:val="standardContextual"/>
              </w:rPr>
              <w:fldChar w:fldCharType="begin"/>
            </w:r>
            <w:r w:rsidRPr="00D34EFA">
              <w:rPr>
                <w:noProof/>
                <w:webHidden/>
                <w:color w:val="000000" w:themeColor="text1"/>
                <w:kern w:val="2"/>
                <w14:ligatures w14:val="standardContextual"/>
              </w:rPr>
              <w:instrText xml:space="preserve"> PAGEREF _Toc224579222 \h </w:instrText>
            </w:r>
            <w:r w:rsidRPr="00D34EFA">
              <w:rPr>
                <w:noProof/>
                <w:webHidden/>
                <w:color w:val="000000" w:themeColor="text1"/>
                <w:kern w:val="2"/>
                <w14:ligatures w14:val="standardContextual"/>
              </w:rPr>
            </w:r>
            <w:r w:rsidRPr="00D34EFA">
              <w:rPr>
                <w:noProof/>
                <w:webHidden/>
                <w:color w:val="000000" w:themeColor="text1"/>
                <w:kern w:val="2"/>
                <w14:ligatures w14:val="standardContextual"/>
              </w:rPr>
              <w:fldChar w:fldCharType="separate"/>
            </w:r>
            <w:r w:rsidR="002B15A2">
              <w:rPr>
                <w:noProof/>
                <w:webHidden/>
                <w:color w:val="000000" w:themeColor="text1"/>
                <w:kern w:val="2"/>
                <w14:ligatures w14:val="standardContextual"/>
              </w:rPr>
              <w:t>4</w:t>
            </w:r>
            <w:r w:rsidRPr="00D34EFA">
              <w:rPr>
                <w:noProof/>
                <w:webHidden/>
                <w:color w:val="000000" w:themeColor="text1"/>
                <w:kern w:val="2"/>
                <w14:ligatures w14:val="standardContextual"/>
              </w:rPr>
              <w:fldChar w:fldCharType="end"/>
            </w:r>
          </w:hyperlink>
        </w:p>
        <w:p w14:paraId="1889F91B" w14:textId="3FDB329B" w:rsidR="00D34EFA" w:rsidRPr="00D34EFA" w:rsidRDefault="00D34EFA" w:rsidP="00D34EFA">
          <w:pPr>
            <w:tabs>
              <w:tab w:val="right" w:leader="dot" w:pos="9016"/>
            </w:tabs>
            <w:spacing w:after="100"/>
            <w:rPr>
              <w:noProof/>
              <w:color w:val="000000" w:themeColor="text1"/>
              <w:kern w:val="2"/>
              <w14:ligatures w14:val="standardContextual"/>
            </w:rPr>
          </w:pPr>
          <w:hyperlink w:anchor="_Toc224579223" w:history="1">
            <w:r w:rsidRPr="00D34EFA">
              <w:rPr>
                <w:rFonts w:ascii="Times New Roman" w:hAnsi="Times New Roman" w:cs="Times New Roman"/>
                <w:b/>
                <w:bCs/>
                <w:noProof/>
                <w:color w:val="000000" w:themeColor="text1"/>
                <w:kern w:val="2"/>
                <w:u w:val="single"/>
                <w14:ligatures w14:val="standardContextual"/>
              </w:rPr>
              <w:t>Overview and Background of the Firm</w:t>
            </w:r>
            <w:r w:rsidRPr="00D34EFA">
              <w:rPr>
                <w:noProof/>
                <w:webHidden/>
                <w:color w:val="000000" w:themeColor="text1"/>
                <w:kern w:val="2"/>
                <w14:ligatures w14:val="standardContextual"/>
              </w:rPr>
              <w:tab/>
            </w:r>
            <w:r w:rsidRPr="00D34EFA">
              <w:rPr>
                <w:noProof/>
                <w:webHidden/>
                <w:color w:val="000000" w:themeColor="text1"/>
                <w:kern w:val="2"/>
                <w14:ligatures w14:val="standardContextual"/>
              </w:rPr>
              <w:fldChar w:fldCharType="begin"/>
            </w:r>
            <w:r w:rsidRPr="00D34EFA">
              <w:rPr>
                <w:noProof/>
                <w:webHidden/>
                <w:color w:val="000000" w:themeColor="text1"/>
                <w:kern w:val="2"/>
                <w14:ligatures w14:val="standardContextual"/>
              </w:rPr>
              <w:instrText xml:space="preserve"> PAGEREF _Toc224579223 \h </w:instrText>
            </w:r>
            <w:r w:rsidRPr="00D34EFA">
              <w:rPr>
                <w:noProof/>
                <w:webHidden/>
                <w:color w:val="000000" w:themeColor="text1"/>
                <w:kern w:val="2"/>
                <w14:ligatures w14:val="standardContextual"/>
              </w:rPr>
            </w:r>
            <w:r w:rsidRPr="00D34EFA">
              <w:rPr>
                <w:noProof/>
                <w:webHidden/>
                <w:color w:val="000000" w:themeColor="text1"/>
                <w:kern w:val="2"/>
                <w14:ligatures w14:val="standardContextual"/>
              </w:rPr>
              <w:fldChar w:fldCharType="separate"/>
            </w:r>
            <w:r w:rsidR="002B15A2">
              <w:rPr>
                <w:noProof/>
                <w:webHidden/>
                <w:color w:val="000000" w:themeColor="text1"/>
                <w:kern w:val="2"/>
                <w14:ligatures w14:val="standardContextual"/>
              </w:rPr>
              <w:t>4</w:t>
            </w:r>
            <w:r w:rsidRPr="00D34EFA">
              <w:rPr>
                <w:noProof/>
                <w:webHidden/>
                <w:color w:val="000000" w:themeColor="text1"/>
                <w:kern w:val="2"/>
                <w14:ligatures w14:val="standardContextual"/>
              </w:rPr>
              <w:fldChar w:fldCharType="end"/>
            </w:r>
          </w:hyperlink>
        </w:p>
        <w:p w14:paraId="00264213" w14:textId="52B5A7F7" w:rsidR="00D34EFA" w:rsidRPr="00D34EFA" w:rsidRDefault="00D34EFA" w:rsidP="00D34EFA">
          <w:pPr>
            <w:tabs>
              <w:tab w:val="right" w:leader="dot" w:pos="9016"/>
            </w:tabs>
            <w:spacing w:after="100"/>
            <w:rPr>
              <w:noProof/>
              <w:color w:val="000000" w:themeColor="text1"/>
              <w:kern w:val="2"/>
              <w14:ligatures w14:val="standardContextual"/>
            </w:rPr>
          </w:pPr>
          <w:hyperlink w:anchor="_Toc224579224" w:history="1">
            <w:r w:rsidRPr="00D34EFA">
              <w:rPr>
                <w:rFonts w:ascii="Times New Roman" w:hAnsi="Times New Roman" w:cs="Times New Roman"/>
                <w:b/>
                <w:bCs/>
                <w:noProof/>
                <w:color w:val="000000" w:themeColor="text1"/>
                <w:kern w:val="2"/>
                <w:u w:val="single"/>
                <w14:ligatures w14:val="standardContextual"/>
              </w:rPr>
              <w:t>Strategic Intent</w:t>
            </w:r>
            <w:r w:rsidRPr="00D34EFA">
              <w:rPr>
                <w:noProof/>
                <w:webHidden/>
                <w:color w:val="000000" w:themeColor="text1"/>
                <w:kern w:val="2"/>
                <w14:ligatures w14:val="standardContextual"/>
              </w:rPr>
              <w:tab/>
            </w:r>
            <w:r w:rsidRPr="00D34EFA">
              <w:rPr>
                <w:noProof/>
                <w:webHidden/>
                <w:color w:val="000000" w:themeColor="text1"/>
                <w:kern w:val="2"/>
                <w14:ligatures w14:val="standardContextual"/>
              </w:rPr>
              <w:fldChar w:fldCharType="begin"/>
            </w:r>
            <w:r w:rsidRPr="00D34EFA">
              <w:rPr>
                <w:noProof/>
                <w:webHidden/>
                <w:color w:val="000000" w:themeColor="text1"/>
                <w:kern w:val="2"/>
                <w14:ligatures w14:val="standardContextual"/>
              </w:rPr>
              <w:instrText xml:space="preserve"> PAGEREF _Toc224579224 \h </w:instrText>
            </w:r>
            <w:r w:rsidRPr="00D34EFA">
              <w:rPr>
                <w:noProof/>
                <w:webHidden/>
                <w:color w:val="000000" w:themeColor="text1"/>
                <w:kern w:val="2"/>
                <w14:ligatures w14:val="standardContextual"/>
              </w:rPr>
            </w:r>
            <w:r w:rsidRPr="00D34EFA">
              <w:rPr>
                <w:noProof/>
                <w:webHidden/>
                <w:color w:val="000000" w:themeColor="text1"/>
                <w:kern w:val="2"/>
                <w14:ligatures w14:val="standardContextual"/>
              </w:rPr>
              <w:fldChar w:fldCharType="separate"/>
            </w:r>
            <w:r w:rsidR="002B15A2">
              <w:rPr>
                <w:noProof/>
                <w:webHidden/>
                <w:color w:val="000000" w:themeColor="text1"/>
                <w:kern w:val="2"/>
                <w14:ligatures w14:val="standardContextual"/>
              </w:rPr>
              <w:t>5</w:t>
            </w:r>
            <w:r w:rsidRPr="00D34EFA">
              <w:rPr>
                <w:noProof/>
                <w:webHidden/>
                <w:color w:val="000000" w:themeColor="text1"/>
                <w:kern w:val="2"/>
                <w14:ligatures w14:val="standardContextual"/>
              </w:rPr>
              <w:fldChar w:fldCharType="end"/>
            </w:r>
          </w:hyperlink>
        </w:p>
        <w:p w14:paraId="56C18E65" w14:textId="145BD399" w:rsidR="00D34EFA" w:rsidRPr="00D34EFA" w:rsidRDefault="00D34EFA" w:rsidP="00D34EFA">
          <w:pPr>
            <w:tabs>
              <w:tab w:val="right" w:leader="dot" w:pos="9016"/>
            </w:tabs>
            <w:spacing w:after="100"/>
            <w:rPr>
              <w:noProof/>
              <w:color w:val="000000" w:themeColor="text1"/>
              <w:kern w:val="2"/>
              <w14:ligatures w14:val="standardContextual"/>
            </w:rPr>
          </w:pPr>
          <w:hyperlink w:anchor="_Toc224579225" w:history="1">
            <w:r w:rsidRPr="00D34EFA">
              <w:rPr>
                <w:rFonts w:ascii="Times New Roman" w:hAnsi="Times New Roman" w:cs="Times New Roman"/>
                <w:b/>
                <w:bCs/>
                <w:noProof/>
                <w:color w:val="000000" w:themeColor="text1"/>
                <w:kern w:val="2"/>
                <w:u w:val="single"/>
                <w14:ligatures w14:val="standardContextual"/>
              </w:rPr>
              <w:t>The Company’s Current Performance</w:t>
            </w:r>
            <w:r w:rsidRPr="00D34EFA">
              <w:rPr>
                <w:noProof/>
                <w:webHidden/>
                <w:color w:val="000000" w:themeColor="text1"/>
                <w:kern w:val="2"/>
                <w14:ligatures w14:val="standardContextual"/>
              </w:rPr>
              <w:tab/>
            </w:r>
            <w:r w:rsidRPr="00D34EFA">
              <w:rPr>
                <w:noProof/>
                <w:webHidden/>
                <w:color w:val="000000" w:themeColor="text1"/>
                <w:kern w:val="2"/>
                <w14:ligatures w14:val="standardContextual"/>
              </w:rPr>
              <w:fldChar w:fldCharType="begin"/>
            </w:r>
            <w:r w:rsidRPr="00D34EFA">
              <w:rPr>
                <w:noProof/>
                <w:webHidden/>
                <w:color w:val="000000" w:themeColor="text1"/>
                <w:kern w:val="2"/>
                <w14:ligatures w14:val="standardContextual"/>
              </w:rPr>
              <w:instrText xml:space="preserve"> PAGEREF _Toc224579225 \h </w:instrText>
            </w:r>
            <w:r w:rsidRPr="00D34EFA">
              <w:rPr>
                <w:noProof/>
                <w:webHidden/>
                <w:color w:val="000000" w:themeColor="text1"/>
                <w:kern w:val="2"/>
                <w14:ligatures w14:val="standardContextual"/>
              </w:rPr>
            </w:r>
            <w:r w:rsidRPr="00D34EFA">
              <w:rPr>
                <w:noProof/>
                <w:webHidden/>
                <w:color w:val="000000" w:themeColor="text1"/>
                <w:kern w:val="2"/>
                <w14:ligatures w14:val="standardContextual"/>
              </w:rPr>
              <w:fldChar w:fldCharType="separate"/>
            </w:r>
            <w:r w:rsidR="002B15A2">
              <w:rPr>
                <w:noProof/>
                <w:webHidden/>
                <w:color w:val="000000" w:themeColor="text1"/>
                <w:kern w:val="2"/>
                <w14:ligatures w14:val="standardContextual"/>
              </w:rPr>
              <w:t>6</w:t>
            </w:r>
            <w:r w:rsidRPr="00D34EFA">
              <w:rPr>
                <w:noProof/>
                <w:webHidden/>
                <w:color w:val="000000" w:themeColor="text1"/>
                <w:kern w:val="2"/>
                <w14:ligatures w14:val="standardContextual"/>
              </w:rPr>
              <w:fldChar w:fldCharType="end"/>
            </w:r>
          </w:hyperlink>
        </w:p>
        <w:p w14:paraId="5A809B13" w14:textId="36DB9D89" w:rsidR="00D34EFA" w:rsidRPr="00D34EFA" w:rsidRDefault="00D34EFA" w:rsidP="00D34EFA">
          <w:pPr>
            <w:tabs>
              <w:tab w:val="right" w:leader="dot" w:pos="9016"/>
            </w:tabs>
            <w:spacing w:after="100"/>
            <w:rPr>
              <w:noProof/>
              <w:color w:val="000000" w:themeColor="text1"/>
              <w:kern w:val="2"/>
              <w14:ligatures w14:val="standardContextual"/>
            </w:rPr>
          </w:pPr>
          <w:hyperlink w:anchor="_Toc224579226" w:history="1">
            <w:r w:rsidRPr="00D34EFA">
              <w:rPr>
                <w:rFonts w:ascii="Times New Roman" w:hAnsi="Times New Roman" w:cs="Times New Roman"/>
                <w:b/>
                <w:bCs/>
                <w:noProof/>
                <w:color w:val="000000" w:themeColor="text1"/>
                <w:kern w:val="2"/>
                <w:u w:val="single"/>
                <w14:ligatures w14:val="standardContextual"/>
              </w:rPr>
              <w:t>Strategy Analysis</w:t>
            </w:r>
            <w:r w:rsidRPr="00D34EFA">
              <w:rPr>
                <w:noProof/>
                <w:webHidden/>
                <w:color w:val="000000" w:themeColor="text1"/>
                <w:kern w:val="2"/>
                <w14:ligatures w14:val="standardContextual"/>
              </w:rPr>
              <w:tab/>
            </w:r>
            <w:r w:rsidRPr="00D34EFA">
              <w:rPr>
                <w:noProof/>
                <w:webHidden/>
                <w:color w:val="000000" w:themeColor="text1"/>
                <w:kern w:val="2"/>
                <w14:ligatures w14:val="standardContextual"/>
              </w:rPr>
              <w:fldChar w:fldCharType="begin"/>
            </w:r>
            <w:r w:rsidRPr="00D34EFA">
              <w:rPr>
                <w:noProof/>
                <w:webHidden/>
                <w:color w:val="000000" w:themeColor="text1"/>
                <w:kern w:val="2"/>
                <w14:ligatures w14:val="standardContextual"/>
              </w:rPr>
              <w:instrText xml:space="preserve"> PAGEREF _Toc224579226 \h </w:instrText>
            </w:r>
            <w:r w:rsidRPr="00D34EFA">
              <w:rPr>
                <w:noProof/>
                <w:webHidden/>
                <w:color w:val="000000" w:themeColor="text1"/>
                <w:kern w:val="2"/>
                <w14:ligatures w14:val="standardContextual"/>
              </w:rPr>
            </w:r>
            <w:r w:rsidRPr="00D34EFA">
              <w:rPr>
                <w:noProof/>
                <w:webHidden/>
                <w:color w:val="000000" w:themeColor="text1"/>
                <w:kern w:val="2"/>
                <w14:ligatures w14:val="standardContextual"/>
              </w:rPr>
              <w:fldChar w:fldCharType="separate"/>
            </w:r>
            <w:r w:rsidR="002B15A2">
              <w:rPr>
                <w:noProof/>
                <w:webHidden/>
                <w:color w:val="000000" w:themeColor="text1"/>
                <w:kern w:val="2"/>
                <w14:ligatures w14:val="standardContextual"/>
              </w:rPr>
              <w:t>7</w:t>
            </w:r>
            <w:r w:rsidRPr="00D34EFA">
              <w:rPr>
                <w:noProof/>
                <w:webHidden/>
                <w:color w:val="000000" w:themeColor="text1"/>
                <w:kern w:val="2"/>
                <w14:ligatures w14:val="standardContextual"/>
              </w:rPr>
              <w:fldChar w:fldCharType="end"/>
            </w:r>
          </w:hyperlink>
        </w:p>
        <w:p w14:paraId="12C9FCB9" w14:textId="2977CC27" w:rsidR="00D34EFA" w:rsidRPr="00D34EFA" w:rsidRDefault="00D34EFA" w:rsidP="00D34EFA">
          <w:pPr>
            <w:tabs>
              <w:tab w:val="right" w:leader="dot" w:pos="9016"/>
            </w:tabs>
            <w:spacing w:after="100"/>
            <w:ind w:left="220"/>
            <w:rPr>
              <w:noProof/>
              <w:color w:val="000000" w:themeColor="text1"/>
              <w:kern w:val="2"/>
              <w14:ligatures w14:val="standardContextual"/>
            </w:rPr>
          </w:pPr>
          <w:hyperlink w:anchor="_Toc224579227" w:history="1">
            <w:r w:rsidRPr="00D34EFA">
              <w:rPr>
                <w:rFonts w:ascii="Times New Roman" w:hAnsi="Times New Roman" w:cs="Times New Roman"/>
                <w:noProof/>
                <w:color w:val="000000" w:themeColor="text1"/>
                <w:kern w:val="2"/>
                <w:u w:val="single"/>
                <w14:ligatures w14:val="standardContextual"/>
              </w:rPr>
              <w:t>Pestel Analysis</w:t>
            </w:r>
            <w:r w:rsidRPr="00D34EFA">
              <w:rPr>
                <w:noProof/>
                <w:webHidden/>
                <w:color w:val="000000" w:themeColor="text1"/>
                <w:kern w:val="2"/>
                <w14:ligatures w14:val="standardContextual"/>
              </w:rPr>
              <w:tab/>
            </w:r>
            <w:r w:rsidRPr="00D34EFA">
              <w:rPr>
                <w:noProof/>
                <w:webHidden/>
                <w:color w:val="000000" w:themeColor="text1"/>
                <w:kern w:val="2"/>
                <w14:ligatures w14:val="standardContextual"/>
              </w:rPr>
              <w:fldChar w:fldCharType="begin"/>
            </w:r>
            <w:r w:rsidRPr="00D34EFA">
              <w:rPr>
                <w:noProof/>
                <w:webHidden/>
                <w:color w:val="000000" w:themeColor="text1"/>
                <w:kern w:val="2"/>
                <w14:ligatures w14:val="standardContextual"/>
              </w:rPr>
              <w:instrText xml:space="preserve"> PAGEREF _Toc224579227 \h </w:instrText>
            </w:r>
            <w:r w:rsidRPr="00D34EFA">
              <w:rPr>
                <w:noProof/>
                <w:webHidden/>
                <w:color w:val="000000" w:themeColor="text1"/>
                <w:kern w:val="2"/>
                <w14:ligatures w14:val="standardContextual"/>
              </w:rPr>
            </w:r>
            <w:r w:rsidRPr="00D34EFA">
              <w:rPr>
                <w:noProof/>
                <w:webHidden/>
                <w:color w:val="000000" w:themeColor="text1"/>
                <w:kern w:val="2"/>
                <w14:ligatures w14:val="standardContextual"/>
              </w:rPr>
              <w:fldChar w:fldCharType="separate"/>
            </w:r>
            <w:r w:rsidR="002B15A2">
              <w:rPr>
                <w:noProof/>
                <w:webHidden/>
                <w:color w:val="000000" w:themeColor="text1"/>
                <w:kern w:val="2"/>
                <w14:ligatures w14:val="standardContextual"/>
              </w:rPr>
              <w:t>7</w:t>
            </w:r>
            <w:r w:rsidRPr="00D34EFA">
              <w:rPr>
                <w:noProof/>
                <w:webHidden/>
                <w:color w:val="000000" w:themeColor="text1"/>
                <w:kern w:val="2"/>
                <w14:ligatures w14:val="standardContextual"/>
              </w:rPr>
              <w:fldChar w:fldCharType="end"/>
            </w:r>
          </w:hyperlink>
        </w:p>
        <w:p w14:paraId="69F1105C" w14:textId="456239C9" w:rsidR="00D34EFA" w:rsidRPr="00D34EFA" w:rsidRDefault="00D34EFA" w:rsidP="00D34EFA">
          <w:pPr>
            <w:tabs>
              <w:tab w:val="right" w:leader="dot" w:pos="9016"/>
            </w:tabs>
            <w:spacing w:after="100"/>
            <w:ind w:left="220"/>
            <w:rPr>
              <w:noProof/>
              <w:color w:val="000000" w:themeColor="text1"/>
              <w:kern w:val="2"/>
              <w14:ligatures w14:val="standardContextual"/>
            </w:rPr>
          </w:pPr>
          <w:hyperlink w:anchor="_Toc224579228" w:history="1">
            <w:r w:rsidRPr="00D34EFA">
              <w:rPr>
                <w:rFonts w:ascii="Times New Roman" w:hAnsi="Times New Roman" w:cs="Times New Roman"/>
                <w:noProof/>
                <w:color w:val="000000" w:themeColor="text1"/>
                <w:kern w:val="2"/>
                <w:u w:val="single"/>
                <w14:ligatures w14:val="standardContextual"/>
              </w:rPr>
              <w:t>Porters Forces</w:t>
            </w:r>
            <w:r w:rsidRPr="00D34EFA">
              <w:rPr>
                <w:noProof/>
                <w:webHidden/>
                <w:color w:val="000000" w:themeColor="text1"/>
                <w:kern w:val="2"/>
                <w14:ligatures w14:val="standardContextual"/>
              </w:rPr>
              <w:tab/>
            </w:r>
            <w:r w:rsidRPr="00D34EFA">
              <w:rPr>
                <w:noProof/>
                <w:webHidden/>
                <w:color w:val="000000" w:themeColor="text1"/>
                <w:kern w:val="2"/>
                <w14:ligatures w14:val="standardContextual"/>
              </w:rPr>
              <w:fldChar w:fldCharType="begin"/>
            </w:r>
            <w:r w:rsidRPr="00D34EFA">
              <w:rPr>
                <w:noProof/>
                <w:webHidden/>
                <w:color w:val="000000" w:themeColor="text1"/>
                <w:kern w:val="2"/>
                <w14:ligatures w14:val="standardContextual"/>
              </w:rPr>
              <w:instrText xml:space="preserve"> PAGEREF _Toc224579228 \h </w:instrText>
            </w:r>
            <w:r w:rsidRPr="00D34EFA">
              <w:rPr>
                <w:noProof/>
                <w:webHidden/>
                <w:color w:val="000000" w:themeColor="text1"/>
                <w:kern w:val="2"/>
                <w14:ligatures w14:val="standardContextual"/>
              </w:rPr>
            </w:r>
            <w:r w:rsidRPr="00D34EFA">
              <w:rPr>
                <w:noProof/>
                <w:webHidden/>
                <w:color w:val="000000" w:themeColor="text1"/>
                <w:kern w:val="2"/>
                <w14:ligatures w14:val="standardContextual"/>
              </w:rPr>
              <w:fldChar w:fldCharType="separate"/>
            </w:r>
            <w:r w:rsidR="002B15A2">
              <w:rPr>
                <w:noProof/>
                <w:webHidden/>
                <w:color w:val="000000" w:themeColor="text1"/>
                <w:kern w:val="2"/>
                <w14:ligatures w14:val="standardContextual"/>
              </w:rPr>
              <w:t>7</w:t>
            </w:r>
            <w:r w:rsidRPr="00D34EFA">
              <w:rPr>
                <w:noProof/>
                <w:webHidden/>
                <w:color w:val="000000" w:themeColor="text1"/>
                <w:kern w:val="2"/>
                <w14:ligatures w14:val="standardContextual"/>
              </w:rPr>
              <w:fldChar w:fldCharType="end"/>
            </w:r>
          </w:hyperlink>
        </w:p>
        <w:p w14:paraId="600D7A61" w14:textId="2537689B" w:rsidR="00D34EFA" w:rsidRPr="00D34EFA" w:rsidRDefault="00D34EFA" w:rsidP="00D34EFA">
          <w:pPr>
            <w:tabs>
              <w:tab w:val="right" w:leader="dot" w:pos="9016"/>
            </w:tabs>
            <w:spacing w:after="100"/>
            <w:ind w:left="220"/>
            <w:rPr>
              <w:noProof/>
              <w:color w:val="000000" w:themeColor="text1"/>
              <w:kern w:val="2"/>
              <w14:ligatures w14:val="standardContextual"/>
            </w:rPr>
          </w:pPr>
          <w:hyperlink w:anchor="_Toc224579229" w:history="1">
            <w:r w:rsidRPr="00D34EFA">
              <w:rPr>
                <w:rFonts w:ascii="Times New Roman" w:hAnsi="Times New Roman" w:cs="Times New Roman"/>
                <w:noProof/>
                <w:color w:val="000000" w:themeColor="text1"/>
                <w:kern w:val="2"/>
                <w:u w:val="single"/>
                <w14:ligatures w14:val="standardContextual"/>
              </w:rPr>
              <w:t>SWOT Analysis</w:t>
            </w:r>
            <w:r w:rsidRPr="00D34EFA">
              <w:rPr>
                <w:noProof/>
                <w:webHidden/>
                <w:color w:val="000000" w:themeColor="text1"/>
                <w:kern w:val="2"/>
                <w14:ligatures w14:val="standardContextual"/>
              </w:rPr>
              <w:tab/>
            </w:r>
            <w:r w:rsidRPr="00D34EFA">
              <w:rPr>
                <w:noProof/>
                <w:webHidden/>
                <w:color w:val="000000" w:themeColor="text1"/>
                <w:kern w:val="2"/>
                <w14:ligatures w14:val="standardContextual"/>
              </w:rPr>
              <w:fldChar w:fldCharType="begin"/>
            </w:r>
            <w:r w:rsidRPr="00D34EFA">
              <w:rPr>
                <w:noProof/>
                <w:webHidden/>
                <w:color w:val="000000" w:themeColor="text1"/>
                <w:kern w:val="2"/>
                <w14:ligatures w14:val="standardContextual"/>
              </w:rPr>
              <w:instrText xml:space="preserve"> PAGEREF _Toc224579229 \h </w:instrText>
            </w:r>
            <w:r w:rsidRPr="00D34EFA">
              <w:rPr>
                <w:noProof/>
                <w:webHidden/>
                <w:color w:val="000000" w:themeColor="text1"/>
                <w:kern w:val="2"/>
                <w14:ligatures w14:val="standardContextual"/>
              </w:rPr>
            </w:r>
            <w:r w:rsidRPr="00D34EFA">
              <w:rPr>
                <w:noProof/>
                <w:webHidden/>
                <w:color w:val="000000" w:themeColor="text1"/>
                <w:kern w:val="2"/>
                <w14:ligatures w14:val="standardContextual"/>
              </w:rPr>
              <w:fldChar w:fldCharType="separate"/>
            </w:r>
            <w:r w:rsidR="002B15A2">
              <w:rPr>
                <w:noProof/>
                <w:webHidden/>
                <w:color w:val="000000" w:themeColor="text1"/>
                <w:kern w:val="2"/>
                <w14:ligatures w14:val="standardContextual"/>
              </w:rPr>
              <w:t>8</w:t>
            </w:r>
            <w:r w:rsidRPr="00D34EFA">
              <w:rPr>
                <w:noProof/>
                <w:webHidden/>
                <w:color w:val="000000" w:themeColor="text1"/>
                <w:kern w:val="2"/>
                <w14:ligatures w14:val="standardContextual"/>
              </w:rPr>
              <w:fldChar w:fldCharType="end"/>
            </w:r>
          </w:hyperlink>
        </w:p>
        <w:p w14:paraId="001CB6BB" w14:textId="7973FF87" w:rsidR="00D34EFA" w:rsidRPr="00D34EFA" w:rsidRDefault="00D34EFA" w:rsidP="00D34EFA">
          <w:pPr>
            <w:tabs>
              <w:tab w:val="right" w:leader="dot" w:pos="9016"/>
            </w:tabs>
            <w:spacing w:after="100"/>
            <w:rPr>
              <w:noProof/>
              <w:color w:val="000000" w:themeColor="text1"/>
              <w:kern w:val="2"/>
              <w14:ligatures w14:val="standardContextual"/>
            </w:rPr>
          </w:pPr>
          <w:hyperlink w:anchor="_Toc224579230" w:history="1">
            <w:r w:rsidRPr="00D34EFA">
              <w:rPr>
                <w:rFonts w:ascii="Times New Roman" w:hAnsi="Times New Roman" w:cs="Times New Roman"/>
                <w:b/>
                <w:bCs/>
                <w:noProof/>
                <w:color w:val="000000" w:themeColor="text1"/>
                <w:kern w:val="2"/>
                <w:u w:val="single"/>
                <w14:ligatures w14:val="standardContextual"/>
              </w:rPr>
              <w:t>Strategy Formulation</w:t>
            </w:r>
            <w:r w:rsidRPr="00D34EFA">
              <w:rPr>
                <w:noProof/>
                <w:webHidden/>
                <w:color w:val="000000" w:themeColor="text1"/>
                <w:kern w:val="2"/>
                <w14:ligatures w14:val="standardContextual"/>
              </w:rPr>
              <w:tab/>
            </w:r>
            <w:r w:rsidRPr="00D34EFA">
              <w:rPr>
                <w:noProof/>
                <w:webHidden/>
                <w:color w:val="000000" w:themeColor="text1"/>
                <w:kern w:val="2"/>
                <w14:ligatures w14:val="standardContextual"/>
              </w:rPr>
              <w:fldChar w:fldCharType="begin"/>
            </w:r>
            <w:r w:rsidRPr="00D34EFA">
              <w:rPr>
                <w:noProof/>
                <w:webHidden/>
                <w:color w:val="000000" w:themeColor="text1"/>
                <w:kern w:val="2"/>
                <w14:ligatures w14:val="standardContextual"/>
              </w:rPr>
              <w:instrText xml:space="preserve"> PAGEREF _Toc224579230 \h </w:instrText>
            </w:r>
            <w:r w:rsidRPr="00D34EFA">
              <w:rPr>
                <w:noProof/>
                <w:webHidden/>
                <w:color w:val="000000" w:themeColor="text1"/>
                <w:kern w:val="2"/>
                <w14:ligatures w14:val="standardContextual"/>
              </w:rPr>
            </w:r>
            <w:r w:rsidRPr="00D34EFA">
              <w:rPr>
                <w:noProof/>
                <w:webHidden/>
                <w:color w:val="000000" w:themeColor="text1"/>
                <w:kern w:val="2"/>
                <w14:ligatures w14:val="standardContextual"/>
              </w:rPr>
              <w:fldChar w:fldCharType="separate"/>
            </w:r>
            <w:r w:rsidR="002B15A2">
              <w:rPr>
                <w:noProof/>
                <w:webHidden/>
                <w:color w:val="000000" w:themeColor="text1"/>
                <w:kern w:val="2"/>
                <w14:ligatures w14:val="standardContextual"/>
              </w:rPr>
              <w:t>9</w:t>
            </w:r>
            <w:r w:rsidRPr="00D34EFA">
              <w:rPr>
                <w:noProof/>
                <w:webHidden/>
                <w:color w:val="000000" w:themeColor="text1"/>
                <w:kern w:val="2"/>
                <w14:ligatures w14:val="standardContextual"/>
              </w:rPr>
              <w:fldChar w:fldCharType="end"/>
            </w:r>
          </w:hyperlink>
        </w:p>
        <w:p w14:paraId="689ACF17" w14:textId="302D63F7" w:rsidR="00D34EFA" w:rsidRPr="00D34EFA" w:rsidRDefault="00D34EFA" w:rsidP="00D34EFA">
          <w:pPr>
            <w:tabs>
              <w:tab w:val="right" w:leader="dot" w:pos="9016"/>
            </w:tabs>
            <w:spacing w:after="100"/>
            <w:rPr>
              <w:noProof/>
              <w:color w:val="000000" w:themeColor="text1"/>
              <w:kern w:val="2"/>
              <w14:ligatures w14:val="standardContextual"/>
            </w:rPr>
          </w:pPr>
          <w:hyperlink w:anchor="_Toc224579231" w:history="1">
            <w:r w:rsidRPr="00D34EFA">
              <w:rPr>
                <w:rFonts w:ascii="Times New Roman" w:hAnsi="Times New Roman" w:cs="Times New Roman"/>
                <w:b/>
                <w:bCs/>
                <w:noProof/>
                <w:color w:val="000000" w:themeColor="text1"/>
                <w:kern w:val="2"/>
                <w:u w:val="single"/>
                <w14:ligatures w14:val="standardContextual"/>
              </w:rPr>
              <w:t>Conclusion and Recommendation</w:t>
            </w:r>
            <w:r w:rsidRPr="00D34EFA">
              <w:rPr>
                <w:noProof/>
                <w:webHidden/>
                <w:color w:val="000000" w:themeColor="text1"/>
                <w:kern w:val="2"/>
                <w14:ligatures w14:val="standardContextual"/>
              </w:rPr>
              <w:tab/>
            </w:r>
            <w:r w:rsidRPr="00D34EFA">
              <w:rPr>
                <w:noProof/>
                <w:webHidden/>
                <w:color w:val="000000" w:themeColor="text1"/>
                <w:kern w:val="2"/>
                <w14:ligatures w14:val="standardContextual"/>
              </w:rPr>
              <w:fldChar w:fldCharType="begin"/>
            </w:r>
            <w:r w:rsidRPr="00D34EFA">
              <w:rPr>
                <w:noProof/>
                <w:webHidden/>
                <w:color w:val="000000" w:themeColor="text1"/>
                <w:kern w:val="2"/>
                <w14:ligatures w14:val="standardContextual"/>
              </w:rPr>
              <w:instrText xml:space="preserve"> PAGEREF _Toc224579231 \h </w:instrText>
            </w:r>
            <w:r w:rsidRPr="00D34EFA">
              <w:rPr>
                <w:noProof/>
                <w:webHidden/>
                <w:color w:val="000000" w:themeColor="text1"/>
                <w:kern w:val="2"/>
                <w14:ligatures w14:val="standardContextual"/>
              </w:rPr>
            </w:r>
            <w:r w:rsidRPr="00D34EFA">
              <w:rPr>
                <w:noProof/>
                <w:webHidden/>
                <w:color w:val="000000" w:themeColor="text1"/>
                <w:kern w:val="2"/>
                <w14:ligatures w14:val="standardContextual"/>
              </w:rPr>
              <w:fldChar w:fldCharType="separate"/>
            </w:r>
            <w:r w:rsidR="002B15A2">
              <w:rPr>
                <w:noProof/>
                <w:webHidden/>
                <w:color w:val="000000" w:themeColor="text1"/>
                <w:kern w:val="2"/>
                <w14:ligatures w14:val="standardContextual"/>
              </w:rPr>
              <w:t>10</w:t>
            </w:r>
            <w:r w:rsidRPr="00D34EFA">
              <w:rPr>
                <w:noProof/>
                <w:webHidden/>
                <w:color w:val="000000" w:themeColor="text1"/>
                <w:kern w:val="2"/>
                <w14:ligatures w14:val="standardContextual"/>
              </w:rPr>
              <w:fldChar w:fldCharType="end"/>
            </w:r>
          </w:hyperlink>
        </w:p>
        <w:p w14:paraId="1607972D" w14:textId="2C0378F1" w:rsidR="00D34EFA" w:rsidRPr="00D34EFA" w:rsidRDefault="00D34EFA" w:rsidP="00D34EFA">
          <w:pPr>
            <w:tabs>
              <w:tab w:val="right" w:leader="dot" w:pos="9016"/>
            </w:tabs>
            <w:spacing w:after="100"/>
            <w:rPr>
              <w:noProof/>
              <w:color w:val="000000" w:themeColor="text1"/>
              <w:kern w:val="2"/>
              <w14:ligatures w14:val="standardContextual"/>
            </w:rPr>
          </w:pPr>
          <w:hyperlink w:anchor="_Toc224579232" w:history="1">
            <w:r w:rsidRPr="00D34EFA">
              <w:rPr>
                <w:rFonts w:ascii="Times New Roman" w:hAnsi="Times New Roman" w:cs="Times New Roman"/>
                <w:b/>
                <w:bCs/>
                <w:noProof/>
                <w:color w:val="000000" w:themeColor="text1"/>
                <w:kern w:val="2"/>
                <w:u w:val="single"/>
                <w14:ligatures w14:val="standardContextual"/>
              </w:rPr>
              <w:t>References</w:t>
            </w:r>
            <w:r w:rsidRPr="00D34EFA">
              <w:rPr>
                <w:noProof/>
                <w:webHidden/>
                <w:color w:val="000000" w:themeColor="text1"/>
                <w:kern w:val="2"/>
                <w14:ligatures w14:val="standardContextual"/>
              </w:rPr>
              <w:tab/>
            </w:r>
            <w:r w:rsidRPr="00D34EFA">
              <w:rPr>
                <w:noProof/>
                <w:webHidden/>
                <w:color w:val="000000" w:themeColor="text1"/>
                <w:kern w:val="2"/>
                <w14:ligatures w14:val="standardContextual"/>
              </w:rPr>
              <w:fldChar w:fldCharType="begin"/>
            </w:r>
            <w:r w:rsidRPr="00D34EFA">
              <w:rPr>
                <w:noProof/>
                <w:webHidden/>
                <w:color w:val="000000" w:themeColor="text1"/>
                <w:kern w:val="2"/>
                <w14:ligatures w14:val="standardContextual"/>
              </w:rPr>
              <w:instrText xml:space="preserve"> PAGEREF _Toc224579232 \h </w:instrText>
            </w:r>
            <w:r w:rsidRPr="00D34EFA">
              <w:rPr>
                <w:noProof/>
                <w:webHidden/>
                <w:color w:val="000000" w:themeColor="text1"/>
                <w:kern w:val="2"/>
                <w14:ligatures w14:val="standardContextual"/>
              </w:rPr>
            </w:r>
            <w:r w:rsidRPr="00D34EFA">
              <w:rPr>
                <w:noProof/>
                <w:webHidden/>
                <w:color w:val="000000" w:themeColor="text1"/>
                <w:kern w:val="2"/>
                <w14:ligatures w14:val="standardContextual"/>
              </w:rPr>
              <w:fldChar w:fldCharType="separate"/>
            </w:r>
            <w:r w:rsidR="002B15A2">
              <w:rPr>
                <w:noProof/>
                <w:webHidden/>
                <w:color w:val="000000" w:themeColor="text1"/>
                <w:kern w:val="2"/>
                <w14:ligatures w14:val="standardContextual"/>
              </w:rPr>
              <w:t>11</w:t>
            </w:r>
            <w:r w:rsidRPr="00D34EFA">
              <w:rPr>
                <w:noProof/>
                <w:webHidden/>
                <w:color w:val="000000" w:themeColor="text1"/>
                <w:kern w:val="2"/>
                <w14:ligatures w14:val="standardContextual"/>
              </w:rPr>
              <w:fldChar w:fldCharType="end"/>
            </w:r>
          </w:hyperlink>
        </w:p>
        <w:p w14:paraId="3C3F57D7" w14:textId="77777777" w:rsidR="00D34EFA" w:rsidRPr="00D34EFA" w:rsidRDefault="00D34EFA" w:rsidP="00D34EFA">
          <w:pPr>
            <w:rPr>
              <w:kern w:val="2"/>
              <w14:ligatures w14:val="standardContextual"/>
            </w:rPr>
          </w:pPr>
          <w:r w:rsidRPr="00D34EFA">
            <w:rPr>
              <w:b/>
              <w:bCs/>
              <w:kern w:val="2"/>
              <w14:ligatures w14:val="standardContextual"/>
            </w:rPr>
            <w:fldChar w:fldCharType="end"/>
          </w:r>
        </w:p>
      </w:sdtContent>
    </w:sdt>
    <w:p w14:paraId="65199950"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221B7379"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1229A188"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62269733"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7D837396"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36F64F8F"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2256E36A"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7A5F1167"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2C2B8997"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1D4A325C"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427AB85B"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78FF5917"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7709C5FB" w14:textId="77777777" w:rsidR="00D34EFA" w:rsidRPr="00D34EFA" w:rsidRDefault="00D34EFA" w:rsidP="00D34EFA">
      <w:pPr>
        <w:keepNext/>
        <w:keepLines/>
        <w:spacing w:before="360" w:after="80" w:line="360" w:lineRule="auto"/>
        <w:outlineLvl w:val="0"/>
        <w:rPr>
          <w:rFonts w:ascii="Times New Roman" w:eastAsiaTheme="majorEastAsia" w:hAnsi="Times New Roman" w:cs="Times New Roman"/>
          <w:b/>
          <w:bCs/>
          <w:color w:val="000000" w:themeColor="text1"/>
          <w:kern w:val="2"/>
          <w:sz w:val="24"/>
          <w:szCs w:val="24"/>
          <w14:ligatures w14:val="standardContextual"/>
        </w:rPr>
      </w:pPr>
      <w:bookmarkStart w:id="0" w:name="_Toc224579222"/>
      <w:r w:rsidRPr="00D34EFA">
        <w:rPr>
          <w:rFonts w:ascii="Times New Roman" w:eastAsiaTheme="majorEastAsia" w:hAnsi="Times New Roman" w:cs="Times New Roman"/>
          <w:b/>
          <w:bCs/>
          <w:color w:val="000000" w:themeColor="text1"/>
          <w:kern w:val="2"/>
          <w:sz w:val="24"/>
          <w:szCs w:val="24"/>
          <w14:ligatures w14:val="standardContextual"/>
        </w:rPr>
        <w:lastRenderedPageBreak/>
        <w:t>Introduction to Strategy</w:t>
      </w:r>
      <w:bookmarkEnd w:id="0"/>
    </w:p>
    <w:p w14:paraId="4CFD2D7C"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Strategic management involves the planning of an organization, analysing its environment, allocating authority around resource management to take advantage of the opportunities and threats in its environment to make long-term decisions that will provide the organization with stability. Understanding the significance of a strategic management process allows firms to make informed decisions regarding resource allocation and to develop the management capabilities that provide them with a competitive advantage. Strategic management is of great importance for firms that compete in a rapidly developing industry. Strategic management provides them with a great deal of direction during periods of turbulence and allows them to adapt to these challenges. Furthermore, customers matter even more in the automotive industry than they did before in aspects such as the use of electric vehicles, software, connectivity, and sustainability (Grant, 2022; Johnson et. al., 2020).</w:t>
      </w:r>
    </w:p>
    <w:p w14:paraId="27C6DF44"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The design of automobiles today is undergoing a technological and structural restructuring. There are a variety of different factors that will allow electric vehicles to take the automotive industry by the horns once the supply chains for batteries are established (IEA 2025). These various factors will force a change in the business models that the car manufacturers use. The focus of this report will be to provide an analysis of Toyota Motor Corporation and to formulate a strategy that will ensure the future competitiveness of its vehicles. The reason that the automotive manufacturer being analysed in this paper is Toyota Motor Corporation is due to the company’s long-standing reputation for manufacturing high-quality automobiles while also adapting its manufacturing processes to the demands of the industry to produce electric and software-defined vehicles. </w:t>
      </w:r>
    </w:p>
    <w:p w14:paraId="136FF8CA"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The report will include sections that discuss the company’s background, strategic intent, the company’s current performance, an analysis of its external and internal environments, followed by a segmentation of the strategy formulation process and recommendations. This so-called iceberg structure will allow the report to develop in a linear structure from one section to the next (Toyota Motor Corporation, 2025a; Toyota Motor Corporation, 2025b).</w:t>
      </w:r>
    </w:p>
    <w:p w14:paraId="49A822FE" w14:textId="77777777" w:rsidR="00D34EFA" w:rsidRPr="00D34EFA" w:rsidRDefault="00D34EFA" w:rsidP="00D34EFA">
      <w:pPr>
        <w:keepNext/>
        <w:keepLines/>
        <w:spacing w:before="360" w:after="80" w:line="360" w:lineRule="auto"/>
        <w:outlineLvl w:val="0"/>
        <w:rPr>
          <w:rFonts w:ascii="Times New Roman" w:eastAsiaTheme="majorEastAsia" w:hAnsi="Times New Roman" w:cs="Times New Roman"/>
          <w:b/>
          <w:bCs/>
          <w:color w:val="000000" w:themeColor="text1"/>
          <w:kern w:val="2"/>
          <w:sz w:val="24"/>
          <w:szCs w:val="24"/>
          <w14:ligatures w14:val="standardContextual"/>
        </w:rPr>
      </w:pPr>
      <w:bookmarkStart w:id="1" w:name="_Toc224579223"/>
      <w:r w:rsidRPr="00D34EFA">
        <w:rPr>
          <w:rFonts w:ascii="Times New Roman" w:eastAsiaTheme="majorEastAsia" w:hAnsi="Times New Roman" w:cs="Times New Roman"/>
          <w:b/>
          <w:bCs/>
          <w:color w:val="000000" w:themeColor="text1"/>
          <w:kern w:val="2"/>
          <w:sz w:val="24"/>
          <w:szCs w:val="24"/>
          <w14:ligatures w14:val="standardContextual"/>
        </w:rPr>
        <w:t>Overview and Background of the Firm</w:t>
      </w:r>
      <w:bookmarkEnd w:id="1"/>
    </w:p>
    <w:p w14:paraId="52533A4C"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Toyoda Motor Corporation is a Japanese multinational automotive manufacturer headquartered in Toyota City, Aichi, Japan. While the company is mainly engaged in the </w:t>
      </w:r>
      <w:r w:rsidRPr="00D34EFA">
        <w:rPr>
          <w:rFonts w:ascii="Times New Roman" w:eastAsia="Times New Roman" w:hAnsi="Times New Roman" w:cs="Times New Roman"/>
          <w:sz w:val="24"/>
          <w:szCs w:val="24"/>
          <w:lang w:eastAsia="en-GB"/>
        </w:rPr>
        <w:lastRenderedPageBreak/>
        <w:t>manufacturing of automobiles, its activities also include financial services, connected mobility, and software-related development and other aspects of mobility. Toyota Motor Corporation manufactures a variety of car types, including conventional petrol cars, hybrid cars, plug-in hybrid cars, electric cars, and hydrogen fuel-cell cars (Toyota Motor Corporation, 2025b). Additionally, the company operates one of the largest distribution networks for automobiles in the world. It maintains long-term relationships with its suppliers of automobiles as well as automobile dealers in different parts of the world.</w:t>
      </w:r>
    </w:p>
    <w:p w14:paraId="5DF04F26"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Until now, Toyota Motor Corporation has mainly been known for the reliability, quality, and lean production processes of its automobiles. The company’s Toyota Production System, or TPS, has become a symbol of operational excellence in manufacturing processes and remains the central component of Toyota’s corporate identity (Liker, 2021). In recent years, however, Toyota has been marketing itself as more than an automobile manufacturer. The company markets itself as a mobility company that seeks to meet the needs of society today. This evolution in the company’s corporate philosophy and reporting systems demonstrates the shift away from manufacturing vehicles to manufacturing mobility values (Toyota Motor Corporation, 2025b; Toyota Motor Corporation, 2025c). For these reasons, Toyota is the most relevant case study in the analysis of this </w:t>
      </w:r>
      <w:proofErr w:type="gramStart"/>
      <w:r w:rsidRPr="00D34EFA">
        <w:rPr>
          <w:rFonts w:ascii="Times New Roman" w:eastAsia="Times New Roman" w:hAnsi="Times New Roman" w:cs="Times New Roman"/>
          <w:sz w:val="24"/>
          <w:szCs w:val="24"/>
          <w:lang w:eastAsia="en-GB"/>
        </w:rPr>
        <w:t>topic in particular</w:t>
      </w:r>
      <w:proofErr w:type="gramEnd"/>
      <w:r w:rsidRPr="00D34EFA">
        <w:rPr>
          <w:rFonts w:ascii="Times New Roman" w:eastAsia="Times New Roman" w:hAnsi="Times New Roman" w:cs="Times New Roman"/>
          <w:sz w:val="24"/>
          <w:szCs w:val="24"/>
          <w:lang w:eastAsia="en-GB"/>
        </w:rPr>
        <w:t>.</w:t>
      </w:r>
    </w:p>
    <w:p w14:paraId="671940F7" w14:textId="77777777" w:rsidR="00D34EFA" w:rsidRPr="00D34EFA" w:rsidRDefault="00D34EFA" w:rsidP="00D34EFA">
      <w:pPr>
        <w:keepNext/>
        <w:keepLines/>
        <w:spacing w:before="360" w:after="80" w:line="360" w:lineRule="auto"/>
        <w:outlineLvl w:val="0"/>
        <w:rPr>
          <w:rFonts w:ascii="Times New Roman" w:eastAsiaTheme="majorEastAsia" w:hAnsi="Times New Roman" w:cs="Times New Roman"/>
          <w:b/>
          <w:bCs/>
          <w:color w:val="000000" w:themeColor="text1"/>
          <w:kern w:val="2"/>
          <w:sz w:val="24"/>
          <w:szCs w:val="24"/>
          <w14:ligatures w14:val="standardContextual"/>
        </w:rPr>
      </w:pPr>
      <w:bookmarkStart w:id="2" w:name="_Toc224579224"/>
      <w:r w:rsidRPr="00D34EFA">
        <w:rPr>
          <w:rFonts w:ascii="Times New Roman" w:eastAsiaTheme="majorEastAsia" w:hAnsi="Times New Roman" w:cs="Times New Roman"/>
          <w:b/>
          <w:bCs/>
          <w:color w:val="000000" w:themeColor="text1"/>
          <w:kern w:val="2"/>
          <w:sz w:val="24"/>
          <w:szCs w:val="24"/>
          <w14:ligatures w14:val="standardContextual"/>
        </w:rPr>
        <w:t>Strategic Intent</w:t>
      </w:r>
      <w:bookmarkEnd w:id="2"/>
    </w:p>
    <w:p w14:paraId="4EDE2D9B"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Toyota’s formal philosophy incorporates the following statements regarding the company’s mission and vision: that its mission is to “Producing Happiness for All” and that its vision is to “Creating Mobility for All" (Toyota Motor Corporation, 2025c). Each of these statements indicates that Toyota intends to produce more than simply cars for consumers. Instead, it intends to provide to the consumers of its vehicles the value of safety, responsibility, and accessibility. Furthermore, Toyota’s vision more explicitly states that the company intends to “lead the future mobility society” in the world with its commitment to quality, innovation, and respect for the planet in which society exists (Toyota Motor Corporation 2025d).</w:t>
      </w:r>
    </w:p>
    <w:p w14:paraId="3C886009"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As a result, Toyota has established as its objectives the efforts of electrification of its vehicles, improving mobility for all individuals in society, innovating in the production of its vehicles, and contributing to society accordingly. Furthermore, in discussing sustainability, Toyota states that its mission is to provide for the sustainable development of both society and the company itself (Toyota Motor Corporation, 2025e). </w:t>
      </w:r>
    </w:p>
    <w:p w14:paraId="56D9131C" w14:textId="77777777" w:rsidR="00D34EFA" w:rsidRPr="00D34EFA" w:rsidRDefault="00D34EFA" w:rsidP="00D34EFA">
      <w:pPr>
        <w:keepNext/>
        <w:keepLines/>
        <w:spacing w:before="360" w:after="80" w:line="360" w:lineRule="auto"/>
        <w:outlineLvl w:val="0"/>
        <w:rPr>
          <w:rFonts w:ascii="Times New Roman" w:eastAsiaTheme="majorEastAsia" w:hAnsi="Times New Roman" w:cs="Times New Roman"/>
          <w:b/>
          <w:bCs/>
          <w:color w:val="000000" w:themeColor="text1"/>
          <w:kern w:val="2"/>
          <w:sz w:val="24"/>
          <w:szCs w:val="24"/>
          <w14:ligatures w14:val="standardContextual"/>
        </w:rPr>
      </w:pPr>
      <w:bookmarkStart w:id="3" w:name="_Toc224579225"/>
      <w:r w:rsidRPr="00D34EFA">
        <w:rPr>
          <w:rFonts w:ascii="Times New Roman" w:eastAsiaTheme="majorEastAsia" w:hAnsi="Times New Roman" w:cs="Times New Roman"/>
          <w:b/>
          <w:bCs/>
          <w:color w:val="000000" w:themeColor="text1"/>
          <w:kern w:val="2"/>
          <w:sz w:val="24"/>
          <w:szCs w:val="24"/>
          <w14:ligatures w14:val="standardContextual"/>
        </w:rPr>
        <w:lastRenderedPageBreak/>
        <w:t>The Company’s Current Performance</w:t>
      </w:r>
      <w:bookmarkEnd w:id="3"/>
    </w:p>
    <w:p w14:paraId="60BEEAD8"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Considering how Toyota is executing operationally and financially, the automotive segment in particular achieved revenues of ¥43,199.8 billion and operating income of ¥3,940.2 billion during fiscal year 2025 (Toyota Motor Corporation, 2025a); and Toyota Motor Corporation reported overall operating incomes of 4.8 trillion yen for its fiscal year ending March 2025 (Toyota Motor Corporation, 2025f). These financial results demonstrate the company’s continued successes as one of the world’s largest and most profitable automotive groups. More importantly, these high profit margins allow the company to continue to invest in and develop their batteries, software and AI technologies, and even building fabs in other countries.</w:t>
      </w:r>
    </w:p>
    <w:p w14:paraId="174439DC"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However, just because Toyota is experiencing such significant successes with its current operations, it does not indicate how successful the company will be in the future. With the automotive industry shifting into electric vehicles, software, and other digital models of business (IEA, 2025; Sterk et al., 2024), Toyota recently announced the launch of the Arene software platform for its all-new RAV4 models, allowing the company to enter into the production of “software defined” vehicles with new features that are supported by software and customer services within the vehicles (Woven by Toyota 2025). The ability of the company to profit in the future will not just come from the sale of the vehicles, but also from the ability to create digital revenues from those vehicles.</w:t>
      </w:r>
    </w:p>
    <w:p w14:paraId="2F6C7B26"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Thus, while Toyota continues to experience successes in its current </w:t>
      </w:r>
      <w:proofErr w:type="spellStart"/>
      <w:r w:rsidRPr="00D34EFA">
        <w:rPr>
          <w:rFonts w:ascii="Times New Roman" w:eastAsia="Times New Roman" w:hAnsi="Times New Roman" w:cs="Times New Roman"/>
          <w:sz w:val="24"/>
          <w:szCs w:val="24"/>
          <w:lang w:eastAsia="en-GB"/>
        </w:rPr>
        <w:t>automake</w:t>
      </w:r>
      <w:proofErr w:type="spellEnd"/>
      <w:r w:rsidRPr="00D34EFA">
        <w:rPr>
          <w:rFonts w:ascii="Times New Roman" w:eastAsia="Times New Roman" w:hAnsi="Times New Roman" w:cs="Times New Roman"/>
          <w:sz w:val="24"/>
          <w:szCs w:val="24"/>
          <w:lang w:eastAsia="en-GB"/>
        </w:rPr>
        <w:t>, the sustainability of those successes will be dependent upon the company’s abilities in both the current market and in the future in relation to their growing focus on software, electric vehicles, and digital models of service within their vehicles (Toyota Motor Corporation, 2025a; IEA, 2025).</w:t>
      </w:r>
    </w:p>
    <w:p w14:paraId="6FBD2C8E"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476335ED" w14:textId="77777777" w:rsidR="00D34EFA" w:rsidRPr="00D34EFA" w:rsidRDefault="00D34EFA" w:rsidP="00D34EFA">
      <w:pPr>
        <w:keepNext/>
        <w:keepLines/>
        <w:spacing w:before="360" w:after="80" w:line="360" w:lineRule="auto"/>
        <w:outlineLvl w:val="0"/>
        <w:rPr>
          <w:rFonts w:ascii="Times New Roman" w:eastAsiaTheme="majorEastAsia" w:hAnsi="Times New Roman" w:cs="Times New Roman"/>
          <w:b/>
          <w:bCs/>
          <w:color w:val="000000" w:themeColor="text1"/>
          <w:kern w:val="2"/>
          <w:sz w:val="24"/>
          <w:szCs w:val="24"/>
          <w14:ligatures w14:val="standardContextual"/>
        </w:rPr>
      </w:pPr>
      <w:bookmarkStart w:id="4" w:name="_Toc224579226"/>
      <w:r w:rsidRPr="00D34EFA">
        <w:rPr>
          <w:rFonts w:ascii="Times New Roman" w:eastAsiaTheme="majorEastAsia" w:hAnsi="Times New Roman" w:cs="Times New Roman"/>
          <w:b/>
          <w:bCs/>
          <w:color w:val="000000" w:themeColor="text1"/>
          <w:kern w:val="2"/>
          <w:sz w:val="24"/>
          <w:szCs w:val="24"/>
          <w14:ligatures w14:val="standardContextual"/>
        </w:rPr>
        <w:lastRenderedPageBreak/>
        <w:t>Strategy Analysis</w:t>
      </w:r>
      <w:bookmarkEnd w:id="4"/>
    </w:p>
    <w:p w14:paraId="4418A621" w14:textId="77777777" w:rsidR="00D34EFA" w:rsidRPr="00D34EFA" w:rsidRDefault="00D34EFA" w:rsidP="00D34EFA">
      <w:pPr>
        <w:keepNext/>
        <w:keepLines/>
        <w:spacing w:before="160" w:after="80" w:line="360" w:lineRule="auto"/>
        <w:outlineLvl w:val="1"/>
        <w:rPr>
          <w:rFonts w:ascii="Times New Roman" w:eastAsiaTheme="majorEastAsia" w:hAnsi="Times New Roman" w:cs="Times New Roman"/>
          <w:i/>
          <w:iCs/>
          <w:color w:val="000000" w:themeColor="text1"/>
          <w:kern w:val="2"/>
          <w:sz w:val="24"/>
          <w:szCs w:val="24"/>
          <w14:ligatures w14:val="standardContextual"/>
        </w:rPr>
      </w:pPr>
      <w:bookmarkStart w:id="5" w:name="_Toc224579227"/>
      <w:r w:rsidRPr="00D34EFA">
        <w:rPr>
          <w:rFonts w:ascii="Times New Roman" w:eastAsiaTheme="majorEastAsia" w:hAnsi="Times New Roman" w:cs="Times New Roman"/>
          <w:i/>
          <w:iCs/>
          <w:color w:val="000000" w:themeColor="text1"/>
          <w:kern w:val="2"/>
          <w:sz w:val="24"/>
          <w:szCs w:val="24"/>
          <w14:ligatures w14:val="standardContextual"/>
        </w:rPr>
        <w:t>Pestel Analysis</w:t>
      </w:r>
      <w:bookmarkEnd w:id="5"/>
    </w:p>
    <w:p w14:paraId="00AA2273"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A PESTEL and a Porter’s Five Forces analysis for Toyota Motor Corporation highlights its external environment. The governments of the world are turning their attention to electric mobility, battery systems, and environmental standards. </w:t>
      </w:r>
    </w:p>
    <w:p w14:paraId="19F83CD1"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The need for cars and transportations to align with these new environmental standards means that in studies such as the International Energy Agency (IEA) report of 2025, the automakers of the world are required to consider factors beyond demand for their vehicles. </w:t>
      </w:r>
    </w:p>
    <w:p w14:paraId="6341E9C1"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The economic environment for the automobile and EV industries is still quite vulnerable to inflation, geopolitical tensions between nations, and a lack of available critical components for the manufacture of electric vehicles. </w:t>
      </w:r>
    </w:p>
    <w:p w14:paraId="72B16F8F"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Socially, consumers are demanding more features within their vehicles, such as cleaner, safer, and digitally connected vehicles with digital support systems to assist them in their driving efforts. </w:t>
      </w:r>
    </w:p>
    <w:p w14:paraId="1C11AC66"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Digitally, the connected car business model and the integration of artificial intelligence into the manufacturing of automobiles is the focus of research studies. Publications on the topic of connected cars indicate that research regarding the business models of these vehicles has revealed archetypes in their function, such as the provision of remote diagnostics, predictive maintenance for vehicles, in-vehicle connectivity and infotainment systems, and the management of fleets of vehicles to increase efficiency (Sterk et al., 2024). </w:t>
      </w:r>
    </w:p>
    <w:p w14:paraId="6D0F8ACF"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Thus, while Toyota may have the manufacturing and engineering expertise to produce the vehicles that consumers desire, the company must incorporate digital technologies into the creation of its vehicles.</w:t>
      </w:r>
    </w:p>
    <w:p w14:paraId="084D2B87"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138B8521" w14:textId="77777777" w:rsidR="00D34EFA" w:rsidRPr="00D34EFA" w:rsidRDefault="00D34EFA" w:rsidP="00D34EFA">
      <w:pPr>
        <w:keepNext/>
        <w:keepLines/>
        <w:spacing w:before="160" w:after="80" w:line="360" w:lineRule="auto"/>
        <w:outlineLvl w:val="1"/>
        <w:rPr>
          <w:rFonts w:ascii="Times New Roman" w:eastAsia="Times New Roman" w:hAnsi="Times New Roman" w:cs="Times New Roman"/>
          <w:i/>
          <w:iCs/>
          <w:color w:val="000000" w:themeColor="text1"/>
          <w:sz w:val="24"/>
          <w:szCs w:val="24"/>
          <w:lang w:eastAsia="en-GB"/>
        </w:rPr>
      </w:pPr>
      <w:bookmarkStart w:id="6" w:name="_Toc224579228"/>
      <w:r w:rsidRPr="00D34EFA">
        <w:rPr>
          <w:rFonts w:ascii="Times New Roman" w:eastAsiaTheme="majorEastAsia" w:hAnsi="Times New Roman" w:cs="Times New Roman"/>
          <w:i/>
          <w:iCs/>
          <w:color w:val="000000" w:themeColor="text1"/>
          <w:kern w:val="2"/>
          <w:sz w:val="24"/>
          <w:szCs w:val="24"/>
          <w14:ligatures w14:val="standardContextual"/>
        </w:rPr>
        <w:t>Porters Forces</w:t>
      </w:r>
      <w:bookmarkEnd w:id="6"/>
    </w:p>
    <w:p w14:paraId="6A7F0778"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Porter’s Five Forces analysis also reveals that the automotive industry in which Toyota competes is very demanding of the companies that participate in it. The competition within </w:t>
      </w:r>
      <w:r w:rsidRPr="00D34EFA">
        <w:rPr>
          <w:rFonts w:ascii="Times New Roman" w:eastAsia="Times New Roman" w:hAnsi="Times New Roman" w:cs="Times New Roman"/>
          <w:sz w:val="24"/>
          <w:szCs w:val="24"/>
          <w:lang w:eastAsia="en-GB"/>
        </w:rPr>
        <w:lastRenderedPageBreak/>
        <w:t xml:space="preserve">the automotive and EV industries is particularly intense, as there are both traditional automakers as well as companies that have dedicated their efforts to electric vehicles. </w:t>
      </w:r>
    </w:p>
    <w:p w14:paraId="264E878C"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Additionally, companies that produce electric vehicles share many of the same components and components within their vehicles, increasing the power of the buyers within the market. Furthermore, electric vehicles still rely upon some of the same suppliers and components as conventional vehicles, increasing the power of those suppliers. </w:t>
      </w:r>
    </w:p>
    <w:p w14:paraId="2DB2D07D"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Additionally, while the entry barriers into the automotive industry are high due to the cost of building the manufacturing facilities that are required, the entry of companies with software and electric vehicle expertise as competitors into the market indicates that the barriers to entry have been overcome in the past in ways that they have never existed before. </w:t>
      </w:r>
    </w:p>
    <w:p w14:paraId="3FF521F4"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Finally, the threat of substitutes for vehicles from companies like Toyota is also increasing due to the growth of companies that provide mobility services and adaptations to urban transportations. The industry, therefore, is competitive in many aspects, but the competition requires that companies have both a high level of scale in their organizations as well as be able to quickly and efficiently respond to new developments in technology within the industry (IEA, 2025; Ramos and Ruiz-Gálvez, 2024).</w:t>
      </w:r>
    </w:p>
    <w:p w14:paraId="3A245F9D" w14:textId="77777777" w:rsidR="00D34EFA" w:rsidRPr="00D34EFA" w:rsidRDefault="00D34EFA" w:rsidP="00D34EFA">
      <w:pPr>
        <w:keepNext/>
        <w:keepLines/>
        <w:spacing w:before="160" w:after="80" w:line="360" w:lineRule="auto"/>
        <w:outlineLvl w:val="1"/>
        <w:rPr>
          <w:rFonts w:ascii="Times New Roman" w:eastAsia="Times New Roman" w:hAnsi="Times New Roman" w:cs="Times New Roman"/>
          <w:i/>
          <w:iCs/>
          <w:color w:val="000000" w:themeColor="text1"/>
          <w:sz w:val="24"/>
          <w:szCs w:val="24"/>
          <w:lang w:eastAsia="en-GB"/>
        </w:rPr>
      </w:pPr>
      <w:bookmarkStart w:id="7" w:name="_Toc224579229"/>
      <w:r w:rsidRPr="00D34EFA">
        <w:rPr>
          <w:rFonts w:ascii="Times New Roman" w:eastAsiaTheme="majorEastAsia" w:hAnsi="Times New Roman" w:cs="Times New Roman"/>
          <w:i/>
          <w:iCs/>
          <w:color w:val="000000" w:themeColor="text1"/>
          <w:kern w:val="2"/>
          <w:sz w:val="24"/>
          <w:szCs w:val="24"/>
          <w14:ligatures w14:val="standardContextual"/>
        </w:rPr>
        <w:t>SWOT Analysis</w:t>
      </w:r>
      <w:bookmarkEnd w:id="7"/>
    </w:p>
    <w:p w14:paraId="2074D8F0"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However, Toyota also possesses </w:t>
      </w:r>
      <w:proofErr w:type="gramStart"/>
      <w:r w:rsidRPr="00D34EFA">
        <w:rPr>
          <w:rFonts w:ascii="Times New Roman" w:eastAsia="Times New Roman" w:hAnsi="Times New Roman" w:cs="Times New Roman"/>
          <w:sz w:val="24"/>
          <w:szCs w:val="24"/>
          <w:lang w:eastAsia="en-GB"/>
        </w:rPr>
        <w:t>a number of</w:t>
      </w:r>
      <w:proofErr w:type="gramEnd"/>
      <w:r w:rsidRPr="00D34EFA">
        <w:rPr>
          <w:rFonts w:ascii="Times New Roman" w:eastAsia="Times New Roman" w:hAnsi="Times New Roman" w:cs="Times New Roman"/>
          <w:sz w:val="24"/>
          <w:szCs w:val="24"/>
          <w:lang w:eastAsia="en-GB"/>
        </w:rPr>
        <w:t xml:space="preserve"> internal strengths. Its reputation, financial abilities, manufacturing system, distribution system, and experience with hybrid vehicles are all major strengths of the company (Barney and Hesterly, 2021; Liker, 2021). Furthermore, its ability to produce high volumes of vehicles at a high level of quality supports its reputation and strength within the organization. Finally, its variety of in-house vehicles allows the company to adjust to economic conditions in different parts of the world, as some regions may be experiencing an increase in the demand for hybrid vehicles while others are seeing an increase in the demand for battery electric vehicles (BEVs).</w:t>
      </w:r>
    </w:p>
    <w:p w14:paraId="3DB32CEE"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Yet, Toyota also has some weaknesses. One weakness of Toyota is that it </w:t>
      </w:r>
      <w:proofErr w:type="gramStart"/>
      <w:r w:rsidRPr="00D34EFA">
        <w:rPr>
          <w:rFonts w:ascii="Times New Roman" w:eastAsia="Times New Roman" w:hAnsi="Times New Roman" w:cs="Times New Roman"/>
          <w:sz w:val="24"/>
          <w:szCs w:val="24"/>
          <w:lang w:eastAsia="en-GB"/>
        </w:rPr>
        <w:t>is considered to be</w:t>
      </w:r>
      <w:proofErr w:type="gramEnd"/>
      <w:r w:rsidRPr="00D34EFA">
        <w:rPr>
          <w:rFonts w:ascii="Times New Roman" w:eastAsia="Times New Roman" w:hAnsi="Times New Roman" w:cs="Times New Roman"/>
          <w:sz w:val="24"/>
          <w:szCs w:val="24"/>
          <w:lang w:eastAsia="en-GB"/>
        </w:rPr>
        <w:t xml:space="preserve"> relatively slow in the production and development of fully battery electric vehicles, and in the creation of software-first vehicle architectures (IEA, 2025; Wang et al., 2024). Furthermore, while such a multi-pathway strategy provides flexibility for the company, there is the </w:t>
      </w:r>
      <w:r w:rsidRPr="00D34EFA">
        <w:rPr>
          <w:rFonts w:ascii="Times New Roman" w:eastAsia="Times New Roman" w:hAnsi="Times New Roman" w:cs="Times New Roman"/>
          <w:sz w:val="24"/>
          <w:szCs w:val="24"/>
          <w:lang w:eastAsia="en-GB"/>
        </w:rPr>
        <w:lastRenderedPageBreak/>
        <w:t xml:space="preserve">potential weakness of a lack of focus; competitors that are dedicated to one area or product type have a competitive advantage over Toyota in that they can focus their efforts and resources on learning of customer needs and fulfilling those demands with each product that they create. </w:t>
      </w:r>
    </w:p>
    <w:p w14:paraId="1DCF73B7"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Additionally, while the company has developed Arene, internal research and development publications suggest that the software-defined vehicles that are being developed by Toyota are still in a period of transition to become a major part of its design and manufacturing processes (Woven by Toyota; 2025). Nonetheless, the company has a variety of opportunities. The increase in demand for electric vehicles, connected services, artificial intelligence in the manufacturing processes, localisation of battery and components manufacturing facilities, and the increase in the number of partnerships with companies that can lower the cost and risk of developing software and battery technology are all potential opportunities for the company (IEA, 2025; Ramos and Ruiz-Gálvez, 2024). </w:t>
      </w:r>
    </w:p>
    <w:p w14:paraId="3A96F15F"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4BB6A4B3" w14:textId="77777777" w:rsidR="00D34EFA" w:rsidRPr="00D34EFA" w:rsidRDefault="00D34EFA" w:rsidP="00D34EFA">
      <w:pPr>
        <w:keepNext/>
        <w:keepLines/>
        <w:spacing w:before="360" w:after="80" w:line="360" w:lineRule="auto"/>
        <w:outlineLvl w:val="0"/>
        <w:rPr>
          <w:rFonts w:ascii="Times New Roman" w:eastAsiaTheme="majorEastAsia" w:hAnsi="Times New Roman" w:cs="Times New Roman"/>
          <w:b/>
          <w:bCs/>
          <w:color w:val="000000" w:themeColor="text1"/>
          <w:kern w:val="2"/>
          <w:sz w:val="24"/>
          <w:szCs w:val="24"/>
          <w14:ligatures w14:val="standardContextual"/>
        </w:rPr>
      </w:pPr>
      <w:bookmarkStart w:id="8" w:name="_Toc224579230"/>
      <w:r w:rsidRPr="00D34EFA">
        <w:rPr>
          <w:rFonts w:ascii="Times New Roman" w:eastAsiaTheme="majorEastAsia" w:hAnsi="Times New Roman" w:cs="Times New Roman"/>
          <w:b/>
          <w:bCs/>
          <w:color w:val="000000" w:themeColor="text1"/>
          <w:kern w:val="2"/>
          <w:sz w:val="24"/>
          <w:szCs w:val="24"/>
          <w14:ligatures w14:val="standardContextual"/>
        </w:rPr>
        <w:t>Strategy Formulation</w:t>
      </w:r>
      <w:bookmarkEnd w:id="8"/>
    </w:p>
    <w:p w14:paraId="38D9430A"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For Toyota, the best path forward would be to focus on software-centric electrification through localised battery production and flexible manufacturing initiatives. This strategy focuses upon current industry trends, as well as the company’s own peculiar strengths and weaknesses. Based on available knowledge, Toyota will be able to continue benefiting from its wide range of technology. However, it will have to focus more on electric vehicle batteries and software-centric </w:t>
      </w:r>
      <w:proofErr w:type="gramStart"/>
      <w:r w:rsidRPr="00D34EFA">
        <w:rPr>
          <w:rFonts w:ascii="Times New Roman" w:eastAsia="Times New Roman" w:hAnsi="Times New Roman" w:cs="Times New Roman"/>
          <w:sz w:val="24"/>
          <w:szCs w:val="24"/>
          <w:lang w:eastAsia="en-GB"/>
        </w:rPr>
        <w:t>vehicles in particular</w:t>
      </w:r>
      <w:proofErr w:type="gramEnd"/>
      <w:r w:rsidRPr="00D34EFA">
        <w:rPr>
          <w:rFonts w:ascii="Times New Roman" w:eastAsia="Times New Roman" w:hAnsi="Times New Roman" w:cs="Times New Roman"/>
          <w:sz w:val="24"/>
          <w:szCs w:val="24"/>
          <w:lang w:eastAsia="en-GB"/>
        </w:rPr>
        <w:t>. While the company can continue to invest in its existing lines of vehicles, it should shift its resources towards those vehicle types that are likely to create the most value for the company in the future.</w:t>
      </w:r>
    </w:p>
    <w:p w14:paraId="01EDB293"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One of the best methods of achieving this for Toyota would be to spread the use of Arene and its digital ecosystem across as many car lines as possible. This would allow for the company to expand the use of over the air updates, digital customer services, predictive maintenance capabilities, safety features, and generate recurring revenue from its vehicles (Woven by Toyota 2025; Sterk et al. 2024). Additionally, Toyota must continue localising its batteries as much as possible. </w:t>
      </w:r>
    </w:p>
    <w:p w14:paraId="16E86003"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lastRenderedPageBreak/>
        <w:t xml:space="preserve">The research into the EV battery value chain indicates that improving sustainability efforts will require a shift towards localised production of batteries which would allow for their components to be sourced and recycled more sustainably (Niri et al., 2024). Finally, with the uncertainty of demand for internal combustion, hybrid, and electric vehicle lines in the future, adopting flexible manufacturing methods for these lines will benefit the company in the long run. Through the creation of software, AI, and other technological advancements and partnerships within the automotive and mobility industry, Toyota can also share risks in developing these technologies and improving its inhouse capabilities in these areas. Overall, such a strategy is founded in the company’s existing capabilities and </w:t>
      </w:r>
      <w:proofErr w:type="gramStart"/>
      <w:r w:rsidRPr="00D34EFA">
        <w:rPr>
          <w:rFonts w:ascii="Times New Roman" w:eastAsia="Times New Roman" w:hAnsi="Times New Roman" w:cs="Times New Roman"/>
          <w:sz w:val="24"/>
          <w:szCs w:val="24"/>
          <w:lang w:eastAsia="en-GB"/>
        </w:rPr>
        <w:t>resources, and</w:t>
      </w:r>
      <w:proofErr w:type="gramEnd"/>
      <w:r w:rsidRPr="00D34EFA">
        <w:rPr>
          <w:rFonts w:ascii="Times New Roman" w:eastAsia="Times New Roman" w:hAnsi="Times New Roman" w:cs="Times New Roman"/>
          <w:sz w:val="24"/>
          <w:szCs w:val="24"/>
          <w:lang w:eastAsia="en-GB"/>
        </w:rPr>
        <w:t xml:space="preserve"> aims to rectify the major weakness of Toyota’s capabilities for the future – performing well as both an industrial and digital mobility company.</w:t>
      </w:r>
    </w:p>
    <w:p w14:paraId="6BB805D1"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p>
    <w:p w14:paraId="0DC412A6" w14:textId="77777777" w:rsidR="00D34EFA" w:rsidRPr="00D34EFA" w:rsidRDefault="00D34EFA" w:rsidP="00D34EFA">
      <w:pPr>
        <w:keepNext/>
        <w:keepLines/>
        <w:spacing w:before="360" w:after="80" w:line="360" w:lineRule="auto"/>
        <w:outlineLvl w:val="0"/>
        <w:rPr>
          <w:rFonts w:ascii="Times New Roman" w:eastAsiaTheme="majorEastAsia" w:hAnsi="Times New Roman" w:cs="Times New Roman"/>
          <w:b/>
          <w:bCs/>
          <w:color w:val="000000" w:themeColor="text1"/>
          <w:kern w:val="2"/>
          <w:sz w:val="24"/>
          <w:szCs w:val="24"/>
          <w14:ligatures w14:val="standardContextual"/>
        </w:rPr>
      </w:pPr>
      <w:bookmarkStart w:id="9" w:name="_Toc224579231"/>
      <w:r w:rsidRPr="00D34EFA">
        <w:rPr>
          <w:rFonts w:ascii="Times New Roman" w:eastAsiaTheme="majorEastAsia" w:hAnsi="Times New Roman" w:cs="Times New Roman"/>
          <w:b/>
          <w:bCs/>
          <w:color w:val="000000" w:themeColor="text1"/>
          <w:kern w:val="2"/>
          <w:sz w:val="24"/>
          <w:szCs w:val="24"/>
          <w14:ligatures w14:val="standardContextual"/>
        </w:rPr>
        <w:t>Conclusion and Recommendation</w:t>
      </w:r>
      <w:bookmarkEnd w:id="9"/>
    </w:p>
    <w:p w14:paraId="360C1730"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Toyota is amongst the strongest of the firms within the automotive industry globally. They have built their company upon a strong brand image, solid financials, efficient operations, and an extensive network of manufacturing and distribution facilities. These factors have enabled Toyota to find success within such a competitive market. In the present day, however, the automotive industry is entering into a new phase in its development. Thus, while the company’s existing strengths are still beneficial to their success within the current market, they will not necessarily be sufficient to ensure success in the future.</w:t>
      </w:r>
    </w:p>
    <w:p w14:paraId="08E25EB6" w14:textId="77777777" w:rsidR="00D34EFA" w:rsidRPr="00D34EFA" w:rsidRDefault="00D34EFA" w:rsidP="00D34EFA">
      <w:pPr>
        <w:spacing w:before="100" w:beforeAutospacing="1" w:after="100" w:afterAutospacing="1" w:line="360" w:lineRule="auto"/>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Through conducting analyses of Toyota, it becomes evident that while they do possess many of the components of a strong automaker, their specific strengths are in the general components of the company, rather than in the aspects that will be required to succeed in the future, such as in the production of battery electric vehicles, software capabilities, and digital customer services. Thus, enhancing these aspects of the company will increase its competitive abilities within the future. Overall, then, Toyota is a company that is likely to remain within the automotive industry in the future as one of the largest automakers in the world. However, it is also possible that the company will not make it to the future with any successful contributions to that industry.</w:t>
      </w:r>
    </w:p>
    <w:p w14:paraId="6F583086" w14:textId="77777777" w:rsidR="00D34EFA" w:rsidRPr="00D34EFA" w:rsidRDefault="00D34EFA" w:rsidP="00D34EFA">
      <w:pPr>
        <w:keepNext/>
        <w:keepLines/>
        <w:spacing w:before="360" w:after="80" w:line="360" w:lineRule="auto"/>
        <w:outlineLvl w:val="0"/>
        <w:rPr>
          <w:rFonts w:ascii="Times New Roman" w:eastAsiaTheme="majorEastAsia" w:hAnsi="Times New Roman" w:cs="Times New Roman"/>
          <w:color w:val="000000" w:themeColor="text1"/>
          <w:kern w:val="2"/>
          <w:sz w:val="24"/>
          <w:szCs w:val="24"/>
          <w14:ligatures w14:val="standardContextual"/>
        </w:rPr>
      </w:pPr>
      <w:bookmarkStart w:id="10" w:name="_Toc224579232"/>
      <w:r w:rsidRPr="00D34EFA">
        <w:rPr>
          <w:rFonts w:ascii="Times New Roman" w:eastAsiaTheme="majorEastAsia" w:hAnsi="Times New Roman" w:cs="Times New Roman"/>
          <w:b/>
          <w:bCs/>
          <w:color w:val="000000" w:themeColor="text1"/>
          <w:kern w:val="2"/>
          <w:sz w:val="24"/>
          <w:szCs w:val="24"/>
          <w14:ligatures w14:val="standardContextual"/>
        </w:rPr>
        <w:lastRenderedPageBreak/>
        <w:t>References</w:t>
      </w:r>
      <w:bookmarkEnd w:id="10"/>
    </w:p>
    <w:p w14:paraId="254A7EAA" w14:textId="77777777" w:rsidR="00D34EFA" w:rsidRPr="00D34EFA" w:rsidRDefault="00D34EFA" w:rsidP="002B15A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Amante García, B., Canals Casals, L., de las Heras García de Vinuesa, A. and Barbero, M. (2024) ‘Barriers to electrification: </w:t>
      </w:r>
      <w:proofErr w:type="spellStart"/>
      <w:r w:rsidRPr="00D34EFA">
        <w:rPr>
          <w:rFonts w:ascii="Times New Roman" w:eastAsia="Times New Roman" w:hAnsi="Times New Roman" w:cs="Times New Roman"/>
          <w:sz w:val="24"/>
          <w:szCs w:val="24"/>
          <w:lang w:eastAsia="en-GB"/>
        </w:rPr>
        <w:t>analyzing</w:t>
      </w:r>
      <w:proofErr w:type="spellEnd"/>
      <w:r w:rsidRPr="00D34EFA">
        <w:rPr>
          <w:rFonts w:ascii="Times New Roman" w:eastAsia="Times New Roman" w:hAnsi="Times New Roman" w:cs="Times New Roman"/>
          <w:sz w:val="24"/>
          <w:szCs w:val="24"/>
          <w:lang w:eastAsia="en-GB"/>
        </w:rPr>
        <w:t xml:space="preserve"> critical delays and transition challenges in electric vehicle business models’, </w:t>
      </w:r>
      <w:r w:rsidRPr="00D34EFA">
        <w:rPr>
          <w:rFonts w:ascii="Times New Roman" w:eastAsiaTheme="majorEastAsia" w:hAnsi="Times New Roman" w:cs="Times New Roman"/>
          <w:i/>
          <w:iCs/>
          <w:sz w:val="24"/>
          <w:szCs w:val="24"/>
          <w:lang w:eastAsia="en-GB"/>
        </w:rPr>
        <w:t>World Electric Vehicle Journal</w:t>
      </w:r>
      <w:r w:rsidRPr="00D34EFA">
        <w:rPr>
          <w:rFonts w:ascii="Times New Roman" w:eastAsia="Times New Roman" w:hAnsi="Times New Roman" w:cs="Times New Roman"/>
          <w:sz w:val="24"/>
          <w:szCs w:val="24"/>
          <w:lang w:eastAsia="en-GB"/>
        </w:rPr>
        <w:t>, 15(9), 409.</w:t>
      </w:r>
    </w:p>
    <w:p w14:paraId="35EA0E82" w14:textId="77777777" w:rsidR="00D34EFA" w:rsidRPr="00D34EFA" w:rsidRDefault="00D34EFA" w:rsidP="002B15A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Barney, J.B. and Hesterly, W.S. (2021) </w:t>
      </w:r>
      <w:r w:rsidRPr="00D34EFA">
        <w:rPr>
          <w:rFonts w:ascii="Times New Roman" w:eastAsiaTheme="majorEastAsia" w:hAnsi="Times New Roman" w:cs="Times New Roman"/>
          <w:i/>
          <w:iCs/>
          <w:sz w:val="24"/>
          <w:szCs w:val="24"/>
          <w:lang w:eastAsia="en-GB"/>
        </w:rPr>
        <w:t>Strategic management and competitive advantage: concepts and cases</w:t>
      </w:r>
      <w:r w:rsidRPr="00D34EFA">
        <w:rPr>
          <w:rFonts w:ascii="Times New Roman" w:eastAsia="Times New Roman" w:hAnsi="Times New Roman" w:cs="Times New Roman"/>
          <w:sz w:val="24"/>
          <w:szCs w:val="24"/>
          <w:lang w:eastAsia="en-GB"/>
        </w:rPr>
        <w:t xml:space="preserve">. 7th </w:t>
      </w:r>
      <w:proofErr w:type="spellStart"/>
      <w:r w:rsidRPr="00D34EFA">
        <w:rPr>
          <w:rFonts w:ascii="Times New Roman" w:eastAsia="Times New Roman" w:hAnsi="Times New Roman" w:cs="Times New Roman"/>
          <w:sz w:val="24"/>
          <w:szCs w:val="24"/>
          <w:lang w:eastAsia="en-GB"/>
        </w:rPr>
        <w:t>edn</w:t>
      </w:r>
      <w:proofErr w:type="spellEnd"/>
      <w:r w:rsidRPr="00D34EFA">
        <w:rPr>
          <w:rFonts w:ascii="Times New Roman" w:eastAsia="Times New Roman" w:hAnsi="Times New Roman" w:cs="Times New Roman"/>
          <w:sz w:val="24"/>
          <w:szCs w:val="24"/>
          <w:lang w:eastAsia="en-GB"/>
        </w:rPr>
        <w:t>. Harlow: Pearson.</w:t>
      </w:r>
    </w:p>
    <w:p w14:paraId="6F3B6764" w14:textId="77777777" w:rsidR="00D34EFA" w:rsidRPr="00D34EFA" w:rsidRDefault="00D34EFA" w:rsidP="002B15A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Grant, R.M. (2022) </w:t>
      </w:r>
      <w:r w:rsidRPr="00D34EFA">
        <w:rPr>
          <w:rFonts w:ascii="Times New Roman" w:eastAsiaTheme="majorEastAsia" w:hAnsi="Times New Roman" w:cs="Times New Roman"/>
          <w:i/>
          <w:iCs/>
          <w:sz w:val="24"/>
          <w:szCs w:val="24"/>
          <w:lang w:eastAsia="en-GB"/>
        </w:rPr>
        <w:t>Contemporary strategy analysis</w:t>
      </w:r>
      <w:r w:rsidRPr="00D34EFA">
        <w:rPr>
          <w:rFonts w:ascii="Times New Roman" w:eastAsia="Times New Roman" w:hAnsi="Times New Roman" w:cs="Times New Roman"/>
          <w:sz w:val="24"/>
          <w:szCs w:val="24"/>
          <w:lang w:eastAsia="en-GB"/>
        </w:rPr>
        <w:t xml:space="preserve">. 11th </w:t>
      </w:r>
      <w:proofErr w:type="spellStart"/>
      <w:r w:rsidRPr="00D34EFA">
        <w:rPr>
          <w:rFonts w:ascii="Times New Roman" w:eastAsia="Times New Roman" w:hAnsi="Times New Roman" w:cs="Times New Roman"/>
          <w:sz w:val="24"/>
          <w:szCs w:val="24"/>
          <w:lang w:eastAsia="en-GB"/>
        </w:rPr>
        <w:t>edn</w:t>
      </w:r>
      <w:proofErr w:type="spellEnd"/>
      <w:r w:rsidRPr="00D34EFA">
        <w:rPr>
          <w:rFonts w:ascii="Times New Roman" w:eastAsia="Times New Roman" w:hAnsi="Times New Roman" w:cs="Times New Roman"/>
          <w:sz w:val="24"/>
          <w:szCs w:val="24"/>
          <w:lang w:eastAsia="en-GB"/>
        </w:rPr>
        <w:t>. Hoboken: Wiley.</w:t>
      </w:r>
    </w:p>
    <w:p w14:paraId="54FA632F" w14:textId="77777777" w:rsidR="00D34EFA" w:rsidRPr="00D34EFA" w:rsidRDefault="00D34EFA" w:rsidP="002B15A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International Energy Agency (IEA) (2025) </w:t>
      </w:r>
      <w:r w:rsidRPr="00D34EFA">
        <w:rPr>
          <w:rFonts w:ascii="Times New Roman" w:eastAsiaTheme="majorEastAsia" w:hAnsi="Times New Roman" w:cs="Times New Roman"/>
          <w:i/>
          <w:iCs/>
          <w:sz w:val="24"/>
          <w:szCs w:val="24"/>
          <w:lang w:eastAsia="en-GB"/>
        </w:rPr>
        <w:t>Global EV Outlook 2025</w:t>
      </w:r>
      <w:r w:rsidRPr="00D34EFA">
        <w:rPr>
          <w:rFonts w:ascii="Times New Roman" w:eastAsia="Times New Roman" w:hAnsi="Times New Roman" w:cs="Times New Roman"/>
          <w:sz w:val="24"/>
          <w:szCs w:val="24"/>
          <w:lang w:eastAsia="en-GB"/>
        </w:rPr>
        <w:t>. Paris: IEA.</w:t>
      </w:r>
    </w:p>
    <w:p w14:paraId="24BBE5A8" w14:textId="77777777" w:rsidR="00D34EFA" w:rsidRPr="00D34EFA" w:rsidRDefault="00D34EFA" w:rsidP="002B15A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Johnson, G., Scholes, K. and Whittington, R. (2020) </w:t>
      </w:r>
      <w:r w:rsidRPr="00D34EFA">
        <w:rPr>
          <w:rFonts w:ascii="Times New Roman" w:eastAsiaTheme="majorEastAsia" w:hAnsi="Times New Roman" w:cs="Times New Roman"/>
          <w:i/>
          <w:iCs/>
          <w:sz w:val="24"/>
          <w:szCs w:val="24"/>
          <w:lang w:eastAsia="en-GB"/>
        </w:rPr>
        <w:t>Exploring strategy</w:t>
      </w:r>
      <w:r w:rsidRPr="00D34EFA">
        <w:rPr>
          <w:rFonts w:ascii="Times New Roman" w:eastAsia="Times New Roman" w:hAnsi="Times New Roman" w:cs="Times New Roman"/>
          <w:sz w:val="24"/>
          <w:szCs w:val="24"/>
          <w:lang w:eastAsia="en-GB"/>
        </w:rPr>
        <w:t xml:space="preserve">. 12th </w:t>
      </w:r>
      <w:proofErr w:type="spellStart"/>
      <w:r w:rsidRPr="00D34EFA">
        <w:rPr>
          <w:rFonts w:ascii="Times New Roman" w:eastAsia="Times New Roman" w:hAnsi="Times New Roman" w:cs="Times New Roman"/>
          <w:sz w:val="24"/>
          <w:szCs w:val="24"/>
          <w:lang w:eastAsia="en-GB"/>
        </w:rPr>
        <w:t>edn</w:t>
      </w:r>
      <w:proofErr w:type="spellEnd"/>
      <w:r w:rsidRPr="00D34EFA">
        <w:rPr>
          <w:rFonts w:ascii="Times New Roman" w:eastAsia="Times New Roman" w:hAnsi="Times New Roman" w:cs="Times New Roman"/>
          <w:sz w:val="24"/>
          <w:szCs w:val="24"/>
          <w:lang w:eastAsia="en-GB"/>
        </w:rPr>
        <w:t>. Harlow: Pearson.</w:t>
      </w:r>
    </w:p>
    <w:p w14:paraId="576620DE" w14:textId="77777777" w:rsidR="00D34EFA" w:rsidRPr="00D34EFA" w:rsidRDefault="00D34EFA" w:rsidP="002B15A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Liker, J.K. (2021) </w:t>
      </w:r>
      <w:r w:rsidRPr="00D34EFA">
        <w:rPr>
          <w:rFonts w:ascii="Times New Roman" w:eastAsiaTheme="majorEastAsia" w:hAnsi="Times New Roman" w:cs="Times New Roman"/>
          <w:i/>
          <w:iCs/>
          <w:sz w:val="24"/>
          <w:szCs w:val="24"/>
          <w:lang w:eastAsia="en-GB"/>
        </w:rPr>
        <w:t>The Toyota way: 14 management principles from the world’s greatest manufacturer</w:t>
      </w:r>
      <w:r w:rsidRPr="00D34EFA">
        <w:rPr>
          <w:rFonts w:ascii="Times New Roman" w:eastAsia="Times New Roman" w:hAnsi="Times New Roman" w:cs="Times New Roman"/>
          <w:sz w:val="24"/>
          <w:szCs w:val="24"/>
          <w:lang w:eastAsia="en-GB"/>
        </w:rPr>
        <w:t xml:space="preserve">. Updated </w:t>
      </w:r>
      <w:proofErr w:type="spellStart"/>
      <w:r w:rsidRPr="00D34EFA">
        <w:rPr>
          <w:rFonts w:ascii="Times New Roman" w:eastAsia="Times New Roman" w:hAnsi="Times New Roman" w:cs="Times New Roman"/>
          <w:sz w:val="24"/>
          <w:szCs w:val="24"/>
          <w:lang w:eastAsia="en-GB"/>
        </w:rPr>
        <w:t>edn</w:t>
      </w:r>
      <w:proofErr w:type="spellEnd"/>
      <w:r w:rsidRPr="00D34EFA">
        <w:rPr>
          <w:rFonts w:ascii="Times New Roman" w:eastAsia="Times New Roman" w:hAnsi="Times New Roman" w:cs="Times New Roman"/>
          <w:sz w:val="24"/>
          <w:szCs w:val="24"/>
          <w:lang w:eastAsia="en-GB"/>
        </w:rPr>
        <w:t>. New York: McGraw-Hill.</w:t>
      </w:r>
    </w:p>
    <w:p w14:paraId="0407BF64" w14:textId="77777777" w:rsidR="00D34EFA" w:rsidRPr="00D34EFA" w:rsidRDefault="00D34EFA" w:rsidP="002B15A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Niri, A.J., Poelzer, G.A., Zhang, S.E., Rosenkranz, J., Pettersson, M. and Ghorbani, Y. (2024) ‘Sustainability challenges throughout the electric vehicle battery value chain’, </w:t>
      </w:r>
      <w:r w:rsidRPr="00D34EFA">
        <w:rPr>
          <w:rFonts w:ascii="Times New Roman" w:eastAsiaTheme="majorEastAsia" w:hAnsi="Times New Roman" w:cs="Times New Roman"/>
          <w:i/>
          <w:iCs/>
          <w:sz w:val="24"/>
          <w:szCs w:val="24"/>
          <w:lang w:eastAsia="en-GB"/>
        </w:rPr>
        <w:t>Renewable and Sustainable Energy Reviews</w:t>
      </w:r>
      <w:r w:rsidRPr="00D34EFA">
        <w:rPr>
          <w:rFonts w:ascii="Times New Roman" w:eastAsia="Times New Roman" w:hAnsi="Times New Roman" w:cs="Times New Roman"/>
          <w:sz w:val="24"/>
          <w:szCs w:val="24"/>
          <w:lang w:eastAsia="en-GB"/>
        </w:rPr>
        <w:t>, 188, 114176.</w:t>
      </w:r>
    </w:p>
    <w:p w14:paraId="38461188" w14:textId="77777777" w:rsidR="00D34EFA" w:rsidRPr="00D34EFA" w:rsidRDefault="00D34EFA" w:rsidP="002B15A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Ramos, M.R. and Ruiz-Gálvez, M.E. (2024) ‘The transformation of the automotive industry toward electrification and its impact on global value chains: inter-plant competition, employment, and supply chains’, </w:t>
      </w:r>
      <w:r w:rsidRPr="00D34EFA">
        <w:rPr>
          <w:rFonts w:ascii="Times New Roman" w:eastAsiaTheme="majorEastAsia" w:hAnsi="Times New Roman" w:cs="Times New Roman"/>
          <w:i/>
          <w:iCs/>
          <w:sz w:val="24"/>
          <w:szCs w:val="24"/>
          <w:lang w:eastAsia="en-GB"/>
        </w:rPr>
        <w:t>European Research on Management and Business Economics</w:t>
      </w:r>
      <w:r w:rsidRPr="00D34EFA">
        <w:rPr>
          <w:rFonts w:ascii="Times New Roman" w:eastAsia="Times New Roman" w:hAnsi="Times New Roman" w:cs="Times New Roman"/>
          <w:sz w:val="24"/>
          <w:szCs w:val="24"/>
          <w:lang w:eastAsia="en-GB"/>
        </w:rPr>
        <w:t>, 30(1), 100242.</w:t>
      </w:r>
    </w:p>
    <w:p w14:paraId="731B5CB4" w14:textId="77777777" w:rsidR="00D34EFA" w:rsidRPr="00D34EFA" w:rsidRDefault="00D34EFA" w:rsidP="002B15A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Sterk, F., Stocker, A., Heinz, D. and Weinhardt, C. (2024) ‘Unlocking the value from car data: a taxonomy and archetypes of connected car business models’, </w:t>
      </w:r>
      <w:r w:rsidRPr="00D34EFA">
        <w:rPr>
          <w:rFonts w:ascii="Times New Roman" w:eastAsiaTheme="majorEastAsia" w:hAnsi="Times New Roman" w:cs="Times New Roman"/>
          <w:i/>
          <w:iCs/>
          <w:sz w:val="24"/>
          <w:szCs w:val="24"/>
          <w:lang w:eastAsia="en-GB"/>
        </w:rPr>
        <w:t>Electronic Markets</w:t>
      </w:r>
      <w:r w:rsidRPr="00D34EFA">
        <w:rPr>
          <w:rFonts w:ascii="Times New Roman" w:eastAsia="Times New Roman" w:hAnsi="Times New Roman" w:cs="Times New Roman"/>
          <w:sz w:val="24"/>
          <w:szCs w:val="24"/>
          <w:lang w:eastAsia="en-GB"/>
        </w:rPr>
        <w:t>, 34, 13.</w:t>
      </w:r>
    </w:p>
    <w:p w14:paraId="7BC05E79" w14:textId="77777777" w:rsidR="00D34EFA" w:rsidRPr="00D34EFA" w:rsidRDefault="00D34EFA" w:rsidP="002B15A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Toyota Motor Corporation (2025a) </w:t>
      </w:r>
      <w:r w:rsidRPr="00D34EFA">
        <w:rPr>
          <w:rFonts w:ascii="Times New Roman" w:eastAsiaTheme="majorEastAsia" w:hAnsi="Times New Roman" w:cs="Times New Roman"/>
          <w:i/>
          <w:iCs/>
          <w:sz w:val="24"/>
          <w:szCs w:val="24"/>
          <w:lang w:eastAsia="en-GB"/>
        </w:rPr>
        <w:t>FY2025 Financial Results</w:t>
      </w:r>
      <w:r w:rsidRPr="00D34EFA">
        <w:rPr>
          <w:rFonts w:ascii="Times New Roman" w:eastAsia="Times New Roman" w:hAnsi="Times New Roman" w:cs="Times New Roman"/>
          <w:sz w:val="24"/>
          <w:szCs w:val="24"/>
          <w:lang w:eastAsia="en-GB"/>
        </w:rPr>
        <w:t>. Toyota City: Toyota Motor Corporation.</w:t>
      </w:r>
    </w:p>
    <w:p w14:paraId="1DF5362E" w14:textId="77777777" w:rsidR="00D34EFA" w:rsidRPr="00D34EFA" w:rsidRDefault="00D34EFA" w:rsidP="002B15A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Toyota Motor Corporation (2025b) </w:t>
      </w:r>
      <w:r w:rsidRPr="00D34EFA">
        <w:rPr>
          <w:rFonts w:ascii="Times New Roman" w:eastAsiaTheme="majorEastAsia" w:hAnsi="Times New Roman" w:cs="Times New Roman"/>
          <w:i/>
          <w:iCs/>
          <w:sz w:val="24"/>
          <w:szCs w:val="24"/>
          <w:lang w:eastAsia="en-GB"/>
        </w:rPr>
        <w:t>Integrated Report 2025</w:t>
      </w:r>
      <w:r w:rsidRPr="00D34EFA">
        <w:rPr>
          <w:rFonts w:ascii="Times New Roman" w:eastAsia="Times New Roman" w:hAnsi="Times New Roman" w:cs="Times New Roman"/>
          <w:sz w:val="24"/>
          <w:szCs w:val="24"/>
          <w:lang w:eastAsia="en-GB"/>
        </w:rPr>
        <w:t>. Toyota City: Toyota Motor Corporation.</w:t>
      </w:r>
    </w:p>
    <w:p w14:paraId="632C3DAD" w14:textId="77777777" w:rsidR="00D34EFA" w:rsidRPr="00D34EFA" w:rsidRDefault="00D34EFA" w:rsidP="002B15A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lastRenderedPageBreak/>
        <w:t xml:space="preserve">Toyota Motor Corporation (2025c) </w:t>
      </w:r>
      <w:r w:rsidRPr="00D34EFA">
        <w:rPr>
          <w:rFonts w:ascii="Times New Roman" w:eastAsiaTheme="majorEastAsia" w:hAnsi="Times New Roman" w:cs="Times New Roman"/>
          <w:i/>
          <w:iCs/>
          <w:sz w:val="24"/>
          <w:szCs w:val="24"/>
          <w:lang w:eastAsia="en-GB"/>
        </w:rPr>
        <w:t>Vision &amp; Philosophy</w:t>
      </w:r>
      <w:r w:rsidRPr="00D34EFA">
        <w:rPr>
          <w:rFonts w:ascii="Times New Roman" w:eastAsia="Times New Roman" w:hAnsi="Times New Roman" w:cs="Times New Roman"/>
          <w:sz w:val="24"/>
          <w:szCs w:val="24"/>
          <w:lang w:eastAsia="en-GB"/>
        </w:rPr>
        <w:t>. Toyota City: Toyota Motor Corporation.</w:t>
      </w:r>
    </w:p>
    <w:p w14:paraId="3347142E" w14:textId="77777777" w:rsidR="00D34EFA" w:rsidRPr="00D34EFA" w:rsidRDefault="00D34EFA" w:rsidP="002B15A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Toyota Motor Corporation (2025d) </w:t>
      </w:r>
      <w:r w:rsidRPr="00D34EFA">
        <w:rPr>
          <w:rFonts w:ascii="Times New Roman" w:eastAsiaTheme="majorEastAsia" w:hAnsi="Times New Roman" w:cs="Times New Roman"/>
          <w:i/>
          <w:iCs/>
          <w:sz w:val="24"/>
          <w:szCs w:val="24"/>
          <w:lang w:eastAsia="en-GB"/>
        </w:rPr>
        <w:t>Toyota Global Vision</w:t>
      </w:r>
      <w:r w:rsidRPr="00D34EFA">
        <w:rPr>
          <w:rFonts w:ascii="Times New Roman" w:eastAsia="Times New Roman" w:hAnsi="Times New Roman" w:cs="Times New Roman"/>
          <w:sz w:val="24"/>
          <w:szCs w:val="24"/>
          <w:lang w:eastAsia="en-GB"/>
        </w:rPr>
        <w:t>. Toyota City: Toyota Motor Corporation.</w:t>
      </w:r>
    </w:p>
    <w:p w14:paraId="48DDE5A1" w14:textId="77777777" w:rsidR="00D34EFA" w:rsidRPr="00D34EFA" w:rsidRDefault="00D34EFA" w:rsidP="002B15A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Toyota Motor Corporation (2025e) </w:t>
      </w:r>
      <w:r w:rsidRPr="00D34EFA">
        <w:rPr>
          <w:rFonts w:ascii="Times New Roman" w:eastAsiaTheme="majorEastAsia" w:hAnsi="Times New Roman" w:cs="Times New Roman"/>
          <w:i/>
          <w:iCs/>
          <w:sz w:val="24"/>
          <w:szCs w:val="24"/>
          <w:lang w:eastAsia="en-GB"/>
        </w:rPr>
        <w:t>Our commitment to sustainable business</w:t>
      </w:r>
      <w:r w:rsidRPr="00D34EFA">
        <w:rPr>
          <w:rFonts w:ascii="Times New Roman" w:eastAsia="Times New Roman" w:hAnsi="Times New Roman" w:cs="Times New Roman"/>
          <w:sz w:val="24"/>
          <w:szCs w:val="24"/>
          <w:lang w:eastAsia="en-GB"/>
        </w:rPr>
        <w:t>. Toyota City: Toyota Motor Corporation.</w:t>
      </w:r>
    </w:p>
    <w:p w14:paraId="03BF1ED1" w14:textId="77777777" w:rsidR="00D34EFA" w:rsidRPr="00D34EFA" w:rsidRDefault="00D34EFA" w:rsidP="002B15A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Toyota Motor Corporation (2025f) </w:t>
      </w:r>
      <w:r w:rsidRPr="00D34EFA">
        <w:rPr>
          <w:rFonts w:ascii="Times New Roman" w:eastAsiaTheme="majorEastAsia" w:hAnsi="Times New Roman" w:cs="Times New Roman"/>
          <w:i/>
          <w:iCs/>
          <w:sz w:val="24"/>
          <w:szCs w:val="24"/>
          <w:lang w:eastAsia="en-GB"/>
        </w:rPr>
        <w:t>FY2025 Financial Results Presentation</w:t>
      </w:r>
      <w:r w:rsidRPr="00D34EFA">
        <w:rPr>
          <w:rFonts w:ascii="Times New Roman" w:eastAsia="Times New Roman" w:hAnsi="Times New Roman" w:cs="Times New Roman"/>
          <w:sz w:val="24"/>
          <w:szCs w:val="24"/>
          <w:lang w:eastAsia="en-GB"/>
        </w:rPr>
        <w:t>. Toyota City: Toyota Motor Corporation.</w:t>
      </w:r>
    </w:p>
    <w:p w14:paraId="560DFCC9" w14:textId="77777777" w:rsidR="00D34EFA" w:rsidRPr="00D34EFA" w:rsidRDefault="00D34EFA" w:rsidP="002B15A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Wang, Y., Zhang, F., Feng, Q., Zhang, Y. and Kang, K. (2024) ‘Strategic analysis of intelligent connected vehicle industry competitiveness: a comprehensive evaluation system integrating rough set theory and projection pursuit’, </w:t>
      </w:r>
      <w:r w:rsidRPr="00D34EFA">
        <w:rPr>
          <w:rFonts w:ascii="Times New Roman" w:eastAsiaTheme="majorEastAsia" w:hAnsi="Times New Roman" w:cs="Times New Roman"/>
          <w:i/>
          <w:iCs/>
          <w:sz w:val="24"/>
          <w:szCs w:val="24"/>
          <w:lang w:eastAsia="en-GB"/>
        </w:rPr>
        <w:t>Complex &amp; Intelligent Systems</w:t>
      </w:r>
      <w:r w:rsidRPr="00D34EFA">
        <w:rPr>
          <w:rFonts w:ascii="Times New Roman" w:eastAsia="Times New Roman" w:hAnsi="Times New Roman" w:cs="Times New Roman"/>
          <w:sz w:val="24"/>
          <w:szCs w:val="24"/>
          <w:lang w:eastAsia="en-GB"/>
        </w:rPr>
        <w:t>, 10, pp. 7033–7062.</w:t>
      </w:r>
    </w:p>
    <w:p w14:paraId="71A78215" w14:textId="77777777" w:rsidR="00D34EFA" w:rsidRPr="00D34EFA" w:rsidRDefault="00D34EFA" w:rsidP="002B15A2">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34EFA">
        <w:rPr>
          <w:rFonts w:ascii="Times New Roman" w:eastAsia="Times New Roman" w:hAnsi="Times New Roman" w:cs="Times New Roman"/>
          <w:sz w:val="24"/>
          <w:szCs w:val="24"/>
          <w:lang w:eastAsia="en-GB"/>
        </w:rPr>
        <w:t xml:space="preserve">Woven by Toyota (2025) ‘Arene debuts in Toyota’s all-new RAV4’, </w:t>
      </w:r>
      <w:r w:rsidRPr="00D34EFA">
        <w:rPr>
          <w:rFonts w:ascii="Times New Roman" w:eastAsiaTheme="majorEastAsia" w:hAnsi="Times New Roman" w:cs="Times New Roman"/>
          <w:i/>
          <w:iCs/>
          <w:sz w:val="24"/>
          <w:szCs w:val="24"/>
          <w:lang w:eastAsia="en-GB"/>
        </w:rPr>
        <w:t>Toyota Media Site</w:t>
      </w:r>
      <w:r w:rsidRPr="00D34EFA">
        <w:rPr>
          <w:rFonts w:ascii="Times New Roman" w:eastAsia="Times New Roman" w:hAnsi="Times New Roman" w:cs="Times New Roman"/>
          <w:sz w:val="24"/>
          <w:szCs w:val="24"/>
          <w:lang w:eastAsia="en-GB"/>
        </w:rPr>
        <w:t>, 21 May.</w:t>
      </w:r>
    </w:p>
    <w:p w14:paraId="42366261" w14:textId="77777777" w:rsidR="00D34EFA" w:rsidRPr="00D34EFA" w:rsidRDefault="00D34EFA" w:rsidP="002B15A2">
      <w:pPr>
        <w:jc w:val="both"/>
        <w:rPr>
          <w:kern w:val="2"/>
          <w14:ligatures w14:val="standardContextual"/>
        </w:rPr>
      </w:pPr>
    </w:p>
    <w:p w14:paraId="3B68FBBB" w14:textId="77777777" w:rsidR="00D34EFA" w:rsidRPr="00D34EFA" w:rsidRDefault="00D34EFA" w:rsidP="002B15A2">
      <w:pPr>
        <w:jc w:val="both"/>
        <w:rPr>
          <w:kern w:val="2"/>
          <w14:ligatures w14:val="standardContextual"/>
        </w:rPr>
      </w:pPr>
    </w:p>
    <w:p w14:paraId="458DFC44" w14:textId="77777777" w:rsidR="00D34EFA" w:rsidRPr="00D34EFA" w:rsidRDefault="00D34EFA" w:rsidP="002B15A2">
      <w:pPr>
        <w:jc w:val="both"/>
        <w:rPr>
          <w:kern w:val="2"/>
          <w14:ligatures w14:val="standardContextual"/>
        </w:rPr>
      </w:pPr>
    </w:p>
    <w:p w14:paraId="7313938B" w14:textId="77777777" w:rsidR="00D34EFA" w:rsidRPr="00D34EFA" w:rsidRDefault="00D34EFA" w:rsidP="002B15A2">
      <w:pPr>
        <w:jc w:val="both"/>
        <w:rPr>
          <w:kern w:val="2"/>
          <w14:ligatures w14:val="standardContextual"/>
        </w:rPr>
      </w:pPr>
    </w:p>
    <w:p w14:paraId="51102957" w14:textId="77777777" w:rsidR="00D34EFA" w:rsidRPr="00D34EFA" w:rsidRDefault="00D34EFA" w:rsidP="002B15A2">
      <w:pPr>
        <w:jc w:val="both"/>
        <w:rPr>
          <w:kern w:val="2"/>
          <w14:ligatures w14:val="standardContextual"/>
        </w:rPr>
      </w:pPr>
    </w:p>
    <w:p w14:paraId="740ED388" w14:textId="77777777" w:rsidR="00D34EFA" w:rsidRPr="00D34EFA" w:rsidRDefault="00D34EFA" w:rsidP="002B15A2">
      <w:pPr>
        <w:jc w:val="both"/>
        <w:rPr>
          <w:kern w:val="2"/>
          <w14:ligatures w14:val="standardContextual"/>
        </w:rPr>
      </w:pPr>
    </w:p>
    <w:p w14:paraId="77D5FBF1" w14:textId="77777777" w:rsidR="00D34EFA" w:rsidRPr="00D34EFA" w:rsidRDefault="00D34EFA" w:rsidP="002B15A2">
      <w:pPr>
        <w:jc w:val="both"/>
        <w:rPr>
          <w:kern w:val="2"/>
          <w14:ligatures w14:val="standardContextual"/>
        </w:rPr>
      </w:pPr>
    </w:p>
    <w:p w14:paraId="672F5059" w14:textId="77777777" w:rsidR="00D34EFA" w:rsidRPr="00D34EFA" w:rsidRDefault="00D34EFA" w:rsidP="002B15A2">
      <w:pPr>
        <w:jc w:val="both"/>
        <w:rPr>
          <w:kern w:val="2"/>
          <w14:ligatures w14:val="standardContextual"/>
        </w:rPr>
      </w:pPr>
    </w:p>
    <w:p w14:paraId="1D2A53A8" w14:textId="77777777" w:rsidR="00D34EFA" w:rsidRPr="00D34EFA" w:rsidRDefault="00D34EFA" w:rsidP="002B15A2">
      <w:pPr>
        <w:jc w:val="both"/>
        <w:rPr>
          <w:kern w:val="2"/>
          <w14:ligatures w14:val="standardContextual"/>
        </w:rPr>
      </w:pPr>
    </w:p>
    <w:p w14:paraId="7BD80807" w14:textId="77777777" w:rsidR="00D34EFA" w:rsidRPr="00D34EFA" w:rsidRDefault="00D34EFA" w:rsidP="002B15A2">
      <w:pPr>
        <w:jc w:val="both"/>
        <w:rPr>
          <w:kern w:val="2"/>
          <w14:ligatures w14:val="standardContextual"/>
        </w:rPr>
      </w:pPr>
    </w:p>
    <w:p w14:paraId="3B8850B5" w14:textId="77777777" w:rsidR="00D34EFA" w:rsidRDefault="00D34EFA" w:rsidP="002B15A2">
      <w:pPr>
        <w:jc w:val="both"/>
      </w:pPr>
    </w:p>
    <w:sectPr w:rsidR="00D34EFA" w:rsidSect="002B15A2">
      <w:footerReference w:type="default" r:id="rId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3D7D22" w14:textId="77777777" w:rsidR="000F60B5" w:rsidRDefault="000F60B5" w:rsidP="002B15A2">
      <w:pPr>
        <w:spacing w:after="0" w:line="240" w:lineRule="auto"/>
      </w:pPr>
      <w:r>
        <w:separator/>
      </w:r>
    </w:p>
  </w:endnote>
  <w:endnote w:type="continuationSeparator" w:id="0">
    <w:p w14:paraId="6A61FB6E" w14:textId="77777777" w:rsidR="000F60B5" w:rsidRDefault="000F60B5" w:rsidP="002B1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086102"/>
      <w:docPartObj>
        <w:docPartGallery w:val="Page Numbers (Bottom of Page)"/>
        <w:docPartUnique/>
      </w:docPartObj>
    </w:sdtPr>
    <w:sdtEndPr/>
    <w:sdtContent>
      <w:p w14:paraId="5A236672" w14:textId="6B71F6CA" w:rsidR="002B15A2" w:rsidRDefault="002B15A2">
        <w:pPr>
          <w:pStyle w:val="Footer"/>
          <w:jc w:val="right"/>
        </w:pPr>
        <w:r>
          <w:fldChar w:fldCharType="begin"/>
        </w:r>
        <w:r>
          <w:instrText>PAGE   \* MERGEFORMAT</w:instrText>
        </w:r>
        <w:r>
          <w:fldChar w:fldCharType="separate"/>
        </w:r>
        <w:r>
          <w:t>2</w:t>
        </w:r>
        <w:r>
          <w:fldChar w:fldCharType="end"/>
        </w:r>
      </w:p>
    </w:sdtContent>
  </w:sdt>
  <w:p w14:paraId="14F9DB8E" w14:textId="77777777" w:rsidR="002B15A2" w:rsidRDefault="002B1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6CC3EE" w14:textId="77777777" w:rsidR="000F60B5" w:rsidRDefault="000F60B5" w:rsidP="002B15A2">
      <w:pPr>
        <w:spacing w:after="0" w:line="240" w:lineRule="auto"/>
      </w:pPr>
      <w:r>
        <w:separator/>
      </w:r>
    </w:p>
  </w:footnote>
  <w:footnote w:type="continuationSeparator" w:id="0">
    <w:p w14:paraId="0B9DDFC9" w14:textId="77777777" w:rsidR="000F60B5" w:rsidRDefault="000F60B5" w:rsidP="002B15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EFA"/>
    <w:rsid w:val="00014E13"/>
    <w:rsid w:val="000F60B5"/>
    <w:rsid w:val="001968BF"/>
    <w:rsid w:val="001E4E20"/>
    <w:rsid w:val="002B15A2"/>
    <w:rsid w:val="004D2222"/>
    <w:rsid w:val="00875F65"/>
    <w:rsid w:val="00CE53DF"/>
    <w:rsid w:val="00D34EFA"/>
    <w:rsid w:val="00E34528"/>
    <w:rsid w:val="00E813A9"/>
    <w:rsid w:val="00E92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366E6"/>
  <w15:chartTrackingRefBased/>
  <w15:docId w15:val="{66817364-6CAB-47C1-AEA3-89C860054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4E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4E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4E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4E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4E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4E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4E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4E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4E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E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4E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4E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4E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4E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4E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4E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4E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4EFA"/>
    <w:rPr>
      <w:rFonts w:eastAsiaTheme="majorEastAsia" w:cstheme="majorBidi"/>
      <w:color w:val="272727" w:themeColor="text1" w:themeTint="D8"/>
    </w:rPr>
  </w:style>
  <w:style w:type="paragraph" w:styleId="Title">
    <w:name w:val="Title"/>
    <w:basedOn w:val="Normal"/>
    <w:next w:val="Normal"/>
    <w:link w:val="TitleChar"/>
    <w:uiPriority w:val="10"/>
    <w:qFormat/>
    <w:rsid w:val="00D34E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4E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4E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4E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4EFA"/>
    <w:pPr>
      <w:spacing w:before="160"/>
      <w:jc w:val="center"/>
    </w:pPr>
    <w:rPr>
      <w:i/>
      <w:iCs/>
      <w:color w:val="404040" w:themeColor="text1" w:themeTint="BF"/>
    </w:rPr>
  </w:style>
  <w:style w:type="character" w:customStyle="1" w:styleId="QuoteChar">
    <w:name w:val="Quote Char"/>
    <w:basedOn w:val="DefaultParagraphFont"/>
    <w:link w:val="Quote"/>
    <w:uiPriority w:val="29"/>
    <w:rsid w:val="00D34EFA"/>
    <w:rPr>
      <w:i/>
      <w:iCs/>
      <w:color w:val="404040" w:themeColor="text1" w:themeTint="BF"/>
    </w:rPr>
  </w:style>
  <w:style w:type="paragraph" w:styleId="ListParagraph">
    <w:name w:val="List Paragraph"/>
    <w:basedOn w:val="Normal"/>
    <w:uiPriority w:val="34"/>
    <w:qFormat/>
    <w:rsid w:val="00D34EFA"/>
    <w:pPr>
      <w:ind w:left="720"/>
      <w:contextualSpacing/>
    </w:pPr>
  </w:style>
  <w:style w:type="character" w:styleId="IntenseEmphasis">
    <w:name w:val="Intense Emphasis"/>
    <w:basedOn w:val="DefaultParagraphFont"/>
    <w:uiPriority w:val="21"/>
    <w:qFormat/>
    <w:rsid w:val="00D34EFA"/>
    <w:rPr>
      <w:i/>
      <w:iCs/>
      <w:color w:val="0F4761" w:themeColor="accent1" w:themeShade="BF"/>
    </w:rPr>
  </w:style>
  <w:style w:type="paragraph" w:styleId="IntenseQuote">
    <w:name w:val="Intense Quote"/>
    <w:basedOn w:val="Normal"/>
    <w:next w:val="Normal"/>
    <w:link w:val="IntenseQuoteChar"/>
    <w:uiPriority w:val="30"/>
    <w:qFormat/>
    <w:rsid w:val="00D34E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4EFA"/>
    <w:rPr>
      <w:i/>
      <w:iCs/>
      <w:color w:val="0F4761" w:themeColor="accent1" w:themeShade="BF"/>
    </w:rPr>
  </w:style>
  <w:style w:type="character" w:styleId="IntenseReference">
    <w:name w:val="Intense Reference"/>
    <w:basedOn w:val="DefaultParagraphFont"/>
    <w:uiPriority w:val="32"/>
    <w:qFormat/>
    <w:rsid w:val="00D34EFA"/>
    <w:rPr>
      <w:b/>
      <w:bCs/>
      <w:smallCaps/>
      <w:color w:val="0F4761" w:themeColor="accent1" w:themeShade="BF"/>
      <w:spacing w:val="5"/>
    </w:rPr>
  </w:style>
  <w:style w:type="paragraph" w:styleId="Header">
    <w:name w:val="header"/>
    <w:basedOn w:val="Normal"/>
    <w:link w:val="HeaderChar"/>
    <w:uiPriority w:val="99"/>
    <w:unhideWhenUsed/>
    <w:rsid w:val="002B15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5A2"/>
  </w:style>
  <w:style w:type="paragraph" w:styleId="Footer">
    <w:name w:val="footer"/>
    <w:basedOn w:val="Normal"/>
    <w:link w:val="FooterChar"/>
    <w:uiPriority w:val="99"/>
    <w:unhideWhenUsed/>
    <w:rsid w:val="002B15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5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12</Pages>
  <Words>3211</Words>
  <Characters>18304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Silviya Stancheva</dc:creator>
  <cp:keywords/>
  <dc:description/>
  <cp:lastModifiedBy>Silviya Stancheva</cp:lastModifiedBy>
  <cp:revision>2</cp:revision>
  <dcterms:created xsi:type="dcterms:W3CDTF">2026-04-21T14:40:00Z</dcterms:created>
  <dcterms:modified xsi:type="dcterms:W3CDTF">2026-04-21T15:45:00Z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aaf22570-2e37-439e-8425-cc8546ad738e</vt:lpwstr>
  </property>
</Properties>
</file>