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75FA3F">
      <w:pPr>
        <w:pStyle w:val="4"/>
        <w:shd w:val="clear" w:color="auto" w:fill="FFFFFF" w:themeFill="background1"/>
        <w:outlineLvl w:val="9"/>
        <w:rPr>
          <w:rFonts w:hint="default" w:ascii="Arial" w:hAnsi="Arial" w:eastAsia="Times New Roman" w:cs="Arial"/>
          <w:b/>
          <w:bCs/>
          <w:color w:val="2E2E2E"/>
          <w:sz w:val="24"/>
          <w:szCs w:val="24"/>
        </w:rPr>
      </w:pPr>
      <w:r>
        <w:rPr>
          <w:rFonts w:hint="default" w:ascii="Arial" w:hAnsi="Arial" w:eastAsia="Times New Roman" w:cs="Arial"/>
          <w:b/>
          <w:bCs/>
          <w:color w:val="2E2E2E"/>
          <w:sz w:val="24"/>
          <w:szCs w:val="24"/>
        </w:rPr>
        <w:drawing>
          <wp:anchor distT="0" distB="0" distL="114300" distR="114300" simplePos="0" relativeHeight="251659264" behindDoc="0" locked="0" layoutInCell="1" allowOverlap="1">
            <wp:simplePos x="0" y="0"/>
            <wp:positionH relativeFrom="column">
              <wp:posOffset>1901190</wp:posOffset>
            </wp:positionH>
            <wp:positionV relativeFrom="paragraph">
              <wp:posOffset>306705</wp:posOffset>
            </wp:positionV>
            <wp:extent cx="2322830" cy="1290320"/>
            <wp:effectExtent l="0" t="0" r="1270" b="5080"/>
            <wp:wrapNone/>
            <wp:docPr id="563298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98072" name="Picture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22830" cy="1290320"/>
                    </a:xfrm>
                    <a:prstGeom prst="rect">
                      <a:avLst/>
                    </a:prstGeom>
                  </pic:spPr>
                </pic:pic>
              </a:graphicData>
            </a:graphic>
          </wp:anchor>
        </w:drawing>
      </w:r>
    </w:p>
    <w:p w14:paraId="32E9E275">
      <w:pPr>
        <w:rPr>
          <w:rFonts w:hint="default" w:ascii="Arial" w:hAnsi="Arial" w:cs="Arial"/>
          <w:sz w:val="24"/>
          <w:szCs w:val="24"/>
        </w:rPr>
      </w:pPr>
    </w:p>
    <w:p w14:paraId="0C28F159">
      <w:pPr>
        <w:rPr>
          <w:rFonts w:hint="default" w:ascii="Arial" w:hAnsi="Arial" w:cs="Arial"/>
          <w:sz w:val="24"/>
          <w:szCs w:val="24"/>
        </w:rPr>
      </w:pPr>
    </w:p>
    <w:p w14:paraId="6E539FFA">
      <w:pPr>
        <w:rPr>
          <w:rFonts w:hint="default" w:ascii="Arial" w:hAnsi="Arial" w:cs="Arial"/>
          <w:sz w:val="24"/>
          <w:szCs w:val="24"/>
        </w:rPr>
      </w:pPr>
    </w:p>
    <w:p w14:paraId="1D58E465">
      <w:pPr>
        <w:rPr>
          <w:rFonts w:hint="default" w:ascii="Arial" w:hAnsi="Arial" w:cs="Arial"/>
          <w:sz w:val="24"/>
          <w:szCs w:val="24"/>
        </w:rPr>
      </w:pPr>
    </w:p>
    <w:p w14:paraId="28DE733A">
      <w:pPr>
        <w:rPr>
          <w:rFonts w:hint="default" w:ascii="Arial" w:hAnsi="Arial" w:cs="Arial"/>
          <w:sz w:val="24"/>
          <w:szCs w:val="24"/>
        </w:rPr>
      </w:pPr>
    </w:p>
    <w:p w14:paraId="2355BD26">
      <w:pPr>
        <w:rPr>
          <w:rFonts w:hint="default" w:ascii="Arial" w:hAnsi="Arial" w:cs="Arial"/>
          <w:sz w:val="24"/>
          <w:szCs w:val="24"/>
        </w:rPr>
      </w:pPr>
    </w:p>
    <w:p w14:paraId="110163F4">
      <w:pPr>
        <w:spacing w:line="360" w:lineRule="auto"/>
        <w:rPr>
          <w:rFonts w:hint="default" w:ascii="Arial" w:hAnsi="Arial" w:cs="Arial"/>
          <w:sz w:val="24"/>
          <w:szCs w:val="24"/>
        </w:rPr>
      </w:pPr>
    </w:p>
    <w:p w14:paraId="51A17D3E">
      <w:pPr>
        <w:spacing w:line="360" w:lineRule="auto"/>
        <w:jc w:val="both"/>
        <w:rPr>
          <w:rFonts w:hint="default" w:ascii="Arial" w:hAnsi="Arial" w:cs="Arial"/>
          <w:sz w:val="24"/>
          <w:szCs w:val="24"/>
        </w:rPr>
      </w:pPr>
      <w:r>
        <w:rPr>
          <w:rFonts w:hint="default" w:ascii="Arial" w:hAnsi="Arial" w:cs="Arial"/>
          <w:b/>
          <w:bCs/>
          <w:sz w:val="24"/>
          <w:szCs w:val="24"/>
        </w:rPr>
        <w:t xml:space="preserve">Student </w:t>
      </w:r>
      <w:r>
        <w:rPr>
          <w:rFonts w:hint="default" w:ascii="Arial" w:hAnsi="Arial" w:cs="Arial"/>
          <w:b/>
          <w:bCs/>
          <w:sz w:val="24"/>
          <w:szCs w:val="24"/>
          <w:lang w:val="en-US"/>
        </w:rPr>
        <w:t>Name</w:t>
      </w:r>
      <w:r>
        <w:rPr>
          <w:rFonts w:hint="default" w:ascii="Arial" w:hAnsi="Arial" w:cs="Arial"/>
          <w:b/>
          <w:bCs/>
          <w:sz w:val="24"/>
          <w:szCs w:val="24"/>
        </w:rPr>
        <w:t>:</w:t>
      </w:r>
      <w:r>
        <w:rPr>
          <w:rFonts w:hint="default" w:ascii="Arial" w:hAnsi="Arial" w:cs="Arial"/>
          <w:sz w:val="24"/>
          <w:szCs w:val="24"/>
        </w:rPr>
        <w:t xml:space="preserve"> Hetvi Rajendrasinh Sangdot </w:t>
      </w:r>
    </w:p>
    <w:p w14:paraId="3B4E8C17">
      <w:pPr>
        <w:spacing w:line="360" w:lineRule="auto"/>
        <w:jc w:val="both"/>
        <w:rPr>
          <w:rFonts w:hint="default" w:ascii="Arial" w:hAnsi="Arial" w:cs="Arial"/>
          <w:sz w:val="24"/>
          <w:szCs w:val="24"/>
        </w:rPr>
      </w:pPr>
      <w:r>
        <w:rPr>
          <w:rFonts w:hint="default" w:ascii="Arial" w:hAnsi="Arial" w:cs="Arial"/>
          <w:b/>
          <w:bCs/>
          <w:sz w:val="24"/>
          <w:szCs w:val="24"/>
        </w:rPr>
        <w:t>Student ID:</w:t>
      </w:r>
      <w:r>
        <w:rPr>
          <w:rFonts w:hint="default" w:ascii="Arial" w:hAnsi="Arial" w:cs="Arial"/>
          <w:b/>
          <w:bCs/>
          <w:sz w:val="24"/>
          <w:szCs w:val="24"/>
          <w:lang w:val="en-US"/>
        </w:rPr>
        <w:t xml:space="preserve"> </w:t>
      </w:r>
      <w:r>
        <w:rPr>
          <w:rFonts w:hint="default" w:ascii="Arial" w:hAnsi="Arial" w:cs="Arial"/>
          <w:sz w:val="24"/>
          <w:szCs w:val="24"/>
        </w:rPr>
        <w:t>2526007     </w:t>
      </w:r>
    </w:p>
    <w:p w14:paraId="4F611CA8">
      <w:pPr>
        <w:spacing w:line="360" w:lineRule="auto"/>
        <w:jc w:val="both"/>
        <w:rPr>
          <w:rFonts w:hint="default" w:ascii="Arial" w:hAnsi="Arial" w:cs="Arial"/>
          <w:sz w:val="24"/>
          <w:szCs w:val="24"/>
        </w:rPr>
      </w:pPr>
      <w:r>
        <w:rPr>
          <w:rFonts w:hint="default" w:ascii="Arial" w:hAnsi="Arial" w:cs="Arial"/>
          <w:b/>
          <w:bCs/>
          <w:sz w:val="24"/>
          <w:szCs w:val="24"/>
        </w:rPr>
        <w:t xml:space="preserve">Programme: </w:t>
      </w:r>
      <w:r>
        <w:rPr>
          <w:rFonts w:hint="default" w:ascii="Arial" w:hAnsi="Arial" w:cs="Arial"/>
          <w:sz w:val="24"/>
          <w:szCs w:val="24"/>
        </w:rPr>
        <w:t>MSc Public Health and Social Care in Practice</w:t>
      </w:r>
    </w:p>
    <w:p w14:paraId="5595E0D9">
      <w:pPr>
        <w:spacing w:line="360" w:lineRule="auto"/>
        <w:jc w:val="both"/>
        <w:rPr>
          <w:rFonts w:hint="default" w:ascii="Arial" w:hAnsi="Arial" w:cs="Arial"/>
          <w:sz w:val="24"/>
          <w:szCs w:val="24"/>
          <w:lang w:val="en-US"/>
        </w:rPr>
      </w:pPr>
      <w:r>
        <w:rPr>
          <w:rFonts w:hint="default" w:ascii="Arial" w:hAnsi="Arial" w:cs="Arial"/>
          <w:b/>
          <w:bCs/>
          <w:sz w:val="24"/>
          <w:szCs w:val="24"/>
          <w:lang w:val="en-US"/>
        </w:rPr>
        <w:t>Lecturer for the module is:</w:t>
      </w:r>
      <w:r>
        <w:rPr>
          <w:rFonts w:hint="default" w:ascii="Arial" w:hAnsi="Arial" w:cs="Arial"/>
          <w:sz w:val="24"/>
          <w:szCs w:val="24"/>
          <w:lang w:val="en-US"/>
        </w:rPr>
        <w:t xml:space="preserve"> Dr Raheela Shaikh</w:t>
      </w:r>
    </w:p>
    <w:p w14:paraId="5B952BC0">
      <w:pPr>
        <w:spacing w:line="360" w:lineRule="auto"/>
        <w:jc w:val="both"/>
        <w:rPr>
          <w:rFonts w:hint="default" w:ascii="Arial" w:hAnsi="Arial" w:cs="Arial"/>
          <w:sz w:val="24"/>
          <w:szCs w:val="24"/>
        </w:rPr>
      </w:pPr>
      <w:r>
        <w:rPr>
          <w:rFonts w:hint="default" w:ascii="Arial" w:hAnsi="Arial" w:cs="Arial"/>
          <w:b/>
          <w:bCs/>
          <w:sz w:val="24"/>
          <w:szCs w:val="24"/>
        </w:rPr>
        <w:t xml:space="preserve">Module: </w:t>
      </w:r>
      <w:r>
        <w:rPr>
          <w:rFonts w:hint="default" w:ascii="Arial" w:hAnsi="Arial" w:cs="Arial"/>
          <w:sz w:val="24"/>
          <w:szCs w:val="24"/>
        </w:rPr>
        <w:t>Community Care and Management of Longer-</w:t>
      </w:r>
      <w:r>
        <w:rPr>
          <w:rFonts w:hint="default" w:ascii="Arial" w:hAnsi="Arial" w:cs="Arial"/>
          <w:sz w:val="24"/>
          <w:szCs w:val="24"/>
          <w:lang w:val="en-US"/>
        </w:rPr>
        <w:t>Term</w:t>
      </w:r>
      <w:r>
        <w:rPr>
          <w:rFonts w:hint="default" w:ascii="Arial" w:hAnsi="Arial" w:cs="Arial"/>
          <w:sz w:val="24"/>
          <w:szCs w:val="24"/>
        </w:rPr>
        <w:t xml:space="preserve"> Conditions  </w:t>
      </w:r>
    </w:p>
    <w:p w14:paraId="04BC52F9">
      <w:pPr>
        <w:spacing w:line="360" w:lineRule="auto"/>
        <w:jc w:val="both"/>
        <w:rPr>
          <w:rFonts w:hint="default" w:ascii="Arial" w:hAnsi="Arial" w:cs="Arial"/>
          <w:sz w:val="24"/>
          <w:szCs w:val="24"/>
        </w:rPr>
      </w:pPr>
      <w:r>
        <w:rPr>
          <w:rFonts w:hint="default" w:ascii="Arial" w:hAnsi="Arial" w:cs="Arial"/>
          <w:b/>
          <w:bCs/>
          <w:sz w:val="24"/>
          <w:szCs w:val="24"/>
        </w:rPr>
        <w:t xml:space="preserve">Module code: </w:t>
      </w:r>
      <w:r>
        <w:rPr>
          <w:rFonts w:hint="default" w:ascii="Arial" w:hAnsi="Arial" w:cs="Arial"/>
          <w:sz w:val="24"/>
          <w:szCs w:val="24"/>
        </w:rPr>
        <w:t>LCHS7003</w:t>
      </w:r>
    </w:p>
    <w:p w14:paraId="47C7D55A">
      <w:pPr>
        <w:spacing w:line="360" w:lineRule="auto"/>
        <w:jc w:val="both"/>
        <w:rPr>
          <w:rFonts w:hint="default" w:ascii="Arial" w:hAnsi="Arial" w:cs="Arial"/>
          <w:sz w:val="24"/>
          <w:szCs w:val="24"/>
        </w:rPr>
      </w:pPr>
    </w:p>
    <w:p w14:paraId="5850AEB1">
      <w:pPr>
        <w:rPr>
          <w:rFonts w:hint="default" w:ascii="Arial" w:hAnsi="Arial" w:cs="Arial"/>
          <w:sz w:val="24"/>
          <w:szCs w:val="24"/>
        </w:rPr>
      </w:pPr>
    </w:p>
    <w:p w14:paraId="06833E1A">
      <w:pPr>
        <w:rPr>
          <w:rFonts w:hint="default" w:ascii="Arial" w:hAnsi="Arial" w:cs="Arial"/>
          <w:sz w:val="24"/>
          <w:szCs w:val="24"/>
        </w:rPr>
      </w:pPr>
    </w:p>
    <w:p w14:paraId="71796E00">
      <w:pPr>
        <w:rPr>
          <w:rFonts w:hint="default" w:ascii="Arial" w:hAnsi="Arial" w:cs="Arial"/>
          <w:sz w:val="24"/>
          <w:szCs w:val="24"/>
        </w:rPr>
      </w:pPr>
    </w:p>
    <w:p w14:paraId="403559D3">
      <w:pPr>
        <w:rPr>
          <w:rFonts w:hint="default" w:ascii="Arial" w:hAnsi="Arial" w:cs="Arial"/>
          <w:sz w:val="24"/>
          <w:szCs w:val="24"/>
        </w:rPr>
      </w:pPr>
    </w:p>
    <w:p w14:paraId="2C08307F">
      <w:pPr>
        <w:rPr>
          <w:rFonts w:hint="default" w:ascii="Arial" w:hAnsi="Arial" w:cs="Arial"/>
          <w:sz w:val="24"/>
          <w:szCs w:val="24"/>
        </w:rPr>
      </w:pPr>
    </w:p>
    <w:p w14:paraId="421E3336">
      <w:pPr>
        <w:rPr>
          <w:rFonts w:hint="default" w:ascii="Arial" w:hAnsi="Arial" w:cs="Arial"/>
          <w:sz w:val="24"/>
          <w:szCs w:val="24"/>
        </w:rPr>
      </w:pPr>
    </w:p>
    <w:p w14:paraId="4B9685E1">
      <w:pPr>
        <w:rPr>
          <w:rFonts w:hint="default" w:ascii="Arial" w:hAnsi="Arial" w:cs="Arial"/>
          <w:sz w:val="24"/>
          <w:szCs w:val="24"/>
        </w:rPr>
      </w:pPr>
    </w:p>
    <w:p w14:paraId="6336A862">
      <w:pPr>
        <w:rPr>
          <w:rFonts w:hint="default" w:ascii="Arial" w:hAnsi="Arial" w:cs="Arial"/>
          <w:sz w:val="24"/>
          <w:szCs w:val="24"/>
        </w:rPr>
      </w:pPr>
    </w:p>
    <w:p w14:paraId="73D4E5B4">
      <w:pPr>
        <w:rPr>
          <w:rFonts w:hint="default" w:ascii="Arial" w:hAnsi="Arial" w:cs="Arial"/>
          <w:sz w:val="24"/>
          <w:szCs w:val="24"/>
        </w:rPr>
      </w:pPr>
    </w:p>
    <w:p w14:paraId="5FBE6954">
      <w:pPr>
        <w:rPr>
          <w:rFonts w:hint="default" w:ascii="Arial" w:hAnsi="Arial" w:cs="Arial"/>
          <w:sz w:val="24"/>
          <w:szCs w:val="24"/>
        </w:rPr>
      </w:pPr>
    </w:p>
    <w:p w14:paraId="322252E0">
      <w:pPr>
        <w:rPr>
          <w:rFonts w:hint="default" w:ascii="Arial" w:hAnsi="Arial" w:cs="Arial"/>
          <w:sz w:val="24"/>
          <w:szCs w:val="24"/>
        </w:rPr>
      </w:pPr>
    </w:p>
    <w:p w14:paraId="2A4AA3B4">
      <w:pPr>
        <w:jc w:val="center"/>
        <w:rPr>
          <w:rFonts w:hint="default" w:ascii="Arial" w:hAnsi="Arial" w:cs="Arial"/>
          <w:sz w:val="24"/>
          <w:szCs w:val="24"/>
          <w:lang w:val="en-US"/>
        </w:rPr>
      </w:pPr>
      <w:r>
        <w:rPr>
          <w:rFonts w:hint="default" w:ascii="Arial" w:hAnsi="Arial" w:eastAsia="Times New Roman" w:cs="Arial"/>
          <w:b/>
          <w:bCs/>
          <w:color w:val="2E2E2E"/>
          <w:sz w:val="24"/>
          <w:szCs w:val="24"/>
          <w:lang w:val="en-US"/>
        </w:rPr>
        <w:t>INDEX</w:t>
      </w:r>
    </w:p>
    <w:sdt>
      <w:sdtPr>
        <w:rPr>
          <w:rFonts w:hint="default" w:ascii="Arial" w:hAnsi="Arial" w:eastAsia="SimSun" w:cs="Arial"/>
          <w:kern w:val="2"/>
          <w:sz w:val="24"/>
          <w:szCs w:val="24"/>
          <w:lang w:val="en-GB" w:eastAsia="en-US" w:bidi="ar-SA"/>
          <w14:ligatures w14:val="standardContextual"/>
        </w:rPr>
        <w:id w:val="147458489"/>
        <w15:color w:val="DBDBDB"/>
        <w:docPartObj>
          <w:docPartGallery w:val="Table of Contents"/>
          <w:docPartUnique/>
        </w:docPartObj>
      </w:sdtPr>
      <w:sdtEndPr>
        <w:rPr>
          <w:rFonts w:hint="default" w:ascii="Arial" w:hAnsi="Arial" w:eastAsia="Times New Roman" w:cs="Arial"/>
          <w:bCs/>
          <w:color w:val="2E2E2E"/>
          <w:kern w:val="2"/>
          <w:sz w:val="24"/>
          <w:szCs w:val="24"/>
          <w:lang w:val="en-US" w:eastAsia="en-US" w:bidi="ar-SA"/>
          <w14:ligatures w14:val="standardContextual"/>
        </w:rPr>
      </w:sdtEndPr>
      <w:sdtContent>
        <w:p w14:paraId="4BCCE123">
          <w:pPr>
            <w:spacing w:before="0" w:beforeLines="0" w:after="0" w:afterLines="0" w:line="240" w:lineRule="auto"/>
            <w:ind w:left="0" w:leftChars="0" w:right="0" w:rightChars="0" w:firstLine="0" w:firstLineChars="0"/>
            <w:jc w:val="center"/>
            <w:rPr>
              <w:rFonts w:hint="default" w:ascii="Arial" w:hAnsi="Arial" w:cs="Arial"/>
              <w:sz w:val="24"/>
              <w:szCs w:val="24"/>
            </w:rPr>
          </w:pPr>
        </w:p>
        <w:p w14:paraId="3CD01110">
          <w:pPr>
            <w:pStyle w:val="43"/>
            <w:tabs>
              <w:tab w:val="right" w:leader="dot" w:pos="9360"/>
            </w:tabs>
            <w:spacing w:line="360" w:lineRule="auto"/>
            <w:jc w:val="both"/>
            <w:rPr>
              <w:rFonts w:hint="default" w:ascii="Arial" w:hAnsi="Arial" w:eastAsia="Times New Roman" w:cs="Arial"/>
              <w:bCs/>
              <w:color w:val="2E2E2E"/>
              <w:sz w:val="24"/>
              <w:szCs w:val="24"/>
              <w:lang w:val="en-US"/>
            </w:rPr>
          </w:pPr>
          <w:r>
            <w:rPr>
              <w:rFonts w:hint="default" w:ascii="Arial" w:hAnsi="Arial" w:eastAsia="Times New Roman" w:cs="Arial"/>
              <w:b/>
              <w:bCs/>
              <w:color w:val="2E2E2E"/>
              <w:sz w:val="24"/>
              <w:szCs w:val="24"/>
              <w:lang w:val="en-US"/>
            </w:rPr>
            <w:fldChar w:fldCharType="begin"/>
          </w:r>
          <w:r>
            <w:rPr>
              <w:rFonts w:hint="default" w:ascii="Arial" w:hAnsi="Arial" w:eastAsia="Times New Roman" w:cs="Arial"/>
              <w:b/>
              <w:bCs/>
              <w:color w:val="2E2E2E"/>
              <w:sz w:val="24"/>
              <w:szCs w:val="24"/>
              <w:lang w:val="en-US"/>
            </w:rPr>
            <w:instrText xml:space="preserve">TOC \o "1-3" \h \u </w:instrText>
          </w:r>
          <w:r>
            <w:rPr>
              <w:rFonts w:hint="default" w:ascii="Arial" w:hAnsi="Arial" w:eastAsia="Times New Roman" w:cs="Arial"/>
              <w:b/>
              <w:bCs/>
              <w:color w:val="2E2E2E"/>
              <w:sz w:val="24"/>
              <w:szCs w:val="24"/>
              <w:lang w:val="en-US"/>
            </w:rPr>
            <w:fldChar w:fldCharType="separate"/>
          </w: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_Toc29280 </w:instrText>
          </w:r>
          <w:r>
            <w:rPr>
              <w:rFonts w:hint="default" w:ascii="Arial" w:hAnsi="Arial" w:eastAsia="Times New Roman" w:cs="Arial"/>
              <w:bCs/>
              <w:sz w:val="24"/>
              <w:szCs w:val="24"/>
              <w:lang w:val="en-US"/>
            </w:rPr>
            <w:fldChar w:fldCharType="separate"/>
          </w:r>
          <w:r>
            <w:rPr>
              <w:rFonts w:hint="default" w:ascii="Arial" w:hAnsi="Arial" w:cs="Arial"/>
              <w:sz w:val="24"/>
              <w:szCs w:val="24"/>
            </w:rPr>
            <w:t>1.Introduction: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_Toc29280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0A696E14">
          <w:pPr>
            <w:pStyle w:val="44"/>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_Toc17088 </w:instrText>
          </w:r>
          <w:r>
            <w:rPr>
              <w:rFonts w:hint="default" w:ascii="Arial" w:hAnsi="Arial" w:eastAsia="Times New Roman" w:cs="Arial"/>
              <w:bCs/>
              <w:sz w:val="24"/>
              <w:szCs w:val="24"/>
              <w:lang w:val="en-US"/>
            </w:rPr>
            <w:fldChar w:fldCharType="separate"/>
          </w:r>
          <w:r>
            <w:rPr>
              <w:rFonts w:hint="default" w:ascii="Arial" w:hAnsi="Arial" w:cs="Arial"/>
              <w:sz w:val="24"/>
              <w:szCs w:val="24"/>
            </w:rPr>
            <w:t>1.1. Definition: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_Toc17088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32F7494D">
          <w:pPr>
            <w:pStyle w:val="44"/>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_Toc12306 </w:instrText>
          </w:r>
          <w:r>
            <w:rPr>
              <w:rFonts w:hint="default" w:ascii="Arial" w:hAnsi="Arial" w:eastAsia="Times New Roman" w:cs="Arial"/>
              <w:bCs/>
              <w:sz w:val="24"/>
              <w:szCs w:val="24"/>
              <w:lang w:val="en-US"/>
            </w:rPr>
            <w:fldChar w:fldCharType="separate"/>
          </w:r>
          <w:r>
            <w:rPr>
              <w:rFonts w:hint="default" w:ascii="Arial" w:hAnsi="Arial" w:cs="Arial"/>
              <w:sz w:val="24"/>
              <w:szCs w:val="24"/>
            </w:rPr>
            <w:t>1.2. Prevalence of congenital heart disease: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_Toc12306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79A4FA6E">
          <w:pPr>
            <w:pStyle w:val="44"/>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_Toc23355 </w:instrText>
          </w:r>
          <w:r>
            <w:rPr>
              <w:rFonts w:hint="default" w:ascii="Arial" w:hAnsi="Arial" w:eastAsia="Times New Roman" w:cs="Arial"/>
              <w:bCs/>
              <w:sz w:val="24"/>
              <w:szCs w:val="24"/>
              <w:lang w:val="en-US"/>
            </w:rPr>
            <w:fldChar w:fldCharType="separate"/>
          </w:r>
          <w:r>
            <w:rPr>
              <w:rFonts w:hint="default" w:ascii="Arial" w:hAnsi="Arial" w:cs="Arial"/>
              <w:sz w:val="24"/>
              <w:szCs w:val="24"/>
            </w:rPr>
            <w:t>1.3. Burden of congenital heart disease: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_Toc23355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56B45D52">
          <w:pPr>
            <w:pStyle w:val="44"/>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_Toc5399 </w:instrText>
          </w:r>
          <w:r>
            <w:rPr>
              <w:rFonts w:hint="default" w:ascii="Arial" w:hAnsi="Arial" w:eastAsia="Times New Roman" w:cs="Arial"/>
              <w:bCs/>
              <w:sz w:val="24"/>
              <w:szCs w:val="24"/>
              <w:lang w:val="en-US"/>
            </w:rPr>
            <w:fldChar w:fldCharType="separate"/>
          </w:r>
          <w:r>
            <w:rPr>
              <w:rFonts w:hint="default" w:ascii="Arial" w:hAnsi="Arial" w:cs="Arial"/>
              <w:sz w:val="24"/>
              <w:szCs w:val="24"/>
            </w:rPr>
            <w:t>1.4. Risk Factors for Congenital heart defect: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_Toc5399 \h </w:instrText>
          </w:r>
          <w:r>
            <w:rPr>
              <w:rFonts w:hint="default" w:ascii="Arial" w:hAnsi="Arial" w:cs="Arial"/>
              <w:sz w:val="24"/>
              <w:szCs w:val="24"/>
            </w:rPr>
            <w:fldChar w:fldCharType="separate"/>
          </w:r>
          <w:r>
            <w:rPr>
              <w:rFonts w:hint="default" w:ascii="Arial" w:hAnsi="Arial" w:cs="Arial"/>
              <w:sz w:val="24"/>
              <w:szCs w:val="24"/>
            </w:rPr>
            <w:t>14</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7707BA3F">
          <w:pPr>
            <w:pStyle w:val="43"/>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_Toc14187 </w:instrText>
          </w:r>
          <w:r>
            <w:rPr>
              <w:rFonts w:hint="default" w:ascii="Arial" w:hAnsi="Arial" w:eastAsia="Times New Roman" w:cs="Arial"/>
              <w:bCs/>
              <w:sz w:val="24"/>
              <w:szCs w:val="24"/>
              <w:lang w:val="en-US"/>
            </w:rPr>
            <w:fldChar w:fldCharType="separate"/>
          </w:r>
          <w:r>
            <w:rPr>
              <w:rFonts w:hint="default" w:ascii="Arial" w:hAnsi="Arial" w:cs="Arial"/>
              <w:sz w:val="24"/>
              <w:szCs w:val="24"/>
            </w:rPr>
            <w:t>2. Causes of Congenital Heart Defects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_Toc14187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6B102003">
          <w:pPr>
            <w:pStyle w:val="44"/>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_Toc6886 </w:instrText>
          </w:r>
          <w:r>
            <w:rPr>
              <w:rFonts w:hint="default" w:ascii="Arial" w:hAnsi="Arial" w:eastAsia="Times New Roman" w:cs="Arial"/>
              <w:bCs/>
              <w:sz w:val="24"/>
              <w:szCs w:val="24"/>
              <w:lang w:val="en-US"/>
            </w:rPr>
            <w:fldChar w:fldCharType="separate"/>
          </w:r>
          <w:r>
            <w:rPr>
              <w:rFonts w:hint="default" w:ascii="Arial" w:hAnsi="Arial" w:cs="Arial"/>
              <w:sz w:val="24"/>
              <w:szCs w:val="24"/>
            </w:rPr>
            <w:t>2.2 Aetiology of Congenital Heart Disease: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_Toc6886 \h </w:instrText>
          </w:r>
          <w:r>
            <w:rPr>
              <w:rFonts w:hint="default" w:ascii="Arial" w:hAnsi="Arial" w:cs="Arial"/>
              <w:sz w:val="24"/>
              <w:szCs w:val="24"/>
            </w:rPr>
            <w:fldChar w:fldCharType="separate"/>
          </w:r>
          <w:r>
            <w:rPr>
              <w:rFonts w:hint="default" w:ascii="Arial" w:hAnsi="Arial" w:cs="Arial"/>
              <w:sz w:val="24"/>
              <w:szCs w:val="24"/>
            </w:rPr>
            <w:t>16</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7C56CD56">
          <w:pPr>
            <w:pStyle w:val="43"/>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_Toc8836 </w:instrText>
          </w:r>
          <w:r>
            <w:rPr>
              <w:rFonts w:hint="default" w:ascii="Arial" w:hAnsi="Arial" w:eastAsia="Times New Roman" w:cs="Arial"/>
              <w:bCs/>
              <w:sz w:val="24"/>
              <w:szCs w:val="24"/>
              <w:lang w:val="en-US"/>
            </w:rPr>
            <w:fldChar w:fldCharType="separate"/>
          </w:r>
          <w:r>
            <w:rPr>
              <w:rFonts w:hint="default" w:ascii="Arial" w:hAnsi="Arial" w:cs="Arial"/>
              <w:sz w:val="24"/>
              <w:szCs w:val="24"/>
            </w:rPr>
            <w:t>3. Theoretical Perspective and Models for Improved Outcome: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_Toc8836 \h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67C6B27E">
          <w:pPr>
            <w:pStyle w:val="44"/>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_Toc300 </w:instrText>
          </w:r>
          <w:r>
            <w:rPr>
              <w:rFonts w:hint="default" w:ascii="Arial" w:hAnsi="Arial" w:eastAsia="Times New Roman" w:cs="Arial"/>
              <w:bCs/>
              <w:sz w:val="24"/>
              <w:szCs w:val="24"/>
              <w:lang w:val="en-US"/>
            </w:rPr>
            <w:fldChar w:fldCharType="separate"/>
          </w:r>
          <w:r>
            <w:rPr>
              <w:rFonts w:hint="default" w:ascii="Arial" w:hAnsi="Arial" w:cs="Arial"/>
              <w:sz w:val="24"/>
              <w:szCs w:val="24"/>
            </w:rPr>
            <w:t>3.1. The Chronic Care Model (CCM) Applied to Congenital Heart Disease (CHD):</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_Toc300 \h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66B04150">
          <w:pPr>
            <w:pStyle w:val="44"/>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_Toc8604 </w:instrText>
          </w:r>
          <w:r>
            <w:rPr>
              <w:rFonts w:hint="default" w:ascii="Arial" w:hAnsi="Arial" w:eastAsia="Times New Roman" w:cs="Arial"/>
              <w:bCs/>
              <w:sz w:val="24"/>
              <w:szCs w:val="24"/>
              <w:lang w:val="en-US"/>
            </w:rPr>
            <w:fldChar w:fldCharType="separate"/>
          </w:r>
          <w:r>
            <w:rPr>
              <w:rFonts w:hint="default" w:ascii="Arial" w:hAnsi="Arial" w:cs="Arial"/>
              <w:sz w:val="24"/>
              <w:szCs w:val="24"/>
            </w:rPr>
            <w:t>3.2. House of Care (HoC) Model in Congenital Heart Disease (CHD):</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_Toc8604 \h </w:instrText>
          </w:r>
          <w:r>
            <w:rPr>
              <w:rFonts w:hint="default" w:ascii="Arial" w:hAnsi="Arial" w:cs="Arial"/>
              <w:sz w:val="24"/>
              <w:szCs w:val="24"/>
            </w:rPr>
            <w:fldChar w:fldCharType="separate"/>
          </w:r>
          <w:r>
            <w:rPr>
              <w:rFonts w:hint="default" w:ascii="Arial" w:hAnsi="Arial" w:cs="Arial"/>
              <w:sz w:val="24"/>
              <w:szCs w:val="24"/>
            </w:rPr>
            <w:t>21</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5538F2ED">
          <w:pPr>
            <w:pStyle w:val="43"/>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_Toc29761 </w:instrText>
          </w:r>
          <w:r>
            <w:rPr>
              <w:rFonts w:hint="default" w:ascii="Arial" w:hAnsi="Arial" w:eastAsia="Times New Roman" w:cs="Arial"/>
              <w:bCs/>
              <w:sz w:val="24"/>
              <w:szCs w:val="24"/>
              <w:lang w:val="en-US"/>
            </w:rPr>
            <w:fldChar w:fldCharType="separate"/>
          </w:r>
          <w:r>
            <w:rPr>
              <w:rFonts w:hint="default" w:ascii="Arial" w:hAnsi="Arial" w:cs="Arial"/>
              <w:sz w:val="24"/>
              <w:szCs w:val="24"/>
            </w:rPr>
            <w:t>4. Physiotherapy Management of Congenital Heart Disease: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_Toc29761 \h </w:instrText>
          </w:r>
          <w:r>
            <w:rPr>
              <w:rFonts w:hint="default" w:ascii="Arial" w:hAnsi="Arial" w:cs="Arial"/>
              <w:sz w:val="24"/>
              <w:szCs w:val="24"/>
            </w:rPr>
            <w:fldChar w:fldCharType="separate"/>
          </w:r>
          <w:r>
            <w:rPr>
              <w:rFonts w:hint="default" w:ascii="Arial" w:hAnsi="Arial" w:cs="Arial"/>
              <w:sz w:val="24"/>
              <w:szCs w:val="24"/>
            </w:rPr>
            <w:t>24</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71FF0191">
          <w:pPr>
            <w:pStyle w:val="44"/>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_Toc25823 </w:instrText>
          </w:r>
          <w:r>
            <w:rPr>
              <w:rFonts w:hint="default" w:ascii="Arial" w:hAnsi="Arial" w:eastAsia="Times New Roman" w:cs="Arial"/>
              <w:bCs/>
              <w:sz w:val="24"/>
              <w:szCs w:val="24"/>
              <w:lang w:val="en-US"/>
            </w:rPr>
            <w:fldChar w:fldCharType="separate"/>
          </w:r>
          <w:r>
            <w:rPr>
              <w:rFonts w:hint="default" w:ascii="Arial" w:hAnsi="Arial" w:cs="Arial"/>
              <w:sz w:val="24"/>
              <w:szCs w:val="24"/>
            </w:rPr>
            <w:t>4.1. Key Interventions: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_Toc25823 \h </w:instrText>
          </w:r>
          <w:r>
            <w:rPr>
              <w:rFonts w:hint="default" w:ascii="Arial" w:hAnsi="Arial" w:cs="Arial"/>
              <w:sz w:val="24"/>
              <w:szCs w:val="24"/>
            </w:rPr>
            <w:fldChar w:fldCharType="separate"/>
          </w:r>
          <w:r>
            <w:rPr>
              <w:rFonts w:hint="default" w:ascii="Arial" w:hAnsi="Arial" w:cs="Arial"/>
              <w:sz w:val="24"/>
              <w:szCs w:val="24"/>
            </w:rPr>
            <w:t>25</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3D04B3DC">
          <w:pPr>
            <w:pStyle w:val="44"/>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_Toc3087 </w:instrText>
          </w:r>
          <w:r>
            <w:rPr>
              <w:rFonts w:hint="default" w:ascii="Arial" w:hAnsi="Arial" w:eastAsia="Times New Roman" w:cs="Arial"/>
              <w:bCs/>
              <w:sz w:val="24"/>
              <w:szCs w:val="24"/>
              <w:lang w:val="en-US"/>
            </w:rPr>
            <w:fldChar w:fldCharType="separate"/>
          </w:r>
          <w:r>
            <w:rPr>
              <w:rFonts w:hint="default" w:ascii="Arial" w:hAnsi="Arial" w:cs="Arial"/>
              <w:sz w:val="24"/>
              <w:szCs w:val="24"/>
            </w:rPr>
            <w:t>4.2. Physical exercise in children with congenital heart disease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_Toc3087 \h </w:instrText>
          </w:r>
          <w:r>
            <w:rPr>
              <w:rFonts w:hint="default" w:ascii="Arial" w:hAnsi="Arial" w:cs="Arial"/>
              <w:sz w:val="24"/>
              <w:szCs w:val="24"/>
            </w:rPr>
            <w:fldChar w:fldCharType="separate"/>
          </w:r>
          <w:r>
            <w:rPr>
              <w:rFonts w:hint="default" w:ascii="Arial" w:hAnsi="Arial" w:cs="Arial"/>
              <w:sz w:val="24"/>
              <w:szCs w:val="24"/>
            </w:rPr>
            <w:t>29</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26BE5F02">
          <w:pPr>
            <w:pStyle w:val="45"/>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_Toc21332 </w:instrText>
          </w:r>
          <w:r>
            <w:rPr>
              <w:rFonts w:hint="default" w:ascii="Arial" w:hAnsi="Arial" w:eastAsia="Times New Roman" w:cs="Arial"/>
              <w:bCs/>
              <w:sz w:val="24"/>
              <w:szCs w:val="24"/>
              <w:lang w:val="en-US"/>
            </w:rPr>
            <w:fldChar w:fldCharType="separate"/>
          </w:r>
          <w:r>
            <w:rPr>
              <w:rFonts w:hint="default" w:ascii="Arial" w:hAnsi="Arial" w:eastAsia="Times New Roman" w:cs="Arial"/>
              <w:bCs/>
              <w:sz w:val="24"/>
              <w:szCs w:val="24"/>
            </w:rPr>
            <w:t> Benefits of Exercise: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_Toc21332 \h </w:instrText>
          </w:r>
          <w:r>
            <w:rPr>
              <w:rFonts w:hint="default" w:ascii="Arial" w:hAnsi="Arial" w:cs="Arial"/>
              <w:sz w:val="24"/>
              <w:szCs w:val="24"/>
            </w:rPr>
            <w:fldChar w:fldCharType="separate"/>
          </w:r>
          <w:r>
            <w:rPr>
              <w:rFonts w:hint="default" w:ascii="Arial" w:hAnsi="Arial" w:cs="Arial"/>
              <w:sz w:val="24"/>
              <w:szCs w:val="24"/>
            </w:rPr>
            <w:t>29</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41A5F32D">
          <w:pPr>
            <w:pStyle w:val="45"/>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_Toc3896 </w:instrText>
          </w:r>
          <w:r>
            <w:rPr>
              <w:rFonts w:hint="default" w:ascii="Arial" w:hAnsi="Arial" w:eastAsia="Times New Roman" w:cs="Arial"/>
              <w:bCs/>
              <w:sz w:val="24"/>
              <w:szCs w:val="24"/>
              <w:lang w:val="en-US"/>
            </w:rPr>
            <w:fldChar w:fldCharType="separate"/>
          </w:r>
          <w:r>
            <w:rPr>
              <w:rFonts w:hint="default" w:ascii="Arial" w:hAnsi="Arial" w:eastAsia="Times New Roman" w:cs="Arial"/>
              <w:sz w:val="24"/>
              <w:szCs w:val="24"/>
            </w:rPr>
            <w:t xml:space="preserve"> Improves physical capacity </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_Toc3896 \h </w:instrText>
          </w:r>
          <w:r>
            <w:rPr>
              <w:rFonts w:hint="default" w:ascii="Arial" w:hAnsi="Arial" w:cs="Arial"/>
              <w:sz w:val="24"/>
              <w:szCs w:val="24"/>
            </w:rPr>
            <w:fldChar w:fldCharType="separate"/>
          </w:r>
          <w:r>
            <w:rPr>
              <w:rFonts w:hint="default" w:ascii="Arial" w:hAnsi="Arial" w:cs="Arial"/>
              <w:sz w:val="24"/>
              <w:szCs w:val="24"/>
            </w:rPr>
            <w:t>29</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629C8FA4">
          <w:pPr>
            <w:pStyle w:val="45"/>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_Toc3556 </w:instrText>
          </w:r>
          <w:r>
            <w:rPr>
              <w:rFonts w:hint="default" w:ascii="Arial" w:hAnsi="Arial" w:eastAsia="Times New Roman" w:cs="Arial"/>
              <w:bCs/>
              <w:sz w:val="24"/>
              <w:szCs w:val="24"/>
              <w:lang w:val="en-US"/>
            </w:rPr>
            <w:fldChar w:fldCharType="separate"/>
          </w:r>
          <w:r>
            <w:rPr>
              <w:rFonts w:hint="default" w:ascii="Arial" w:hAnsi="Arial" w:eastAsia="Times New Roman" w:cs="Arial"/>
              <w:bCs/>
              <w:sz w:val="24"/>
              <w:szCs w:val="24"/>
            </w:rPr>
            <w:t> Common Problems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_Toc3556 \h </w:instrText>
          </w:r>
          <w:r>
            <w:rPr>
              <w:rFonts w:hint="default" w:ascii="Arial" w:hAnsi="Arial" w:cs="Arial"/>
              <w:sz w:val="24"/>
              <w:szCs w:val="24"/>
            </w:rPr>
            <w:fldChar w:fldCharType="separate"/>
          </w:r>
          <w:r>
            <w:rPr>
              <w:rFonts w:hint="default" w:ascii="Arial" w:hAnsi="Arial" w:cs="Arial"/>
              <w:sz w:val="24"/>
              <w:szCs w:val="24"/>
            </w:rPr>
            <w:t>30</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2BBEBAD6">
          <w:pPr>
            <w:pStyle w:val="45"/>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_Toc1163 </w:instrText>
          </w:r>
          <w:r>
            <w:rPr>
              <w:rFonts w:hint="default" w:ascii="Arial" w:hAnsi="Arial" w:eastAsia="Times New Roman" w:cs="Arial"/>
              <w:bCs/>
              <w:sz w:val="24"/>
              <w:szCs w:val="24"/>
              <w:lang w:val="en-US"/>
            </w:rPr>
            <w:fldChar w:fldCharType="separate"/>
          </w:r>
          <w:r>
            <w:rPr>
              <w:rFonts w:hint="default" w:ascii="Arial" w:hAnsi="Arial" w:eastAsia="Times New Roman" w:cs="Arial"/>
              <w:bCs/>
              <w:sz w:val="24"/>
              <w:szCs w:val="24"/>
            </w:rPr>
            <w:t> 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_Toc1163 \h </w:instrText>
          </w:r>
          <w:r>
            <w:rPr>
              <w:rFonts w:hint="default" w:ascii="Arial" w:hAnsi="Arial" w:cs="Arial"/>
              <w:sz w:val="24"/>
              <w:szCs w:val="24"/>
            </w:rPr>
            <w:fldChar w:fldCharType="separate"/>
          </w:r>
          <w:r>
            <w:rPr>
              <w:rFonts w:hint="default" w:ascii="Arial" w:hAnsi="Arial" w:cs="Arial"/>
              <w:sz w:val="24"/>
              <w:szCs w:val="24"/>
            </w:rPr>
            <w:t>30</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75A1946E">
          <w:pPr>
            <w:pStyle w:val="45"/>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_Toc27522 </w:instrText>
          </w:r>
          <w:r>
            <w:rPr>
              <w:rFonts w:hint="default" w:ascii="Arial" w:hAnsi="Arial" w:eastAsia="Times New Roman" w:cs="Arial"/>
              <w:bCs/>
              <w:sz w:val="24"/>
              <w:szCs w:val="24"/>
              <w:lang w:val="en-US"/>
            </w:rPr>
            <w:fldChar w:fldCharType="separate"/>
          </w:r>
          <w:r>
            <w:rPr>
              <w:rFonts w:hint="default" w:ascii="Arial" w:hAnsi="Arial" w:eastAsia="Times New Roman" w:cs="Arial"/>
              <w:bCs/>
              <w:sz w:val="24"/>
              <w:szCs w:val="24"/>
            </w:rPr>
            <w:t> 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_Toc27522 \h </w:instrText>
          </w:r>
          <w:r>
            <w:rPr>
              <w:rFonts w:hint="default" w:ascii="Arial" w:hAnsi="Arial" w:cs="Arial"/>
              <w:sz w:val="24"/>
              <w:szCs w:val="24"/>
            </w:rPr>
            <w:fldChar w:fldCharType="separate"/>
          </w:r>
          <w:r>
            <w:rPr>
              <w:rFonts w:hint="default" w:ascii="Arial" w:hAnsi="Arial" w:cs="Arial"/>
              <w:sz w:val="24"/>
              <w:szCs w:val="24"/>
            </w:rPr>
            <w:t>30</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50DF88F0">
          <w:pPr>
            <w:pStyle w:val="43"/>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_Toc11528 </w:instrText>
          </w:r>
          <w:r>
            <w:rPr>
              <w:rFonts w:hint="default" w:ascii="Arial" w:hAnsi="Arial" w:eastAsia="Times New Roman" w:cs="Arial"/>
              <w:bCs/>
              <w:sz w:val="24"/>
              <w:szCs w:val="24"/>
              <w:lang w:val="en-US"/>
            </w:rPr>
            <w:fldChar w:fldCharType="separate"/>
          </w:r>
          <w:r>
            <w:rPr>
              <w:rFonts w:hint="default" w:ascii="Arial" w:hAnsi="Arial" w:cs="Arial"/>
              <w:sz w:val="24"/>
              <w:szCs w:val="24"/>
            </w:rPr>
            <w:t>5. End-of-Life Care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_Toc11528 \h </w:instrText>
          </w:r>
          <w:r>
            <w:rPr>
              <w:rFonts w:hint="default" w:ascii="Arial" w:hAnsi="Arial" w:cs="Arial"/>
              <w:sz w:val="24"/>
              <w:szCs w:val="24"/>
            </w:rPr>
            <w:fldChar w:fldCharType="separate"/>
          </w:r>
          <w:r>
            <w:rPr>
              <w:rFonts w:hint="default" w:ascii="Arial" w:hAnsi="Arial" w:cs="Arial"/>
              <w:sz w:val="24"/>
              <w:szCs w:val="24"/>
            </w:rPr>
            <w:t>32</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574D68F5">
          <w:pPr>
            <w:pStyle w:val="44"/>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_Toc16292 </w:instrText>
          </w:r>
          <w:r>
            <w:rPr>
              <w:rFonts w:hint="default" w:ascii="Arial" w:hAnsi="Arial" w:eastAsia="Times New Roman" w:cs="Arial"/>
              <w:bCs/>
              <w:sz w:val="24"/>
              <w:szCs w:val="24"/>
              <w:lang w:val="en-US"/>
            </w:rPr>
            <w:fldChar w:fldCharType="separate"/>
          </w:r>
          <w:r>
            <w:rPr>
              <w:rFonts w:hint="default" w:ascii="Arial" w:hAnsi="Arial" w:cs="Arial"/>
              <w:sz w:val="24"/>
              <w:szCs w:val="24"/>
            </w:rPr>
            <w:t>5. 1. Useful websites: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_Toc16292 \h </w:instrText>
          </w:r>
          <w:r>
            <w:rPr>
              <w:rFonts w:hint="default" w:ascii="Arial" w:hAnsi="Arial" w:cs="Arial"/>
              <w:sz w:val="24"/>
              <w:szCs w:val="24"/>
            </w:rPr>
            <w:fldChar w:fldCharType="separate"/>
          </w:r>
          <w:r>
            <w:rPr>
              <w:rFonts w:hint="default" w:ascii="Arial" w:hAnsi="Arial" w:cs="Arial"/>
              <w:sz w:val="24"/>
              <w:szCs w:val="24"/>
            </w:rPr>
            <w:t>35</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7A4846CE">
          <w:pPr>
            <w:pStyle w:val="43"/>
            <w:tabs>
              <w:tab w:val="right" w:leader="dot" w:pos="9360"/>
            </w:tabs>
            <w:spacing w:line="360" w:lineRule="auto"/>
            <w:jc w:val="both"/>
            <w:rPr>
              <w:rFonts w:hint="default" w:ascii="Arial" w:hAnsi="Arial" w:cs="Arial"/>
              <w:sz w:val="24"/>
              <w:szCs w:val="24"/>
            </w:rPr>
          </w:pPr>
          <w:r>
            <w:rPr>
              <w:rFonts w:hint="default" w:ascii="Arial" w:hAnsi="Arial" w:eastAsia="Times New Roman" w:cs="Arial"/>
              <w:bCs/>
              <w:color w:val="2E2E2E"/>
              <w:sz w:val="24"/>
              <w:szCs w:val="24"/>
              <w:lang w:val="en-US"/>
            </w:rPr>
            <w:fldChar w:fldCharType="begin"/>
          </w:r>
          <w:r>
            <w:rPr>
              <w:rFonts w:hint="default" w:ascii="Arial" w:hAnsi="Arial" w:eastAsia="Times New Roman" w:cs="Arial"/>
              <w:bCs/>
              <w:sz w:val="24"/>
              <w:szCs w:val="24"/>
              <w:lang w:val="en-US"/>
            </w:rPr>
            <w:instrText xml:space="preserve"> HYPERLINK \l _Toc4856 </w:instrText>
          </w:r>
          <w:r>
            <w:rPr>
              <w:rFonts w:hint="default" w:ascii="Arial" w:hAnsi="Arial" w:eastAsia="Times New Roman" w:cs="Arial"/>
              <w:bCs/>
              <w:sz w:val="24"/>
              <w:szCs w:val="24"/>
              <w:lang w:val="en-US"/>
            </w:rPr>
            <w:fldChar w:fldCharType="separate"/>
          </w:r>
          <w:r>
            <w:rPr>
              <w:rFonts w:hint="default" w:ascii="Arial" w:hAnsi="Arial" w:cs="Arial"/>
              <w:sz w:val="24"/>
              <w:szCs w:val="24"/>
            </w:rPr>
            <w:t>6. 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_Toc4856 \h </w:instrText>
          </w:r>
          <w:r>
            <w:rPr>
              <w:rFonts w:hint="default" w:ascii="Arial" w:hAnsi="Arial" w:cs="Arial"/>
              <w:sz w:val="24"/>
              <w:szCs w:val="24"/>
            </w:rPr>
            <w:fldChar w:fldCharType="separate"/>
          </w:r>
          <w:r>
            <w:rPr>
              <w:rFonts w:hint="default" w:ascii="Arial" w:hAnsi="Arial" w:cs="Arial"/>
              <w:sz w:val="24"/>
              <w:szCs w:val="24"/>
            </w:rPr>
            <w:t>36</w:t>
          </w:r>
          <w:r>
            <w:rPr>
              <w:rFonts w:hint="default" w:ascii="Arial" w:hAnsi="Arial" w:cs="Arial"/>
              <w:sz w:val="24"/>
              <w:szCs w:val="24"/>
            </w:rPr>
            <w:fldChar w:fldCharType="end"/>
          </w:r>
          <w:r>
            <w:rPr>
              <w:rFonts w:hint="default" w:ascii="Arial" w:hAnsi="Arial" w:eastAsia="Times New Roman" w:cs="Arial"/>
              <w:bCs/>
              <w:color w:val="2E2E2E"/>
              <w:sz w:val="24"/>
              <w:szCs w:val="24"/>
              <w:lang w:val="en-US"/>
            </w:rPr>
            <w:fldChar w:fldCharType="end"/>
          </w:r>
        </w:p>
        <w:p w14:paraId="79EE2E6E">
          <w:pPr>
            <w:jc w:val="center"/>
            <w:rPr>
              <w:rFonts w:hint="default" w:ascii="Arial" w:hAnsi="Arial" w:eastAsia="Times New Roman" w:cs="Arial"/>
              <w:bCs/>
              <w:color w:val="2E2E2E"/>
              <w:kern w:val="2"/>
              <w:sz w:val="24"/>
              <w:szCs w:val="24"/>
              <w:lang w:val="en-US" w:eastAsia="en-US" w:bidi="ar-SA"/>
              <w14:ligatures w14:val="standardContextual"/>
            </w:rPr>
          </w:pPr>
          <w:r>
            <w:rPr>
              <w:rFonts w:hint="default" w:ascii="Arial" w:hAnsi="Arial" w:eastAsia="Times New Roman" w:cs="Arial"/>
              <w:bCs/>
              <w:color w:val="2E2E2E"/>
              <w:sz w:val="24"/>
              <w:szCs w:val="24"/>
              <w:lang w:val="en-US"/>
            </w:rPr>
            <w:fldChar w:fldCharType="end"/>
          </w:r>
        </w:p>
      </w:sdtContent>
    </w:sdt>
    <w:p w14:paraId="2B488555">
      <w:pPr>
        <w:jc w:val="center"/>
        <w:rPr>
          <w:rFonts w:hint="default" w:ascii="Arial" w:hAnsi="Arial" w:eastAsia="Times New Roman" w:cs="Arial"/>
          <w:bCs/>
          <w:color w:val="2E2E2E"/>
          <w:kern w:val="2"/>
          <w:sz w:val="24"/>
          <w:szCs w:val="24"/>
          <w:lang w:val="en-US" w:eastAsia="en-US" w:bidi="ar-SA"/>
          <w14:ligatures w14:val="standardContextual"/>
        </w:rPr>
      </w:pPr>
    </w:p>
    <w:p w14:paraId="5B0B41D0">
      <w:pPr>
        <w:jc w:val="center"/>
        <w:rPr>
          <w:rFonts w:hint="default" w:ascii="Arial" w:hAnsi="Arial" w:eastAsia="Times New Roman" w:cs="Arial"/>
          <w:b/>
          <w:bCs/>
          <w:color w:val="2E2E2E"/>
          <w:sz w:val="24"/>
          <w:szCs w:val="24"/>
          <w:lang w:val="en-US"/>
        </w:rPr>
      </w:pPr>
    </w:p>
    <w:p w14:paraId="6A175338">
      <w:pPr>
        <w:pStyle w:val="21"/>
        <w:jc w:val="center"/>
        <w:rPr>
          <w:rFonts w:hint="default" w:ascii="Arial" w:hAnsi="Arial" w:eastAsia="Times New Roman" w:cs="Arial"/>
          <w:color w:val="000000" w:themeColor="text1"/>
          <w:sz w:val="40"/>
          <w:szCs w:val="40"/>
          <w14:textFill>
            <w14:solidFill>
              <w14:schemeClr w14:val="tx1"/>
            </w14:solidFill>
          </w14:textFill>
        </w:rPr>
      </w:pPr>
      <w:r>
        <w:rPr>
          <w:rFonts w:hint="default" w:ascii="Arial" w:hAnsi="Arial" w:eastAsia="Times New Roman" w:cs="Arial"/>
          <w:b/>
          <w:bCs/>
          <w:color w:val="2E2E2E"/>
          <w:sz w:val="40"/>
          <w:szCs w:val="40"/>
        </w:rPr>
        <w:drawing>
          <wp:anchor distT="0" distB="0" distL="114300" distR="114300" simplePos="0" relativeHeight="251660288" behindDoc="0" locked="0" layoutInCell="1" allowOverlap="1">
            <wp:simplePos x="0" y="0"/>
            <wp:positionH relativeFrom="column">
              <wp:posOffset>-100330</wp:posOffset>
            </wp:positionH>
            <wp:positionV relativeFrom="paragraph">
              <wp:posOffset>-847725</wp:posOffset>
            </wp:positionV>
            <wp:extent cx="6210935" cy="3493770"/>
            <wp:effectExtent l="5080" t="0" r="6985" b="3161030"/>
            <wp:wrapTopAndBottom/>
            <wp:docPr id="1848872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72746" name="Picture 1"/>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6211032" cy="3493990"/>
                    </a:xfrm>
                    <a:prstGeom prst="rect">
                      <a:avLst/>
                    </a:prstGeom>
                    <a:effectLst>
                      <a:reflection blurRad="6350" stA="50000" endA="300" endPos="90000" dist="50800" dir="5400000" sy="-100000" algn="bl" rotWithShape="0"/>
                      <a:softEdge rad="12700"/>
                    </a:effectLst>
                  </pic:spPr>
                </pic:pic>
              </a:graphicData>
            </a:graphic>
          </wp:anchor>
        </w:drawing>
      </w:r>
      <w:r>
        <w:rPr>
          <w:rFonts w:hint="default" w:ascii="Arial" w:hAnsi="Arial" w:cs="Arial"/>
          <w:color w:val="000000" w:themeColor="text1"/>
          <w:sz w:val="40"/>
          <w:szCs w:val="40"/>
          <w14:textFill>
            <w14:solidFill>
              <w14:schemeClr w14:val="tx1"/>
            </w14:solidFill>
          </w14:textFill>
        </w:rPr>
        <w:t xml:space="preserve">Supporting Children </w:t>
      </w:r>
      <w:r>
        <w:rPr>
          <w:rFonts w:hint="default" w:ascii="Arial" w:hAnsi="Arial" w:cs="Arial"/>
          <w:color w:val="000000" w:themeColor="text1"/>
          <w:sz w:val="40"/>
          <w:szCs w:val="40"/>
          <w:lang w:val="en-US"/>
          <w14:textFill>
            <w14:solidFill>
              <w14:schemeClr w14:val="tx1"/>
            </w14:solidFill>
          </w14:textFill>
        </w:rPr>
        <w:t>W</w:t>
      </w:r>
      <w:r>
        <w:rPr>
          <w:rFonts w:hint="default" w:ascii="Arial" w:hAnsi="Arial" w:cs="Arial"/>
          <w:color w:val="000000" w:themeColor="text1"/>
          <w:sz w:val="40"/>
          <w:szCs w:val="40"/>
          <w14:textFill>
            <w14:solidFill>
              <w14:schemeClr w14:val="tx1"/>
            </w14:solidFill>
          </w14:textFill>
        </w:rPr>
        <w:t>ith</w:t>
      </w:r>
      <w:r>
        <w:rPr>
          <w:rFonts w:hint="default" w:ascii="Arial" w:hAnsi="Arial" w:cs="Arial"/>
          <w:color w:val="000000" w:themeColor="text1"/>
          <w:sz w:val="40"/>
          <w:szCs w:val="40"/>
          <w:lang w:val="en-US"/>
          <w14:textFill>
            <w14:solidFill>
              <w14:schemeClr w14:val="tx1"/>
            </w14:solidFill>
          </w14:textFill>
        </w:rPr>
        <w:t xml:space="preserve"> C</w:t>
      </w:r>
      <w:r>
        <w:rPr>
          <w:rFonts w:hint="default" w:ascii="Arial" w:hAnsi="Arial" w:cs="Arial"/>
          <w:color w:val="000000" w:themeColor="text1"/>
          <w:sz w:val="40"/>
          <w:szCs w:val="40"/>
          <w14:textFill>
            <w14:solidFill>
              <w14:schemeClr w14:val="tx1"/>
            </w14:solidFill>
          </w14:textFill>
        </w:rPr>
        <w:t xml:space="preserve">ongenital </w:t>
      </w:r>
      <w:r>
        <w:rPr>
          <w:rFonts w:hint="default" w:ascii="Arial" w:hAnsi="Arial" w:cs="Arial"/>
          <w:color w:val="000000" w:themeColor="text1"/>
          <w:sz w:val="40"/>
          <w:szCs w:val="40"/>
          <w:lang w:val="en-US"/>
          <w14:textFill>
            <w14:solidFill>
              <w14:schemeClr w14:val="tx1"/>
            </w14:solidFill>
          </w14:textFill>
        </w:rPr>
        <w:t>H</w:t>
      </w:r>
      <w:r>
        <w:rPr>
          <w:rFonts w:hint="default" w:ascii="Arial" w:hAnsi="Arial" w:cs="Arial"/>
          <w:color w:val="000000" w:themeColor="text1"/>
          <w:sz w:val="40"/>
          <w:szCs w:val="40"/>
          <w14:textFill>
            <w14:solidFill>
              <w14:schemeClr w14:val="tx1"/>
            </w14:solidFill>
          </w14:textFill>
        </w:rPr>
        <w:t xml:space="preserve">eart </w:t>
      </w:r>
      <w:r>
        <w:rPr>
          <w:rFonts w:hint="default" w:ascii="Arial" w:hAnsi="Arial" w:cs="Arial"/>
          <w:color w:val="000000" w:themeColor="text1"/>
          <w:sz w:val="40"/>
          <w:szCs w:val="40"/>
          <w:lang w:val="en-US"/>
          <w14:textFill>
            <w14:solidFill>
              <w14:schemeClr w14:val="tx1"/>
            </w14:solidFill>
          </w14:textFill>
        </w:rPr>
        <w:t>D</w:t>
      </w:r>
      <w:r>
        <w:rPr>
          <w:rFonts w:hint="default" w:ascii="Arial" w:hAnsi="Arial" w:cs="Arial"/>
          <w:color w:val="000000" w:themeColor="text1"/>
          <w:sz w:val="40"/>
          <w:szCs w:val="40"/>
          <w14:textFill>
            <w14:solidFill>
              <w14:schemeClr w14:val="tx1"/>
            </w14:solidFill>
          </w14:textFill>
        </w:rPr>
        <w:t>isease :</w:t>
      </w:r>
    </w:p>
    <w:p w14:paraId="337190B6">
      <w:pPr>
        <w:pStyle w:val="21"/>
        <w:jc w:val="center"/>
        <w:rPr>
          <w:rFonts w:hint="default" w:ascii="Arial" w:hAnsi="Arial" w:eastAsia="Times New Roman" w:cs="Arial"/>
          <w:color w:val="F2AA84" w:themeColor="accent2" w:themeTint="99"/>
          <w:sz w:val="40"/>
          <w:szCs w:val="40"/>
          <w14:textFill>
            <w14:solidFill>
              <w14:schemeClr w14:val="accent2">
                <w14:lumMod w14:val="60000"/>
                <w14:lumOff w14:val="40000"/>
              </w14:schemeClr>
            </w14:solidFill>
          </w14:textFill>
        </w:rPr>
      </w:pPr>
      <w:r>
        <w:rPr>
          <w:rFonts w:hint="default" w:ascii="Arial" w:hAnsi="Arial" w:cs="Arial"/>
          <w:color w:val="000000" w:themeColor="text1"/>
          <w:sz w:val="40"/>
          <w:szCs w:val="40"/>
          <w14:textFill>
            <w14:solidFill>
              <w14:schemeClr w14:val="tx1"/>
            </w14:solidFill>
          </w14:textFill>
        </w:rPr>
        <w:t>A Physiotherapy Approach</w:t>
      </w:r>
    </w:p>
    <w:p w14:paraId="003C4E62">
      <w:pPr>
        <w:jc w:val="center"/>
        <w:rPr>
          <w:rFonts w:hint="default" w:ascii="Arial" w:hAnsi="Arial" w:eastAsia="Times New Roman" w:cs="Arial"/>
          <w:b/>
          <w:bCs/>
          <w:color w:val="2E2E2E"/>
          <w:sz w:val="24"/>
          <w:szCs w:val="24"/>
          <w:lang w:val="en-US"/>
        </w:rPr>
      </w:pPr>
    </w:p>
    <w:p w14:paraId="7B536F52">
      <w:pPr>
        <w:jc w:val="center"/>
        <w:rPr>
          <w:rFonts w:hint="default" w:ascii="Arial" w:hAnsi="Arial" w:eastAsia="Times New Roman" w:cs="Arial"/>
          <w:b/>
          <w:bCs/>
          <w:color w:val="2E2E2E"/>
          <w:sz w:val="24"/>
          <w:szCs w:val="24"/>
          <w:lang w:val="en-US"/>
        </w:rPr>
      </w:pPr>
    </w:p>
    <w:p w14:paraId="30EE901C">
      <w:pPr>
        <w:jc w:val="center"/>
        <w:rPr>
          <w:rFonts w:hint="default" w:ascii="Arial" w:hAnsi="Arial" w:eastAsia="Times New Roman" w:cs="Arial"/>
          <w:b/>
          <w:bCs/>
          <w:color w:val="2E2E2E"/>
          <w:sz w:val="24"/>
          <w:szCs w:val="24"/>
          <w:lang w:val="en-US"/>
        </w:rPr>
      </w:pPr>
    </w:p>
    <w:p w14:paraId="5AC1EDD2">
      <w:pPr>
        <w:jc w:val="center"/>
        <w:rPr>
          <w:rFonts w:hint="default" w:ascii="Arial" w:hAnsi="Arial" w:eastAsia="Times New Roman" w:cs="Arial"/>
          <w:b/>
          <w:bCs/>
          <w:color w:val="2E2E2E"/>
          <w:sz w:val="24"/>
          <w:szCs w:val="24"/>
          <w:lang w:val="en-US"/>
        </w:rPr>
      </w:pPr>
    </w:p>
    <w:p w14:paraId="1FC3991F">
      <w:pPr>
        <w:rPr>
          <w:rFonts w:hint="default" w:ascii="Arial" w:hAnsi="Arial" w:cs="Arial"/>
          <w:sz w:val="24"/>
          <w:szCs w:val="24"/>
        </w:rPr>
      </w:pPr>
    </w:p>
    <w:p w14:paraId="2DD5F814">
      <w:pPr>
        <w:pStyle w:val="2"/>
        <w:bidi w:val="0"/>
        <w:rPr>
          <w:rFonts w:hint="default" w:ascii="Arial" w:hAnsi="Arial" w:cs="Arial"/>
          <w:sz w:val="24"/>
          <w:szCs w:val="24"/>
        </w:rPr>
      </w:pPr>
      <w:bookmarkStart w:id="0" w:name="_Toc6353"/>
      <w:bookmarkStart w:id="1" w:name="_Toc29280"/>
      <w:r>
        <w:rPr>
          <w:rFonts w:hint="default" w:ascii="Arial" w:hAnsi="Arial" w:cs="Arial"/>
          <w:sz w:val="32"/>
          <w:szCs w:val="32"/>
        </w:rPr>
        <w:t>1.Introduction</w:t>
      </w:r>
      <w:r>
        <w:rPr>
          <w:rFonts w:hint="default" w:ascii="Arial" w:hAnsi="Arial" w:cs="Arial"/>
          <w:sz w:val="24"/>
          <w:szCs w:val="24"/>
        </w:rPr>
        <w:t>:</w:t>
      </w:r>
      <w:bookmarkEnd w:id="0"/>
      <w:bookmarkEnd w:id="1"/>
    </w:p>
    <w:p w14:paraId="049AEB7D">
      <w:pPr>
        <w:shd w:val="clear" w:color="auto" w:fill="FFFFFF" w:themeFill="background1"/>
        <w:spacing w:line="360" w:lineRule="auto"/>
        <w:jc w:val="both"/>
        <w:rPr>
          <w:rFonts w:hint="default" w:ascii="Arial" w:hAnsi="Arial" w:eastAsia="Times New Roman" w:cs="Arial"/>
          <w:color w:val="2E2E2E"/>
          <w:sz w:val="24"/>
          <w:szCs w:val="24"/>
        </w:rPr>
      </w:pPr>
      <w:r>
        <w:rPr>
          <w:rFonts w:hint="default" w:ascii="Arial" w:hAnsi="Arial" w:eastAsia="Times New Roman" w:cs="Arial"/>
          <w:color w:val="2E2E2E"/>
          <w:sz w:val="24"/>
          <w:szCs w:val="24"/>
        </w:rPr>
        <w:t>Children with congenital heart disease (CHD) are at risk of delayed motor development with increased risk for those requiring cardiac surgical intervention. We conducted a scoping review to identify the provision and impact of physiotherapy-delivered rehabilitation in children and young people with CHD following cardiac surgery (Clarke et al., 2024))</w:t>
      </w:r>
    </w:p>
    <w:p w14:paraId="4648D42E">
      <w:pPr>
        <w:shd w:val="clear" w:color="auto" w:fill="FFFFFF" w:themeFill="background1"/>
        <w:spacing w:line="360" w:lineRule="auto"/>
        <w:jc w:val="both"/>
        <w:rPr>
          <w:rFonts w:hint="default" w:ascii="Arial" w:hAnsi="Arial" w:eastAsia="Times New Roman" w:cs="Arial"/>
          <w:color w:val="2E2E2E"/>
          <w:sz w:val="24"/>
          <w:szCs w:val="24"/>
        </w:rPr>
      </w:pPr>
      <w:r>
        <w:rPr>
          <w:rFonts w:hint="default" w:ascii="Arial" w:hAnsi="Arial" w:eastAsia="Times New Roman" w:cs="Arial"/>
          <w:color w:val="2E2E2E"/>
          <w:sz w:val="24"/>
          <w:szCs w:val="24"/>
        </w:rPr>
        <w:t>Congenital heart disease (CHD) is the most prevalent birth defect, impacting approximately 130 million infants annually, and has a rate of 9.4 per 1000 live births, making it a significant contributor to infant mortality. The causes of CHD are complex and include genetic factors, exposure to teratogens, and maternal diabetes, all of which are linked to cases of CHD. (Amir et al., 2021)</w:t>
      </w:r>
    </w:p>
    <w:p w14:paraId="7300C445">
      <w:pPr>
        <w:shd w:val="clear" w:color="auto" w:fill="FFFFFF" w:themeFill="background1"/>
        <w:spacing w:line="360" w:lineRule="auto"/>
        <w:jc w:val="both"/>
        <w:rPr>
          <w:rFonts w:hint="default" w:ascii="Arial" w:hAnsi="Arial" w:eastAsia="Times New Roman" w:cs="Arial"/>
          <w:color w:val="2E2E2E"/>
          <w:sz w:val="24"/>
          <w:szCs w:val="24"/>
          <w:lang w:val="en-US"/>
        </w:rPr>
      </w:pPr>
      <w:r>
        <w:rPr>
          <w:rFonts w:hint="default" w:ascii="Arial" w:hAnsi="Arial" w:eastAsia="Times New Roman" w:cs="Arial"/>
          <w:color w:val="2E2E2E"/>
          <w:sz w:val="24"/>
          <w:szCs w:val="24"/>
        </w:rPr>
        <w:t>Significant progress in pediatric cardiology and surgical techniques over the years has greatly enhanced the survival rates of infants diagnosed with CHD. At present, more than 90% of children born with CHD can expect to survive into their adult years. Exercise training, a key aspect of physical activity (PA), specifically targets the enhancement of certain fitness components, including cardiorespiratory endurance, muscular strength, body composition, and flexibility, and is associated with the capacity to perform these activities (Amir et al., 2021)</w:t>
      </w:r>
      <w:r>
        <w:rPr>
          <w:rFonts w:hint="default" w:ascii="Arial" w:hAnsi="Arial" w:eastAsia="Times New Roman" w:cs="Arial"/>
          <w:color w:val="2E2E2E"/>
          <w:sz w:val="24"/>
          <w:szCs w:val="24"/>
          <w:lang w:val="en-US"/>
        </w:rPr>
        <w:t>.</w:t>
      </w:r>
    </w:p>
    <w:p w14:paraId="7F7689EB">
      <w:pPr>
        <w:shd w:val="clear" w:color="auto" w:fill="FFFFFF" w:themeFill="background1"/>
        <w:spacing w:line="360" w:lineRule="auto"/>
        <w:jc w:val="both"/>
        <w:rPr>
          <w:rFonts w:hint="default" w:ascii="Arial" w:hAnsi="Arial" w:eastAsia="Times New Roman" w:cs="Arial"/>
          <w:color w:val="2E2E2E"/>
          <w:sz w:val="24"/>
          <w:szCs w:val="24"/>
          <w:lang w:val="en-US"/>
        </w:rPr>
      </w:pPr>
      <w:r>
        <w:rPr>
          <w:rFonts w:hint="default" w:ascii="Arial" w:hAnsi="Arial" w:eastAsia="Times New Roman" w:cs="Arial"/>
          <w:color w:val="2E2E2E"/>
          <w:sz w:val="24"/>
          <w:szCs w:val="24"/>
          <w:lang w:val="en-US"/>
        </w:rPr>
        <w:t xml:space="preserve">The unused multifunctional occluder or Konar framework (Lifetech) may be a modern gadget committed to the adjustment of perimembranous ventricular septal imperfection. Be that as it may, it has multiple facets and has as of now been utilized within the closure of solid VSD or obvious blood vessel conduits (Kuswiyanto et al;2022). </w:t>
      </w:r>
    </w:p>
    <w:p w14:paraId="0195EA25">
      <w:pPr>
        <w:shd w:val="clear" w:color="auto" w:fill="FFFFFF" w:themeFill="background1"/>
        <w:spacing w:line="360" w:lineRule="auto"/>
        <w:jc w:val="both"/>
        <w:rPr>
          <w:rFonts w:hint="default" w:ascii="Arial" w:hAnsi="Arial" w:eastAsia="Times New Roman" w:cs="Arial"/>
          <w:color w:val="2E2E2E"/>
          <w:sz w:val="24"/>
          <w:szCs w:val="24"/>
          <w:lang w:val="en-US"/>
        </w:rPr>
      </w:pPr>
      <w:r>
        <w:rPr>
          <w:rFonts w:hint="default" w:ascii="Arial" w:hAnsi="Arial" w:eastAsia="Times New Roman" w:cs="Arial"/>
          <w:color w:val="2E2E2E"/>
          <w:sz w:val="24"/>
          <w:szCs w:val="24"/>
          <w:lang w:val="en-US"/>
        </w:rPr>
        <w:t>This gadget comprises a plug placed within the left-sided deformity and a maintenance disk put within the right-sided imperfection. Conveyance can be accomplished from both sides; the approach may well be antegraded from the venous side or retrograde from the aortic side (Godart et al;2022).</w:t>
      </w:r>
    </w:p>
    <w:p w14:paraId="5F886605">
      <w:pPr>
        <w:shd w:val="clear" w:color="auto" w:fill="FFFFFF" w:themeFill="background1"/>
        <w:spacing w:line="360" w:lineRule="auto"/>
        <w:jc w:val="both"/>
        <w:rPr>
          <w:rFonts w:hint="default" w:ascii="Arial" w:hAnsi="Arial" w:eastAsia="Times New Roman" w:cs="Arial"/>
          <w:color w:val="2E2E2E"/>
          <w:sz w:val="24"/>
          <w:szCs w:val="24"/>
          <w:lang w:val="en-US"/>
        </w:rPr>
      </w:pPr>
      <w:r>
        <w:rPr>
          <w:rFonts w:hint="default" w:ascii="Arial" w:hAnsi="Arial" w:eastAsia="Times New Roman" w:cs="Arial"/>
          <w:color w:val="2E2E2E"/>
          <w:sz w:val="24"/>
          <w:szCs w:val="24"/>
          <w:lang w:val="en-US"/>
        </w:rPr>
        <w:t xml:space="preserve">  Show a ponder in connection to the redress of pm VSD with no disappointment at implantation, and they appear that the retrograde approach is the favored course, which is basically related with essentially lower illumination and fluoro scopy  time. It ought to moreover be famous than 30% of patients; moreover, had multi-fenestrated absconds counting Gerbode surrenders. Here, the comes about staying great with either full impediment or a modest intra-prosthetic shunt.This gadget appears exceptionally promising and, in this way, helpful for pm VSD closure (Haddad et al; 2022).</w:t>
      </w:r>
    </w:p>
    <w:p w14:paraId="0EBEAF3A">
      <w:pPr>
        <w:shd w:val="clear" w:color="auto" w:fill="FFFFFF" w:themeFill="background1"/>
        <w:spacing w:line="360" w:lineRule="auto"/>
        <w:jc w:val="both"/>
        <w:rPr>
          <w:rFonts w:hint="default" w:ascii="Arial" w:hAnsi="Arial" w:eastAsia="Times New Roman" w:cs="Arial"/>
          <w:color w:val="2E2E2E"/>
          <w:sz w:val="24"/>
          <w:szCs w:val="24"/>
        </w:rPr>
      </w:pPr>
      <w:r>
        <w:rPr>
          <w:rFonts w:hint="default" w:ascii="Arial" w:hAnsi="Arial" w:cs="Arial"/>
          <w:sz w:val="24"/>
          <w:szCs w:val="24"/>
        </w:rPr>
        <w:drawing>
          <wp:anchor distT="0" distB="0" distL="114300" distR="114300" simplePos="0" relativeHeight="251659264" behindDoc="0" locked="0" layoutInCell="1" allowOverlap="1">
            <wp:simplePos x="0" y="0"/>
            <wp:positionH relativeFrom="column">
              <wp:posOffset>-810260</wp:posOffset>
            </wp:positionH>
            <wp:positionV relativeFrom="paragraph">
              <wp:posOffset>266700</wp:posOffset>
            </wp:positionV>
            <wp:extent cx="7337425" cy="4280535"/>
            <wp:effectExtent l="133350" t="114300" r="149225" b="158115"/>
            <wp:wrapTopAndBottom/>
            <wp:docPr id="19383373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337350" name="Picture 2"/>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7337479" cy="4280747"/>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4454FCA4">
      <w:pPr>
        <w:shd w:val="clear" w:color="auto" w:fill="FFFFFF" w:themeFill="background1"/>
        <w:jc w:val="center"/>
        <w:rPr>
          <w:rFonts w:hint="default" w:ascii="Arial" w:hAnsi="Arial" w:eastAsia="Times New Roman" w:cs="Arial"/>
          <w:color w:val="808080" w:themeColor="text1" w:themeTint="80"/>
          <w:sz w:val="24"/>
          <w:szCs w:val="24"/>
          <w14:textFill>
            <w14:solidFill>
              <w14:schemeClr w14:val="tx1">
                <w14:lumMod w14:val="50000"/>
                <w14:lumOff w14:val="50000"/>
              </w14:schemeClr>
            </w14:solidFill>
          </w14:textFill>
        </w:rPr>
      </w:pPr>
      <w:r>
        <w:rPr>
          <w:rFonts w:hint="default" w:ascii="Arial" w:hAnsi="Arial" w:eastAsia="Times New Roman" w:cs="Arial"/>
          <w:color w:val="808080" w:themeColor="text1" w:themeTint="80"/>
          <w:sz w:val="24"/>
          <w:szCs w:val="24"/>
          <w14:textFill>
            <w14:solidFill>
              <w14:schemeClr w14:val="tx1">
                <w14:lumMod w14:val="50000"/>
                <w14:lumOff w14:val="50000"/>
              </w14:schemeClr>
            </w14:solidFill>
          </w14:textFill>
        </w:rPr>
        <w:t>ASIAN HEART INSTITUTE;2025</w:t>
      </w:r>
    </w:p>
    <w:p w14:paraId="2BBA4578">
      <w:pPr>
        <w:shd w:val="clear" w:color="auto" w:fill="FFFFFF" w:themeFill="background1"/>
        <w:jc w:val="center"/>
        <w:rPr>
          <w:rFonts w:hint="default" w:ascii="Arial" w:hAnsi="Arial" w:eastAsia="Times New Roman" w:cs="Arial"/>
          <w:color w:val="808080" w:themeColor="text1" w:themeTint="80"/>
          <w:sz w:val="24"/>
          <w:szCs w:val="24"/>
          <w14:textFill>
            <w14:solidFill>
              <w14:schemeClr w14:val="tx1">
                <w14:lumMod w14:val="50000"/>
                <w14:lumOff w14:val="50000"/>
              </w14:schemeClr>
            </w14:solidFill>
          </w14:textFill>
        </w:rPr>
      </w:pPr>
    </w:p>
    <w:p w14:paraId="37B3EC3E">
      <w:pPr>
        <w:shd w:val="clear" w:color="auto" w:fill="FFFFFF" w:themeFill="background1"/>
        <w:jc w:val="center"/>
        <w:rPr>
          <w:rFonts w:hint="default" w:ascii="Arial" w:hAnsi="Arial" w:eastAsia="Times New Roman" w:cs="Arial"/>
          <w:color w:val="808080" w:themeColor="text1" w:themeTint="80"/>
          <w:sz w:val="24"/>
          <w:szCs w:val="24"/>
          <w14:textFill>
            <w14:solidFill>
              <w14:schemeClr w14:val="tx1">
                <w14:lumMod w14:val="50000"/>
                <w14:lumOff w14:val="50000"/>
              </w14:schemeClr>
            </w14:solidFill>
          </w14:textFill>
        </w:rPr>
      </w:pPr>
    </w:p>
    <w:p w14:paraId="0D73F2E8">
      <w:pPr>
        <w:shd w:val="clear" w:color="auto" w:fill="FFFFFF" w:themeFill="background1"/>
        <w:jc w:val="center"/>
        <w:rPr>
          <w:rFonts w:hint="default" w:ascii="Arial" w:hAnsi="Arial" w:eastAsia="Times New Roman" w:cs="Arial"/>
          <w:color w:val="808080" w:themeColor="text1" w:themeTint="80"/>
          <w:sz w:val="24"/>
          <w:szCs w:val="24"/>
          <w14:textFill>
            <w14:solidFill>
              <w14:schemeClr w14:val="tx1">
                <w14:lumMod w14:val="50000"/>
                <w14:lumOff w14:val="50000"/>
              </w14:schemeClr>
            </w14:solidFill>
          </w14:textFill>
        </w:rPr>
      </w:pPr>
    </w:p>
    <w:p w14:paraId="4F208999">
      <w:pPr>
        <w:pStyle w:val="3"/>
        <w:bidi w:val="0"/>
        <w:rPr>
          <w:rFonts w:hint="default" w:ascii="Arial" w:hAnsi="Arial" w:cs="Arial"/>
          <w:sz w:val="28"/>
          <w:szCs w:val="28"/>
        </w:rPr>
      </w:pPr>
      <w:bookmarkStart w:id="2" w:name="_Toc17088"/>
      <w:r>
        <w:rPr>
          <w:rFonts w:hint="default" w:ascii="Arial" w:hAnsi="Arial" w:cs="Arial"/>
          <w:sz w:val="28"/>
          <w:szCs w:val="28"/>
        </w:rPr>
        <w:t>1.1. Definition:</w:t>
      </w:r>
      <w:bookmarkEnd w:id="2"/>
    </w:p>
    <w:p w14:paraId="0E21B741">
      <w:pPr>
        <w:shd w:val="clear" w:color="auto" w:fill="FFFFFF" w:themeFill="background1"/>
        <w:spacing w:line="360" w:lineRule="auto"/>
        <w:jc w:val="both"/>
        <w:rPr>
          <w:rFonts w:hint="default" w:ascii="Arial" w:hAnsi="Arial" w:eastAsia="Arial" w:cs="Arial"/>
          <w:sz w:val="24"/>
          <w:szCs w:val="24"/>
        </w:rPr>
      </w:pPr>
      <w:r>
        <w:rPr>
          <w:rFonts w:hint="default" w:ascii="Arial" w:hAnsi="Arial" w:eastAsia="Arial" w:cs="Arial"/>
          <w:sz w:val="24"/>
          <w:szCs w:val="24"/>
        </w:rPr>
        <w:t>Congenital heart disease (CHDs) are problems with the heart that are present at birth. They include a wide range of problems. Some defects resolve by themselves, and more severe defects require urgent treatment. In most cases the cause of the problem is not known (UK NSC, 2014).</w:t>
      </w:r>
    </w:p>
    <w:p w14:paraId="5CA70D0C">
      <w:pPr>
        <w:pStyle w:val="35"/>
        <w:numPr>
          <w:ilvl w:val="0"/>
          <w:numId w:val="1"/>
        </w:numPr>
        <w:shd w:val="clear" w:color="auto" w:fill="FFFFFF" w:themeFill="background1"/>
        <w:spacing w:after="0" w:line="360" w:lineRule="auto"/>
        <w:contextualSpacing w:val="0"/>
        <w:jc w:val="both"/>
        <w:rPr>
          <w:rFonts w:hint="default" w:ascii="Arial" w:hAnsi="Arial" w:eastAsia="Arial" w:cs="Arial"/>
          <w:color w:val="000000" w:themeColor="text1"/>
          <w:sz w:val="24"/>
          <w:szCs w:val="24"/>
          <w14:textFill>
            <w14:solidFill>
              <w14:schemeClr w14:val="tx1"/>
            </w14:solidFill>
          </w14:textFill>
        </w:rPr>
      </w:pPr>
      <w:r>
        <w:rPr>
          <w:rFonts w:hint="default" w:ascii="Arial" w:hAnsi="Arial" w:eastAsia="Arial" w:cs="Arial"/>
          <w:color w:val="000000" w:themeColor="text1"/>
          <w:sz w:val="24"/>
          <w:szCs w:val="24"/>
          <w14:textFill>
            <w14:solidFill>
              <w14:schemeClr w14:val="tx1"/>
            </w14:solidFill>
          </w14:textFill>
        </w:rPr>
        <w:t>Congenital heart disease (CHD) refers to a group of structural abnormalities of the heart and/or great vessels present at birth (Sajid et al., 2025).</w:t>
      </w:r>
    </w:p>
    <w:p w14:paraId="0CCD20AE">
      <w:pPr>
        <w:pStyle w:val="35"/>
        <w:numPr>
          <w:numId w:val="0"/>
        </w:numPr>
        <w:shd w:val="clear" w:color="auto" w:fill="FFFFFF" w:themeFill="background1"/>
        <w:spacing w:after="0" w:line="360" w:lineRule="auto"/>
        <w:ind w:left="360" w:leftChars="0"/>
        <w:contextualSpacing w:val="0"/>
        <w:jc w:val="both"/>
        <w:rPr>
          <w:rFonts w:hint="default" w:ascii="Arial" w:hAnsi="Arial" w:eastAsia="Arial" w:cs="Arial"/>
          <w:color w:val="000000" w:themeColor="text1"/>
          <w:sz w:val="24"/>
          <w:szCs w:val="24"/>
          <w14:textFill>
            <w14:solidFill>
              <w14:schemeClr w14:val="tx1"/>
            </w14:solidFill>
          </w14:textFill>
        </w:rPr>
      </w:pPr>
    </w:p>
    <w:p w14:paraId="649044E5">
      <w:pPr>
        <w:pStyle w:val="35"/>
        <w:numPr>
          <w:ilvl w:val="0"/>
          <w:numId w:val="1"/>
        </w:numPr>
        <w:shd w:val="clear" w:color="auto" w:fill="FFFFFF" w:themeFill="background1"/>
        <w:spacing w:after="0" w:line="360" w:lineRule="auto"/>
        <w:contextualSpacing w:val="0"/>
        <w:jc w:val="both"/>
        <w:rPr>
          <w:rFonts w:hint="default" w:ascii="Arial" w:hAnsi="Arial" w:eastAsia="Arial" w:cs="Arial"/>
          <w:color w:val="000000" w:themeColor="text1"/>
          <w:sz w:val="24"/>
          <w:szCs w:val="24"/>
          <w14:textFill>
            <w14:solidFill>
              <w14:schemeClr w14:val="tx1"/>
            </w14:solidFill>
          </w14:textFill>
        </w:rPr>
      </w:pPr>
      <w:r>
        <w:rPr>
          <w:rFonts w:hint="default" w:ascii="Arial" w:hAnsi="Arial" w:eastAsia="Arial" w:cs="Arial"/>
          <w:color w:val="000000" w:themeColor="text1"/>
          <w:sz w:val="24"/>
          <w:szCs w:val="24"/>
          <w14:textFill>
            <w14:solidFill>
              <w14:schemeClr w14:val="tx1"/>
            </w14:solidFill>
          </w14:textFill>
        </w:rPr>
        <w:t>These abnormalities arise from developmental disturbances during fetal life and may affect cardiovascular and neurodevelopmental outcomes (Sajid et al., 2025).</w:t>
      </w:r>
    </w:p>
    <w:p w14:paraId="030397E0">
      <w:pPr>
        <w:pStyle w:val="35"/>
        <w:numPr>
          <w:numId w:val="0"/>
        </w:numPr>
        <w:shd w:val="clear" w:color="auto" w:fill="FFFFFF" w:themeFill="background1"/>
        <w:spacing w:after="0" w:line="360" w:lineRule="auto"/>
        <w:ind w:left="360" w:leftChars="0"/>
        <w:contextualSpacing w:val="0"/>
        <w:jc w:val="both"/>
        <w:rPr>
          <w:rFonts w:hint="default" w:ascii="Arial" w:hAnsi="Arial" w:eastAsia="Arial" w:cs="Arial"/>
          <w:color w:val="000000" w:themeColor="text1"/>
          <w:sz w:val="24"/>
          <w:szCs w:val="24"/>
          <w14:textFill>
            <w14:solidFill>
              <w14:schemeClr w14:val="tx1"/>
            </w14:solidFill>
          </w14:textFill>
        </w:rPr>
      </w:pPr>
    </w:p>
    <w:p w14:paraId="2FC11F6F">
      <w:pPr>
        <w:pStyle w:val="35"/>
        <w:numPr>
          <w:ilvl w:val="0"/>
          <w:numId w:val="1"/>
        </w:numPr>
        <w:shd w:val="clear" w:color="auto" w:fill="FFFFFF" w:themeFill="background1"/>
        <w:spacing w:after="0" w:line="360" w:lineRule="auto"/>
        <w:contextualSpacing w:val="0"/>
        <w:jc w:val="both"/>
        <w:rPr>
          <w:rFonts w:hint="default" w:ascii="Arial" w:hAnsi="Arial" w:eastAsia="Arial" w:cs="Arial"/>
          <w:color w:val="000000" w:themeColor="text1"/>
          <w:sz w:val="24"/>
          <w:szCs w:val="24"/>
          <w14:textFill>
            <w14:solidFill>
              <w14:schemeClr w14:val="tx1"/>
            </w14:solidFill>
          </w14:textFill>
        </w:rPr>
      </w:pPr>
      <w:r>
        <w:rPr>
          <w:rFonts w:hint="default" w:ascii="Arial" w:hAnsi="Arial" w:eastAsia="Arial" w:cs="Arial"/>
          <w:color w:val="000000" w:themeColor="text1"/>
          <w:sz w:val="24"/>
          <w:szCs w:val="24"/>
          <w14:textFill>
            <w14:solidFill>
              <w14:schemeClr w14:val="tx1"/>
            </w14:solidFill>
          </w14:textFill>
        </w:rPr>
        <w:t>CHD is defined as a structural abnormality originating before birth that may lead to lifelong increased morbidity and reduced long-term survival (Meng et al., 2024).</w:t>
      </w:r>
    </w:p>
    <w:p w14:paraId="301687E0">
      <w:pPr>
        <w:pStyle w:val="35"/>
        <w:numPr>
          <w:numId w:val="0"/>
        </w:numPr>
        <w:shd w:val="clear" w:color="auto" w:fill="FFFFFF" w:themeFill="background1"/>
        <w:spacing w:after="0" w:line="360" w:lineRule="auto"/>
        <w:ind w:left="360" w:leftChars="0"/>
        <w:contextualSpacing w:val="0"/>
        <w:jc w:val="both"/>
        <w:rPr>
          <w:rFonts w:hint="default" w:ascii="Arial" w:hAnsi="Arial" w:eastAsia="Arial" w:cs="Arial"/>
          <w:color w:val="000000" w:themeColor="text1"/>
          <w:sz w:val="24"/>
          <w:szCs w:val="24"/>
          <w14:textFill>
            <w14:solidFill>
              <w14:schemeClr w14:val="tx1"/>
            </w14:solidFill>
          </w14:textFill>
        </w:rPr>
      </w:pPr>
    </w:p>
    <w:p w14:paraId="043A9389">
      <w:pPr>
        <w:pStyle w:val="35"/>
        <w:numPr>
          <w:ilvl w:val="0"/>
          <w:numId w:val="1"/>
        </w:numPr>
        <w:shd w:val="clear" w:color="auto" w:fill="FFFFFF" w:themeFill="background1"/>
        <w:spacing w:after="0" w:line="360" w:lineRule="auto"/>
        <w:contextualSpacing w:val="0"/>
        <w:jc w:val="both"/>
        <w:rPr>
          <w:rFonts w:hint="default" w:ascii="Arial" w:hAnsi="Arial" w:eastAsia="Arial" w:cs="Arial"/>
          <w:color w:val="000000" w:themeColor="text1"/>
          <w:sz w:val="24"/>
          <w:szCs w:val="24"/>
          <w14:textFill>
            <w14:solidFill>
              <w14:schemeClr w14:val="tx1"/>
            </w14:solidFill>
          </w14:textFill>
        </w:rPr>
      </w:pPr>
      <w:r>
        <w:rPr>
          <w:rFonts w:hint="default" w:ascii="Arial" w:hAnsi="Arial" w:eastAsia="Arial" w:cs="Arial"/>
          <w:color w:val="000000" w:themeColor="text1"/>
          <w:sz w:val="24"/>
          <w:szCs w:val="24"/>
          <w14:textFill>
            <w14:solidFill>
              <w14:schemeClr w14:val="tx1"/>
            </w14:solidFill>
          </w14:textFill>
        </w:rPr>
        <w:t>CHD is a major category of illness which, when appropriately treated, can restore health and improve quality of life (National Health Service, 2016).</w:t>
      </w:r>
    </w:p>
    <w:p w14:paraId="02DE6DA3">
      <w:pPr>
        <w:pStyle w:val="35"/>
        <w:numPr>
          <w:numId w:val="0"/>
        </w:numPr>
        <w:shd w:val="clear" w:color="auto" w:fill="FFFFFF" w:themeFill="background1"/>
        <w:spacing w:after="0" w:line="360" w:lineRule="auto"/>
        <w:ind w:left="360" w:leftChars="0"/>
        <w:contextualSpacing w:val="0"/>
        <w:jc w:val="both"/>
        <w:rPr>
          <w:rFonts w:hint="default" w:ascii="Arial" w:hAnsi="Arial" w:eastAsia="Arial" w:cs="Arial"/>
          <w:color w:val="000000" w:themeColor="text1"/>
          <w:sz w:val="24"/>
          <w:szCs w:val="24"/>
          <w14:textFill>
            <w14:solidFill>
              <w14:schemeClr w14:val="tx1"/>
            </w14:solidFill>
          </w14:textFill>
        </w:rPr>
      </w:pPr>
    </w:p>
    <w:p w14:paraId="040C7F39">
      <w:pPr>
        <w:pStyle w:val="35"/>
        <w:numPr>
          <w:ilvl w:val="0"/>
          <w:numId w:val="1"/>
        </w:numPr>
        <w:shd w:val="clear" w:color="auto" w:fill="FFFFFF" w:themeFill="background1"/>
        <w:spacing w:after="0" w:line="360" w:lineRule="auto"/>
        <w:contextualSpacing w:val="0"/>
        <w:jc w:val="both"/>
        <w:rPr>
          <w:rFonts w:hint="default" w:ascii="Arial" w:hAnsi="Arial" w:eastAsia="Arial" w:cs="Arial"/>
          <w:color w:val="000000" w:themeColor="text1"/>
          <w:sz w:val="24"/>
          <w:szCs w:val="24"/>
          <w14:textFill>
            <w14:solidFill>
              <w14:schemeClr w14:val="tx1"/>
            </w14:solidFill>
          </w14:textFill>
        </w:rPr>
      </w:pPr>
      <w:r>
        <w:rPr>
          <w:rFonts w:hint="default" w:ascii="Arial" w:hAnsi="Arial" w:eastAsia="Arial" w:cs="Arial"/>
          <w:color w:val="000000" w:themeColor="text1"/>
          <w:sz w:val="24"/>
          <w:szCs w:val="24"/>
          <w14:textFill>
            <w14:solidFill>
              <w14:schemeClr w14:val="tx1"/>
            </w14:solidFill>
          </w14:textFill>
        </w:rPr>
        <w:t>Adult Congenital Heart Disease (ACHD) affects individuals aged 16 years and over who were born with a heart defect during fetal development (National Health Service, 2016).</w:t>
      </w:r>
    </w:p>
    <w:p w14:paraId="14310353">
      <w:pPr>
        <w:pStyle w:val="35"/>
        <w:numPr>
          <w:numId w:val="0"/>
        </w:numPr>
        <w:shd w:val="clear" w:color="auto" w:fill="FFFFFF" w:themeFill="background1"/>
        <w:spacing w:after="0" w:line="360" w:lineRule="auto"/>
        <w:ind w:left="360" w:leftChars="0"/>
        <w:contextualSpacing w:val="0"/>
        <w:jc w:val="both"/>
        <w:rPr>
          <w:rFonts w:hint="default" w:ascii="Arial" w:hAnsi="Arial" w:eastAsia="Arial" w:cs="Arial"/>
          <w:color w:val="000000" w:themeColor="text1"/>
          <w:sz w:val="24"/>
          <w:szCs w:val="24"/>
          <w14:textFill>
            <w14:solidFill>
              <w14:schemeClr w14:val="tx1"/>
            </w14:solidFill>
          </w14:textFill>
        </w:rPr>
      </w:pPr>
    </w:p>
    <w:p w14:paraId="3FDD2D67">
      <w:pPr>
        <w:pStyle w:val="35"/>
        <w:numPr>
          <w:ilvl w:val="0"/>
          <w:numId w:val="1"/>
        </w:numPr>
        <w:shd w:val="clear" w:color="auto" w:fill="FFFFFF" w:themeFill="background1"/>
        <w:spacing w:after="0" w:line="360" w:lineRule="auto"/>
        <w:contextualSpacing w:val="0"/>
        <w:jc w:val="both"/>
        <w:rPr>
          <w:rFonts w:hint="default" w:ascii="Arial" w:hAnsi="Arial" w:eastAsia="Arial" w:cs="Arial"/>
          <w:color w:val="000000" w:themeColor="text1"/>
          <w:sz w:val="24"/>
          <w:szCs w:val="24"/>
          <w14:textFill>
            <w14:solidFill>
              <w14:schemeClr w14:val="tx1"/>
            </w14:solidFill>
          </w14:textFill>
        </w:rPr>
      </w:pPr>
      <w:r>
        <w:rPr>
          <w:rFonts w:hint="default" w:ascii="Arial" w:hAnsi="Arial" w:eastAsia="Arial" w:cs="Arial"/>
          <w:color w:val="000000" w:themeColor="text1"/>
          <w:sz w:val="24"/>
          <w:szCs w:val="24"/>
          <w14:textFill>
            <w14:solidFill>
              <w14:schemeClr w14:val="tx1"/>
            </w14:solidFill>
          </w14:textFill>
        </w:rPr>
        <w:t>There is an increasing number of adults living with CHD, with a prevalence of more than 4 per 1,000 adults (National Health Service, 2016).</w:t>
      </w:r>
    </w:p>
    <w:p w14:paraId="13B43CAC">
      <w:pPr>
        <w:pStyle w:val="35"/>
        <w:numPr>
          <w:numId w:val="0"/>
        </w:numPr>
        <w:shd w:val="clear" w:color="auto" w:fill="FFFFFF" w:themeFill="background1"/>
        <w:spacing w:after="0" w:line="360" w:lineRule="auto"/>
        <w:ind w:left="360" w:leftChars="0"/>
        <w:contextualSpacing w:val="0"/>
        <w:jc w:val="both"/>
        <w:rPr>
          <w:rFonts w:hint="default" w:ascii="Arial" w:hAnsi="Arial" w:eastAsia="Arial" w:cs="Arial"/>
          <w:color w:val="000000" w:themeColor="text1"/>
          <w:sz w:val="24"/>
          <w:szCs w:val="24"/>
          <w14:textFill>
            <w14:solidFill>
              <w14:schemeClr w14:val="tx1"/>
            </w14:solidFill>
          </w14:textFill>
        </w:rPr>
      </w:pPr>
    </w:p>
    <w:p w14:paraId="2323AE66">
      <w:pPr>
        <w:pStyle w:val="35"/>
        <w:numPr>
          <w:ilvl w:val="0"/>
          <w:numId w:val="1"/>
        </w:numPr>
        <w:shd w:val="clear" w:color="auto" w:fill="FFFFFF" w:themeFill="background1"/>
        <w:spacing w:after="0" w:line="360" w:lineRule="auto"/>
        <w:contextualSpacing w:val="0"/>
        <w:jc w:val="both"/>
        <w:rPr>
          <w:rFonts w:hint="default" w:ascii="Arial" w:hAnsi="Arial" w:eastAsia="Arial" w:cs="Arial"/>
          <w:color w:val="000000" w:themeColor="text1"/>
          <w:sz w:val="24"/>
          <w:szCs w:val="24"/>
          <w14:textFill>
            <w14:solidFill>
              <w14:schemeClr w14:val="tx1"/>
            </w14:solidFill>
          </w14:textFill>
        </w:rPr>
      </w:pPr>
      <w:r>
        <w:rPr>
          <w:rFonts w:hint="default" w:ascii="Arial" w:hAnsi="Arial" w:eastAsia="Arial" w:cs="Arial"/>
          <w:color w:val="000000" w:themeColor="text1"/>
          <w:sz w:val="24"/>
          <w:szCs w:val="24"/>
          <w14:textFill>
            <w14:solidFill>
              <w14:schemeClr w14:val="tx1"/>
            </w14:solidFill>
          </w14:textFill>
        </w:rPr>
        <w:t>Approximately 10% of ACHD patients fall into the complex disease category (National Health Service, 2016).</w:t>
      </w:r>
    </w:p>
    <w:p w14:paraId="5A025462">
      <w:pPr>
        <w:shd w:val="clear" w:color="auto" w:fill="FFFFFF" w:themeFill="background1"/>
        <w:spacing w:after="0" w:line="360" w:lineRule="auto"/>
        <w:jc w:val="both"/>
        <w:rPr>
          <w:rFonts w:hint="default" w:ascii="Arial" w:hAnsi="Arial" w:eastAsia="Arial" w:cs="Arial"/>
          <w:color w:val="2E2E2E"/>
          <w:sz w:val="24"/>
          <w:szCs w:val="24"/>
        </w:rPr>
      </w:pPr>
    </w:p>
    <w:p w14:paraId="45054C38">
      <w:pPr>
        <w:shd w:val="clear" w:color="auto" w:fill="FFFFFF" w:themeFill="background1"/>
        <w:spacing w:after="0" w:line="360" w:lineRule="auto"/>
        <w:jc w:val="both"/>
        <w:rPr>
          <w:rFonts w:hint="default" w:ascii="Arial" w:hAnsi="Arial" w:eastAsia="Times New Roman" w:cs="Arial"/>
          <w:color w:val="2E2E2E"/>
          <w:sz w:val="24"/>
          <w:szCs w:val="24"/>
        </w:rPr>
      </w:pPr>
    </w:p>
    <w:p w14:paraId="6EF2C816">
      <w:pPr>
        <w:pStyle w:val="3"/>
        <w:jc w:val="left"/>
        <w:rPr>
          <w:rFonts w:hint="default" w:ascii="Arial" w:hAnsi="Arial" w:cs="Arial"/>
          <w:color w:val="808080" w:themeColor="text1" w:themeTint="80"/>
          <w:sz w:val="24"/>
          <w:szCs w:val="24"/>
          <w14:textFill>
            <w14:solidFill>
              <w14:schemeClr w14:val="tx1">
                <w14:lumMod w14:val="50000"/>
                <w14:lumOff w14:val="50000"/>
              </w14:schemeClr>
            </w14:solidFill>
          </w14:textFill>
        </w:rPr>
      </w:pPr>
      <w:bookmarkStart w:id="3" w:name="_Toc12306"/>
      <w:r>
        <w:rPr>
          <w:rFonts w:hint="default" w:ascii="Arial" w:hAnsi="Arial" w:cs="Arial"/>
          <w:sz w:val="28"/>
          <w:szCs w:val="28"/>
        </w:rPr>
        <w:t>1.2. Prevalence of congenital hear</w:t>
      </w:r>
      <w:r>
        <w:rPr>
          <w:rFonts w:hint="default" w:ascii="Arial" w:hAnsi="Arial" w:cs="Arial"/>
          <w:sz w:val="28"/>
          <w:szCs w:val="28"/>
          <w:lang w:val="en-US"/>
        </w:rPr>
        <w:t xml:space="preserve">t </w:t>
      </w:r>
      <w:r>
        <w:rPr>
          <w:rFonts w:hint="default" w:ascii="Arial" w:hAnsi="Arial" w:cs="Arial"/>
          <w:sz w:val="28"/>
          <w:szCs w:val="28"/>
        </w:rPr>
        <w:t>disease:</w:t>
      </w:r>
      <w:r>
        <w:rPr>
          <w:rFonts w:hint="default" w:ascii="Arial" w:hAnsi="Arial" w:cs="Arial"/>
          <w:sz w:val="24"/>
          <w:szCs w:val="24"/>
        </w:rPr>
        <w:drawing>
          <wp:inline distT="0" distB="0" distL="0" distR="0">
            <wp:extent cx="5446395" cy="3325495"/>
            <wp:effectExtent l="0" t="0" r="0" b="0"/>
            <wp:docPr id="15378629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862975" name="drawing"/>
                    <pic:cNvPicPr>
                      <a:picLocks noChangeAspect="1"/>
                    </pic:cNvPicPr>
                  </pic:nvPicPr>
                  <pic:blipFill>
                    <a:blip r:embed="rId14"/>
                    <a:stretch>
                      <a:fillRect/>
                    </a:stretch>
                  </pic:blipFill>
                  <pic:spPr>
                    <a:xfrm>
                      <a:off x="0" y="0"/>
                      <a:ext cx="5446507" cy="3325511"/>
                    </a:xfrm>
                    <a:prstGeom prst="rect">
                      <a:avLst/>
                    </a:prstGeom>
                  </pic:spPr>
                </pic:pic>
              </a:graphicData>
            </a:graphic>
          </wp:inline>
        </w:drawing>
      </w:r>
      <w:bookmarkEnd w:id="3"/>
    </w:p>
    <w:p w14:paraId="025032C2">
      <w:pPr>
        <w:pStyle w:val="35"/>
        <w:shd w:val="clear" w:color="auto" w:fill="FFFFFF" w:themeFill="background1"/>
        <w:spacing w:after="0" w:line="360" w:lineRule="auto"/>
        <w:contextualSpacing w:val="0"/>
        <w:jc w:val="center"/>
        <w:rPr>
          <w:rFonts w:hint="default" w:ascii="Arial" w:hAnsi="Arial" w:cs="Arial"/>
          <w:color w:val="808080" w:themeColor="text1" w:themeTint="80"/>
          <w:sz w:val="24"/>
          <w:szCs w:val="24"/>
          <w14:textFill>
            <w14:solidFill>
              <w14:schemeClr w14:val="tx1">
                <w14:lumMod w14:val="50000"/>
                <w14:lumOff w14:val="50000"/>
              </w14:schemeClr>
            </w14:solidFill>
          </w14:textFill>
        </w:rPr>
      </w:pPr>
      <w:r>
        <w:rPr>
          <w:rFonts w:hint="default" w:ascii="Arial" w:hAnsi="Arial" w:cs="Arial"/>
          <w:color w:val="808080" w:themeColor="text1" w:themeTint="80"/>
          <w:sz w:val="24"/>
          <w:szCs w:val="24"/>
          <w14:textFill>
            <w14:solidFill>
              <w14:schemeClr w14:val="tx1">
                <w14:lumMod w14:val="50000"/>
                <w14:lumOff w14:val="50000"/>
              </w14:schemeClr>
            </w14:solidFill>
          </w14:textFill>
        </w:rPr>
        <w:t>(Jin et al; 2021)</w:t>
      </w:r>
    </w:p>
    <w:p w14:paraId="223E7612">
      <w:pPr>
        <w:pStyle w:val="35"/>
        <w:shd w:val="clear" w:color="auto" w:fill="FFFFFF" w:themeFill="background1"/>
        <w:spacing w:after="0" w:line="360" w:lineRule="auto"/>
        <w:contextualSpacing w:val="0"/>
        <w:jc w:val="center"/>
        <w:rPr>
          <w:rFonts w:hint="default" w:ascii="Arial" w:hAnsi="Arial" w:cs="Arial"/>
          <w:color w:val="808080" w:themeColor="text1" w:themeTint="80"/>
          <w:sz w:val="24"/>
          <w:szCs w:val="24"/>
          <w14:textFill>
            <w14:solidFill>
              <w14:schemeClr w14:val="tx1">
                <w14:lumMod w14:val="50000"/>
                <w14:lumOff w14:val="50000"/>
              </w14:schemeClr>
            </w14:solidFill>
          </w14:textFill>
        </w:rPr>
      </w:pPr>
    </w:p>
    <w:p w14:paraId="5E7FBF96">
      <w:pPr>
        <w:pStyle w:val="35"/>
        <w:numPr>
          <w:ilvl w:val="0"/>
          <w:numId w:val="2"/>
        </w:numPr>
        <w:shd w:val="clear" w:color="auto" w:fill="FFFFFF" w:themeFill="background1"/>
        <w:spacing w:after="0" w:line="360" w:lineRule="auto"/>
        <w:contextualSpacing w:val="0"/>
        <w:jc w:val="both"/>
        <w:rPr>
          <w:rFonts w:hint="default" w:ascii="Arial" w:hAnsi="Arial" w:eastAsia="Arial" w:cs="Arial"/>
          <w:color w:val="000000" w:themeColor="text1"/>
          <w:sz w:val="24"/>
          <w:szCs w:val="24"/>
          <w14:textFill>
            <w14:solidFill>
              <w14:schemeClr w14:val="tx1"/>
            </w14:solidFill>
          </w14:textFill>
        </w:rPr>
      </w:pPr>
      <w:r>
        <w:rPr>
          <w:rFonts w:hint="default" w:ascii="Arial" w:hAnsi="Arial" w:eastAsia="Times New Roman" w:cs="Arial"/>
          <w:color w:val="000000" w:themeColor="text1"/>
          <w:sz w:val="24"/>
          <w:szCs w:val="24"/>
          <w14:textFill>
            <w14:solidFill>
              <w14:schemeClr w14:val="tx1"/>
            </w14:solidFill>
          </w14:textFill>
        </w:rPr>
        <w:t>With a live birth prevalence of about 53–67 per 10,000, CHD is among the most common congenital conditions in the UK, impacting roughly 0.6% of babies born in England (Clarke</w:t>
      </w:r>
      <w:r>
        <w:rPr>
          <w:rFonts w:hint="default" w:ascii="Arial" w:hAnsi="Arial" w:eastAsia="Arial" w:cs="Arial"/>
          <w:color w:val="000000" w:themeColor="text1"/>
          <w:sz w:val="24"/>
          <w:szCs w:val="24"/>
          <w14:textFill>
            <w14:solidFill>
              <w14:schemeClr w14:val="tx1"/>
            </w14:solidFill>
          </w14:textFill>
        </w:rPr>
        <w:t xml:space="preserve"> et al ;2024).</w:t>
      </w:r>
    </w:p>
    <w:p w14:paraId="5FD6628C">
      <w:pPr>
        <w:pStyle w:val="35"/>
        <w:numPr>
          <w:ilvl w:val="0"/>
          <w:numId w:val="3"/>
        </w:numPr>
        <w:spacing w:before="240" w:after="240" w:line="360" w:lineRule="auto"/>
        <w:contextualSpacing w:val="0"/>
        <w:jc w:val="both"/>
        <w:rPr>
          <w:rFonts w:hint="default" w:ascii="Arial" w:hAnsi="Arial" w:eastAsia="Times New Roman" w:cs="Arial"/>
          <w:color w:val="000000" w:themeColor="text1"/>
          <w:sz w:val="24"/>
          <w:szCs w:val="24"/>
          <w14:textFill>
            <w14:solidFill>
              <w14:schemeClr w14:val="tx1"/>
            </w14:solidFill>
          </w14:textFill>
        </w:rPr>
      </w:pPr>
      <w:r>
        <w:rPr>
          <w:rFonts w:hint="default" w:ascii="Arial" w:hAnsi="Arial" w:eastAsia="Arial" w:cs="Arial"/>
          <w:color w:val="000000" w:themeColor="text1"/>
          <w:sz w:val="24"/>
          <w:szCs w:val="24"/>
          <w14:textFill>
            <w14:solidFill>
              <w14:schemeClr w14:val="tx1"/>
            </w14:solidFill>
          </w14:textFill>
        </w:rPr>
        <w:t>In the UK, congenital heart disease affects approximately 0.53–0.67% of live births (about 53–67 per 10,000 births) and is a leading congenital condition requiring complex lifelong care; physiotherapy interventions following cardiac surgery have been shown to positively influence functional outcomes and muscle strength in children with CHD( Clarke et al ;2024).</w:t>
      </w:r>
    </w:p>
    <w:p w14:paraId="3545EABA">
      <w:pPr>
        <w:pStyle w:val="35"/>
        <w:numPr>
          <w:ilvl w:val="0"/>
          <w:numId w:val="3"/>
        </w:numPr>
        <w:spacing w:before="240" w:after="240" w:line="360" w:lineRule="auto"/>
        <w:contextualSpacing w:val="0"/>
        <w:jc w:val="both"/>
        <w:rPr>
          <w:rFonts w:hint="default" w:ascii="Arial" w:hAnsi="Arial" w:eastAsia="Times New Roman" w:cs="Arial"/>
          <w:color w:val="2E2E2E"/>
          <w:sz w:val="24"/>
          <w:szCs w:val="24"/>
        </w:rPr>
      </w:pPr>
      <w:r>
        <w:rPr>
          <w:rFonts w:hint="default" w:ascii="Arial" w:hAnsi="Arial" w:eastAsia="Times New Roman" w:cs="Arial"/>
          <w:color w:val="000000" w:themeColor="text1"/>
          <w:sz w:val="24"/>
          <w:szCs w:val="24"/>
          <w14:textFill>
            <w14:solidFill>
              <w14:schemeClr w14:val="tx1"/>
            </w14:solidFill>
          </w14:textFill>
        </w:rPr>
        <w:t xml:space="preserve">approximately 9 in 1,000 babies are born with congenital heart disease (CHD) in the UK, while an estimated 250,000 adults are currently living with the condition. Advances in care mean over 90% of children with CHD now </w:t>
      </w:r>
      <w:r>
        <w:rPr>
          <w:rFonts w:hint="default" w:ascii="Arial" w:hAnsi="Arial" w:eastAsia="Times New Roman" w:cs="Arial"/>
          <w:color w:val="2E2E2E"/>
          <w:sz w:val="24"/>
          <w:szCs w:val="24"/>
        </w:rPr>
        <w:t>survive to adulthood, necessitating long-term, specialized care (Fleming et al; 2024).</w:t>
      </w:r>
    </w:p>
    <w:p w14:paraId="2C2B8A01">
      <w:pPr>
        <w:pStyle w:val="35"/>
        <w:shd w:val="clear" w:color="auto" w:fill="FFFFFF" w:themeFill="background1"/>
        <w:spacing w:after="0" w:line="360" w:lineRule="auto"/>
        <w:contextualSpacing w:val="0"/>
        <w:rPr>
          <w:rFonts w:hint="default" w:ascii="Arial" w:hAnsi="Arial" w:cs="Arial"/>
          <w:sz w:val="24"/>
          <w:szCs w:val="24"/>
        </w:rPr>
      </w:pPr>
      <w:r>
        <w:rPr>
          <w:rFonts w:hint="default" w:ascii="Arial" w:hAnsi="Arial" w:cs="Arial"/>
          <w:sz w:val="24"/>
          <w:szCs w:val="24"/>
        </w:rPr>
        <w:drawing>
          <wp:inline distT="0" distB="0" distL="0" distR="0">
            <wp:extent cx="5365115" cy="3569970"/>
            <wp:effectExtent l="133350" t="114300" r="140335" b="163830"/>
            <wp:docPr id="19167082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708279" name="drawing"/>
                    <pic:cNvPicPr>
                      <a:picLocks noChangeAspect="1"/>
                    </pic:cNvPicPr>
                  </pic:nvPicPr>
                  <pic:blipFill>
                    <a:blip r:embed="rId15"/>
                    <a:srcRect/>
                    <a:stretch>
                      <a:fillRect/>
                    </a:stretch>
                  </pic:blipFill>
                  <pic:spPr>
                    <a:xfrm>
                      <a:off x="0" y="0"/>
                      <a:ext cx="5365212" cy="3570443"/>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C075B73">
      <w:pPr>
        <w:pStyle w:val="35"/>
        <w:shd w:val="clear" w:color="auto" w:fill="FFFFFF" w:themeFill="background1"/>
        <w:spacing w:after="0" w:line="360" w:lineRule="auto"/>
        <w:contextualSpacing w:val="0"/>
        <w:jc w:val="center"/>
        <w:rPr>
          <w:rFonts w:hint="default" w:ascii="Arial" w:hAnsi="Arial" w:eastAsia="Arial" w:cs="Arial"/>
          <w:color w:val="808080" w:themeColor="text1" w:themeTint="80"/>
          <w:sz w:val="24"/>
          <w:szCs w:val="24"/>
          <w14:textFill>
            <w14:solidFill>
              <w14:schemeClr w14:val="tx1">
                <w14:lumMod w14:val="50000"/>
                <w14:lumOff w14:val="50000"/>
              </w14:schemeClr>
            </w14:solidFill>
          </w14:textFill>
        </w:rPr>
      </w:pPr>
      <w:r>
        <w:rPr>
          <w:rFonts w:hint="default" w:ascii="Arial" w:hAnsi="Arial" w:eastAsia="Arial" w:cs="Arial"/>
          <w:color w:val="808080" w:themeColor="text1" w:themeTint="80"/>
          <w:sz w:val="24"/>
          <w:szCs w:val="24"/>
          <w14:textFill>
            <w14:solidFill>
              <w14:schemeClr w14:val="tx1">
                <w14:lumMod w14:val="50000"/>
                <w14:lumOff w14:val="50000"/>
              </w14:schemeClr>
            </w14:solidFill>
          </w14:textFill>
        </w:rPr>
        <w:t>(NHS Digital,2022)</w:t>
      </w:r>
    </w:p>
    <w:p w14:paraId="76ECB642">
      <w:pPr>
        <w:shd w:val="clear" w:color="auto" w:fill="FFFFFF" w:themeFill="background1"/>
        <w:spacing w:after="0" w:line="360" w:lineRule="auto"/>
        <w:jc w:val="center"/>
        <w:rPr>
          <w:rFonts w:hint="default" w:ascii="Arial" w:hAnsi="Arial" w:eastAsia="Arial" w:cs="Arial"/>
          <w:color w:val="808080" w:themeColor="text1" w:themeTint="80"/>
          <w:sz w:val="24"/>
          <w:szCs w:val="24"/>
          <w14:textFill>
            <w14:solidFill>
              <w14:schemeClr w14:val="tx1">
                <w14:lumMod w14:val="50000"/>
                <w14:lumOff w14:val="50000"/>
              </w14:schemeClr>
            </w14:solidFill>
          </w14:textFill>
        </w:rPr>
      </w:pPr>
    </w:p>
    <w:p w14:paraId="211CD1CF">
      <w:pPr>
        <w:pStyle w:val="3"/>
        <w:bidi w:val="0"/>
        <w:rPr>
          <w:rFonts w:hint="default" w:ascii="Arial" w:hAnsi="Arial" w:cs="Arial"/>
          <w:sz w:val="28"/>
          <w:szCs w:val="28"/>
        </w:rPr>
      </w:pPr>
      <w:bookmarkStart w:id="4" w:name="_Toc23355"/>
      <w:r>
        <w:rPr>
          <w:rFonts w:hint="default" w:ascii="Arial" w:hAnsi="Arial" w:cs="Arial"/>
          <w:sz w:val="24"/>
          <w:szCs w:val="24"/>
        </w:rPr>
        <w:t xml:space="preserve">1.3. </w:t>
      </w:r>
      <w:r>
        <w:rPr>
          <w:rFonts w:hint="default" w:ascii="Arial" w:hAnsi="Arial" w:cs="Arial"/>
          <w:sz w:val="28"/>
          <w:szCs w:val="28"/>
        </w:rPr>
        <w:t>Burden of congenital heart disease:</w:t>
      </w:r>
      <w:bookmarkEnd w:id="4"/>
    </w:p>
    <w:p w14:paraId="36C81E39">
      <w:pPr>
        <w:shd w:val="clear" w:color="auto" w:fill="FFFFFF" w:themeFill="background1"/>
        <w:spacing w:after="0" w:line="360" w:lineRule="auto"/>
        <w:jc w:val="both"/>
        <w:rPr>
          <w:rFonts w:hint="default" w:ascii="Arial" w:hAnsi="Arial" w:eastAsia="Arial" w:cs="Arial"/>
          <w:color w:val="2E2E2E"/>
          <w:sz w:val="24"/>
          <w:szCs w:val="24"/>
        </w:rPr>
      </w:pPr>
      <w:r>
        <w:rPr>
          <w:rFonts w:hint="default" w:ascii="Arial" w:hAnsi="Arial" w:eastAsia="Arial" w:cs="Arial"/>
          <w:color w:val="2E2E2E"/>
          <w:sz w:val="24"/>
          <w:szCs w:val="24"/>
        </w:rPr>
        <w:t>Burden refers to the overall impact of a disease on individuals, families, healthcare systems, and society.</w:t>
      </w:r>
    </w:p>
    <w:p w14:paraId="16D092DC">
      <w:pPr>
        <w:shd w:val="clear" w:color="auto" w:fill="FFFFFF" w:themeFill="background1"/>
        <w:spacing w:after="0" w:line="360" w:lineRule="auto"/>
        <w:jc w:val="both"/>
        <w:rPr>
          <w:rFonts w:hint="default" w:ascii="Arial" w:hAnsi="Arial" w:eastAsia="Arial" w:cs="Arial"/>
          <w:color w:val="2E2E2E"/>
          <w:sz w:val="24"/>
          <w:szCs w:val="24"/>
        </w:rPr>
      </w:pPr>
      <w:r>
        <w:rPr>
          <w:rFonts w:hint="default" w:ascii="Arial" w:hAnsi="Arial" w:eastAsia="Arial" w:cs="Arial"/>
          <w:color w:val="2E2E2E"/>
          <w:sz w:val="24"/>
          <w:szCs w:val="24"/>
        </w:rPr>
        <w:t>It includes:</w:t>
      </w:r>
    </w:p>
    <w:p w14:paraId="4AD2CE9A">
      <w:pPr>
        <w:shd w:val="clear" w:color="auto" w:fill="FFFFFF" w:themeFill="background1"/>
        <w:spacing w:after="0" w:line="360" w:lineRule="auto"/>
        <w:jc w:val="both"/>
        <w:rPr>
          <w:rFonts w:hint="default" w:ascii="Arial" w:hAnsi="Arial" w:eastAsia="Arial" w:cs="Arial"/>
          <w:color w:val="2E2E2E"/>
          <w:sz w:val="24"/>
          <w:szCs w:val="24"/>
        </w:rPr>
      </w:pPr>
    </w:p>
    <w:p w14:paraId="69FC5C2C">
      <w:pPr>
        <w:pStyle w:val="35"/>
        <w:numPr>
          <w:ilvl w:val="0"/>
          <w:numId w:val="4"/>
        </w:numPr>
        <w:shd w:val="clear" w:color="auto" w:fill="FFFFFF" w:themeFill="background1"/>
        <w:spacing w:after="0" w:line="360" w:lineRule="auto"/>
        <w:jc w:val="both"/>
        <w:rPr>
          <w:rFonts w:hint="default" w:ascii="Arial" w:hAnsi="Arial" w:eastAsia="Arial" w:cs="Arial"/>
          <w:color w:val="2E2E2E"/>
          <w:sz w:val="24"/>
          <w:szCs w:val="24"/>
        </w:rPr>
      </w:pPr>
      <w:r>
        <w:rPr>
          <w:rFonts w:hint="default" w:ascii="Arial" w:hAnsi="Arial" w:eastAsia="Arial" w:cs="Arial"/>
          <w:b/>
          <w:bCs/>
          <w:color w:val="2E2E2E"/>
          <w:sz w:val="24"/>
          <w:szCs w:val="24"/>
        </w:rPr>
        <w:t>Mortality (death rates)</w:t>
      </w:r>
      <w:r>
        <w:rPr>
          <w:rFonts w:hint="default" w:ascii="Arial" w:hAnsi="Arial" w:eastAsia="Arial" w:cs="Arial"/>
          <w:color w:val="2E2E2E"/>
          <w:sz w:val="24"/>
          <w:szCs w:val="24"/>
        </w:rPr>
        <w:t xml:space="preserve">: Congenital heart disease remains a major contributor to childhood mortality globally, with significant mortality burden among children aged 0–14 years despite overall declines in death rates over recent decades. (Xu et al ;2025).  </w:t>
      </w:r>
    </w:p>
    <w:p w14:paraId="24FBD909">
      <w:pPr>
        <w:pStyle w:val="35"/>
        <w:shd w:val="clear" w:color="auto" w:fill="FFFFFF" w:themeFill="background1"/>
        <w:spacing w:after="0" w:line="360" w:lineRule="auto"/>
        <w:rPr>
          <w:rFonts w:hint="default" w:ascii="Arial" w:hAnsi="Arial" w:cs="Arial"/>
          <w:sz w:val="24"/>
          <w:szCs w:val="24"/>
        </w:rPr>
      </w:pPr>
      <w:r>
        <w:rPr>
          <w:rFonts w:hint="default" w:ascii="Arial" w:hAnsi="Arial" w:cs="Arial"/>
          <w:sz w:val="24"/>
          <w:szCs w:val="24"/>
        </w:rPr>
        <w:drawing>
          <wp:inline distT="0" distB="0" distL="0" distR="0">
            <wp:extent cx="5890260" cy="3721735"/>
            <wp:effectExtent l="0" t="0" r="0" b="0"/>
            <wp:docPr id="1877440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44025" name="drawing"/>
                    <pic:cNvPicPr>
                      <a:picLocks noChangeAspect="1"/>
                    </pic:cNvPicPr>
                  </pic:nvPicPr>
                  <pic:blipFill>
                    <a:blip r:embed="rId16"/>
                    <a:srcRect l="3642" t="4177" r="1821"/>
                    <a:stretch>
                      <a:fillRect/>
                    </a:stretch>
                  </pic:blipFill>
                  <pic:spPr>
                    <a:xfrm>
                      <a:off x="0" y="0"/>
                      <a:ext cx="5890554" cy="3722108"/>
                    </a:xfrm>
                    <a:prstGeom prst="rect">
                      <a:avLst/>
                    </a:prstGeom>
                  </pic:spPr>
                </pic:pic>
              </a:graphicData>
            </a:graphic>
          </wp:inline>
        </w:drawing>
      </w:r>
    </w:p>
    <w:p w14:paraId="5C0D6EC1">
      <w:pPr>
        <w:pStyle w:val="35"/>
        <w:shd w:val="clear" w:color="auto" w:fill="FFFFFF" w:themeFill="background1"/>
        <w:spacing w:after="0" w:line="360" w:lineRule="auto"/>
        <w:jc w:val="center"/>
        <w:rPr>
          <w:rFonts w:hint="default" w:ascii="Arial" w:hAnsi="Arial" w:eastAsia="Arial" w:cs="Arial"/>
          <w:color w:val="808080" w:themeColor="text1" w:themeTint="80"/>
          <w:sz w:val="24"/>
          <w:szCs w:val="24"/>
          <w14:textFill>
            <w14:solidFill>
              <w14:schemeClr w14:val="tx1">
                <w14:lumMod w14:val="50000"/>
                <w14:lumOff w14:val="50000"/>
              </w14:schemeClr>
            </w14:solidFill>
          </w14:textFill>
        </w:rPr>
      </w:pPr>
      <w:r>
        <w:rPr>
          <w:rFonts w:hint="default" w:ascii="Arial" w:hAnsi="Arial" w:eastAsia="Arial" w:cs="Arial"/>
          <w:color w:val="808080" w:themeColor="text1" w:themeTint="80"/>
          <w:sz w:val="24"/>
          <w:szCs w:val="24"/>
          <w14:textFill>
            <w14:solidFill>
              <w14:schemeClr w14:val="tx1">
                <w14:lumMod w14:val="50000"/>
                <w14:lumOff w14:val="50000"/>
              </w14:schemeClr>
            </w14:solidFill>
          </w14:textFill>
        </w:rPr>
        <w:t>Age-specific mortality rates and proportional contributions of congenital anomalies. (A) Death rate. (B) Death percentage (Xu et al; 2025).</w:t>
      </w:r>
    </w:p>
    <w:p w14:paraId="1F7E8EE0">
      <w:pPr>
        <w:pStyle w:val="35"/>
        <w:numPr>
          <w:ilvl w:val="0"/>
          <w:numId w:val="4"/>
        </w:numPr>
        <w:shd w:val="clear" w:color="auto" w:fill="FFFFFF" w:themeFill="background1"/>
        <w:spacing w:after="0" w:line="360" w:lineRule="auto"/>
        <w:jc w:val="both"/>
        <w:rPr>
          <w:rFonts w:hint="default" w:ascii="Arial" w:hAnsi="Arial" w:cs="Arial"/>
          <w:sz w:val="24"/>
          <w:szCs w:val="24"/>
        </w:rPr>
      </w:pPr>
      <w:r>
        <w:rPr>
          <w:rFonts w:hint="default" w:ascii="Arial" w:hAnsi="Arial" w:eastAsia="Arial" w:cs="Arial"/>
          <w:b/>
          <w:bCs/>
          <w:color w:val="2E2E2E"/>
          <w:sz w:val="24"/>
          <w:szCs w:val="24"/>
        </w:rPr>
        <w:t>Morbidity (complications and disability)</w:t>
      </w:r>
      <w:r>
        <w:rPr>
          <w:rFonts w:hint="default" w:ascii="Arial" w:hAnsi="Arial" w:eastAsia="Arial" w:cs="Arial"/>
          <w:color w:val="2E2E2E"/>
          <w:sz w:val="24"/>
          <w:szCs w:val="24"/>
        </w:rPr>
        <w:t xml:space="preserve">: </w:t>
      </w:r>
      <w:r>
        <w:rPr>
          <w:rFonts w:hint="default" w:ascii="Arial" w:hAnsi="Arial" w:cs="Arial"/>
          <w:sz w:val="24"/>
          <w:szCs w:val="24"/>
        </w:rPr>
        <w:t>Congenital heart disease is associated with a substantial morbidity burden throughout life, with long-term chronic disease requiring ongoing healthcare seen in nearly 43 % of patients after surgery, increased cardiovascular events in adults, and elevated neurodevelopmental and health service needs in children compared with peers without CHD(Razzaghi, Oster and Reefhuis;2015)</w:t>
      </w:r>
    </w:p>
    <w:p w14:paraId="708A4CCE">
      <w:pPr>
        <w:shd w:val="clear" w:color="auto" w:fill="FFFFFF" w:themeFill="background1"/>
        <w:spacing w:after="0" w:line="360" w:lineRule="auto"/>
        <w:jc w:val="both"/>
        <w:rPr>
          <w:rFonts w:hint="default" w:ascii="Arial" w:hAnsi="Arial" w:cs="Arial"/>
          <w:sz w:val="24"/>
          <w:szCs w:val="24"/>
        </w:rPr>
      </w:pPr>
    </w:p>
    <w:p w14:paraId="534B95A0">
      <w:pPr>
        <w:pStyle w:val="35"/>
        <w:numPr>
          <w:ilvl w:val="0"/>
          <w:numId w:val="4"/>
        </w:numPr>
        <w:shd w:val="clear" w:color="auto" w:fill="FFFFFF" w:themeFill="background1"/>
        <w:spacing w:after="0" w:line="360" w:lineRule="auto"/>
        <w:jc w:val="both"/>
        <w:rPr>
          <w:rFonts w:hint="default" w:ascii="Arial" w:hAnsi="Arial" w:cs="Arial"/>
          <w:sz w:val="24"/>
          <w:szCs w:val="24"/>
        </w:rPr>
      </w:pPr>
      <w:r>
        <w:rPr>
          <w:rFonts w:hint="default" w:ascii="Arial" w:hAnsi="Arial" w:eastAsia="Arial" w:cs="Arial"/>
          <w:b/>
          <w:bCs/>
          <w:color w:val="2E2E2E"/>
          <w:sz w:val="24"/>
          <w:szCs w:val="24"/>
        </w:rPr>
        <w:t>Economic cost (NHS expenditure)</w:t>
      </w:r>
      <w:r>
        <w:rPr>
          <w:rFonts w:hint="default" w:ascii="Arial" w:hAnsi="Arial" w:eastAsia="Arial" w:cs="Arial"/>
          <w:color w:val="2E2E2E"/>
          <w:sz w:val="24"/>
          <w:szCs w:val="24"/>
        </w:rPr>
        <w:t xml:space="preserve">: </w:t>
      </w:r>
      <w:r>
        <w:rPr>
          <w:rFonts w:hint="default" w:ascii="Arial" w:hAnsi="Arial" w:cs="Arial"/>
          <w:sz w:val="24"/>
          <w:szCs w:val="24"/>
        </w:rPr>
        <w:t>In the UK, the economic cost of cardiovascular diseases  which include congenital and acquired heart conditions is substantial, with recent estimates showing that total costs reached around £29 billion in 2021–22, including about £16.6 billion in direct NHS expenditure on hospital care, medications, and outpatient services, and £12.4 billion in indirect costs such as informal care and productivity losses, reflecting a significant healthcare and societal burden(Shih et al ;2025).</w:t>
      </w:r>
    </w:p>
    <w:p w14:paraId="5B94009F">
      <w:pPr>
        <w:pStyle w:val="35"/>
        <w:shd w:val="clear" w:color="auto" w:fill="FFFFFF" w:themeFill="background1"/>
        <w:spacing w:after="0" w:line="360" w:lineRule="auto"/>
        <w:jc w:val="both"/>
        <w:rPr>
          <w:rFonts w:hint="default" w:ascii="Arial" w:hAnsi="Arial" w:cs="Arial"/>
          <w:sz w:val="24"/>
          <w:szCs w:val="24"/>
        </w:rPr>
      </w:pPr>
      <w:r>
        <w:rPr>
          <w:rFonts w:hint="default" w:ascii="Arial" w:hAnsi="Arial" w:cs="Arial"/>
          <w:sz w:val="24"/>
          <w:szCs w:val="24"/>
        </w:rPr>
        <w:drawing>
          <wp:inline distT="0" distB="0" distL="0" distR="0">
            <wp:extent cx="4798695" cy="3509645"/>
            <wp:effectExtent l="171450" t="171450" r="192405" b="186055"/>
            <wp:docPr id="5580894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089406" name="drawing"/>
                    <pic:cNvPicPr>
                      <a:picLocks noChangeAspect="1"/>
                    </pic:cNvPicPr>
                  </pic:nvPicPr>
                  <pic:blipFill>
                    <a:blip r:embed="rId17"/>
                    <a:srcRect l="1558" r="1038" b="21332"/>
                    <a:stretch>
                      <a:fillRect/>
                    </a:stretch>
                  </pic:blipFill>
                  <pic:spPr>
                    <a:xfrm>
                      <a:off x="0" y="0"/>
                      <a:ext cx="4799151" cy="3509687"/>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92F64CD">
      <w:pPr>
        <w:pStyle w:val="35"/>
        <w:shd w:val="clear" w:color="auto" w:fill="FFFFFF" w:themeFill="background1"/>
        <w:spacing w:after="0" w:line="360" w:lineRule="auto"/>
        <w:jc w:val="center"/>
        <w:rPr>
          <w:rFonts w:hint="default" w:ascii="Arial" w:hAnsi="Arial" w:cs="Arial"/>
          <w:color w:val="808080" w:themeColor="text1" w:themeTint="80"/>
          <w:sz w:val="24"/>
          <w:szCs w:val="24"/>
          <w14:textFill>
            <w14:solidFill>
              <w14:schemeClr w14:val="tx1">
                <w14:lumMod w14:val="50000"/>
                <w14:lumOff w14:val="50000"/>
              </w14:schemeClr>
            </w14:solidFill>
          </w14:textFill>
        </w:rPr>
      </w:pPr>
      <w:r>
        <w:rPr>
          <w:rFonts w:hint="default" w:ascii="Arial" w:hAnsi="Arial" w:cs="Arial"/>
          <w:color w:val="808080" w:themeColor="text1" w:themeTint="80"/>
          <w:sz w:val="24"/>
          <w:szCs w:val="24"/>
          <w14:textFill>
            <w14:solidFill>
              <w14:schemeClr w14:val="tx1">
                <w14:lumMod w14:val="50000"/>
                <w14:lumOff w14:val="50000"/>
              </w14:schemeClr>
            </w14:solidFill>
          </w14:textFill>
        </w:rPr>
        <w:t>Distribution of cardiovascular disease related total costs across cost categories (European health journal; 2023)</w:t>
      </w:r>
    </w:p>
    <w:p w14:paraId="304B8434">
      <w:pPr>
        <w:pStyle w:val="35"/>
        <w:shd w:val="clear" w:color="auto" w:fill="FFFFFF" w:themeFill="background1"/>
        <w:spacing w:after="0" w:line="360" w:lineRule="auto"/>
        <w:jc w:val="center"/>
        <w:rPr>
          <w:rFonts w:hint="default" w:ascii="Arial" w:hAnsi="Arial" w:eastAsia="Arial" w:cs="Arial"/>
          <w:color w:val="808080" w:themeColor="text1" w:themeTint="80"/>
          <w:sz w:val="24"/>
          <w:szCs w:val="24"/>
          <w14:textFill>
            <w14:solidFill>
              <w14:schemeClr w14:val="tx1">
                <w14:lumMod w14:val="50000"/>
                <w14:lumOff w14:val="50000"/>
              </w14:schemeClr>
            </w14:solidFill>
          </w14:textFill>
        </w:rPr>
      </w:pPr>
    </w:p>
    <w:p w14:paraId="62B998FD">
      <w:pPr>
        <w:pStyle w:val="35"/>
        <w:numPr>
          <w:ilvl w:val="0"/>
          <w:numId w:val="4"/>
        </w:numPr>
        <w:shd w:val="clear" w:color="auto" w:fill="FFFFFF" w:themeFill="background1"/>
        <w:spacing w:after="0" w:line="360" w:lineRule="auto"/>
        <w:jc w:val="both"/>
        <w:rPr>
          <w:rFonts w:hint="default" w:ascii="Arial" w:hAnsi="Arial" w:eastAsia="Arial" w:cs="Arial"/>
          <w:color w:val="000000" w:themeColor="text1"/>
          <w:sz w:val="24"/>
          <w:szCs w:val="24"/>
          <w14:textFill>
            <w14:solidFill>
              <w14:schemeClr w14:val="tx1"/>
            </w14:solidFill>
          </w14:textFill>
        </w:rPr>
      </w:pPr>
      <w:r>
        <w:rPr>
          <w:rFonts w:hint="default" w:ascii="Arial" w:hAnsi="Arial" w:eastAsia="Arial" w:cs="Arial"/>
          <w:b/>
          <w:bCs/>
          <w:color w:val="000000" w:themeColor="text1"/>
          <w:sz w:val="24"/>
          <w:szCs w:val="24"/>
          <w14:textFill>
            <w14:solidFill>
              <w14:schemeClr w14:val="tx1"/>
            </w14:solidFill>
          </w14:textFill>
        </w:rPr>
        <w:t>Psychological and social impact</w:t>
      </w:r>
      <w:r>
        <w:rPr>
          <w:rFonts w:hint="default" w:ascii="Arial" w:hAnsi="Arial" w:eastAsia="Arial" w:cs="Arial"/>
          <w:color w:val="000000" w:themeColor="text1"/>
          <w:sz w:val="24"/>
          <w:szCs w:val="24"/>
          <w14:textFill>
            <w14:solidFill>
              <w14:schemeClr w14:val="tx1"/>
            </w14:solidFill>
          </w14:textFill>
        </w:rPr>
        <w:t xml:space="preserve">: Congenital heart disease has profound psychological and social impacts: patients often experience anxiety, depression, and lower self-esteem, while frequent hospitalizations and physical limitations can disrupt social development, schooling, employment, and family dynamics, imposing a significant psychosocial burden (Henion:2022).  </w:t>
      </w:r>
    </w:p>
    <w:p w14:paraId="5A7F96B0">
      <w:pPr>
        <w:pStyle w:val="35"/>
        <w:numPr>
          <w:ilvl w:val="0"/>
          <w:numId w:val="4"/>
        </w:numPr>
        <w:shd w:val="clear" w:color="auto" w:fill="FFFFFF" w:themeFill="background1"/>
        <w:spacing w:after="0" w:line="360" w:lineRule="auto"/>
        <w:jc w:val="both"/>
        <w:rPr>
          <w:rFonts w:hint="default" w:ascii="Arial" w:hAnsi="Arial" w:eastAsia="Arial" w:cs="Arial"/>
          <w:color w:val="000000" w:themeColor="text1"/>
          <w:sz w:val="24"/>
          <w:szCs w:val="24"/>
          <w14:textFill>
            <w14:solidFill>
              <w14:schemeClr w14:val="tx1"/>
            </w14:solidFill>
          </w14:textFill>
        </w:rPr>
      </w:pPr>
      <w:r>
        <w:rPr>
          <w:rFonts w:hint="default" w:ascii="Arial" w:hAnsi="Arial" w:eastAsia="Arial" w:cs="Arial"/>
          <w:b/>
          <w:bCs/>
          <w:color w:val="000000" w:themeColor="text1"/>
          <w:sz w:val="24"/>
          <w:szCs w:val="24"/>
          <w14:textFill>
            <w14:solidFill>
              <w14:schemeClr w14:val="tx1"/>
            </w14:solidFill>
          </w14:textFill>
        </w:rPr>
        <w:t>Reduced quality of life:</w:t>
      </w:r>
      <w:r>
        <w:rPr>
          <w:rFonts w:hint="default" w:ascii="Arial" w:hAnsi="Arial" w:eastAsia="Arial" w:cs="Arial"/>
          <w:color w:val="000000" w:themeColor="text1"/>
          <w:sz w:val="24"/>
          <w:szCs w:val="24"/>
          <w14:textFill>
            <w14:solidFill>
              <w14:schemeClr w14:val="tx1"/>
            </w14:solidFill>
          </w14:textFill>
        </w:rPr>
        <w:t xml:space="preserve"> </w:t>
      </w:r>
      <w:r>
        <w:rPr>
          <w:rFonts w:hint="default" w:ascii="Arial" w:hAnsi="Arial" w:cs="Arial"/>
          <w:color w:val="000000" w:themeColor="text1"/>
          <w:sz w:val="24"/>
          <w:szCs w:val="24"/>
          <w14:textFill>
            <w14:solidFill>
              <w14:schemeClr w14:val="tx1"/>
            </w14:solidFill>
          </w14:textFill>
        </w:rPr>
        <w:t xml:space="preserve"> adults with congenital heart disease, especially those with heart failure or more complex conditions, experience reduced quality of life, particularly in physical functioning and mental health domains such as anxiety and depression ( Kacar, Flander and Prokselj; 2025).  </w:t>
      </w:r>
    </w:p>
    <w:p w14:paraId="4C27A1C2">
      <w:pPr>
        <w:pStyle w:val="35"/>
        <w:shd w:val="clear" w:color="auto" w:fill="FFFFFF" w:themeFill="background1"/>
        <w:spacing w:after="0" w:line="360" w:lineRule="auto"/>
        <w:jc w:val="both"/>
        <w:rPr>
          <w:rFonts w:hint="default" w:ascii="Arial" w:hAnsi="Arial" w:eastAsia="Arial" w:cs="Arial"/>
          <w:color w:val="000000" w:themeColor="text1"/>
          <w:sz w:val="24"/>
          <w:szCs w:val="24"/>
          <w14:textFill>
            <w14:solidFill>
              <w14:schemeClr w14:val="tx1"/>
            </w14:solidFill>
          </w14:textFill>
        </w:rPr>
      </w:pPr>
    </w:p>
    <w:p w14:paraId="525903F9">
      <w:pPr>
        <w:pStyle w:val="3"/>
        <w:bidi w:val="0"/>
        <w:rPr>
          <w:rFonts w:hint="default" w:ascii="Arial" w:hAnsi="Arial" w:cs="Arial"/>
          <w:sz w:val="28"/>
          <w:szCs w:val="28"/>
        </w:rPr>
      </w:pPr>
      <w:bookmarkStart w:id="5" w:name="_Toc5399"/>
      <w:r>
        <w:rPr>
          <w:rFonts w:hint="default" w:ascii="Arial" w:hAnsi="Arial" w:cs="Arial"/>
          <w:sz w:val="28"/>
          <w:szCs w:val="28"/>
        </w:rPr>
        <w:t>1.4. Risk Factors for Congenital heart defect:</w:t>
      </w:r>
      <w:bookmarkEnd w:id="5"/>
    </w:p>
    <w:p w14:paraId="3BFA4019">
      <w:pPr>
        <w:shd w:val="clear" w:color="auto" w:fill="FFFFFF" w:themeFill="background1"/>
        <w:spacing w:after="0" w:line="360" w:lineRule="auto"/>
        <w:jc w:val="both"/>
        <w:rPr>
          <w:rFonts w:hint="default" w:ascii="Arial" w:hAnsi="Arial" w:eastAsia="Arial" w:cs="Arial"/>
          <w:color w:val="000000" w:themeColor="text1"/>
          <w:sz w:val="24"/>
          <w:szCs w:val="24"/>
          <w14:textFill>
            <w14:solidFill>
              <w14:schemeClr w14:val="tx1"/>
            </w14:solidFill>
          </w14:textFill>
        </w:rPr>
      </w:pPr>
      <w:r>
        <w:rPr>
          <w:rFonts w:hint="default" w:ascii="Arial" w:hAnsi="Arial" w:eastAsia="Arial" w:cs="Arial"/>
          <w:color w:val="000000" w:themeColor="text1"/>
          <w:sz w:val="24"/>
          <w:szCs w:val="24"/>
          <w14:textFill>
            <w14:solidFill>
              <w14:schemeClr w14:val="tx1"/>
            </w14:solidFill>
          </w14:textFill>
        </w:rPr>
        <w:t>Congenital heart defects occur in approximately 1% of live births. The risk is increased by (National Heart, lung, and Blood Institute; 2022):</w:t>
      </w:r>
    </w:p>
    <w:p w14:paraId="0A79E2BE">
      <w:pPr>
        <w:pStyle w:val="35"/>
        <w:numPr>
          <w:ilvl w:val="0"/>
          <w:numId w:val="5"/>
        </w:numPr>
        <w:shd w:val="clear" w:color="auto" w:fill="FFFFFF" w:themeFill="background1"/>
        <w:spacing w:after="0" w:line="360" w:lineRule="auto"/>
        <w:jc w:val="both"/>
        <w:rPr>
          <w:rFonts w:hint="default" w:ascii="Arial" w:hAnsi="Arial" w:eastAsia="Arial" w:cs="Arial"/>
          <w:color w:val="000000" w:themeColor="text1"/>
          <w:sz w:val="24"/>
          <w:szCs w:val="24"/>
          <w14:textFill>
            <w14:solidFill>
              <w14:schemeClr w14:val="tx1"/>
            </w14:solidFill>
          </w14:textFill>
        </w:rPr>
      </w:pPr>
      <w:r>
        <w:rPr>
          <w:rFonts w:hint="default" w:ascii="Arial" w:hAnsi="Arial" w:eastAsia="Arial" w:cs="Arial"/>
          <w:color w:val="000000" w:themeColor="text1"/>
          <w:sz w:val="24"/>
          <w:szCs w:val="24"/>
          <w14:textFill>
            <w14:solidFill>
              <w14:schemeClr w14:val="tx1"/>
            </w14:solidFill>
          </w14:textFill>
        </w:rPr>
        <w:t>Family history or genetic predisposition (National Heart, lung, and Blood Institute; 2022)</w:t>
      </w:r>
    </w:p>
    <w:p w14:paraId="00FC3678">
      <w:pPr>
        <w:pStyle w:val="35"/>
        <w:numPr>
          <w:ilvl w:val="0"/>
          <w:numId w:val="5"/>
        </w:numPr>
        <w:shd w:val="clear" w:color="auto" w:fill="FFFFFF" w:themeFill="background1"/>
        <w:spacing w:after="0" w:line="360" w:lineRule="auto"/>
        <w:jc w:val="both"/>
        <w:rPr>
          <w:rFonts w:hint="default" w:ascii="Arial" w:hAnsi="Arial" w:eastAsia="Arial" w:cs="Arial"/>
          <w:color w:val="000000" w:themeColor="text1"/>
          <w:sz w:val="24"/>
          <w:szCs w:val="24"/>
          <w14:textFill>
            <w14:solidFill>
              <w14:schemeClr w14:val="tx1"/>
            </w14:solidFill>
          </w14:textFill>
        </w:rPr>
      </w:pPr>
      <w:r>
        <w:rPr>
          <w:rFonts w:hint="default" w:ascii="Arial" w:hAnsi="Arial" w:eastAsia="Arial" w:cs="Arial"/>
          <w:color w:val="000000" w:themeColor="text1"/>
          <w:sz w:val="24"/>
          <w:szCs w:val="24"/>
          <w14:textFill>
            <w14:solidFill>
              <w14:schemeClr w14:val="tx1"/>
            </w14:solidFill>
          </w14:textFill>
        </w:rPr>
        <w:t>Maternal smoking or secondhand smoke exposure (National Heart, lung, and Blood Institute; 2022)</w:t>
      </w:r>
    </w:p>
    <w:p w14:paraId="66C249D8">
      <w:pPr>
        <w:pStyle w:val="35"/>
        <w:numPr>
          <w:ilvl w:val="0"/>
          <w:numId w:val="5"/>
        </w:numPr>
        <w:shd w:val="clear" w:color="auto" w:fill="FFFFFF" w:themeFill="background1"/>
        <w:spacing w:after="0" w:line="360" w:lineRule="auto"/>
        <w:jc w:val="both"/>
        <w:rPr>
          <w:rFonts w:hint="default" w:ascii="Arial" w:hAnsi="Arial" w:eastAsia="Arial" w:cs="Arial"/>
          <w:color w:val="000000" w:themeColor="text1"/>
          <w:sz w:val="24"/>
          <w:szCs w:val="24"/>
          <w14:textFill>
            <w14:solidFill>
              <w14:schemeClr w14:val="tx1"/>
            </w14:solidFill>
          </w14:textFill>
        </w:rPr>
      </w:pPr>
      <w:r>
        <w:rPr>
          <w:rFonts w:hint="default" w:ascii="Arial" w:hAnsi="Arial" w:eastAsia="Arial" w:cs="Arial"/>
          <w:color w:val="000000" w:themeColor="text1"/>
          <w:sz w:val="24"/>
          <w:szCs w:val="24"/>
          <w14:textFill>
            <w14:solidFill>
              <w14:schemeClr w14:val="tx1"/>
            </w14:solidFill>
          </w14:textFill>
        </w:rPr>
        <w:t>Certain medications in the first trimester, including ACE inhibitors and retinoic acid derivatives (National Heart, lung, and Blood Institute; 2022)</w:t>
      </w:r>
    </w:p>
    <w:p w14:paraId="4CD4277C">
      <w:pPr>
        <w:pStyle w:val="35"/>
        <w:numPr>
          <w:ilvl w:val="0"/>
          <w:numId w:val="5"/>
        </w:numPr>
        <w:shd w:val="clear" w:color="auto" w:fill="FFFFFF" w:themeFill="background1"/>
        <w:spacing w:after="0" w:line="360" w:lineRule="auto"/>
        <w:jc w:val="both"/>
        <w:rPr>
          <w:rFonts w:hint="default" w:ascii="Arial" w:hAnsi="Arial" w:eastAsia="Arial" w:cs="Arial"/>
          <w:color w:val="000000" w:themeColor="text1"/>
          <w:sz w:val="24"/>
          <w:szCs w:val="24"/>
          <w14:textFill>
            <w14:solidFill>
              <w14:schemeClr w14:val="tx1"/>
            </w14:solidFill>
          </w14:textFill>
        </w:rPr>
      </w:pPr>
      <w:r>
        <w:rPr>
          <w:rFonts w:hint="default" w:ascii="Arial" w:hAnsi="Arial" w:eastAsia="Arial" w:cs="Arial"/>
          <w:color w:val="000000" w:themeColor="text1"/>
          <w:sz w:val="24"/>
          <w:szCs w:val="24"/>
          <w14:textFill>
            <w14:solidFill>
              <w14:schemeClr w14:val="tx1"/>
            </w14:solidFill>
          </w14:textFill>
        </w:rPr>
        <w:t xml:space="preserve">Maternal medical conditions such as diabetes, Phenylketonuria, or Rubella (National Heart, lung, and Blood Institute; 2022) </w:t>
      </w:r>
    </w:p>
    <w:p w14:paraId="3F78CBED">
      <w:pPr>
        <w:shd w:val="clear" w:color="auto" w:fill="FFFFFF" w:themeFill="background1"/>
        <w:spacing w:after="0" w:line="360" w:lineRule="auto"/>
        <w:ind w:left="360"/>
        <w:jc w:val="center"/>
        <w:rPr>
          <w:rFonts w:hint="default" w:ascii="Arial" w:hAnsi="Arial" w:eastAsia="Arial" w:cs="Arial"/>
          <w:color w:val="2E2E2E"/>
          <w:sz w:val="24"/>
          <w:szCs w:val="24"/>
        </w:rPr>
      </w:pPr>
      <w:r>
        <w:rPr>
          <w:rFonts w:hint="default" w:ascii="Arial" w:hAnsi="Arial" w:cs="Arial"/>
          <w:sz w:val="24"/>
          <w:szCs w:val="24"/>
        </w:rPr>
        <w:drawing>
          <wp:inline distT="0" distB="0" distL="0" distR="0">
            <wp:extent cx="4096385" cy="3469640"/>
            <wp:effectExtent l="0" t="0" r="0" b="0"/>
            <wp:docPr id="290505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05361" name="Picture 1"/>
                    <pic:cNvPicPr>
                      <a:picLocks noChangeAspect="1"/>
                    </pic:cNvPicPr>
                  </pic:nvPicPr>
                  <pic:blipFill>
                    <a:blip r:embed="rId18"/>
                    <a:stretch>
                      <a:fillRect/>
                    </a:stretch>
                  </pic:blipFill>
                  <pic:spPr>
                    <a:xfrm>
                      <a:off x="0" y="0"/>
                      <a:ext cx="4096467" cy="3469690"/>
                    </a:xfrm>
                    <a:prstGeom prst="rect">
                      <a:avLst/>
                    </a:prstGeom>
                  </pic:spPr>
                </pic:pic>
              </a:graphicData>
            </a:graphic>
          </wp:inline>
        </w:drawing>
      </w:r>
    </w:p>
    <w:p w14:paraId="4EF98380">
      <w:pPr>
        <w:shd w:val="clear" w:color="auto" w:fill="FFFFFF" w:themeFill="background1"/>
        <w:spacing w:after="0" w:line="360" w:lineRule="auto"/>
        <w:ind w:left="360"/>
        <w:jc w:val="center"/>
        <w:rPr>
          <w:rFonts w:hint="default" w:ascii="Arial" w:hAnsi="Arial" w:eastAsia="Arial" w:cs="Arial"/>
          <w:color w:val="2E2E2E"/>
          <w:sz w:val="24"/>
          <w:szCs w:val="24"/>
        </w:rPr>
      </w:pPr>
      <w:r>
        <w:rPr>
          <w:rFonts w:hint="default" w:ascii="Arial" w:hAnsi="Arial" w:eastAsia="Arial" w:cs="Arial"/>
          <w:color w:val="808080" w:themeColor="text1" w:themeTint="80"/>
          <w:sz w:val="24"/>
          <w:szCs w:val="24"/>
          <w14:textFill>
            <w14:solidFill>
              <w14:schemeClr w14:val="tx1">
                <w14:lumMod w14:val="50000"/>
                <w14:lumOff w14:val="50000"/>
              </w14:schemeClr>
            </w14:solidFill>
          </w14:textFill>
        </w:rPr>
        <w:t>Cardiac differentiation using iPSCs (Mullen et al., 2021)</w:t>
      </w:r>
    </w:p>
    <w:p w14:paraId="38F0526D">
      <w:pPr>
        <w:pStyle w:val="2"/>
        <w:bidi w:val="0"/>
        <w:rPr>
          <w:rFonts w:hint="default" w:ascii="Arial" w:hAnsi="Arial" w:cs="Arial"/>
          <w:sz w:val="32"/>
          <w:szCs w:val="32"/>
        </w:rPr>
      </w:pPr>
      <w:bookmarkStart w:id="6" w:name="_Toc14187"/>
      <w:bookmarkStart w:id="7" w:name="_Toc30156"/>
      <w:r>
        <w:rPr>
          <w:rFonts w:hint="default" w:ascii="Arial" w:hAnsi="Arial" w:cs="Arial"/>
          <w:sz w:val="32"/>
          <w:szCs w:val="32"/>
        </w:rPr>
        <w:t>2. Causes of Congenital Heart Defects</w:t>
      </w:r>
      <w:bookmarkEnd w:id="6"/>
      <w:bookmarkEnd w:id="7"/>
    </w:p>
    <w:p w14:paraId="502734D1">
      <w:pPr>
        <w:shd w:val="clear" w:color="auto" w:fill="FFFFFF" w:themeFill="background1"/>
        <w:spacing w:after="0" w:line="360" w:lineRule="auto"/>
        <w:jc w:val="both"/>
        <w:rPr>
          <w:rFonts w:hint="default" w:ascii="Arial" w:hAnsi="Arial" w:eastAsia="Arial" w:cs="Arial"/>
          <w:color w:val="2E2E2E"/>
          <w:sz w:val="24"/>
          <w:szCs w:val="24"/>
        </w:rPr>
      </w:pPr>
      <w:r>
        <w:rPr>
          <w:rFonts w:hint="default" w:ascii="Arial" w:hAnsi="Arial" w:eastAsia="Arial" w:cs="Arial"/>
          <w:color w:val="2E2E2E"/>
          <w:sz w:val="24"/>
          <w:szCs w:val="24"/>
        </w:rPr>
        <w:t xml:space="preserve">Congenital heart defects occur when the heart does not develop normally during fetal growth. In many cases, the exact cause is unknown. However, genetic factors play an important role (National Heart, lung, and Blood Institute; 2022).                                       </w:t>
      </w:r>
    </w:p>
    <w:p w14:paraId="1F4AEE40">
      <w:pPr>
        <w:shd w:val="clear" w:color="auto" w:fill="FFFFFF" w:themeFill="background1"/>
        <w:spacing w:after="0" w:line="360" w:lineRule="auto"/>
        <w:jc w:val="center"/>
        <w:rPr>
          <w:rFonts w:hint="default" w:ascii="Arial" w:hAnsi="Arial" w:eastAsia="Times New Roman" w:cs="Arial"/>
          <w:color w:val="808080" w:themeColor="text1" w:themeTint="80"/>
          <w:sz w:val="24"/>
          <w:szCs w:val="24"/>
          <w14:textFill>
            <w14:solidFill>
              <w14:schemeClr w14:val="tx1">
                <w14:lumMod w14:val="50000"/>
                <w14:lumOff w14:val="50000"/>
              </w14:schemeClr>
            </w14:solidFill>
          </w14:textFill>
        </w:rPr>
      </w:pPr>
      <w:r>
        <w:rPr>
          <w:rFonts w:hint="default" w:ascii="Arial" w:hAnsi="Arial" w:cs="Arial"/>
          <w:sz w:val="24"/>
          <w:szCs w:val="24"/>
        </w:rPr>
        <w:drawing>
          <wp:inline distT="0" distB="0" distL="0" distR="0">
            <wp:extent cx="4119880" cy="6140450"/>
            <wp:effectExtent l="0" t="0" r="0" b="0"/>
            <wp:docPr id="1101982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982736" name="Picture 1"/>
                    <pic:cNvPicPr>
                      <a:picLocks noChangeAspect="1"/>
                    </pic:cNvPicPr>
                  </pic:nvPicPr>
                  <pic:blipFill>
                    <a:blip r:embed="rId19" cstate="print"/>
                    <a:stretch>
                      <a:fillRect/>
                    </a:stretch>
                  </pic:blipFill>
                  <pic:spPr>
                    <a:xfrm>
                      <a:off x="0" y="0"/>
                      <a:ext cx="4120199" cy="6140631"/>
                    </a:xfrm>
                    <a:prstGeom prst="rect">
                      <a:avLst/>
                    </a:prstGeom>
                  </pic:spPr>
                </pic:pic>
              </a:graphicData>
            </a:graphic>
          </wp:inline>
        </w:drawing>
      </w:r>
    </w:p>
    <w:p w14:paraId="18CD3B4D">
      <w:pPr>
        <w:shd w:val="clear" w:color="auto" w:fill="FFFFFF" w:themeFill="background1"/>
        <w:spacing w:after="0" w:line="360" w:lineRule="auto"/>
        <w:jc w:val="center"/>
        <w:rPr>
          <w:rFonts w:hint="default" w:ascii="Arial" w:hAnsi="Arial" w:eastAsia="Times New Roman" w:cs="Arial"/>
          <w:color w:val="808080" w:themeColor="text1" w:themeTint="80"/>
          <w:sz w:val="24"/>
          <w:szCs w:val="24"/>
          <w14:textFill>
            <w14:solidFill>
              <w14:schemeClr w14:val="tx1">
                <w14:lumMod w14:val="50000"/>
                <w14:lumOff w14:val="50000"/>
              </w14:schemeClr>
            </w14:solidFill>
          </w14:textFill>
        </w:rPr>
      </w:pPr>
      <w:r>
        <w:rPr>
          <w:rFonts w:hint="default" w:ascii="Arial" w:hAnsi="Arial" w:eastAsia="Times New Roman" w:cs="Arial"/>
          <w:color w:val="808080" w:themeColor="text1" w:themeTint="80"/>
          <w:sz w:val="24"/>
          <w:szCs w:val="24"/>
          <w14:textFill>
            <w14:solidFill>
              <w14:schemeClr w14:val="tx1">
                <w14:lumMod w14:val="50000"/>
                <w14:lumOff w14:val="50000"/>
              </w14:schemeClr>
            </w14:solidFill>
          </w14:textFill>
        </w:rPr>
        <w:t>(Cambridge University; 2020)</w:t>
      </w:r>
    </w:p>
    <w:p w14:paraId="178A7F45">
      <w:pPr>
        <w:pStyle w:val="35"/>
        <w:numPr>
          <w:ilvl w:val="0"/>
          <w:numId w:val="6"/>
        </w:numPr>
        <w:shd w:val="clear" w:color="auto" w:fill="FFFFFF" w:themeFill="background1"/>
        <w:spacing w:after="0" w:line="360" w:lineRule="auto"/>
        <w:jc w:val="both"/>
        <w:rPr>
          <w:rFonts w:hint="default" w:ascii="Arial" w:hAnsi="Arial" w:eastAsia="Arial" w:cs="Arial"/>
          <w:color w:val="2E2E2E"/>
          <w:sz w:val="24"/>
          <w:szCs w:val="24"/>
        </w:rPr>
      </w:pPr>
      <w:r>
        <w:rPr>
          <w:rFonts w:hint="default" w:ascii="Arial" w:hAnsi="Arial" w:eastAsia="Arial" w:cs="Arial"/>
          <w:color w:val="2E2E2E"/>
          <w:sz w:val="24"/>
          <w:szCs w:val="24"/>
        </w:rPr>
        <w:t>DNA mutations can disrupt normal cardiac development (National Heart, lung, and Blood Institute; 2022).</w:t>
      </w:r>
    </w:p>
    <w:p w14:paraId="37413556">
      <w:pPr>
        <w:pStyle w:val="35"/>
        <w:numPr>
          <w:ilvl w:val="0"/>
          <w:numId w:val="6"/>
        </w:numPr>
        <w:shd w:val="clear" w:color="auto" w:fill="FFFFFF" w:themeFill="background1"/>
        <w:spacing w:after="0" w:line="360" w:lineRule="auto"/>
        <w:jc w:val="both"/>
        <w:rPr>
          <w:rFonts w:hint="default" w:ascii="Arial" w:hAnsi="Arial" w:eastAsia="Arial" w:cs="Arial"/>
          <w:color w:val="2E2E2E"/>
          <w:sz w:val="24"/>
          <w:szCs w:val="24"/>
        </w:rPr>
      </w:pPr>
      <w:r>
        <w:rPr>
          <w:rFonts w:hint="default" w:ascii="Arial" w:hAnsi="Arial" w:eastAsia="Arial" w:cs="Arial"/>
          <w:color w:val="2E2E2E"/>
          <w:sz w:val="24"/>
          <w:szCs w:val="24"/>
        </w:rPr>
        <w:t>These mutations may be spontaneous or inherited from one or both parents (National Heart, lung, and Blood Institute; 2022).</w:t>
      </w:r>
    </w:p>
    <w:p w14:paraId="25698F3D">
      <w:pPr>
        <w:pStyle w:val="35"/>
        <w:numPr>
          <w:ilvl w:val="0"/>
          <w:numId w:val="6"/>
        </w:numPr>
        <w:shd w:val="clear" w:color="auto" w:fill="FFFFFF" w:themeFill="background1"/>
        <w:spacing w:after="0" w:line="360" w:lineRule="auto"/>
        <w:jc w:val="both"/>
        <w:rPr>
          <w:rFonts w:hint="default" w:ascii="Arial" w:hAnsi="Arial" w:eastAsia="Times New Roman" w:cs="Arial"/>
          <w:color w:val="2E2E2E"/>
          <w:sz w:val="24"/>
          <w:szCs w:val="24"/>
        </w:rPr>
      </w:pPr>
      <w:r>
        <w:rPr>
          <w:rFonts w:hint="default" w:ascii="Arial" w:hAnsi="Arial" w:eastAsia="Arial" w:cs="Arial"/>
          <w:color w:val="2E2E2E"/>
          <w:sz w:val="24"/>
          <w:szCs w:val="24"/>
        </w:rPr>
        <w:t>Rarely, specific inherited gene abnormalities increase the likelihood of congenital heart defects (National Heart, lung, and Blood Institute; 2022).</w:t>
      </w:r>
    </w:p>
    <w:p w14:paraId="0A0754A1">
      <w:pPr>
        <w:pStyle w:val="3"/>
        <w:bidi w:val="0"/>
        <w:rPr>
          <w:rFonts w:hint="default" w:ascii="Arial" w:hAnsi="Arial" w:cs="Arial"/>
          <w:sz w:val="28"/>
          <w:szCs w:val="28"/>
        </w:rPr>
      </w:pPr>
      <w:bookmarkStart w:id="8" w:name="_Toc6886"/>
      <w:r>
        <w:rPr>
          <w:rFonts w:hint="default" w:ascii="Arial" w:hAnsi="Arial" w:cs="Arial"/>
          <w:sz w:val="28"/>
          <w:szCs w:val="28"/>
        </w:rPr>
        <w:t>2.2 Aetiology of Congenital Heart Disease:</w:t>
      </w:r>
      <w:bookmarkEnd w:id="8"/>
    </w:p>
    <w:p w14:paraId="14C1F9BF">
      <w:pPr>
        <w:pStyle w:val="35"/>
        <w:numPr>
          <w:ilvl w:val="0"/>
          <w:numId w:val="6"/>
        </w:numPr>
        <w:shd w:val="clear" w:color="auto" w:fill="FFFFFF" w:themeFill="background1"/>
        <w:spacing w:after="0" w:line="360" w:lineRule="auto"/>
        <w:jc w:val="both"/>
        <w:rPr>
          <w:rFonts w:hint="default" w:ascii="Arial" w:hAnsi="Arial" w:eastAsia="Times New Roman" w:cs="Arial"/>
          <w:color w:val="2E2E2E"/>
          <w:sz w:val="24"/>
          <w:szCs w:val="24"/>
        </w:rPr>
      </w:pPr>
      <w:r>
        <w:rPr>
          <w:rFonts w:hint="default" w:ascii="Arial" w:hAnsi="Arial" w:eastAsia="Times New Roman" w:cs="Arial"/>
          <w:color w:val="2E2E2E"/>
          <w:sz w:val="24"/>
          <w:szCs w:val="24"/>
        </w:rPr>
        <w:t>Congenital heart disease (CHD) results from abnormal cardiac development during early embryogenesis (first 8 weeks of pregnancy). The aetiology is multifactorial, involving genetic and environmental influences (Meng et al., 2024).</w:t>
      </w:r>
    </w:p>
    <w:p w14:paraId="623400F9">
      <w:pPr>
        <w:pStyle w:val="35"/>
        <w:shd w:val="clear" w:color="auto" w:fill="FFFFFF" w:themeFill="background1"/>
        <w:spacing w:after="0" w:line="360" w:lineRule="auto"/>
        <w:jc w:val="both"/>
        <w:rPr>
          <w:rFonts w:hint="default" w:ascii="Arial" w:hAnsi="Arial" w:eastAsia="Times New Roman" w:cs="Arial"/>
          <w:color w:val="2E2E2E"/>
          <w:sz w:val="24"/>
          <w:szCs w:val="24"/>
        </w:rPr>
      </w:pPr>
    </w:p>
    <w:tbl>
      <w:tblPr>
        <w:tblStyle w:val="20"/>
        <w:tblW w:w="0" w:type="auto"/>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20"/>
        <w:gridCol w:w="4320"/>
      </w:tblGrid>
      <w:tr w14:paraId="43B61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320" w:type="dxa"/>
          </w:tcPr>
          <w:p w14:paraId="243B7D81">
            <w:pPr>
              <w:widowControl w:val="0"/>
              <w:jc w:val="both"/>
              <w:rPr>
                <w:rFonts w:hint="default" w:ascii="Arial" w:hAnsi="Arial" w:eastAsia="Times New Roman" w:cs="Arial"/>
                <w:color w:val="2E2E2E"/>
                <w:sz w:val="24"/>
                <w:szCs w:val="24"/>
              </w:rPr>
            </w:pPr>
            <w:r>
              <w:rPr>
                <w:rFonts w:hint="default" w:ascii="Arial" w:hAnsi="Arial" w:eastAsia="Times New Roman" w:cs="Arial"/>
                <w:b/>
                <w:bCs/>
                <w:color w:val="2E2E2E"/>
                <w:sz w:val="24"/>
                <w:szCs w:val="24"/>
              </w:rPr>
              <w:t>Genetic Factors</w:t>
            </w:r>
            <w:r>
              <w:rPr>
                <w:rFonts w:hint="default" w:ascii="Arial" w:hAnsi="Arial" w:eastAsia="Times New Roman" w:cs="Arial"/>
                <w:color w:val="2E2E2E"/>
                <w:sz w:val="24"/>
                <w:szCs w:val="24"/>
              </w:rPr>
              <w:t>(Fung et al., 2015)</w:t>
            </w:r>
          </w:p>
        </w:tc>
        <w:tc>
          <w:tcPr>
            <w:tcW w:w="4320" w:type="dxa"/>
          </w:tcPr>
          <w:p w14:paraId="2F88C246">
            <w:pPr>
              <w:widowControl w:val="0"/>
              <w:shd w:val="clear" w:color="auto" w:fill="FFFFFF" w:themeFill="background1"/>
              <w:spacing w:after="0" w:line="360" w:lineRule="auto"/>
              <w:jc w:val="both"/>
              <w:rPr>
                <w:rFonts w:hint="default" w:ascii="Arial" w:hAnsi="Arial" w:eastAsia="Times New Roman" w:cs="Arial"/>
                <w:color w:val="2E2E2E"/>
                <w:sz w:val="24"/>
                <w:szCs w:val="24"/>
              </w:rPr>
            </w:pPr>
            <w:r>
              <w:rPr>
                <w:rFonts w:hint="default" w:ascii="Arial" w:hAnsi="Arial" w:eastAsia="Times New Roman" w:cs="Arial"/>
                <w:b/>
                <w:bCs/>
                <w:color w:val="2E2E2E"/>
                <w:sz w:val="24"/>
                <w:szCs w:val="24"/>
              </w:rPr>
              <w:t>Environmental &amp; Maternal Factors (</w:t>
            </w:r>
            <w:r>
              <w:rPr>
                <w:rFonts w:hint="default" w:ascii="Arial" w:hAnsi="Arial" w:eastAsia="Times New Roman" w:cs="Arial"/>
                <w:color w:val="2E2E2E"/>
                <w:sz w:val="24"/>
                <w:szCs w:val="24"/>
              </w:rPr>
              <w:t>Fung et al., 2015)</w:t>
            </w:r>
          </w:p>
        </w:tc>
      </w:tr>
      <w:tr w14:paraId="44299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320" w:type="dxa"/>
          </w:tcPr>
          <w:p w14:paraId="35E09C92">
            <w:pPr>
              <w:pStyle w:val="35"/>
              <w:widowControl w:val="0"/>
              <w:numPr>
                <w:ilvl w:val="0"/>
                <w:numId w:val="7"/>
              </w:numPr>
              <w:jc w:val="both"/>
              <w:rPr>
                <w:rFonts w:hint="default" w:ascii="Arial" w:hAnsi="Arial" w:eastAsia="Times New Roman" w:cs="Arial"/>
                <w:color w:val="2E2E2E"/>
                <w:sz w:val="24"/>
                <w:szCs w:val="24"/>
              </w:rPr>
            </w:pPr>
            <w:r>
              <w:rPr>
                <w:rFonts w:hint="default" w:ascii="Arial" w:hAnsi="Arial" w:eastAsia="Times New Roman" w:cs="Arial"/>
                <w:color w:val="2E2E2E"/>
                <w:sz w:val="24"/>
                <w:szCs w:val="24"/>
              </w:rPr>
              <w:t>Chromosomal abnormalities</w:t>
            </w:r>
          </w:p>
        </w:tc>
        <w:tc>
          <w:tcPr>
            <w:tcW w:w="4320" w:type="dxa"/>
          </w:tcPr>
          <w:p w14:paraId="573FA48E">
            <w:pPr>
              <w:pStyle w:val="35"/>
              <w:widowControl w:val="0"/>
              <w:numPr>
                <w:ilvl w:val="0"/>
                <w:numId w:val="7"/>
              </w:numPr>
              <w:jc w:val="both"/>
              <w:rPr>
                <w:rFonts w:hint="default" w:ascii="Arial" w:hAnsi="Arial" w:eastAsia="Times New Roman" w:cs="Arial"/>
                <w:color w:val="2E2E2E"/>
                <w:sz w:val="24"/>
                <w:szCs w:val="24"/>
              </w:rPr>
            </w:pPr>
            <w:r>
              <w:rPr>
                <w:rFonts w:hint="default" w:ascii="Arial" w:hAnsi="Arial" w:eastAsia="Times New Roman" w:cs="Arial"/>
                <w:color w:val="2E2E2E"/>
                <w:sz w:val="24"/>
                <w:szCs w:val="24"/>
              </w:rPr>
              <w:t>Maternal diabetes</w:t>
            </w:r>
          </w:p>
        </w:tc>
      </w:tr>
      <w:tr w14:paraId="70EB8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320" w:type="dxa"/>
          </w:tcPr>
          <w:p w14:paraId="31A11423">
            <w:pPr>
              <w:pStyle w:val="35"/>
              <w:widowControl w:val="0"/>
              <w:numPr>
                <w:ilvl w:val="0"/>
                <w:numId w:val="8"/>
              </w:numPr>
              <w:jc w:val="both"/>
              <w:rPr>
                <w:rFonts w:hint="default" w:ascii="Arial" w:hAnsi="Arial" w:eastAsia="Times New Roman" w:cs="Arial"/>
                <w:color w:val="2E2E2E"/>
                <w:sz w:val="24"/>
                <w:szCs w:val="24"/>
              </w:rPr>
            </w:pPr>
            <w:r>
              <w:rPr>
                <w:rFonts w:hint="default" w:ascii="Arial" w:hAnsi="Arial" w:eastAsia="Times New Roman" w:cs="Arial"/>
                <w:color w:val="2E2E2E"/>
                <w:sz w:val="24"/>
                <w:szCs w:val="24"/>
              </w:rPr>
              <w:t>Single-gene mutations</w:t>
            </w:r>
          </w:p>
        </w:tc>
        <w:tc>
          <w:tcPr>
            <w:tcW w:w="4320" w:type="dxa"/>
          </w:tcPr>
          <w:p w14:paraId="619282F9">
            <w:pPr>
              <w:pStyle w:val="35"/>
              <w:widowControl w:val="0"/>
              <w:numPr>
                <w:ilvl w:val="0"/>
                <w:numId w:val="8"/>
              </w:numPr>
              <w:jc w:val="both"/>
              <w:rPr>
                <w:rFonts w:hint="default" w:ascii="Arial" w:hAnsi="Arial" w:eastAsia="Times New Roman" w:cs="Arial"/>
                <w:color w:val="2E2E2E"/>
                <w:sz w:val="24"/>
                <w:szCs w:val="24"/>
              </w:rPr>
            </w:pPr>
            <w:r>
              <w:rPr>
                <w:rFonts w:hint="default" w:ascii="Arial" w:hAnsi="Arial" w:eastAsia="Times New Roman" w:cs="Arial"/>
                <w:color w:val="2E2E2E"/>
                <w:sz w:val="24"/>
                <w:szCs w:val="24"/>
              </w:rPr>
              <w:t>Rubella infection</w:t>
            </w:r>
          </w:p>
        </w:tc>
      </w:tr>
      <w:tr w14:paraId="5580F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320" w:type="dxa"/>
          </w:tcPr>
          <w:p w14:paraId="6AAE2590">
            <w:pPr>
              <w:pStyle w:val="35"/>
              <w:widowControl w:val="0"/>
              <w:numPr>
                <w:ilvl w:val="0"/>
                <w:numId w:val="9"/>
              </w:numPr>
              <w:jc w:val="both"/>
              <w:rPr>
                <w:rFonts w:hint="default" w:ascii="Arial" w:hAnsi="Arial" w:eastAsia="Times New Roman" w:cs="Arial"/>
                <w:color w:val="2E2E2E"/>
                <w:sz w:val="24"/>
                <w:szCs w:val="24"/>
              </w:rPr>
            </w:pPr>
            <w:r>
              <w:rPr>
                <w:rFonts w:hint="default" w:ascii="Arial" w:hAnsi="Arial" w:eastAsia="Times New Roman" w:cs="Arial"/>
                <w:color w:val="2E2E2E"/>
                <w:sz w:val="24"/>
                <w:szCs w:val="24"/>
              </w:rPr>
              <w:t>Copy number variations</w:t>
            </w:r>
          </w:p>
        </w:tc>
        <w:tc>
          <w:tcPr>
            <w:tcW w:w="4320" w:type="dxa"/>
          </w:tcPr>
          <w:p w14:paraId="1D9EBE39">
            <w:pPr>
              <w:pStyle w:val="35"/>
              <w:widowControl w:val="0"/>
              <w:numPr>
                <w:ilvl w:val="0"/>
                <w:numId w:val="9"/>
              </w:numPr>
              <w:jc w:val="both"/>
              <w:rPr>
                <w:rFonts w:hint="default" w:ascii="Arial" w:hAnsi="Arial" w:eastAsia="Times New Roman" w:cs="Arial"/>
                <w:color w:val="2E2E2E"/>
                <w:sz w:val="24"/>
                <w:szCs w:val="24"/>
              </w:rPr>
            </w:pPr>
            <w:r>
              <w:rPr>
                <w:rFonts w:hint="default" w:ascii="Arial" w:hAnsi="Arial" w:eastAsia="Times New Roman" w:cs="Arial"/>
                <w:color w:val="2E2E2E"/>
                <w:sz w:val="24"/>
                <w:szCs w:val="24"/>
              </w:rPr>
              <w:t>Alcohol or teratogenic drug exposure</w:t>
            </w:r>
          </w:p>
        </w:tc>
      </w:tr>
      <w:tr w14:paraId="7863F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320" w:type="dxa"/>
          </w:tcPr>
          <w:p w14:paraId="67520BBD">
            <w:pPr>
              <w:pStyle w:val="35"/>
              <w:widowControl w:val="0"/>
              <w:numPr>
                <w:ilvl w:val="0"/>
                <w:numId w:val="10"/>
              </w:numPr>
              <w:jc w:val="both"/>
              <w:rPr>
                <w:rFonts w:hint="default" w:ascii="Arial" w:hAnsi="Arial" w:eastAsia="Times New Roman" w:cs="Arial"/>
                <w:color w:val="2E2E2E"/>
                <w:sz w:val="24"/>
                <w:szCs w:val="24"/>
              </w:rPr>
            </w:pPr>
            <w:r>
              <w:rPr>
                <w:rFonts w:hint="default" w:ascii="Arial" w:hAnsi="Arial" w:eastAsia="Times New Roman" w:cs="Arial"/>
                <w:color w:val="2E2E2E"/>
                <w:sz w:val="24"/>
                <w:szCs w:val="24"/>
              </w:rPr>
              <w:t>Genetic factors account for approximately 20–30% of cases</w:t>
            </w:r>
          </w:p>
        </w:tc>
        <w:tc>
          <w:tcPr>
            <w:tcW w:w="4320" w:type="dxa"/>
          </w:tcPr>
          <w:p w14:paraId="2EEB9689">
            <w:pPr>
              <w:pStyle w:val="35"/>
              <w:widowControl w:val="0"/>
              <w:numPr>
                <w:ilvl w:val="0"/>
                <w:numId w:val="10"/>
              </w:numPr>
              <w:jc w:val="both"/>
              <w:rPr>
                <w:rFonts w:hint="default" w:ascii="Arial" w:hAnsi="Arial" w:eastAsia="Times New Roman" w:cs="Arial"/>
                <w:color w:val="2E2E2E"/>
                <w:sz w:val="24"/>
                <w:szCs w:val="24"/>
              </w:rPr>
            </w:pPr>
            <w:r>
              <w:rPr>
                <w:rFonts w:hint="default" w:ascii="Arial" w:hAnsi="Arial" w:eastAsia="Times New Roman" w:cs="Arial"/>
                <w:color w:val="2E2E2E"/>
                <w:sz w:val="24"/>
                <w:szCs w:val="24"/>
              </w:rPr>
              <w:t>Maternal obesity</w:t>
            </w:r>
          </w:p>
        </w:tc>
      </w:tr>
    </w:tbl>
    <w:p w14:paraId="6BD22A60">
      <w:pPr>
        <w:pStyle w:val="35"/>
        <w:shd w:val="clear" w:color="auto" w:fill="FFFFFF" w:themeFill="background1"/>
        <w:spacing w:after="0" w:line="360" w:lineRule="auto"/>
        <w:ind w:left="0" w:leftChars="0" w:firstLine="0" w:firstLineChars="0"/>
        <w:jc w:val="both"/>
        <w:rPr>
          <w:rFonts w:hint="default" w:ascii="Arial" w:hAnsi="Arial" w:eastAsia="Times New Roman" w:cs="Arial"/>
          <w:color w:val="2E2E2E"/>
          <w:sz w:val="24"/>
          <w:szCs w:val="24"/>
        </w:rPr>
      </w:pPr>
    </w:p>
    <w:p w14:paraId="0F102FEB">
      <w:pPr>
        <w:pStyle w:val="35"/>
        <w:shd w:val="clear" w:color="auto" w:fill="FFFFFF" w:themeFill="background1"/>
        <w:spacing w:after="0" w:line="360" w:lineRule="auto"/>
        <w:jc w:val="center"/>
        <w:rPr>
          <w:rFonts w:hint="default" w:ascii="Arial" w:hAnsi="Arial" w:cs="Arial"/>
          <w:sz w:val="24"/>
          <w:szCs w:val="24"/>
        </w:rPr>
      </w:pPr>
      <w:r>
        <w:rPr>
          <w:rFonts w:hint="default" w:ascii="Arial" w:hAnsi="Arial" w:cs="Arial"/>
          <w:sz w:val="24"/>
          <w:szCs w:val="24"/>
        </w:rPr>
        <w:drawing>
          <wp:inline distT="0" distB="0" distL="0" distR="0">
            <wp:extent cx="5141595" cy="3525520"/>
            <wp:effectExtent l="0" t="0" r="1905" b="5080"/>
            <wp:docPr id="279002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002924" name="Picture 1"/>
                    <pic:cNvPicPr>
                      <a:picLocks noChangeAspect="1"/>
                    </pic:cNvPicPr>
                  </pic:nvPicPr>
                  <pic:blipFill>
                    <a:blip r:embed="rId20"/>
                    <a:stretch>
                      <a:fillRect/>
                    </a:stretch>
                  </pic:blipFill>
                  <pic:spPr>
                    <a:xfrm>
                      <a:off x="0" y="0"/>
                      <a:ext cx="5141595" cy="3525520"/>
                    </a:xfrm>
                    <a:prstGeom prst="rect">
                      <a:avLst/>
                    </a:prstGeom>
                  </pic:spPr>
                </pic:pic>
              </a:graphicData>
            </a:graphic>
          </wp:inline>
        </w:drawing>
      </w:r>
    </w:p>
    <w:p w14:paraId="708DDE75">
      <w:pPr>
        <w:pStyle w:val="35"/>
        <w:shd w:val="clear" w:color="auto" w:fill="FFFFFF" w:themeFill="background1"/>
        <w:spacing w:after="0" w:line="360" w:lineRule="auto"/>
        <w:jc w:val="center"/>
        <w:rPr>
          <w:rFonts w:hint="default" w:ascii="Arial" w:hAnsi="Arial" w:eastAsia="Times New Roman" w:cs="Arial"/>
          <w:b/>
          <w:bCs/>
          <w:color w:val="2E2E2E"/>
          <w:sz w:val="24"/>
          <w:szCs w:val="24"/>
        </w:rPr>
      </w:pPr>
      <w:r>
        <w:rPr>
          <w:rFonts w:hint="default" w:ascii="Arial" w:hAnsi="Arial" w:eastAsia="Arial" w:cs="Arial"/>
          <w:color w:val="2E2E2E"/>
          <w:sz w:val="24"/>
          <w:szCs w:val="24"/>
        </w:rPr>
        <w:t>(Jinga, 2018)</w:t>
      </w:r>
      <w:r>
        <w:rPr>
          <w:rFonts w:hint="default" w:ascii="Arial" w:hAnsi="Arial" w:eastAsia="Times New Roman" w:cs="Arial"/>
          <w:color w:val="2E2E2E"/>
          <w:sz w:val="24"/>
          <w:szCs w:val="24"/>
        </w:rPr>
        <w:t xml:space="preserve"> </w:t>
      </w:r>
    </w:p>
    <w:p w14:paraId="4713CCCF">
      <w:pPr>
        <w:pStyle w:val="2"/>
        <w:bidi w:val="0"/>
        <w:rPr>
          <w:rFonts w:hint="default" w:ascii="Arial" w:hAnsi="Arial" w:cs="Arial"/>
          <w:sz w:val="32"/>
          <w:szCs w:val="32"/>
        </w:rPr>
      </w:pPr>
      <w:bookmarkStart w:id="9" w:name="_Toc8468"/>
      <w:bookmarkStart w:id="10" w:name="_Toc8836"/>
      <w:r>
        <w:rPr>
          <w:rFonts w:hint="default" w:ascii="Arial" w:hAnsi="Arial" w:cs="Arial"/>
          <w:sz w:val="32"/>
          <w:szCs w:val="32"/>
        </w:rPr>
        <w:t>3. Theoretical Perspective and Models for Improved Outcome:</w:t>
      </w:r>
      <w:bookmarkEnd w:id="9"/>
      <w:bookmarkEnd w:id="10"/>
    </w:p>
    <w:p w14:paraId="6BE2217D">
      <w:pPr>
        <w:pStyle w:val="3"/>
        <w:bidi w:val="0"/>
        <w:outlineLvl w:val="9"/>
        <w:rPr>
          <w:rFonts w:hint="default" w:ascii="Arial" w:hAnsi="Arial" w:cs="Arial"/>
          <w:sz w:val="28"/>
          <w:szCs w:val="28"/>
        </w:rPr>
      </w:pPr>
    </w:p>
    <w:p w14:paraId="18C65CB3">
      <w:pPr>
        <w:pStyle w:val="3"/>
        <w:bidi w:val="0"/>
        <w:rPr>
          <w:rFonts w:hint="default" w:ascii="Arial" w:hAnsi="Arial" w:eastAsia="Arial" w:cs="Arial"/>
          <w:b/>
          <w:bCs/>
          <w:color w:val="156082" w:themeColor="accent1"/>
          <w:sz w:val="28"/>
          <w:szCs w:val="28"/>
          <w14:textFill>
            <w14:solidFill>
              <w14:schemeClr w14:val="accent1"/>
            </w14:solidFill>
          </w14:textFill>
        </w:rPr>
      </w:pPr>
      <w:bookmarkStart w:id="11" w:name="_Toc300"/>
      <w:r>
        <w:rPr>
          <w:rFonts w:hint="default" w:ascii="Arial" w:hAnsi="Arial" w:cs="Arial"/>
          <w:sz w:val="28"/>
          <w:szCs w:val="28"/>
        </w:rPr>
        <w:t>3.1. The Chronic Care Model (CCM) Applied to Congenital Heart Disease (CHD):</w:t>
      </w:r>
      <w:bookmarkEnd w:id="11"/>
    </w:p>
    <w:p w14:paraId="340EE1ED">
      <w:pPr>
        <w:pStyle w:val="17"/>
        <w:numPr>
          <w:ilvl w:val="0"/>
          <w:numId w:val="11"/>
        </w:numPr>
        <w:shd w:val="clear" w:color="auto" w:fill="FFFFFF" w:themeFill="background1"/>
        <w:spacing w:after="300" w:line="360" w:lineRule="auto"/>
        <w:jc w:val="both"/>
        <w:rPr>
          <w:rFonts w:hint="default" w:ascii="Arial" w:hAnsi="Arial" w:eastAsia="Arial" w:cs="Arial"/>
          <w:sz w:val="24"/>
          <w:szCs w:val="24"/>
        </w:rPr>
      </w:pPr>
      <w:r>
        <w:rPr>
          <w:rFonts w:hint="default" w:ascii="Arial" w:hAnsi="Arial" w:eastAsia="Arial" w:cs="Arial"/>
          <w:sz w:val="24"/>
          <w:szCs w:val="24"/>
        </w:rPr>
        <w:t>The Chronic Care Model (CCM) was developed by Edward H. Wagner to improve long-term condition management (Coleman et al., 2009)</w:t>
      </w:r>
    </w:p>
    <w:p w14:paraId="249466BC">
      <w:pPr>
        <w:pStyle w:val="17"/>
        <w:numPr>
          <w:ilvl w:val="0"/>
          <w:numId w:val="11"/>
        </w:numPr>
        <w:shd w:val="clear" w:color="auto" w:fill="FFFFFF" w:themeFill="background1"/>
        <w:spacing w:after="300" w:line="360" w:lineRule="auto"/>
        <w:jc w:val="both"/>
        <w:rPr>
          <w:rFonts w:hint="default" w:ascii="Arial" w:hAnsi="Arial" w:eastAsia="Arial" w:cs="Arial"/>
          <w:sz w:val="24"/>
          <w:szCs w:val="24"/>
        </w:rPr>
      </w:pPr>
      <w:r>
        <w:rPr>
          <w:rFonts w:hint="default" w:ascii="Arial" w:hAnsi="Arial" w:eastAsia="Arial" w:cs="Arial"/>
          <w:sz w:val="24"/>
          <w:szCs w:val="24"/>
        </w:rPr>
        <w:t>Shifts care from reactive emergency treatment → proactive, structured management (Coleman et al., 2009)</w:t>
      </w:r>
    </w:p>
    <w:p w14:paraId="20B555C2">
      <w:pPr>
        <w:pStyle w:val="17"/>
        <w:shd w:val="clear" w:color="auto" w:fill="FFFFFF" w:themeFill="background1"/>
        <w:spacing w:after="0" w:afterAutospacing="0" w:line="360" w:lineRule="auto"/>
        <w:jc w:val="both"/>
        <w:rPr>
          <w:rFonts w:hint="default" w:ascii="Arial" w:hAnsi="Arial" w:eastAsia="Arial" w:cs="Arial"/>
          <w:sz w:val="24"/>
          <w:szCs w:val="24"/>
        </w:rPr>
      </w:pPr>
      <w:r>
        <w:rPr>
          <w:rFonts w:hint="default" w:ascii="Arial" w:hAnsi="Arial" w:eastAsia="Arial" w:cs="Arial"/>
          <w:b/>
          <w:bCs/>
          <w:sz w:val="24"/>
          <w:szCs w:val="24"/>
        </w:rPr>
        <w:t>Highly relevant to CHD because:</w:t>
      </w:r>
      <w:r>
        <w:rPr>
          <w:rFonts w:hint="default" w:ascii="Arial" w:hAnsi="Arial" w:eastAsia="Arial" w:cs="Arial"/>
          <w:sz w:val="24"/>
          <w:szCs w:val="24"/>
        </w:rPr>
        <w:t xml:space="preserve"> 90% of children with CHD now survive into adulthood in high-income countries (BHF;2023)</w:t>
      </w:r>
    </w:p>
    <w:p w14:paraId="2DE90120">
      <w:pPr>
        <w:pStyle w:val="17"/>
        <w:numPr>
          <w:ilvl w:val="0"/>
          <w:numId w:val="11"/>
        </w:numPr>
        <w:shd w:val="clear" w:color="auto" w:fill="FFFFFF" w:themeFill="background1"/>
        <w:spacing w:after="0" w:afterAutospacing="0" w:line="360" w:lineRule="auto"/>
        <w:jc w:val="both"/>
        <w:rPr>
          <w:rFonts w:hint="default" w:ascii="Arial" w:hAnsi="Arial" w:eastAsia="Arial" w:cs="Arial"/>
          <w:sz w:val="24"/>
          <w:szCs w:val="24"/>
        </w:rPr>
      </w:pPr>
      <w:r>
        <w:rPr>
          <w:rFonts w:hint="default" w:ascii="Arial" w:hAnsi="Arial" w:eastAsia="Arial" w:cs="Arial"/>
          <w:sz w:val="24"/>
          <w:szCs w:val="24"/>
        </w:rPr>
        <w:t>Most patients are repaired, not cured (BHF;2023)</w:t>
      </w:r>
    </w:p>
    <w:p w14:paraId="162E43B3">
      <w:pPr>
        <w:pStyle w:val="17"/>
        <w:numPr>
          <w:ilvl w:val="0"/>
          <w:numId w:val="11"/>
        </w:numPr>
        <w:shd w:val="clear" w:color="auto" w:fill="FFFFFF" w:themeFill="background1"/>
        <w:spacing w:before="0" w:beforeAutospacing="0" w:after="0" w:afterAutospacing="0" w:line="360" w:lineRule="auto"/>
        <w:jc w:val="both"/>
        <w:rPr>
          <w:rFonts w:hint="default" w:ascii="Arial" w:hAnsi="Arial" w:eastAsia="Arial" w:cs="Arial"/>
          <w:color w:val="2E2E2E"/>
          <w:sz w:val="24"/>
          <w:szCs w:val="24"/>
        </w:rPr>
      </w:pPr>
      <w:r>
        <w:rPr>
          <w:rFonts w:hint="default" w:ascii="Arial" w:hAnsi="Arial" w:eastAsia="Arial" w:cs="Arial"/>
          <w:sz w:val="24"/>
          <w:szCs w:val="24"/>
        </w:rPr>
        <w:t>Lifelong surveillance is required (BHF;2023)</w:t>
      </w:r>
    </w:p>
    <w:p w14:paraId="7FEDB222">
      <w:pPr>
        <w:pStyle w:val="17"/>
        <w:shd w:val="clear" w:color="auto" w:fill="FFFFFF" w:themeFill="background1"/>
        <w:spacing w:before="0" w:beforeAutospacing="0" w:after="0" w:afterAutospacing="0" w:line="360" w:lineRule="auto"/>
        <w:ind w:left="720"/>
        <w:jc w:val="both"/>
        <w:rPr>
          <w:rFonts w:hint="default" w:ascii="Arial" w:hAnsi="Arial" w:cs="Arial"/>
          <w:sz w:val="24"/>
          <w:szCs w:val="24"/>
        </w:rPr>
      </w:pPr>
      <w:r>
        <w:rPr>
          <w:rFonts w:hint="default" w:ascii="Arial" w:hAnsi="Arial" w:cs="Arial"/>
          <w:sz w:val="24"/>
          <w:szCs w:val="24"/>
        </w:rPr>
        <w:drawing>
          <wp:inline distT="0" distB="0" distL="0" distR="0">
            <wp:extent cx="4773295" cy="3720465"/>
            <wp:effectExtent l="0" t="0" r="1905" b="635"/>
            <wp:docPr id="12731499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149942" name="drawing"/>
                    <pic:cNvPicPr>
                      <a:picLocks noChangeAspect="1"/>
                    </pic:cNvPicPr>
                  </pic:nvPicPr>
                  <pic:blipFill>
                    <a:blip r:embed="rId21"/>
                    <a:srcRect l="359" r="1025" b="4466"/>
                    <a:stretch>
                      <a:fillRect/>
                    </a:stretch>
                  </pic:blipFill>
                  <pic:spPr>
                    <a:xfrm>
                      <a:off x="0" y="0"/>
                      <a:ext cx="4773295" cy="3720465"/>
                    </a:xfrm>
                    <a:prstGeom prst="rect">
                      <a:avLst/>
                    </a:prstGeom>
                  </pic:spPr>
                </pic:pic>
              </a:graphicData>
            </a:graphic>
          </wp:inline>
        </w:drawing>
      </w:r>
    </w:p>
    <w:p w14:paraId="1F2A7153">
      <w:pPr>
        <w:pStyle w:val="17"/>
        <w:shd w:val="clear" w:color="auto" w:fill="FFFFFF" w:themeFill="background1"/>
        <w:spacing w:before="0" w:beforeAutospacing="0" w:after="0" w:afterAutospacing="0" w:line="360" w:lineRule="auto"/>
        <w:ind w:left="720"/>
        <w:jc w:val="center"/>
        <w:rPr>
          <w:rFonts w:hint="default" w:ascii="Arial" w:hAnsi="Arial" w:eastAsia="Arial" w:cs="Arial"/>
          <w:color w:val="808080" w:themeColor="text1" w:themeTint="80"/>
          <w:sz w:val="24"/>
          <w:szCs w:val="24"/>
          <w14:textFill>
            <w14:solidFill>
              <w14:schemeClr w14:val="tx1">
                <w14:lumMod w14:val="50000"/>
                <w14:lumOff w14:val="50000"/>
              </w14:schemeClr>
            </w14:solidFill>
          </w14:textFill>
        </w:rPr>
      </w:pPr>
      <w:r>
        <w:rPr>
          <w:rFonts w:hint="default" w:ascii="Arial" w:hAnsi="Arial" w:eastAsia="Arial" w:cs="Arial"/>
          <w:color w:val="808080" w:themeColor="text1" w:themeTint="80"/>
          <w:sz w:val="24"/>
          <w:szCs w:val="24"/>
          <w14:textFill>
            <w14:solidFill>
              <w14:schemeClr w14:val="tx1">
                <w14:lumMod w14:val="50000"/>
                <w14:lumOff w14:val="50000"/>
              </w14:schemeClr>
            </w14:solidFill>
          </w14:textFill>
        </w:rPr>
        <w:t>(Wagner, 1998)</w:t>
      </w:r>
    </w:p>
    <w:p w14:paraId="467FBF35">
      <w:pPr>
        <w:pStyle w:val="17"/>
        <w:shd w:val="clear" w:color="auto" w:fill="FFFFFF" w:themeFill="background1"/>
        <w:spacing w:before="0" w:beforeAutospacing="0" w:after="0" w:afterAutospacing="0" w:line="360" w:lineRule="auto"/>
        <w:jc w:val="both"/>
        <w:rPr>
          <w:rFonts w:hint="default" w:ascii="Arial" w:hAnsi="Arial" w:eastAsia="Arial" w:cs="Arial"/>
          <w:b/>
          <w:bCs/>
          <w:sz w:val="24"/>
          <w:szCs w:val="24"/>
          <w:lang w:val="en-US"/>
        </w:rPr>
      </w:pPr>
      <w:r>
        <w:rPr>
          <w:rFonts w:hint="default" w:ascii="Arial" w:hAnsi="Arial" w:eastAsia="Arial" w:cs="Arial"/>
          <w:b/>
          <w:bCs/>
          <w:sz w:val="24"/>
          <w:szCs w:val="24"/>
        </w:rPr>
        <w:t>Why CCM is Crucial in UK CHD Care</w:t>
      </w:r>
      <w:r>
        <w:rPr>
          <w:rFonts w:hint="default" w:ascii="Arial" w:hAnsi="Arial" w:eastAsia="Arial" w:cs="Arial"/>
          <w:b/>
          <w:bCs/>
          <w:sz w:val="24"/>
          <w:szCs w:val="24"/>
          <w:lang w:val="en-US"/>
        </w:rPr>
        <w:t>:</w:t>
      </w:r>
    </w:p>
    <w:p w14:paraId="7AE885E9">
      <w:pPr>
        <w:pStyle w:val="17"/>
        <w:numPr>
          <w:ilvl w:val="0"/>
          <w:numId w:val="11"/>
        </w:numPr>
        <w:shd w:val="clear" w:color="auto" w:fill="FFFFFF" w:themeFill="background1"/>
        <w:spacing w:before="0" w:beforeAutospacing="0" w:after="0" w:afterAutospacing="0" w:line="360" w:lineRule="auto"/>
        <w:jc w:val="both"/>
        <w:rPr>
          <w:rFonts w:hint="default" w:ascii="Arial" w:hAnsi="Arial" w:eastAsia="Arial" w:cs="Arial"/>
          <w:sz w:val="24"/>
          <w:szCs w:val="24"/>
        </w:rPr>
      </w:pPr>
      <w:r>
        <w:rPr>
          <w:rFonts w:hint="default" w:ascii="Arial" w:hAnsi="Arial" w:eastAsia="Arial" w:cs="Arial"/>
          <w:sz w:val="24"/>
          <w:szCs w:val="24"/>
        </w:rPr>
        <w:t>Rising adult CHD population (</w:t>
      </w:r>
      <w:r>
        <w:rPr>
          <w:rFonts w:hint="default" w:ascii="Arial" w:hAnsi="Arial" w:eastAsia="Arial" w:cs="Arial"/>
          <w:color w:val="2E2E2E"/>
          <w:sz w:val="24"/>
          <w:szCs w:val="24"/>
        </w:rPr>
        <w:t>Chaudhry et al., 2024)</w:t>
      </w:r>
    </w:p>
    <w:p w14:paraId="6F9CC19B">
      <w:pPr>
        <w:pStyle w:val="17"/>
        <w:numPr>
          <w:ilvl w:val="0"/>
          <w:numId w:val="11"/>
        </w:numPr>
        <w:shd w:val="clear" w:color="auto" w:fill="FFFFFF" w:themeFill="background1"/>
        <w:spacing w:before="0" w:beforeAutospacing="0" w:after="0" w:afterAutospacing="0" w:line="360" w:lineRule="auto"/>
        <w:jc w:val="both"/>
        <w:rPr>
          <w:rFonts w:hint="default" w:ascii="Arial" w:hAnsi="Arial" w:eastAsia="Arial" w:cs="Arial"/>
          <w:sz w:val="24"/>
          <w:szCs w:val="24"/>
        </w:rPr>
      </w:pPr>
      <w:r>
        <w:rPr>
          <w:rFonts w:hint="default" w:ascii="Arial" w:hAnsi="Arial" w:eastAsia="Arial" w:cs="Arial"/>
          <w:sz w:val="24"/>
          <w:szCs w:val="24"/>
        </w:rPr>
        <w:t>Loss to follow-up during transition remains common (Chaudhry</w:t>
      </w:r>
      <w:r>
        <w:rPr>
          <w:rFonts w:hint="default" w:ascii="Arial" w:hAnsi="Arial" w:eastAsia="Arial" w:cs="Arial"/>
          <w:color w:val="2E2E2E"/>
          <w:sz w:val="24"/>
          <w:szCs w:val="24"/>
        </w:rPr>
        <w:t xml:space="preserve"> et al., 2024)</w:t>
      </w:r>
      <w:r>
        <w:rPr>
          <w:rFonts w:hint="default" w:ascii="Arial" w:hAnsi="Arial" w:eastAsia="Arial" w:cs="Arial"/>
          <w:sz w:val="24"/>
          <w:szCs w:val="24"/>
        </w:rPr>
        <w:t>.</w:t>
      </w:r>
    </w:p>
    <w:p w14:paraId="72258CD5">
      <w:pPr>
        <w:pStyle w:val="17"/>
        <w:numPr>
          <w:ilvl w:val="0"/>
          <w:numId w:val="11"/>
        </w:numPr>
        <w:shd w:val="clear" w:color="auto" w:fill="FFFFFF" w:themeFill="background1"/>
        <w:spacing w:before="0" w:beforeAutospacing="0" w:after="0" w:afterAutospacing="0" w:line="360" w:lineRule="auto"/>
        <w:jc w:val="both"/>
        <w:rPr>
          <w:rFonts w:hint="default" w:ascii="Arial" w:hAnsi="Arial" w:eastAsia="Arial" w:cs="Arial"/>
          <w:sz w:val="24"/>
          <w:szCs w:val="24"/>
        </w:rPr>
      </w:pPr>
      <w:r>
        <w:rPr>
          <w:rFonts w:hint="default" w:ascii="Arial" w:hAnsi="Arial" w:eastAsia="Arial" w:cs="Arial"/>
          <w:sz w:val="24"/>
          <w:szCs w:val="24"/>
        </w:rPr>
        <w:t>Increasing complexity -arrhythmias, heart failure, pregnancy risk (</w:t>
      </w:r>
      <w:r>
        <w:rPr>
          <w:rFonts w:hint="default" w:ascii="Arial" w:hAnsi="Arial" w:eastAsia="Arial" w:cs="Arial"/>
          <w:color w:val="2E2E2E"/>
          <w:sz w:val="24"/>
          <w:szCs w:val="24"/>
        </w:rPr>
        <w:t>Chaudhry et al., 2024)</w:t>
      </w:r>
      <w:r>
        <w:rPr>
          <w:rFonts w:hint="default" w:ascii="Arial" w:hAnsi="Arial" w:eastAsia="Arial" w:cs="Arial"/>
          <w:sz w:val="24"/>
          <w:szCs w:val="24"/>
        </w:rPr>
        <w:t>.</w:t>
      </w:r>
    </w:p>
    <w:p w14:paraId="31746289">
      <w:pPr>
        <w:pStyle w:val="17"/>
        <w:numPr>
          <w:ilvl w:val="0"/>
          <w:numId w:val="11"/>
        </w:numPr>
        <w:shd w:val="clear" w:color="auto" w:fill="FFFFFF" w:themeFill="background1"/>
        <w:spacing w:before="0" w:beforeAutospacing="0" w:after="0" w:afterAutospacing="0" w:line="360" w:lineRule="auto"/>
        <w:jc w:val="both"/>
        <w:rPr>
          <w:rFonts w:hint="default" w:ascii="Arial" w:hAnsi="Arial" w:eastAsia="Arial" w:cs="Arial"/>
          <w:sz w:val="24"/>
          <w:szCs w:val="24"/>
        </w:rPr>
      </w:pPr>
      <w:r>
        <w:rPr>
          <w:rFonts w:hint="default" w:ascii="Arial" w:hAnsi="Arial" w:eastAsia="Arial" w:cs="Arial"/>
          <w:sz w:val="24"/>
          <w:szCs w:val="24"/>
        </w:rPr>
        <w:t>High economic burden on NHS if complications present late (</w:t>
      </w:r>
      <w:r>
        <w:rPr>
          <w:rFonts w:hint="default" w:ascii="Arial" w:hAnsi="Arial" w:eastAsia="Arial" w:cs="Arial"/>
          <w:color w:val="2E2E2E"/>
          <w:sz w:val="24"/>
          <w:szCs w:val="24"/>
        </w:rPr>
        <w:t>Chaudhry et al., 2024)</w:t>
      </w:r>
      <w:r>
        <w:rPr>
          <w:rFonts w:hint="default" w:ascii="Arial" w:hAnsi="Arial" w:eastAsia="Arial" w:cs="Arial"/>
          <w:sz w:val="24"/>
          <w:szCs w:val="24"/>
        </w:rPr>
        <w:t xml:space="preserve">. </w:t>
      </w:r>
    </w:p>
    <w:p w14:paraId="056B6351">
      <w:pPr>
        <w:pStyle w:val="17"/>
        <w:numPr>
          <w:numId w:val="0"/>
        </w:numPr>
        <w:shd w:val="clear" w:color="auto" w:fill="FFFFFF" w:themeFill="background1"/>
        <w:spacing w:before="0" w:beforeAutospacing="0" w:after="0" w:afterAutospacing="0" w:line="360" w:lineRule="auto"/>
        <w:ind w:left="360" w:leftChars="0"/>
        <w:jc w:val="both"/>
        <w:rPr>
          <w:rFonts w:hint="default" w:ascii="Arial" w:hAnsi="Arial" w:eastAsia="Arial" w:cs="Arial"/>
          <w:sz w:val="24"/>
          <w:szCs w:val="24"/>
        </w:rPr>
      </w:pPr>
    </w:p>
    <w:tbl>
      <w:tblPr>
        <w:tblStyle w:val="20"/>
        <w:tblW w:w="0" w:type="auto"/>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27"/>
        <w:gridCol w:w="4303"/>
      </w:tblGrid>
      <w:tr w14:paraId="44622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327" w:type="dxa"/>
          </w:tcPr>
          <w:p w14:paraId="3764AD0C">
            <w:pPr>
              <w:pStyle w:val="17"/>
              <w:widowControl w:val="0"/>
              <w:shd w:val="clear" w:color="auto" w:fill="FFFFFF" w:themeFill="background1"/>
              <w:spacing w:before="0" w:beforeAutospacing="0" w:after="300" w:afterAutospacing="0"/>
              <w:jc w:val="left"/>
              <w:rPr>
                <w:rFonts w:hint="default" w:ascii="Arial" w:hAnsi="Arial" w:eastAsia="Arial" w:cs="Arial"/>
                <w:b/>
                <w:bCs/>
                <w:sz w:val="24"/>
                <w:szCs w:val="24"/>
              </w:rPr>
            </w:pPr>
            <w:r>
              <w:rPr>
                <w:rFonts w:hint="default" w:ascii="Arial" w:hAnsi="Arial" w:eastAsia="Arial" w:cs="Arial"/>
                <w:b/>
                <w:bCs/>
                <w:sz w:val="24"/>
                <w:szCs w:val="24"/>
              </w:rPr>
              <w:t>Without structured CCM-based systems:(</w:t>
            </w:r>
            <w:r>
              <w:rPr>
                <w:rFonts w:hint="default" w:ascii="Arial" w:hAnsi="Arial" w:eastAsia="Arial" w:cs="Arial"/>
                <w:sz w:val="24"/>
                <w:szCs w:val="24"/>
              </w:rPr>
              <w:t>Izumi et al., 2025)</w:t>
            </w:r>
          </w:p>
        </w:tc>
        <w:tc>
          <w:tcPr>
            <w:tcW w:w="4303" w:type="dxa"/>
          </w:tcPr>
          <w:p w14:paraId="199667F6">
            <w:pPr>
              <w:widowControl w:val="0"/>
              <w:shd w:val="clear" w:color="auto" w:fill="FFFFFF" w:themeFill="background1"/>
              <w:jc w:val="both"/>
              <w:rPr>
                <w:rFonts w:hint="default" w:ascii="Arial" w:hAnsi="Arial" w:eastAsia="Arial" w:cs="Arial"/>
                <w:color w:val="2E2E2E"/>
                <w:sz w:val="24"/>
                <w:szCs w:val="24"/>
              </w:rPr>
            </w:pPr>
            <w:r>
              <w:rPr>
                <w:rFonts w:hint="default" w:ascii="Arial" w:hAnsi="Arial" w:eastAsia="Arial" w:cs="Arial"/>
                <w:b/>
                <w:bCs/>
                <w:sz w:val="24"/>
                <w:szCs w:val="24"/>
              </w:rPr>
              <w:t>With CCM:</w:t>
            </w:r>
            <w:r>
              <w:rPr>
                <w:rFonts w:hint="default" w:ascii="Arial" w:hAnsi="Arial" w:eastAsia="Arial" w:cs="Arial"/>
                <w:color w:val="2E2E2E"/>
                <w:sz w:val="24"/>
                <w:szCs w:val="24"/>
              </w:rPr>
              <w:t xml:space="preserve"> (Izumi et al., 2025)</w:t>
            </w:r>
          </w:p>
        </w:tc>
      </w:tr>
      <w:tr w14:paraId="1AFF5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327" w:type="dxa"/>
          </w:tcPr>
          <w:p w14:paraId="12908CA6">
            <w:pPr>
              <w:pStyle w:val="17"/>
              <w:widowControl w:val="0"/>
              <w:numPr>
                <w:ilvl w:val="0"/>
                <w:numId w:val="12"/>
              </w:numPr>
              <w:shd w:val="clear" w:color="auto" w:fill="FFFFFF" w:themeFill="background1"/>
              <w:spacing w:before="0" w:beforeAutospacing="0" w:after="300" w:afterAutospacing="0"/>
              <w:jc w:val="both"/>
              <w:rPr>
                <w:rFonts w:hint="default" w:ascii="Arial" w:hAnsi="Arial" w:eastAsia="Arial" w:cs="Arial"/>
                <w:sz w:val="24"/>
                <w:szCs w:val="24"/>
              </w:rPr>
            </w:pPr>
            <w:r>
              <w:rPr>
                <w:rFonts w:hint="default" w:ascii="Arial" w:hAnsi="Arial" w:eastAsia="Arial" w:cs="Arial"/>
                <w:sz w:val="24"/>
                <w:szCs w:val="24"/>
              </w:rPr>
              <w:t>Patients represent with advanced disease.</w:t>
            </w:r>
          </w:p>
        </w:tc>
        <w:tc>
          <w:tcPr>
            <w:tcW w:w="4303" w:type="dxa"/>
          </w:tcPr>
          <w:p w14:paraId="1FEEDCB1">
            <w:pPr>
              <w:pStyle w:val="17"/>
              <w:widowControl w:val="0"/>
              <w:numPr>
                <w:ilvl w:val="0"/>
                <w:numId w:val="13"/>
              </w:numPr>
              <w:shd w:val="clear" w:color="auto" w:fill="FFFFFF" w:themeFill="background1"/>
              <w:spacing w:before="0" w:beforeAutospacing="0" w:after="300" w:afterAutospacing="0"/>
              <w:jc w:val="both"/>
              <w:rPr>
                <w:rFonts w:hint="default" w:ascii="Arial" w:hAnsi="Arial" w:eastAsia="Arial" w:cs="Arial"/>
                <w:sz w:val="24"/>
                <w:szCs w:val="24"/>
              </w:rPr>
            </w:pPr>
            <w:r>
              <w:rPr>
                <w:rFonts w:hint="default" w:ascii="Arial" w:hAnsi="Arial" w:eastAsia="Arial" w:cs="Arial"/>
                <w:sz w:val="24"/>
                <w:szCs w:val="24"/>
              </w:rPr>
              <w:t>Early detection</w:t>
            </w:r>
          </w:p>
        </w:tc>
      </w:tr>
      <w:tr w14:paraId="56CF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327" w:type="dxa"/>
          </w:tcPr>
          <w:p w14:paraId="30FA150A">
            <w:pPr>
              <w:pStyle w:val="17"/>
              <w:widowControl w:val="0"/>
              <w:numPr>
                <w:ilvl w:val="0"/>
                <w:numId w:val="14"/>
              </w:numPr>
              <w:shd w:val="clear" w:color="auto" w:fill="FFFFFF" w:themeFill="background1"/>
              <w:spacing w:before="0" w:beforeAutospacing="0" w:after="300" w:afterAutospacing="0"/>
              <w:jc w:val="both"/>
              <w:rPr>
                <w:rFonts w:hint="default" w:ascii="Arial" w:hAnsi="Arial" w:eastAsia="Arial" w:cs="Arial"/>
                <w:sz w:val="24"/>
                <w:szCs w:val="24"/>
              </w:rPr>
            </w:pPr>
            <w:r>
              <w:rPr>
                <w:rFonts w:hint="default" w:ascii="Arial" w:hAnsi="Arial" w:eastAsia="Arial" w:cs="Arial"/>
                <w:sz w:val="24"/>
                <w:szCs w:val="24"/>
              </w:rPr>
              <w:t>Emergency surgery and ICU costs increase</w:t>
            </w:r>
          </w:p>
        </w:tc>
        <w:tc>
          <w:tcPr>
            <w:tcW w:w="4303" w:type="dxa"/>
          </w:tcPr>
          <w:p w14:paraId="6C76082D">
            <w:pPr>
              <w:pStyle w:val="17"/>
              <w:widowControl/>
              <w:numPr>
                <w:ilvl w:val="0"/>
                <w:numId w:val="15"/>
              </w:numPr>
              <w:shd w:val="clear" w:color="auto" w:fill="FFFFFF" w:themeFill="background1"/>
              <w:spacing w:before="0" w:beforeAutospacing="0" w:after="300" w:afterAutospacing="0"/>
              <w:jc w:val="both"/>
              <w:rPr>
                <w:rFonts w:hint="default" w:ascii="Arial" w:hAnsi="Arial" w:eastAsia="Arial" w:cs="Arial"/>
                <w:sz w:val="24"/>
                <w:szCs w:val="24"/>
              </w:rPr>
            </w:pPr>
            <w:r>
              <w:rPr>
                <w:rFonts w:hint="default" w:ascii="Arial" w:hAnsi="Arial" w:eastAsia="Arial" w:cs="Arial"/>
                <w:sz w:val="24"/>
                <w:szCs w:val="24"/>
              </w:rPr>
              <w:t>Planned re-intervention</w:t>
            </w:r>
          </w:p>
        </w:tc>
      </w:tr>
      <w:tr w14:paraId="050BE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327" w:type="dxa"/>
          </w:tcPr>
          <w:p w14:paraId="0F5E2813">
            <w:pPr>
              <w:pStyle w:val="17"/>
              <w:widowControl w:val="0"/>
              <w:numPr>
                <w:ilvl w:val="0"/>
                <w:numId w:val="16"/>
              </w:numPr>
              <w:shd w:val="clear" w:color="auto" w:fill="FFFFFF" w:themeFill="background1"/>
              <w:spacing w:before="0" w:beforeAutospacing="0" w:after="300" w:afterAutospacing="0"/>
              <w:jc w:val="both"/>
              <w:rPr>
                <w:rFonts w:hint="default" w:ascii="Arial" w:hAnsi="Arial" w:eastAsia="Arial" w:cs="Arial"/>
                <w:sz w:val="24"/>
                <w:szCs w:val="24"/>
              </w:rPr>
            </w:pPr>
            <w:r>
              <w:rPr>
                <w:rFonts w:hint="default" w:ascii="Arial" w:hAnsi="Arial" w:eastAsia="Arial" w:cs="Arial"/>
                <w:sz w:val="24"/>
                <w:szCs w:val="24"/>
              </w:rPr>
              <w:t>Mortality risk rises.</w:t>
            </w:r>
          </w:p>
        </w:tc>
        <w:tc>
          <w:tcPr>
            <w:tcW w:w="4303" w:type="dxa"/>
          </w:tcPr>
          <w:p w14:paraId="19F973C4">
            <w:pPr>
              <w:pStyle w:val="17"/>
              <w:widowControl w:val="0"/>
              <w:numPr>
                <w:ilvl w:val="0"/>
                <w:numId w:val="17"/>
              </w:numPr>
              <w:shd w:val="clear" w:color="auto" w:fill="FFFFFF" w:themeFill="background1"/>
              <w:spacing w:before="0" w:beforeAutospacing="0" w:after="300" w:afterAutospacing="0"/>
              <w:jc w:val="both"/>
              <w:rPr>
                <w:rFonts w:hint="default" w:ascii="Arial" w:hAnsi="Arial" w:eastAsia="Arial" w:cs="Arial"/>
                <w:sz w:val="24"/>
                <w:szCs w:val="24"/>
              </w:rPr>
            </w:pPr>
            <w:r>
              <w:rPr>
                <w:rFonts w:hint="default" w:ascii="Arial" w:hAnsi="Arial" w:eastAsia="Arial" w:cs="Arial"/>
                <w:sz w:val="24"/>
                <w:szCs w:val="24"/>
              </w:rPr>
              <w:t>Improved quality of life</w:t>
            </w:r>
          </w:p>
        </w:tc>
      </w:tr>
    </w:tbl>
    <w:p w14:paraId="0F0BCCD3">
      <w:pPr>
        <w:pStyle w:val="17"/>
        <w:shd w:val="clear" w:color="auto" w:fill="FFFFFF" w:themeFill="background1"/>
        <w:spacing w:before="0" w:beforeAutospacing="0" w:after="300" w:afterAutospacing="0"/>
        <w:rPr>
          <w:rFonts w:hint="default" w:ascii="Arial" w:hAnsi="Arial" w:eastAsia="Arial" w:cs="Arial"/>
          <w:b/>
          <w:bCs/>
          <w:sz w:val="24"/>
          <w:szCs w:val="24"/>
        </w:rPr>
      </w:pPr>
    </w:p>
    <w:p w14:paraId="080CB157">
      <w:pPr>
        <w:pStyle w:val="17"/>
        <w:numPr>
          <w:ilvl w:val="0"/>
          <w:numId w:val="11"/>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Deliver care via specialist ACHD centres (NHS England, 2018).</w:t>
      </w:r>
    </w:p>
    <w:p w14:paraId="6AB6F6D8">
      <w:pPr>
        <w:pStyle w:val="17"/>
        <w:numPr>
          <w:ilvl w:val="0"/>
          <w:numId w:val="11"/>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 xml:space="preserve">Use hub-and-spoke networks across Integrated Care Systems (ICS) </w:t>
      </w:r>
      <w:r>
        <w:rPr>
          <w:rFonts w:hint="default" w:ascii="Arial" w:hAnsi="Arial" w:eastAsia="Arial" w:cs="Arial"/>
          <w:color w:val="2E2E2E"/>
          <w:sz w:val="24"/>
          <w:szCs w:val="24"/>
        </w:rPr>
        <w:t>(Chaudhry et al., 2024)</w:t>
      </w:r>
      <w:r>
        <w:rPr>
          <w:rFonts w:hint="default" w:ascii="Arial" w:hAnsi="Arial" w:eastAsia="Arial" w:cs="Arial"/>
          <w:color w:val="0B0C0C"/>
          <w:sz w:val="24"/>
          <w:szCs w:val="24"/>
        </w:rPr>
        <w:t>.</w:t>
      </w:r>
    </w:p>
    <w:p w14:paraId="5D61A339">
      <w:pPr>
        <w:pStyle w:val="17"/>
        <w:numPr>
          <w:ilvl w:val="0"/>
          <w:numId w:val="11"/>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Provide nurse-led ACHD clinics (</w:t>
      </w:r>
      <w:r>
        <w:rPr>
          <w:rFonts w:hint="default" w:ascii="Arial" w:hAnsi="Arial" w:eastAsia="Arial" w:cs="Arial"/>
          <w:color w:val="2E2E2E"/>
          <w:sz w:val="24"/>
          <w:szCs w:val="24"/>
        </w:rPr>
        <w:t>Chaudhry et al., 2024)</w:t>
      </w:r>
      <w:r>
        <w:rPr>
          <w:rFonts w:hint="default" w:ascii="Arial" w:hAnsi="Arial" w:eastAsia="Arial" w:cs="Arial"/>
          <w:color w:val="0B0C0C"/>
          <w:sz w:val="24"/>
          <w:szCs w:val="24"/>
        </w:rPr>
        <w:t>.</w:t>
      </w:r>
    </w:p>
    <w:p w14:paraId="763388EC">
      <w:pPr>
        <w:pStyle w:val="17"/>
        <w:numPr>
          <w:ilvl w:val="0"/>
          <w:numId w:val="11"/>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 xml:space="preserve">Schedule annual surveillance - Echo, MRI, ECG </w:t>
      </w:r>
      <w:r>
        <w:rPr>
          <w:rFonts w:hint="default" w:ascii="Arial" w:hAnsi="Arial" w:eastAsia="Arial" w:cs="Arial"/>
          <w:color w:val="2E2E2E"/>
          <w:sz w:val="24"/>
          <w:szCs w:val="24"/>
        </w:rPr>
        <w:t>(Chaudhry et al., 2024)</w:t>
      </w:r>
      <w:r>
        <w:rPr>
          <w:rFonts w:hint="default" w:ascii="Arial" w:hAnsi="Arial" w:eastAsia="Arial" w:cs="Arial"/>
          <w:color w:val="0B0C0C"/>
          <w:sz w:val="24"/>
          <w:szCs w:val="24"/>
        </w:rPr>
        <w:t>.</w:t>
      </w:r>
    </w:p>
    <w:p w14:paraId="4FA42FFA">
      <w:pPr>
        <w:pStyle w:val="17"/>
        <w:numPr>
          <w:ilvl w:val="0"/>
          <w:numId w:val="11"/>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 xml:space="preserve">Conduct MDT meetings cardiology, psychology, physiotherapy </w:t>
      </w:r>
      <w:r>
        <w:rPr>
          <w:rFonts w:hint="default" w:ascii="Arial" w:hAnsi="Arial" w:eastAsia="Arial" w:cs="Arial"/>
          <w:color w:val="2E2E2E"/>
          <w:sz w:val="24"/>
          <w:szCs w:val="24"/>
        </w:rPr>
        <w:t>(Chaudhry et al., 2024)</w:t>
      </w:r>
      <w:r>
        <w:rPr>
          <w:rFonts w:hint="default" w:ascii="Arial" w:hAnsi="Arial" w:eastAsia="Arial" w:cs="Arial"/>
          <w:color w:val="0B0C0C"/>
          <w:sz w:val="24"/>
          <w:szCs w:val="24"/>
        </w:rPr>
        <w:t>.</w:t>
      </w:r>
    </w:p>
    <w:p w14:paraId="62E62726">
      <w:pPr>
        <w:pStyle w:val="17"/>
        <w:shd w:val="clear" w:color="auto" w:fill="FFFFFF" w:themeFill="background1"/>
        <w:spacing w:before="0" w:beforeAutospacing="0" w:after="0" w:afterAutospacing="0" w:line="360" w:lineRule="auto"/>
        <w:ind w:left="720"/>
        <w:rPr>
          <w:rFonts w:hint="default" w:ascii="Arial" w:hAnsi="Arial" w:eastAsia="Arial" w:cs="Arial"/>
          <w:b/>
          <w:bCs/>
          <w:color w:val="0B0C0C"/>
          <w:sz w:val="24"/>
          <w:szCs w:val="24"/>
        </w:rPr>
      </w:pPr>
    </w:p>
    <w:p w14:paraId="1C714269">
      <w:pPr>
        <w:pStyle w:val="17"/>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b/>
          <w:bCs/>
          <w:color w:val="0B0C0C"/>
          <w:sz w:val="24"/>
          <w:szCs w:val="24"/>
        </w:rPr>
        <w:t>Decision Support (Evidence-Based Care):</w:t>
      </w:r>
    </w:p>
    <w:p w14:paraId="2CC18680">
      <w:pPr>
        <w:pStyle w:val="17"/>
        <w:numPr>
          <w:ilvl w:val="0"/>
          <w:numId w:val="18"/>
        </w:numPr>
        <w:shd w:val="clear" w:color="auto" w:fill="FFFFFF" w:themeFill="background1"/>
        <w:spacing w:after="300" w:line="360" w:lineRule="auto"/>
        <w:rPr>
          <w:rFonts w:hint="default" w:ascii="Arial" w:hAnsi="Arial" w:eastAsia="Arial" w:cs="Arial"/>
          <w:color w:val="0B0C0C"/>
          <w:sz w:val="24"/>
          <w:szCs w:val="24"/>
        </w:rPr>
      </w:pPr>
      <w:r>
        <w:rPr>
          <w:rFonts w:hint="default" w:ascii="Arial" w:hAnsi="Arial" w:eastAsia="Arial" w:cs="Arial"/>
          <w:color w:val="0B0C0C"/>
          <w:sz w:val="24"/>
          <w:szCs w:val="24"/>
        </w:rPr>
        <w:t>Follow 2020 ACHD guidance from European Society of Cardiology (ESC, 2020).</w:t>
      </w:r>
    </w:p>
    <w:p w14:paraId="2EDFA360">
      <w:pPr>
        <w:pStyle w:val="17"/>
        <w:numPr>
          <w:ilvl w:val="0"/>
          <w:numId w:val="18"/>
        </w:numPr>
        <w:shd w:val="clear" w:color="auto" w:fill="FFFFFF" w:themeFill="background1"/>
        <w:spacing w:after="300" w:line="360" w:lineRule="auto"/>
        <w:rPr>
          <w:rFonts w:hint="default" w:ascii="Arial" w:hAnsi="Arial" w:eastAsia="Arial" w:cs="Arial"/>
          <w:color w:val="0B0C0C"/>
          <w:sz w:val="24"/>
          <w:szCs w:val="24"/>
        </w:rPr>
      </w:pPr>
      <w:r>
        <w:rPr>
          <w:rFonts w:hint="default" w:ascii="Arial" w:hAnsi="Arial" w:eastAsia="Arial" w:cs="Arial"/>
          <w:color w:val="0B0C0C"/>
          <w:sz w:val="24"/>
          <w:szCs w:val="24"/>
        </w:rPr>
        <w:t>Align UK practice with National Institute for Health and Care Excellence (NICE) cardiovascular frameworks (NHS England;18).</w:t>
      </w:r>
    </w:p>
    <w:p w14:paraId="30E7CCC1">
      <w:pPr>
        <w:pStyle w:val="17"/>
        <w:shd w:val="clear" w:color="auto" w:fill="FFFFFF" w:themeFill="background1"/>
        <w:spacing w:after="300"/>
        <w:rPr>
          <w:rFonts w:hint="default" w:ascii="Arial" w:hAnsi="Arial" w:eastAsia="Arial" w:cs="Arial"/>
          <w:b/>
          <w:bCs/>
          <w:color w:val="0B0C0C"/>
          <w:sz w:val="24"/>
          <w:szCs w:val="24"/>
        </w:rPr>
      </w:pPr>
      <w:r>
        <w:rPr>
          <w:rFonts w:hint="default" w:ascii="Arial" w:hAnsi="Arial" w:eastAsia="Arial" w:cs="Arial"/>
          <w:b/>
          <w:bCs/>
          <w:color w:val="0B0C0C"/>
          <w:sz w:val="24"/>
          <w:szCs w:val="24"/>
        </w:rPr>
        <w:t>Use risk stratification tools for:</w:t>
      </w:r>
    </w:p>
    <w:p w14:paraId="310D60E2">
      <w:pPr>
        <w:pStyle w:val="17"/>
        <w:numPr>
          <w:ilvl w:val="0"/>
          <w:numId w:val="18"/>
        </w:numPr>
        <w:shd w:val="clear" w:color="auto" w:fill="FFFFFF" w:themeFill="background1"/>
        <w:spacing w:after="300" w:line="360" w:lineRule="auto"/>
        <w:rPr>
          <w:rFonts w:hint="default" w:ascii="Arial" w:hAnsi="Arial" w:eastAsia="Arial" w:cs="Arial"/>
          <w:color w:val="0B0C0C"/>
          <w:sz w:val="24"/>
          <w:szCs w:val="24"/>
        </w:rPr>
      </w:pPr>
      <w:r>
        <w:rPr>
          <w:rFonts w:hint="default" w:ascii="Arial" w:hAnsi="Arial" w:eastAsia="Arial" w:cs="Arial"/>
          <w:color w:val="0B0C0C"/>
          <w:sz w:val="24"/>
          <w:szCs w:val="24"/>
        </w:rPr>
        <w:t>Pulmonary valve replacement timing (Chaudhry et al., 2024)</w:t>
      </w:r>
    </w:p>
    <w:p w14:paraId="66705C3A">
      <w:pPr>
        <w:pStyle w:val="17"/>
        <w:numPr>
          <w:ilvl w:val="0"/>
          <w:numId w:val="18"/>
        </w:numPr>
        <w:shd w:val="clear" w:color="auto" w:fill="FFFFFF" w:themeFill="background1"/>
        <w:spacing w:after="300" w:line="360" w:lineRule="auto"/>
        <w:rPr>
          <w:rFonts w:hint="default" w:ascii="Arial" w:hAnsi="Arial" w:eastAsia="Arial" w:cs="Arial"/>
          <w:color w:val="0B0C0C"/>
          <w:sz w:val="24"/>
          <w:szCs w:val="24"/>
        </w:rPr>
      </w:pPr>
      <w:r>
        <w:rPr>
          <w:rFonts w:hint="default" w:ascii="Arial" w:hAnsi="Arial" w:eastAsia="Arial" w:cs="Arial"/>
          <w:color w:val="0B0C0C"/>
          <w:sz w:val="24"/>
          <w:szCs w:val="24"/>
        </w:rPr>
        <w:t>Arrhythmia risk (Chaudhry et al., 2024)</w:t>
      </w:r>
    </w:p>
    <w:p w14:paraId="0696DA12">
      <w:pPr>
        <w:pStyle w:val="17"/>
        <w:numPr>
          <w:ilvl w:val="0"/>
          <w:numId w:val="18"/>
        </w:numPr>
        <w:shd w:val="clear" w:color="auto" w:fill="FFFFFF" w:themeFill="background1"/>
        <w:spacing w:after="300" w:line="360" w:lineRule="auto"/>
        <w:rPr>
          <w:rFonts w:hint="default" w:ascii="Arial" w:hAnsi="Arial" w:eastAsia="Arial" w:cs="Arial"/>
          <w:color w:val="0B0C0C"/>
          <w:sz w:val="24"/>
          <w:szCs w:val="24"/>
        </w:rPr>
      </w:pPr>
      <w:r>
        <w:rPr>
          <w:rFonts w:hint="default" w:ascii="Arial" w:hAnsi="Arial" w:eastAsia="Arial" w:cs="Arial"/>
          <w:color w:val="0B0C0C"/>
          <w:sz w:val="24"/>
          <w:szCs w:val="24"/>
        </w:rPr>
        <w:t>Pregnancy risk (Chaudhry et al., 2024)</w:t>
      </w:r>
    </w:p>
    <w:p w14:paraId="317F0B9A">
      <w:pPr>
        <w:pStyle w:val="17"/>
        <w:numPr>
          <w:ilvl w:val="0"/>
          <w:numId w:val="18"/>
        </w:numPr>
        <w:shd w:val="clear" w:color="auto" w:fill="FFFFFF" w:themeFill="background1"/>
        <w:spacing w:before="0" w:beforeAutospacing="0" w:after="30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Educate GPs to reduce inappropriate discharge (Chaudhry et al., 2024)</w:t>
      </w:r>
    </w:p>
    <w:p w14:paraId="40055BA3">
      <w:pPr>
        <w:pStyle w:val="17"/>
        <w:shd w:val="clear" w:color="auto" w:fill="FFFFFF" w:themeFill="background1"/>
        <w:spacing w:before="0" w:beforeAutospacing="0" w:after="300" w:afterAutospacing="0"/>
        <w:rPr>
          <w:rFonts w:hint="default" w:ascii="Arial" w:hAnsi="Arial" w:eastAsia="Arial" w:cs="Arial"/>
          <w:b/>
          <w:bCs/>
          <w:color w:val="0B0C0C"/>
          <w:sz w:val="24"/>
          <w:szCs w:val="24"/>
        </w:rPr>
      </w:pPr>
      <w:r>
        <w:rPr>
          <w:rFonts w:hint="default" w:ascii="Arial" w:hAnsi="Arial" w:eastAsia="Arial" w:cs="Arial"/>
          <w:b/>
          <w:bCs/>
          <w:color w:val="0B0C0C"/>
          <w:sz w:val="24"/>
          <w:szCs w:val="24"/>
        </w:rPr>
        <w:t>Clinical Information Systems &amp; Digital Health:</w:t>
      </w:r>
    </w:p>
    <w:p w14:paraId="0629D814">
      <w:pPr>
        <w:pStyle w:val="17"/>
        <w:numPr>
          <w:ilvl w:val="0"/>
          <w:numId w:val="18"/>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Develop national ACHD registries (Nicholson et al., 2024)</w:t>
      </w:r>
    </w:p>
    <w:p w14:paraId="1F6CDDF5">
      <w:pPr>
        <w:pStyle w:val="17"/>
        <w:numPr>
          <w:ilvl w:val="0"/>
          <w:numId w:val="18"/>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Implement NHS digital recall systems (Nicholson et al., 2024)</w:t>
      </w:r>
    </w:p>
    <w:p w14:paraId="317FAF46">
      <w:pPr>
        <w:pStyle w:val="17"/>
        <w:numPr>
          <w:ilvl w:val="0"/>
          <w:numId w:val="18"/>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Use remote ECG monitoring for arrhythmia detection (Nicholson et al., 2024)</w:t>
      </w:r>
    </w:p>
    <w:p w14:paraId="26BA3B78">
      <w:pPr>
        <w:pStyle w:val="17"/>
        <w:numPr>
          <w:ilvl w:val="0"/>
          <w:numId w:val="18"/>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Integrate paediatric and adult electronic records (Nicholson et al., 2024)</w:t>
      </w:r>
    </w:p>
    <w:p w14:paraId="7423B730">
      <w:pPr>
        <w:pStyle w:val="17"/>
        <w:numPr>
          <w:ilvl w:val="0"/>
          <w:numId w:val="18"/>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Use AI-based risk prediction where appropriate (Nicholson et al., 2024)</w:t>
      </w:r>
    </w:p>
    <w:p w14:paraId="0EA541AD">
      <w:pPr>
        <w:pStyle w:val="17"/>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p>
    <w:p w14:paraId="20455C0B">
      <w:pPr>
        <w:pStyle w:val="17"/>
        <w:shd w:val="clear" w:color="auto" w:fill="FFFFFF" w:themeFill="background1"/>
        <w:spacing w:before="0" w:beforeAutospacing="0" w:after="300" w:afterAutospacing="0"/>
        <w:rPr>
          <w:rFonts w:hint="default" w:ascii="Arial" w:hAnsi="Arial" w:eastAsia="Arial" w:cs="Arial"/>
          <w:color w:val="0B0C0C"/>
          <w:sz w:val="24"/>
          <w:szCs w:val="24"/>
        </w:rPr>
      </w:pPr>
      <w:r>
        <w:rPr>
          <w:rFonts w:hint="default" w:ascii="Arial" w:hAnsi="Arial" w:eastAsia="Arial" w:cs="Arial"/>
          <w:b/>
          <w:bCs/>
          <w:color w:val="0B0C0C"/>
          <w:sz w:val="24"/>
          <w:szCs w:val="24"/>
        </w:rPr>
        <w:t>Critical Evaluation:</w:t>
      </w:r>
    </w:p>
    <w:p w14:paraId="5B57DC2B">
      <w:pPr>
        <w:pStyle w:val="17"/>
        <w:numPr>
          <w:ilvl w:val="0"/>
          <w:numId w:val="19"/>
        </w:numPr>
        <w:shd w:val="clear" w:color="auto" w:fill="FFFFFF" w:themeFill="background1"/>
        <w:spacing w:before="0" w:beforeAutospacing="0" w:after="0" w:afterAutospacing="0"/>
        <w:rPr>
          <w:rFonts w:hint="default" w:ascii="Arial" w:hAnsi="Arial" w:eastAsia="Arial" w:cs="Arial"/>
          <w:color w:val="0B0C0C"/>
          <w:sz w:val="24"/>
          <w:szCs w:val="24"/>
        </w:rPr>
      </w:pPr>
      <w:r>
        <w:rPr>
          <w:rFonts w:hint="default" w:ascii="Arial" w:hAnsi="Arial" w:eastAsia="Arial" w:cs="Arial"/>
          <w:color w:val="0B0C0C"/>
          <w:sz w:val="24"/>
          <w:szCs w:val="24"/>
        </w:rPr>
        <w:t>Improves early detection (NHS England;18)</w:t>
      </w:r>
    </w:p>
    <w:p w14:paraId="04235FF4">
      <w:pPr>
        <w:pStyle w:val="17"/>
        <w:numPr>
          <w:ilvl w:val="0"/>
          <w:numId w:val="19"/>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Risk of digital exclusion (NHS England;18)</w:t>
      </w:r>
    </w:p>
    <w:p w14:paraId="3D3C7C0B">
      <w:pPr>
        <w:pStyle w:val="17"/>
        <w:numPr>
          <w:ilvl w:val="0"/>
          <w:numId w:val="19"/>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Data governance and privacy concerns (NHS England;18)</w:t>
      </w:r>
    </w:p>
    <w:p w14:paraId="14671664">
      <w:pPr>
        <w:pStyle w:val="17"/>
        <w:numPr>
          <w:ilvl w:val="0"/>
          <w:numId w:val="19"/>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Cost-effectiveness evidence still emerging (NHS England;18)</w:t>
      </w:r>
    </w:p>
    <w:p w14:paraId="1357BACA">
      <w:pPr>
        <w:pStyle w:val="17"/>
        <w:shd w:val="clear" w:color="auto" w:fill="FFFFFF" w:themeFill="background1"/>
        <w:spacing w:before="0" w:beforeAutospacing="0" w:after="0" w:afterAutospacing="0" w:line="360" w:lineRule="auto"/>
        <w:ind w:left="720"/>
        <w:rPr>
          <w:rFonts w:hint="default" w:ascii="Arial" w:hAnsi="Arial" w:eastAsia="Arial" w:cs="Arial"/>
          <w:color w:val="0B0C0C"/>
          <w:sz w:val="24"/>
          <w:szCs w:val="24"/>
        </w:rPr>
      </w:pPr>
    </w:p>
    <w:p w14:paraId="535E53DF">
      <w:pPr>
        <w:pStyle w:val="17"/>
        <w:shd w:val="clear" w:color="auto" w:fill="FFFFFF" w:themeFill="background1"/>
        <w:spacing w:before="0" w:beforeAutospacing="0" w:after="300" w:afterAutospacing="0"/>
        <w:rPr>
          <w:rFonts w:hint="default" w:ascii="Arial" w:hAnsi="Arial" w:eastAsia="Arial" w:cs="Arial"/>
          <w:b/>
          <w:bCs/>
          <w:color w:val="0B0C0C"/>
          <w:sz w:val="24"/>
          <w:szCs w:val="24"/>
        </w:rPr>
      </w:pPr>
      <w:r>
        <w:rPr>
          <w:rFonts w:hint="default" w:ascii="Arial" w:hAnsi="Arial" w:eastAsia="Arial" w:cs="Arial"/>
          <w:b/>
          <w:bCs/>
          <w:color w:val="0B0C0C"/>
          <w:sz w:val="24"/>
          <w:szCs w:val="24"/>
        </w:rPr>
        <w:t>Community Resources &amp; Psychosocial Support:</w:t>
      </w:r>
    </w:p>
    <w:p w14:paraId="7B03C715">
      <w:pPr>
        <w:pStyle w:val="17"/>
        <w:numPr>
          <w:ilvl w:val="0"/>
          <w:numId w:val="19"/>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Refer to cardiac rehabilitation programmes (Elissen et al., 2013)</w:t>
      </w:r>
    </w:p>
    <w:p w14:paraId="65DCBB64">
      <w:pPr>
        <w:pStyle w:val="17"/>
        <w:numPr>
          <w:ilvl w:val="0"/>
          <w:numId w:val="19"/>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Provide NHS psychological therapy support (Elissen et al., 2013)</w:t>
      </w:r>
    </w:p>
    <w:p w14:paraId="5E9EB8F1">
      <w:pPr>
        <w:pStyle w:val="17"/>
        <w:numPr>
          <w:ilvl w:val="0"/>
          <w:numId w:val="19"/>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Offer specialist pregnancy counselling clinics (Elissen et al., 2013)</w:t>
      </w:r>
    </w:p>
    <w:p w14:paraId="4BF82226">
      <w:pPr>
        <w:pStyle w:val="17"/>
        <w:numPr>
          <w:ilvl w:val="0"/>
          <w:numId w:val="19"/>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Link patients to British Heart Foundation support services (Elissen et al., 2013)</w:t>
      </w:r>
    </w:p>
    <w:p w14:paraId="6C712124">
      <w:pPr>
        <w:pStyle w:val="17"/>
        <w:numPr>
          <w:ilvl w:val="0"/>
          <w:numId w:val="19"/>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Deliver dietetic education (low salt, balanced diet) (Elissen et al., 2013)</w:t>
      </w:r>
    </w:p>
    <w:p w14:paraId="310E3BA6">
      <w:pPr>
        <w:pStyle w:val="17"/>
        <w:numPr>
          <w:ilvl w:val="0"/>
          <w:numId w:val="19"/>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Encourage family involvement (Elissen et al., 2013)</w:t>
      </w:r>
    </w:p>
    <w:p w14:paraId="568EDD86">
      <w:pPr>
        <w:pStyle w:val="17"/>
        <w:shd w:val="clear" w:color="auto" w:fill="FFFFFF" w:themeFill="background1"/>
        <w:spacing w:before="0" w:beforeAutospacing="0" w:after="0" w:afterAutospacing="0" w:line="360" w:lineRule="auto"/>
        <w:ind w:left="720"/>
        <w:rPr>
          <w:rFonts w:hint="default" w:ascii="Arial" w:hAnsi="Arial" w:eastAsia="Arial" w:cs="Arial"/>
          <w:b/>
          <w:bCs/>
          <w:color w:val="0B0C0C"/>
          <w:sz w:val="24"/>
          <w:szCs w:val="24"/>
        </w:rPr>
      </w:pPr>
    </w:p>
    <w:p w14:paraId="6EB0D0CF">
      <w:pPr>
        <w:pStyle w:val="17"/>
        <w:shd w:val="clear" w:color="auto" w:fill="FFFFFF" w:themeFill="background1"/>
        <w:spacing w:before="0" w:beforeAutospacing="0" w:after="0" w:afterAutospacing="0" w:line="360" w:lineRule="auto"/>
        <w:ind w:left="720"/>
        <w:rPr>
          <w:rFonts w:hint="default" w:ascii="Arial" w:hAnsi="Arial" w:eastAsia="Arial" w:cs="Arial"/>
          <w:b/>
          <w:bCs/>
          <w:color w:val="0B0C0C"/>
          <w:sz w:val="24"/>
          <w:szCs w:val="24"/>
        </w:rPr>
      </w:pPr>
    </w:p>
    <w:p w14:paraId="2FE8B7F9">
      <w:pPr>
        <w:pStyle w:val="17"/>
        <w:shd w:val="clear" w:color="auto" w:fill="FFFFFF" w:themeFill="background1"/>
        <w:spacing w:before="0" w:beforeAutospacing="0" w:after="0" w:afterAutospacing="0" w:line="360" w:lineRule="auto"/>
        <w:ind w:left="720"/>
        <w:rPr>
          <w:rFonts w:hint="default" w:ascii="Arial" w:hAnsi="Arial" w:eastAsia="Arial" w:cs="Arial"/>
          <w:b/>
          <w:bCs/>
          <w:color w:val="0B0C0C"/>
          <w:sz w:val="24"/>
          <w:szCs w:val="24"/>
        </w:rPr>
      </w:pPr>
    </w:p>
    <w:p w14:paraId="78BD6891">
      <w:pPr>
        <w:pStyle w:val="17"/>
        <w:shd w:val="clear" w:color="auto" w:fill="FFFFFF" w:themeFill="background1"/>
        <w:spacing w:before="0" w:beforeAutospacing="0" w:after="160" w:afterAutospacing="0" w:line="360" w:lineRule="auto"/>
        <w:rPr>
          <w:rFonts w:hint="default" w:ascii="Arial" w:hAnsi="Arial" w:eastAsia="Arial" w:cs="Arial"/>
          <w:color w:val="0B0C0C"/>
          <w:sz w:val="24"/>
          <w:szCs w:val="24"/>
        </w:rPr>
      </w:pPr>
      <w:r>
        <w:rPr>
          <w:rFonts w:hint="default" w:ascii="Arial" w:hAnsi="Arial" w:eastAsia="Arial" w:cs="Arial"/>
          <w:b/>
          <w:bCs/>
          <w:color w:val="0B0C0C"/>
          <w:sz w:val="24"/>
          <w:szCs w:val="24"/>
        </w:rPr>
        <w:t>Critical Evaluation</w:t>
      </w:r>
    </w:p>
    <w:p w14:paraId="588A0296">
      <w:pPr>
        <w:pStyle w:val="17"/>
        <w:numPr>
          <w:ilvl w:val="0"/>
          <w:numId w:val="19"/>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Improves adherence and psychosocial wellbeing (Baumgartner and De Backer, 2020)</w:t>
      </w:r>
    </w:p>
    <w:p w14:paraId="77BF5E45">
      <w:pPr>
        <w:pStyle w:val="17"/>
        <w:numPr>
          <w:ilvl w:val="0"/>
          <w:numId w:val="19"/>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Mental health services overstretched (Baumgartner and De Backer, 2020)</w:t>
      </w:r>
    </w:p>
    <w:p w14:paraId="645022C3">
      <w:pPr>
        <w:pStyle w:val="17"/>
        <w:numPr>
          <w:ilvl w:val="0"/>
          <w:numId w:val="19"/>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Rehabilitation access varies regionally (Baumgartner and De Backer, 2020)</w:t>
      </w:r>
    </w:p>
    <w:p w14:paraId="1BB92BFC">
      <w:pPr>
        <w:pStyle w:val="17"/>
        <w:numPr>
          <w:ilvl w:val="0"/>
          <w:numId w:val="19"/>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Socioeconomic inequalities influence outcomes (Baumgartner and De Backer, 2020)</w:t>
      </w:r>
    </w:p>
    <w:p w14:paraId="4FF30EAA">
      <w:pPr>
        <w:pStyle w:val="17"/>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b/>
          <w:bCs/>
          <w:color w:val="0B0C0C"/>
          <w:sz w:val="24"/>
          <w:szCs w:val="24"/>
        </w:rPr>
        <w:t>Transition Services:</w:t>
      </w:r>
    </w:p>
    <w:p w14:paraId="0D28FA94">
      <w:pPr>
        <w:pStyle w:val="17"/>
        <w:numPr>
          <w:ilvl w:val="0"/>
          <w:numId w:val="20"/>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Preparation from early adolescence (Xu et al., 2026)</w:t>
      </w:r>
    </w:p>
    <w:p w14:paraId="75E35BF6">
      <w:pPr>
        <w:pStyle w:val="17"/>
        <w:numPr>
          <w:ilvl w:val="0"/>
          <w:numId w:val="20"/>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Education about diagnosis &amp; surgical history (Xu et al., 2026)</w:t>
      </w:r>
    </w:p>
    <w:p w14:paraId="612FF71C">
      <w:pPr>
        <w:pStyle w:val="17"/>
        <w:numPr>
          <w:ilvl w:val="0"/>
          <w:numId w:val="20"/>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Self-management training (Xu et al., 2026)</w:t>
      </w:r>
    </w:p>
    <w:p w14:paraId="7FE75146">
      <w:pPr>
        <w:pStyle w:val="17"/>
        <w:numPr>
          <w:ilvl w:val="0"/>
          <w:numId w:val="20"/>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Joint paediatric–adult clinics (Xu et al., 2026)</w:t>
      </w:r>
    </w:p>
    <w:p w14:paraId="74611736">
      <w:pPr>
        <w:pStyle w:val="17"/>
        <w:numPr>
          <w:ilvl w:val="0"/>
          <w:numId w:val="20"/>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Clear referral pathways (Xu et al., 2026)</w:t>
      </w:r>
    </w:p>
    <w:p w14:paraId="6968B6E0">
      <w:pPr>
        <w:pStyle w:val="3"/>
        <w:bidi w:val="0"/>
        <w:outlineLvl w:val="9"/>
        <w:rPr>
          <w:rFonts w:hint="default" w:ascii="Arial" w:hAnsi="Arial" w:cs="Arial"/>
          <w:sz w:val="24"/>
          <w:szCs w:val="24"/>
        </w:rPr>
      </w:pPr>
    </w:p>
    <w:p w14:paraId="66211465">
      <w:pPr>
        <w:pStyle w:val="3"/>
        <w:bidi w:val="0"/>
        <w:rPr>
          <w:rFonts w:hint="default" w:ascii="Arial" w:hAnsi="Arial" w:eastAsia="Arial" w:cs="Arial"/>
          <w:b/>
          <w:bCs/>
          <w:color w:val="156082" w:themeColor="accent1"/>
          <w:sz w:val="28"/>
          <w:szCs w:val="28"/>
          <w14:textFill>
            <w14:solidFill>
              <w14:schemeClr w14:val="accent1"/>
            </w14:solidFill>
          </w14:textFill>
        </w:rPr>
      </w:pPr>
      <w:bookmarkStart w:id="12" w:name="_Toc8604"/>
      <w:r>
        <w:rPr>
          <w:rFonts w:hint="default" w:ascii="Arial" w:hAnsi="Arial" w:cs="Arial"/>
          <w:sz w:val="28"/>
          <w:szCs w:val="28"/>
        </w:rPr>
        <w:t>3.2</w:t>
      </w:r>
      <w:r>
        <w:rPr>
          <w:rFonts w:hint="default" w:ascii="Arial" w:hAnsi="Arial" w:cs="Arial"/>
          <w:sz w:val="28"/>
          <w:szCs w:val="28"/>
        </w:rPr>
        <w:t>. House of Care (HoC) Model in Congenital Heart Disease (CHD):</w:t>
      </w:r>
      <w:bookmarkEnd w:id="12"/>
    </w:p>
    <w:p w14:paraId="596E5115">
      <w:pPr>
        <w:pStyle w:val="17"/>
        <w:numPr>
          <w:ilvl w:val="0"/>
          <w:numId w:val="21"/>
        </w:numPr>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Developed by the Year of Care Partnerships it Promotes proactive, patient-centred, collaborative care for long-term conditions (LTCs) (NHS England, 2016)</w:t>
      </w:r>
    </w:p>
    <w:p w14:paraId="48E06E17">
      <w:pPr>
        <w:pStyle w:val="17"/>
        <w:numPr>
          <w:ilvl w:val="0"/>
          <w:numId w:val="21"/>
        </w:numPr>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Shifts from reactive, provider-led care → shared decision-making model</w:t>
      </w:r>
    </w:p>
    <w:p w14:paraId="5AC406B1">
      <w:pPr>
        <w:pStyle w:val="17"/>
        <w:numPr>
          <w:ilvl w:val="0"/>
          <w:numId w:val="21"/>
        </w:numPr>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Widely supported by The King's Fund and NHS England (The King’s Fund, 2013; NHS England, 2016)</w:t>
      </w:r>
    </w:p>
    <w:p w14:paraId="1D2750B6">
      <w:pPr>
        <w:pStyle w:val="17"/>
        <w:numPr>
          <w:ilvl w:val="0"/>
          <w:numId w:val="21"/>
        </w:numPr>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CHD is a lifelong condition requiring continuous specialist follow-up (The King’s Fund, 2013)</w:t>
      </w:r>
    </w:p>
    <w:p w14:paraId="661BE488">
      <w:pPr>
        <w:pStyle w:val="17"/>
        <w:numPr>
          <w:ilvl w:val="0"/>
          <w:numId w:val="21"/>
        </w:numPr>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Particularly important in Adult Congenital Heart Disease (ACHD) (The King’s Fund, 2013)</w:t>
      </w:r>
    </w:p>
    <w:p w14:paraId="458BDA84">
      <w:pPr>
        <w:pStyle w:val="17"/>
        <w:numPr>
          <w:ilvl w:val="0"/>
          <w:numId w:val="21"/>
        </w:numPr>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Encourages holistic, long-term, coordinated management (British Heart Foundation, 2023; NHS England, 2016)</w:t>
      </w:r>
    </w:p>
    <w:p w14:paraId="10839D79">
      <w:pPr>
        <w:pStyle w:val="17"/>
        <w:shd w:val="clear" w:color="auto" w:fill="FFFFFF" w:themeFill="background1"/>
        <w:spacing w:before="0" w:beforeAutospacing="0" w:after="300" w:afterAutospacing="0"/>
        <w:jc w:val="both"/>
        <w:rPr>
          <w:rFonts w:hint="default" w:ascii="Arial" w:hAnsi="Arial" w:eastAsia="Arial" w:cs="Arial"/>
          <w:b/>
          <w:bCs/>
          <w:color w:val="156082" w:themeColor="accent1"/>
          <w:sz w:val="24"/>
          <w:szCs w:val="24"/>
          <w14:textFill>
            <w14:solidFill>
              <w14:schemeClr w14:val="accent1"/>
            </w14:solidFill>
          </w14:textFill>
        </w:rPr>
      </w:pPr>
    </w:p>
    <w:p w14:paraId="753F797E">
      <w:pPr>
        <w:pStyle w:val="17"/>
        <w:shd w:val="clear" w:color="auto" w:fill="FFFFFF" w:themeFill="background1"/>
        <w:spacing w:before="0" w:beforeAutospacing="0" w:after="300" w:afterAutospacing="0"/>
        <w:jc w:val="center"/>
        <w:rPr>
          <w:rFonts w:hint="default" w:ascii="Arial" w:hAnsi="Arial" w:cs="Arial"/>
          <w:color w:val="808080" w:themeColor="text1" w:themeTint="80"/>
          <w:sz w:val="24"/>
          <w:szCs w:val="24"/>
          <w14:textFill>
            <w14:solidFill>
              <w14:schemeClr w14:val="tx1">
                <w14:lumMod w14:val="50000"/>
                <w14:lumOff w14:val="50000"/>
              </w14:schemeClr>
            </w14:solidFill>
          </w14:textFill>
        </w:rPr>
      </w:pPr>
      <w:r>
        <w:rPr>
          <w:rFonts w:hint="default" w:ascii="Arial" w:hAnsi="Arial" w:cs="Arial"/>
          <w:sz w:val="24"/>
          <w:szCs w:val="24"/>
        </w:rPr>
        <w:drawing>
          <wp:inline distT="0" distB="0" distL="0" distR="0">
            <wp:extent cx="5943600" cy="4457700"/>
            <wp:effectExtent l="0" t="0" r="0" b="0"/>
            <wp:docPr id="1996776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7662" name="drawing"/>
                    <pic:cNvPicPr>
                      <a:picLocks noChangeAspect="1"/>
                    </pic:cNvPicPr>
                  </pic:nvPicPr>
                  <pic:blipFill>
                    <a:blip r:embed="rId22"/>
                    <a:stretch>
                      <a:fillRect/>
                    </a:stretch>
                  </pic:blipFill>
                  <pic:spPr>
                    <a:xfrm>
                      <a:off x="0" y="0"/>
                      <a:ext cx="5943600" cy="4457700"/>
                    </a:xfrm>
                    <a:prstGeom prst="rect">
                      <a:avLst/>
                    </a:prstGeom>
                  </pic:spPr>
                </pic:pic>
              </a:graphicData>
            </a:graphic>
          </wp:inline>
        </w:drawing>
      </w:r>
      <w:r>
        <w:rPr>
          <w:rFonts w:hint="default" w:ascii="Arial" w:hAnsi="Arial" w:cs="Arial"/>
          <w:color w:val="808080" w:themeColor="text1" w:themeTint="80"/>
          <w:sz w:val="24"/>
          <w:szCs w:val="24"/>
          <w14:textFill>
            <w14:solidFill>
              <w14:schemeClr w14:val="tx1">
                <w14:lumMod w14:val="50000"/>
                <w14:lumOff w14:val="50000"/>
              </w14:schemeClr>
            </w14:solidFill>
          </w14:textFill>
        </w:rPr>
        <w:t>(NHS England; 2016)</w:t>
      </w:r>
    </w:p>
    <w:p w14:paraId="41C817CB">
      <w:pPr>
        <w:pStyle w:val="17"/>
        <w:shd w:val="clear" w:color="auto" w:fill="FFFFFF" w:themeFill="background1"/>
        <w:spacing w:before="0" w:beforeAutospacing="0" w:after="300" w:afterAutospacing="0"/>
        <w:rPr>
          <w:rFonts w:hint="default" w:ascii="Arial" w:hAnsi="Arial" w:eastAsia="Arial" w:cs="Arial"/>
          <w:b/>
          <w:bCs/>
          <w:color w:val="0B0C0C"/>
          <w:sz w:val="24"/>
          <w:szCs w:val="24"/>
        </w:rPr>
      </w:pPr>
      <w:r>
        <w:rPr>
          <w:rFonts w:hint="default" w:ascii="Arial" w:hAnsi="Arial" w:eastAsia="Arial" w:cs="Arial"/>
          <w:b/>
          <w:bCs/>
          <w:color w:val="0B0C0C"/>
          <w:sz w:val="24"/>
          <w:szCs w:val="24"/>
        </w:rPr>
        <w:t>Components of the House of Care: -</w:t>
      </w:r>
    </w:p>
    <w:p w14:paraId="7F49D367">
      <w:pPr>
        <w:pStyle w:val="17"/>
        <w:numPr>
          <w:ilvl w:val="0"/>
          <w:numId w:val="22"/>
        </w:numPr>
        <w:shd w:val="clear" w:color="auto" w:fill="FFFFFF" w:themeFill="background1"/>
        <w:spacing w:before="0" w:beforeAutospacing="0" w:after="300" w:afterAutospacing="0"/>
        <w:rPr>
          <w:rFonts w:hint="default" w:ascii="Arial" w:hAnsi="Arial" w:eastAsia="Arial" w:cs="Arial"/>
          <w:color w:val="0B0C0C"/>
          <w:sz w:val="24"/>
          <w:szCs w:val="24"/>
        </w:rPr>
      </w:pPr>
      <w:r>
        <w:rPr>
          <w:rFonts w:hint="default" w:ascii="Arial" w:hAnsi="Arial" w:eastAsia="Arial" w:cs="Arial"/>
          <w:b/>
          <w:bCs/>
          <w:color w:val="0B0C0C"/>
          <w:sz w:val="24"/>
          <w:szCs w:val="24"/>
        </w:rPr>
        <w:t>Core: Personalised Care &amp; Support Planning (CSP)</w:t>
      </w:r>
      <w:r>
        <w:rPr>
          <w:rFonts w:hint="default" w:ascii="Arial" w:hAnsi="Arial" w:eastAsia="Arial" w:cs="Arial"/>
          <w:color w:val="0B0C0C"/>
          <w:sz w:val="24"/>
          <w:szCs w:val="24"/>
        </w:rPr>
        <w:t xml:space="preserve"> </w:t>
      </w:r>
    </w:p>
    <w:p w14:paraId="2C6ABE1A">
      <w:pPr>
        <w:pStyle w:val="17"/>
        <w:numPr>
          <w:ilvl w:val="0"/>
          <w:numId w:val="23"/>
        </w:numPr>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Collaborative care planning conversation (British Heart Foundation, 2023)</w:t>
      </w:r>
    </w:p>
    <w:p w14:paraId="1CADCB04">
      <w:pPr>
        <w:pStyle w:val="17"/>
        <w:numPr>
          <w:ilvl w:val="0"/>
          <w:numId w:val="23"/>
        </w:numPr>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Discusses “what matters to the patient”: Exercise capacity, Employment, Pregnancy planning (British Heart Foundation, 2023)</w:t>
      </w:r>
    </w:p>
    <w:p w14:paraId="3D536E03">
      <w:pPr>
        <w:pStyle w:val="17"/>
        <w:numPr>
          <w:ilvl w:val="0"/>
          <w:numId w:val="23"/>
        </w:numPr>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Patients receive investigation results (ECHO, MRI) before consultation (British Heart Foundation, 2023)</w:t>
      </w:r>
    </w:p>
    <w:p w14:paraId="1FFBCEC3">
      <w:pPr>
        <w:pStyle w:val="17"/>
        <w:numPr>
          <w:ilvl w:val="0"/>
          <w:numId w:val="23"/>
        </w:numPr>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Encourages shared decision-making (British Heart Foundation, 2023)</w:t>
      </w:r>
    </w:p>
    <w:p w14:paraId="58C36692">
      <w:pPr>
        <w:pStyle w:val="17"/>
        <w:shd w:val="clear" w:color="auto" w:fill="FFFFFF" w:themeFill="background1"/>
        <w:spacing w:before="0" w:beforeAutospacing="0" w:after="0" w:afterAutospacing="0" w:line="360" w:lineRule="auto"/>
        <w:ind w:left="720"/>
        <w:jc w:val="both"/>
        <w:rPr>
          <w:rFonts w:hint="default" w:ascii="Arial" w:hAnsi="Arial" w:eastAsia="Arial" w:cs="Arial"/>
          <w:color w:val="0B0C0C"/>
          <w:sz w:val="24"/>
          <w:szCs w:val="24"/>
        </w:rPr>
      </w:pPr>
    </w:p>
    <w:p w14:paraId="75EC9047">
      <w:pPr>
        <w:pStyle w:val="17"/>
        <w:shd w:val="clear" w:color="auto" w:fill="FFFFFF" w:themeFill="background1"/>
        <w:spacing w:before="0" w:beforeAutospacing="0" w:after="0" w:afterAutospacing="0" w:line="360" w:lineRule="auto"/>
        <w:ind w:left="720"/>
        <w:jc w:val="both"/>
        <w:rPr>
          <w:rFonts w:hint="default" w:ascii="Arial" w:hAnsi="Arial" w:eastAsia="Arial" w:cs="Arial"/>
          <w:color w:val="0B0C0C"/>
          <w:sz w:val="24"/>
          <w:szCs w:val="24"/>
        </w:rPr>
      </w:pPr>
    </w:p>
    <w:p w14:paraId="2514E2E2">
      <w:pPr>
        <w:pStyle w:val="17"/>
        <w:shd w:val="clear" w:color="auto" w:fill="FFFFFF" w:themeFill="background1"/>
        <w:spacing w:before="0" w:beforeAutospacing="0" w:after="0" w:afterAutospacing="0" w:line="360" w:lineRule="auto"/>
        <w:ind w:left="720"/>
        <w:jc w:val="both"/>
        <w:rPr>
          <w:rFonts w:hint="default" w:ascii="Arial" w:hAnsi="Arial" w:eastAsia="Arial" w:cs="Arial"/>
          <w:color w:val="0B0C0C"/>
          <w:sz w:val="24"/>
          <w:szCs w:val="24"/>
        </w:rPr>
      </w:pPr>
    </w:p>
    <w:p w14:paraId="2B5D1C73">
      <w:pPr>
        <w:pStyle w:val="17"/>
        <w:numPr>
          <w:ilvl w:val="0"/>
          <w:numId w:val="24"/>
        </w:numPr>
        <w:shd w:val="clear" w:color="auto" w:fill="FFFFFF" w:themeFill="background1"/>
        <w:spacing w:before="0" w:beforeAutospacing="0" w:after="300" w:afterAutospacing="0"/>
        <w:rPr>
          <w:rFonts w:hint="default" w:ascii="Arial" w:hAnsi="Arial" w:eastAsia="Arial" w:cs="Arial"/>
          <w:color w:val="0B0C0C"/>
          <w:sz w:val="24"/>
          <w:szCs w:val="24"/>
        </w:rPr>
      </w:pPr>
      <w:r>
        <w:rPr>
          <w:rFonts w:hint="default" w:ascii="Arial" w:hAnsi="Arial" w:eastAsia="Arial" w:cs="Arial"/>
          <w:b/>
          <w:bCs/>
          <w:color w:val="0B0C0C"/>
          <w:sz w:val="24"/>
          <w:szCs w:val="24"/>
        </w:rPr>
        <w:t>Left Wall: Engaged &amp; Empowered Patients:</w:t>
      </w:r>
    </w:p>
    <w:p w14:paraId="423572E5">
      <w:pPr>
        <w:pStyle w:val="17"/>
        <w:numPr>
          <w:ilvl w:val="0"/>
          <w:numId w:val="25"/>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Specific heart defect (National Institutes of Health, 2022)</w:t>
      </w:r>
    </w:p>
    <w:p w14:paraId="1B19B663">
      <w:pPr>
        <w:pStyle w:val="17"/>
        <w:numPr>
          <w:ilvl w:val="0"/>
          <w:numId w:val="25"/>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Medication adherence (National Institutes of Health, 2022)</w:t>
      </w:r>
    </w:p>
    <w:p w14:paraId="1A2918DE">
      <w:pPr>
        <w:pStyle w:val="17"/>
        <w:numPr>
          <w:ilvl w:val="0"/>
          <w:numId w:val="25"/>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Symptom recognition (e.g., heart failure signs) (National Institutes of Health, 2022)</w:t>
      </w:r>
    </w:p>
    <w:p w14:paraId="3E216692">
      <w:pPr>
        <w:pStyle w:val="17"/>
        <w:numPr>
          <w:ilvl w:val="0"/>
          <w:numId w:val="25"/>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Self-monitoring skills development (National Institutes of Health, 2022)</w:t>
      </w:r>
    </w:p>
    <w:p w14:paraId="65EB0213">
      <w:pPr>
        <w:pStyle w:val="17"/>
        <w:numPr>
          <w:ilvl w:val="0"/>
          <w:numId w:val="25"/>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color w:val="0B0C0C"/>
          <w:sz w:val="24"/>
          <w:szCs w:val="24"/>
        </w:rPr>
        <w:t xml:space="preserve">Structured transition education (paediatric → adult services) (National Institutes of Health, 2022) </w:t>
      </w:r>
    </w:p>
    <w:p w14:paraId="26AD4005">
      <w:pPr>
        <w:pStyle w:val="17"/>
        <w:shd w:val="clear" w:color="auto" w:fill="FFFFFF" w:themeFill="background1"/>
        <w:spacing w:before="0" w:beforeAutospacing="0" w:after="0" w:afterAutospacing="0" w:line="360" w:lineRule="auto"/>
        <w:ind w:left="720"/>
        <w:rPr>
          <w:rFonts w:hint="default" w:ascii="Arial" w:hAnsi="Arial" w:eastAsia="Arial" w:cs="Arial"/>
          <w:b/>
          <w:bCs/>
          <w:color w:val="0B0C0C"/>
          <w:sz w:val="24"/>
          <w:szCs w:val="24"/>
        </w:rPr>
      </w:pPr>
    </w:p>
    <w:p w14:paraId="3183C859">
      <w:pPr>
        <w:pStyle w:val="17"/>
        <w:numPr>
          <w:ilvl w:val="0"/>
          <w:numId w:val="26"/>
        </w:numPr>
        <w:shd w:val="clear" w:color="auto" w:fill="FFFFFF" w:themeFill="background1"/>
        <w:spacing w:before="0" w:beforeAutospacing="0" w:after="300" w:afterAutospacing="0"/>
        <w:rPr>
          <w:rFonts w:hint="default" w:ascii="Arial" w:hAnsi="Arial" w:eastAsia="Arial" w:cs="Arial"/>
          <w:color w:val="0B0C0C"/>
          <w:sz w:val="24"/>
          <w:szCs w:val="24"/>
        </w:rPr>
      </w:pPr>
      <w:r>
        <w:rPr>
          <w:rFonts w:hint="default" w:ascii="Arial" w:hAnsi="Arial" w:eastAsia="Arial" w:cs="Arial"/>
          <w:b/>
          <w:bCs/>
          <w:color w:val="0B0C0C"/>
          <w:sz w:val="24"/>
          <w:szCs w:val="24"/>
        </w:rPr>
        <w:t>Right Wall: Professionals as Partners Multidisciplinary Team (MDT) approach:</w:t>
      </w:r>
    </w:p>
    <w:p w14:paraId="45EFCEC8">
      <w:pPr>
        <w:pStyle w:val="17"/>
        <w:numPr>
          <w:ilvl w:val="0"/>
          <w:numId w:val="27"/>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Cardiologists (British Heart Foundation, 2023)</w:t>
      </w:r>
    </w:p>
    <w:p w14:paraId="512085A1">
      <w:pPr>
        <w:pStyle w:val="17"/>
        <w:numPr>
          <w:ilvl w:val="0"/>
          <w:numId w:val="27"/>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CHD surgeons (British Heart Foundation, 2023)</w:t>
      </w:r>
    </w:p>
    <w:p w14:paraId="4678878C">
      <w:pPr>
        <w:pStyle w:val="17"/>
        <w:numPr>
          <w:ilvl w:val="0"/>
          <w:numId w:val="27"/>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ACHD specialist nurses (British Heart Foundation, 2023)</w:t>
      </w:r>
    </w:p>
    <w:p w14:paraId="4810D0EC">
      <w:pPr>
        <w:pStyle w:val="17"/>
        <w:numPr>
          <w:ilvl w:val="0"/>
          <w:numId w:val="27"/>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Psychologists (British Heart Foundation, 2023)</w:t>
      </w:r>
    </w:p>
    <w:p w14:paraId="39A53DAC">
      <w:pPr>
        <w:pStyle w:val="17"/>
        <w:numPr>
          <w:ilvl w:val="0"/>
          <w:numId w:val="27"/>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Obstetricians (British Heart Foundation, 2023)</w:t>
      </w:r>
    </w:p>
    <w:p w14:paraId="574EAA24">
      <w:pPr>
        <w:pStyle w:val="17"/>
        <w:numPr>
          <w:ilvl w:val="0"/>
          <w:numId w:val="27"/>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S</w:t>
      </w:r>
      <w:r>
        <w:rPr>
          <w:rFonts w:hint="default" w:ascii="Arial" w:hAnsi="Arial" w:eastAsia="Arial" w:cs="Arial"/>
          <w:b/>
          <w:bCs/>
          <w:color w:val="0B0C0C"/>
          <w:sz w:val="24"/>
          <w:szCs w:val="24"/>
        </w:rPr>
        <w:t>hared expertise:</w:t>
      </w:r>
      <w:r>
        <w:rPr>
          <w:rFonts w:hint="default" w:ascii="Arial" w:hAnsi="Arial" w:eastAsia="Arial" w:cs="Arial"/>
          <w:color w:val="0B0C0C"/>
          <w:sz w:val="24"/>
          <w:szCs w:val="24"/>
        </w:rPr>
        <w:t xml:space="preserve"> Clinician = medical knowledge</w:t>
      </w:r>
    </w:p>
    <w:p w14:paraId="407E6491">
      <w:pPr>
        <w:pStyle w:val="17"/>
        <w:shd w:val="clear" w:color="auto" w:fill="FFFFFF" w:themeFill="background1"/>
        <w:spacing w:before="0" w:beforeAutospacing="0" w:after="0" w:afterAutospacing="0" w:line="360" w:lineRule="auto"/>
        <w:ind w:left="720"/>
        <w:rPr>
          <w:rFonts w:hint="default" w:ascii="Arial" w:hAnsi="Arial" w:eastAsia="Arial" w:cs="Arial"/>
          <w:color w:val="0B0C0C"/>
          <w:sz w:val="24"/>
          <w:szCs w:val="24"/>
        </w:rPr>
      </w:pPr>
      <w:r>
        <w:rPr>
          <w:rFonts w:hint="default" w:ascii="Arial" w:hAnsi="Arial" w:eastAsia="Arial" w:cs="Arial"/>
          <w:color w:val="0B0C0C"/>
          <w:sz w:val="24"/>
          <w:szCs w:val="24"/>
        </w:rPr>
        <w:t xml:space="preserve">                                Patient = lived experience (NHS England, 2016)</w:t>
      </w:r>
    </w:p>
    <w:p w14:paraId="71B4B5EA">
      <w:pPr>
        <w:pStyle w:val="17"/>
        <w:shd w:val="clear" w:color="auto" w:fill="FFFFFF" w:themeFill="background1"/>
        <w:spacing w:before="0" w:beforeAutospacing="0" w:after="0" w:afterAutospacing="0" w:line="360" w:lineRule="auto"/>
        <w:ind w:left="720"/>
        <w:rPr>
          <w:rFonts w:hint="default" w:ascii="Arial" w:hAnsi="Arial" w:eastAsia="Arial" w:cs="Arial"/>
          <w:color w:val="0B0C0C"/>
          <w:sz w:val="24"/>
          <w:szCs w:val="24"/>
        </w:rPr>
      </w:pPr>
    </w:p>
    <w:p w14:paraId="776221B7">
      <w:pPr>
        <w:pStyle w:val="17"/>
        <w:numPr>
          <w:ilvl w:val="0"/>
          <w:numId w:val="28"/>
        </w:numPr>
        <w:shd w:val="clear" w:color="auto" w:fill="FFFFFF" w:themeFill="background1"/>
        <w:spacing w:before="0" w:beforeAutospacing="0" w:after="300" w:afterAutospacing="0"/>
        <w:rPr>
          <w:rFonts w:hint="default" w:ascii="Arial" w:hAnsi="Arial" w:eastAsia="Arial" w:cs="Arial"/>
          <w:color w:val="0B0C0C"/>
          <w:sz w:val="24"/>
          <w:szCs w:val="24"/>
        </w:rPr>
      </w:pPr>
      <w:r>
        <w:rPr>
          <w:rFonts w:hint="default" w:ascii="Arial" w:hAnsi="Arial" w:eastAsia="Arial" w:cs="Arial"/>
          <w:color w:val="0B0C0C"/>
          <w:sz w:val="24"/>
          <w:szCs w:val="24"/>
        </w:rPr>
        <w:t xml:space="preserve"> </w:t>
      </w:r>
      <w:r>
        <w:rPr>
          <w:rFonts w:hint="default" w:ascii="Arial" w:hAnsi="Arial" w:eastAsia="Arial" w:cs="Arial"/>
          <w:b/>
          <w:bCs/>
          <w:color w:val="0B0C0C"/>
          <w:sz w:val="24"/>
          <w:szCs w:val="24"/>
        </w:rPr>
        <w:t>Roof: Organisational Systems:</w:t>
      </w:r>
    </w:p>
    <w:p w14:paraId="634AED94">
      <w:pPr>
        <w:pStyle w:val="17"/>
        <w:shd w:val="clear" w:color="auto" w:fill="FFFFFF" w:themeFill="background1"/>
        <w:spacing w:before="0" w:beforeAutospacing="0" w:after="0" w:afterAutospacing="0" w:line="360" w:lineRule="auto"/>
        <w:ind w:left="720"/>
        <w:rPr>
          <w:rFonts w:hint="default" w:ascii="Arial" w:hAnsi="Arial" w:eastAsia="Arial" w:cs="Arial"/>
          <w:color w:val="0B0C0C"/>
          <w:sz w:val="24"/>
          <w:szCs w:val="24"/>
        </w:rPr>
      </w:pPr>
      <w:r>
        <w:rPr>
          <w:rFonts w:hint="default" w:ascii="Arial" w:hAnsi="Arial" w:eastAsia="Arial" w:cs="Arial"/>
          <w:color w:val="0B0C0C"/>
          <w:sz w:val="24"/>
          <w:szCs w:val="24"/>
        </w:rPr>
        <w:t>Structured transition services (16–18 years) “</w:t>
      </w:r>
      <w:r>
        <w:rPr>
          <w:rFonts w:hint="default" w:ascii="Arial" w:hAnsi="Arial" w:eastAsia="Arial" w:cs="Arial"/>
          <w:b/>
          <w:bCs/>
          <w:color w:val="0B0C0C"/>
          <w:sz w:val="24"/>
          <w:szCs w:val="24"/>
        </w:rPr>
        <w:t>Hub-and-Spoke”</w:t>
      </w:r>
      <w:r>
        <w:rPr>
          <w:rFonts w:hint="default" w:ascii="Arial" w:hAnsi="Arial" w:eastAsia="Arial" w:cs="Arial"/>
          <w:color w:val="0B0C0C"/>
          <w:sz w:val="24"/>
          <w:szCs w:val="24"/>
        </w:rPr>
        <w:t xml:space="preserve"> model:</w:t>
      </w:r>
    </w:p>
    <w:p w14:paraId="2C45DE9F">
      <w:pPr>
        <w:pStyle w:val="17"/>
        <w:numPr>
          <w:ilvl w:val="0"/>
          <w:numId w:val="29"/>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Specialist surgical centres (hubs) (NHS England, 2016)</w:t>
      </w:r>
    </w:p>
    <w:p w14:paraId="2BC18515">
      <w:pPr>
        <w:pStyle w:val="17"/>
        <w:numPr>
          <w:ilvl w:val="0"/>
          <w:numId w:val="29"/>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Local follow-up clinics (spokes) (NHS England, 2016)</w:t>
      </w:r>
    </w:p>
    <w:p w14:paraId="1163788E">
      <w:pPr>
        <w:pStyle w:val="17"/>
        <w:numPr>
          <w:ilvl w:val="0"/>
          <w:numId w:val="29"/>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Shared electronic patient records (NHS England, 2016)</w:t>
      </w:r>
    </w:p>
    <w:p w14:paraId="5FC428D1">
      <w:pPr>
        <w:pStyle w:val="17"/>
        <w:numPr>
          <w:ilvl w:val="0"/>
          <w:numId w:val="29"/>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Clear referral pathways (NHS England, 2016)</w:t>
      </w:r>
    </w:p>
    <w:p w14:paraId="002E72CF">
      <w:pPr>
        <w:pStyle w:val="17"/>
        <w:shd w:val="clear" w:color="auto" w:fill="FFFFFF" w:themeFill="background1"/>
        <w:spacing w:before="0" w:beforeAutospacing="0" w:after="0" w:afterAutospacing="0" w:line="360" w:lineRule="auto"/>
        <w:rPr>
          <w:rFonts w:hint="default" w:ascii="Arial" w:hAnsi="Arial" w:eastAsia="Arial" w:cs="Arial"/>
          <w:color w:val="0B0C0C"/>
          <w:sz w:val="24"/>
          <w:szCs w:val="24"/>
        </w:rPr>
      </w:pPr>
    </w:p>
    <w:p w14:paraId="088A0BDD">
      <w:pPr>
        <w:pStyle w:val="17"/>
        <w:shd w:val="clear" w:color="auto" w:fill="FFFFFF" w:themeFill="background1"/>
        <w:spacing w:before="0" w:beforeAutospacing="0" w:after="0" w:afterAutospacing="0" w:line="360" w:lineRule="auto"/>
        <w:rPr>
          <w:rFonts w:hint="default" w:ascii="Arial" w:hAnsi="Arial" w:eastAsia="Arial" w:cs="Arial"/>
          <w:color w:val="0B0C0C"/>
          <w:sz w:val="24"/>
          <w:szCs w:val="24"/>
        </w:rPr>
      </w:pPr>
    </w:p>
    <w:p w14:paraId="570667E0">
      <w:pPr>
        <w:pStyle w:val="17"/>
        <w:shd w:val="clear" w:color="auto" w:fill="FFFFFF" w:themeFill="background1"/>
        <w:spacing w:before="0" w:beforeAutospacing="0" w:after="0" w:afterAutospacing="0" w:line="360" w:lineRule="auto"/>
        <w:rPr>
          <w:rFonts w:hint="default" w:ascii="Arial" w:hAnsi="Arial" w:eastAsia="Arial" w:cs="Arial"/>
          <w:color w:val="0B0C0C"/>
          <w:sz w:val="24"/>
          <w:szCs w:val="24"/>
        </w:rPr>
      </w:pPr>
    </w:p>
    <w:p w14:paraId="42994888">
      <w:pPr>
        <w:pStyle w:val="17"/>
        <w:shd w:val="clear" w:color="auto" w:fill="FFFFFF" w:themeFill="background1"/>
        <w:spacing w:before="0" w:beforeAutospacing="0" w:after="0" w:afterAutospacing="0" w:line="360" w:lineRule="auto"/>
        <w:ind w:left="720"/>
        <w:rPr>
          <w:rFonts w:hint="default" w:ascii="Arial" w:hAnsi="Arial" w:eastAsia="Arial" w:cs="Arial"/>
          <w:color w:val="0B0C0C"/>
          <w:sz w:val="24"/>
          <w:szCs w:val="24"/>
        </w:rPr>
      </w:pPr>
    </w:p>
    <w:p w14:paraId="3F6A2ACC">
      <w:pPr>
        <w:pStyle w:val="17"/>
        <w:numPr>
          <w:ilvl w:val="0"/>
          <w:numId w:val="30"/>
        </w:numPr>
        <w:shd w:val="clear" w:color="auto" w:fill="FFFFFF" w:themeFill="background1"/>
        <w:spacing w:before="0" w:beforeAutospacing="0" w:after="300" w:afterAutospacing="0"/>
        <w:rPr>
          <w:rFonts w:hint="default" w:ascii="Arial" w:hAnsi="Arial" w:eastAsia="Arial" w:cs="Arial"/>
          <w:b/>
          <w:bCs/>
          <w:color w:val="0B0C0C"/>
          <w:sz w:val="24"/>
          <w:szCs w:val="24"/>
        </w:rPr>
      </w:pPr>
      <w:r>
        <w:rPr>
          <w:rFonts w:hint="default" w:ascii="Arial" w:hAnsi="Arial" w:eastAsia="Arial" w:cs="Arial"/>
          <w:b/>
          <w:bCs/>
          <w:color w:val="0B0C0C"/>
          <w:sz w:val="24"/>
          <w:szCs w:val="24"/>
        </w:rPr>
        <w:t>Foundation: “More Than Medicine”:</w:t>
      </w:r>
    </w:p>
    <w:p w14:paraId="6A97A056">
      <w:pPr>
        <w:pStyle w:val="17"/>
        <w:shd w:val="clear" w:color="auto" w:fill="FFFFFF" w:themeFill="background1"/>
        <w:spacing w:before="0" w:beforeAutospacing="0" w:after="300" w:afterAutospacing="0"/>
        <w:rPr>
          <w:rFonts w:hint="default" w:ascii="Arial" w:hAnsi="Arial" w:eastAsia="Arial" w:cs="Arial"/>
          <w:color w:val="0B0C0C"/>
          <w:sz w:val="24"/>
          <w:szCs w:val="24"/>
        </w:rPr>
      </w:pPr>
      <w:r>
        <w:rPr>
          <w:rFonts w:hint="default" w:ascii="Arial" w:hAnsi="Arial" w:eastAsia="Arial" w:cs="Arial"/>
          <w:color w:val="0B0C0C"/>
          <w:sz w:val="24"/>
          <w:szCs w:val="24"/>
        </w:rPr>
        <w:t>Recognises psychosocial impact of CHD Links to:</w:t>
      </w:r>
    </w:p>
    <w:p w14:paraId="56BF0B0F">
      <w:pPr>
        <w:pStyle w:val="17"/>
        <w:numPr>
          <w:ilvl w:val="0"/>
          <w:numId w:val="31"/>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Support groups (British Heart Foundation, 2023)</w:t>
      </w:r>
    </w:p>
    <w:p w14:paraId="52812359">
      <w:pPr>
        <w:pStyle w:val="17"/>
        <w:numPr>
          <w:ilvl w:val="0"/>
          <w:numId w:val="31"/>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Mental health services (NIH, 2022)</w:t>
      </w:r>
    </w:p>
    <w:p w14:paraId="78D743E6">
      <w:pPr>
        <w:pStyle w:val="17"/>
        <w:numPr>
          <w:ilvl w:val="0"/>
          <w:numId w:val="31"/>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Community resources (NIH, 2022)</w:t>
      </w:r>
    </w:p>
    <w:p w14:paraId="6083FD3E">
      <w:pPr>
        <w:pStyle w:val="17"/>
        <w:numPr>
          <w:ilvl w:val="0"/>
          <w:numId w:val="31"/>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Addresses invisible burden of chronic illness (British Heart Foundation, 2023)</w:t>
      </w:r>
    </w:p>
    <w:p w14:paraId="03BC7FA1">
      <w:pPr>
        <w:pStyle w:val="17"/>
        <w:shd w:val="clear" w:color="auto" w:fill="FFFFFF" w:themeFill="background1"/>
        <w:spacing w:before="0" w:beforeAutospacing="0" w:after="0" w:afterAutospacing="0" w:line="360" w:lineRule="auto"/>
        <w:ind w:left="720"/>
        <w:rPr>
          <w:rFonts w:hint="default" w:ascii="Arial" w:hAnsi="Arial" w:eastAsia="Arial" w:cs="Arial"/>
          <w:color w:val="0B0C0C"/>
          <w:sz w:val="24"/>
          <w:szCs w:val="24"/>
        </w:rPr>
      </w:pPr>
    </w:p>
    <w:p w14:paraId="7A075566">
      <w:pPr>
        <w:pStyle w:val="17"/>
        <w:numPr>
          <w:ilvl w:val="0"/>
          <w:numId w:val="32"/>
        </w:numPr>
        <w:shd w:val="clear" w:color="auto" w:fill="FFFFFF" w:themeFill="background1"/>
        <w:spacing w:before="0" w:beforeAutospacing="0" w:after="300" w:afterAutospacing="0"/>
        <w:rPr>
          <w:rFonts w:hint="default" w:ascii="Arial" w:hAnsi="Arial" w:eastAsia="Arial" w:cs="Arial"/>
          <w:color w:val="0B0C0C"/>
          <w:sz w:val="24"/>
          <w:szCs w:val="24"/>
        </w:rPr>
      </w:pPr>
      <w:r>
        <w:rPr>
          <w:rFonts w:hint="default" w:ascii="Arial" w:hAnsi="Arial" w:eastAsia="Arial" w:cs="Arial"/>
          <w:b/>
          <w:bCs/>
          <w:color w:val="0B0C0C"/>
          <w:sz w:val="24"/>
          <w:szCs w:val="24"/>
        </w:rPr>
        <w:t>Why Use HoC in CHD?</w:t>
      </w:r>
      <w:r>
        <w:rPr>
          <w:rFonts w:hint="default" w:ascii="Arial" w:hAnsi="Arial" w:eastAsia="Arial" w:cs="Arial"/>
          <w:color w:val="0B0C0C"/>
          <w:sz w:val="24"/>
          <w:szCs w:val="24"/>
        </w:rPr>
        <w:t xml:space="preserve"> (NHS England, 2016)</w:t>
      </w:r>
    </w:p>
    <w:p w14:paraId="0356157F">
      <w:pPr>
        <w:pStyle w:val="17"/>
        <w:numPr>
          <w:ilvl w:val="0"/>
          <w:numId w:val="33"/>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 xml:space="preserve"> Supports lifelong condition management (NHS England, 2016)</w:t>
      </w:r>
    </w:p>
    <w:p w14:paraId="0702B4BA">
      <w:pPr>
        <w:pStyle w:val="17"/>
        <w:numPr>
          <w:ilvl w:val="0"/>
          <w:numId w:val="33"/>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 xml:space="preserve"> Improves quality of life (NHS England, 2016)</w:t>
      </w:r>
    </w:p>
    <w:p w14:paraId="68A4F0E6">
      <w:pPr>
        <w:pStyle w:val="17"/>
        <w:numPr>
          <w:ilvl w:val="0"/>
          <w:numId w:val="33"/>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Reduces emergency admissions (NHS England, 2016)</w:t>
      </w:r>
    </w:p>
    <w:p w14:paraId="3C7B9EBF">
      <w:pPr>
        <w:pStyle w:val="17"/>
        <w:numPr>
          <w:ilvl w:val="0"/>
          <w:numId w:val="33"/>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 xml:space="preserve"> Strengthens transition to adult services (NHS England, 2016)</w:t>
      </w:r>
    </w:p>
    <w:p w14:paraId="7E8DF398">
      <w:pPr>
        <w:pStyle w:val="17"/>
        <w:numPr>
          <w:ilvl w:val="0"/>
          <w:numId w:val="33"/>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 xml:space="preserve"> Encourages patient autonomy (NHS England, 2016)</w:t>
      </w:r>
    </w:p>
    <w:p w14:paraId="775C6AFB">
      <w:pPr>
        <w:pStyle w:val="17"/>
        <w:shd w:val="clear" w:color="auto" w:fill="FFFFFF" w:themeFill="background1"/>
        <w:spacing w:before="0" w:beforeAutospacing="0" w:after="0" w:afterAutospacing="0" w:line="360" w:lineRule="auto"/>
        <w:ind w:left="720"/>
        <w:rPr>
          <w:rFonts w:hint="default" w:ascii="Arial" w:hAnsi="Arial" w:eastAsia="Arial" w:cs="Arial"/>
          <w:color w:val="0B0C0C"/>
          <w:sz w:val="24"/>
          <w:szCs w:val="24"/>
        </w:rPr>
      </w:pPr>
    </w:p>
    <w:p w14:paraId="4DDB2E92">
      <w:pPr>
        <w:pStyle w:val="35"/>
        <w:numPr>
          <w:ilvl w:val="0"/>
          <w:numId w:val="34"/>
        </w:numPr>
        <w:shd w:val="clear" w:color="auto" w:fill="FFFFFF" w:themeFill="background1"/>
        <w:spacing w:after="0" w:line="360" w:lineRule="auto"/>
        <w:ind w:left="0"/>
        <w:jc w:val="both"/>
        <w:rPr>
          <w:rFonts w:hint="default" w:ascii="Arial" w:hAnsi="Arial" w:eastAsia="Times New Roman" w:cs="Arial"/>
          <w:b/>
          <w:bCs/>
          <w:color w:val="156082" w:themeColor="accent1"/>
          <w:sz w:val="24"/>
          <w:szCs w:val="24"/>
          <w14:textFill>
            <w14:solidFill>
              <w14:schemeClr w14:val="accent1"/>
            </w14:solidFill>
          </w14:textFill>
        </w:rPr>
      </w:pPr>
      <w:bookmarkStart w:id="13" w:name="_Toc29761"/>
      <w:r>
        <w:rPr>
          <w:rStyle w:val="22"/>
          <w:rFonts w:hint="default" w:ascii="Arial" w:hAnsi="Arial" w:cs="Arial"/>
          <w:sz w:val="32"/>
          <w:szCs w:val="32"/>
        </w:rPr>
        <w:t>Physiotherapy Management of Congenital Heart Disease:</w:t>
      </w:r>
      <w:bookmarkEnd w:id="13"/>
      <w:r>
        <w:rPr>
          <w:rFonts w:hint="default" w:ascii="Arial" w:hAnsi="Arial" w:eastAsia="Times New Roman" w:cs="Arial"/>
          <w:b/>
          <w:bCs/>
          <w:color w:val="156082" w:themeColor="accent1"/>
          <w:sz w:val="32"/>
          <w:szCs w:val="32"/>
          <w14:textFill>
            <w14:solidFill>
              <w14:schemeClr w14:val="accent1"/>
            </w14:solidFill>
          </w14:textFill>
        </w:rPr>
        <w:t xml:space="preserve"> </w:t>
      </w:r>
      <w:r>
        <w:rPr>
          <w:rFonts w:hint="default" w:ascii="Arial" w:hAnsi="Arial" w:eastAsia="Times New Roman" w:cs="Arial"/>
          <w:b/>
          <w:bCs/>
          <w:color w:val="156082" w:themeColor="accent1"/>
          <w:sz w:val="24"/>
          <w:szCs w:val="24"/>
          <w14:textFill>
            <w14:solidFill>
              <w14:schemeClr w14:val="accent1"/>
            </w14:solidFill>
          </w14:textFill>
        </w:rPr>
        <w:t xml:space="preserve"> </w:t>
      </w:r>
    </w:p>
    <w:p w14:paraId="39932862">
      <w:pPr>
        <w:pStyle w:val="35"/>
        <w:numPr>
          <w:numId w:val="0"/>
        </w:numPr>
        <w:shd w:val="clear" w:color="auto" w:fill="FFFFFF" w:themeFill="background1"/>
        <w:spacing w:after="0" w:line="360" w:lineRule="auto"/>
        <w:jc w:val="both"/>
        <w:rPr>
          <w:rFonts w:hint="default" w:ascii="Arial" w:hAnsi="Arial" w:eastAsia="Times New Roman" w:cs="Arial"/>
          <w:b/>
          <w:bCs/>
          <w:color w:val="156082" w:themeColor="accent1"/>
          <w:sz w:val="24"/>
          <w:szCs w:val="24"/>
          <w14:textFill>
            <w14:solidFill>
              <w14:schemeClr w14:val="accent1"/>
            </w14:solidFill>
          </w14:textFill>
        </w:rPr>
      </w:pPr>
    </w:p>
    <w:p w14:paraId="4498BAD6">
      <w:pPr>
        <w:pStyle w:val="35"/>
        <w:shd w:val="clear" w:color="auto" w:fill="FFFFFF" w:themeFill="background1"/>
        <w:spacing w:after="0" w:line="360" w:lineRule="auto"/>
        <w:ind w:left="0"/>
        <w:jc w:val="both"/>
        <w:rPr>
          <w:rFonts w:hint="default" w:ascii="Arial" w:hAnsi="Arial" w:eastAsia="Times New Roman" w:cs="Arial"/>
          <w:color w:val="2E2E2E"/>
          <w:sz w:val="24"/>
          <w:szCs w:val="24"/>
        </w:rPr>
      </w:pPr>
      <w:r>
        <w:rPr>
          <w:rFonts w:hint="default" w:ascii="Arial" w:hAnsi="Arial" w:eastAsia="Times New Roman" w:cs="Arial"/>
          <w:color w:val="2E2E2E"/>
          <w:sz w:val="24"/>
          <w:szCs w:val="24"/>
        </w:rPr>
        <w:t>Physiotherapy is an essential component of rehabilitative and supportive care for children and adults with CHD, particularly post-surgery or for managing developmental delays. It forms part of multidisciplinary care aimed at improving respiratory function, motor development, exercise capacity, and overall functional independence (Clarke et al;2025).</w:t>
      </w:r>
    </w:p>
    <w:p w14:paraId="49DCEEFB">
      <w:pPr>
        <w:pStyle w:val="35"/>
        <w:shd w:val="clear" w:color="auto" w:fill="FFFFFF" w:themeFill="background1"/>
        <w:spacing w:after="0" w:line="360" w:lineRule="auto"/>
        <w:ind w:left="0"/>
        <w:jc w:val="both"/>
        <w:rPr>
          <w:rFonts w:hint="default" w:ascii="Arial" w:hAnsi="Arial" w:eastAsia="Times New Roman" w:cs="Arial"/>
          <w:color w:val="2E2E2E"/>
          <w:sz w:val="24"/>
          <w:szCs w:val="24"/>
        </w:rPr>
      </w:pPr>
    </w:p>
    <w:p w14:paraId="349D081A">
      <w:pPr>
        <w:pStyle w:val="3"/>
        <w:bidi w:val="0"/>
        <w:rPr>
          <w:rFonts w:hint="default" w:ascii="Arial" w:hAnsi="Arial" w:cs="Arial"/>
          <w:sz w:val="28"/>
          <w:szCs w:val="28"/>
        </w:rPr>
      </w:pPr>
      <w:r>
        <w:rPr>
          <w:rFonts w:hint="default" w:ascii="Arial" w:hAnsi="Arial" w:cs="Arial"/>
          <w:sz w:val="28"/>
          <w:szCs w:val="28"/>
        </w:rPr>
        <w:t xml:space="preserve"> </w:t>
      </w:r>
      <w:bookmarkStart w:id="14" w:name="_Toc25823"/>
      <w:r>
        <w:rPr>
          <w:rFonts w:hint="default" w:ascii="Arial" w:hAnsi="Arial" w:cs="Arial"/>
          <w:sz w:val="28"/>
          <w:szCs w:val="28"/>
        </w:rPr>
        <w:t>4.1. Key Interventions:</w:t>
      </w:r>
      <w:bookmarkEnd w:id="14"/>
    </w:p>
    <w:p w14:paraId="37722A85">
      <w:pPr>
        <w:pStyle w:val="35"/>
        <w:numPr>
          <w:ilvl w:val="0"/>
          <w:numId w:val="35"/>
        </w:numPr>
        <w:shd w:val="clear" w:color="auto" w:fill="FFFFFF" w:themeFill="background1"/>
        <w:spacing w:after="0" w:line="360" w:lineRule="auto"/>
        <w:rPr>
          <w:rFonts w:hint="default" w:ascii="Arial" w:hAnsi="Arial" w:eastAsia="Times New Roman" w:cs="Arial"/>
          <w:color w:val="2E2E2E"/>
          <w:sz w:val="24"/>
          <w:szCs w:val="24"/>
        </w:rPr>
      </w:pPr>
      <w:r>
        <w:rPr>
          <w:rFonts w:hint="default" w:ascii="Arial" w:hAnsi="Arial" w:eastAsia="Times New Roman" w:cs="Arial"/>
          <w:color w:val="2E2E2E"/>
          <w:sz w:val="24"/>
          <w:szCs w:val="24"/>
        </w:rPr>
        <w:t>Post-Operative Respiratory Care: Techniques to clear secretions and improve oxygenation, often initiated in PICU (Clarke &amp; Milburn; 2024).</w:t>
      </w:r>
    </w:p>
    <w:p w14:paraId="29D6F8A5">
      <w:pPr>
        <w:pStyle w:val="35"/>
        <w:numPr>
          <w:ilvl w:val="0"/>
          <w:numId w:val="35"/>
        </w:numPr>
        <w:shd w:val="clear" w:color="auto" w:fill="FFFFFF" w:themeFill="background1"/>
        <w:spacing w:after="0" w:line="360" w:lineRule="auto"/>
        <w:rPr>
          <w:rFonts w:hint="default" w:ascii="Arial" w:hAnsi="Arial" w:eastAsia="Times New Roman" w:cs="Arial"/>
          <w:color w:val="2E2E2E"/>
          <w:sz w:val="24"/>
          <w:szCs w:val="24"/>
        </w:rPr>
      </w:pPr>
      <w:r>
        <w:rPr>
          <w:rFonts w:hint="default" w:ascii="Arial" w:hAnsi="Arial" w:eastAsia="Times New Roman" w:cs="Arial"/>
          <w:color w:val="2E2E2E"/>
          <w:sz w:val="24"/>
          <w:szCs w:val="24"/>
        </w:rPr>
        <w:t>Neurodevelopmental Rehabilitation: Addressing motor delays and promoting normal developmental milestones (Vikhe et al; 2024).</w:t>
      </w:r>
    </w:p>
    <w:p w14:paraId="504EE554">
      <w:pPr>
        <w:pStyle w:val="35"/>
        <w:numPr>
          <w:ilvl w:val="0"/>
          <w:numId w:val="35"/>
        </w:numPr>
        <w:shd w:val="clear" w:color="auto" w:fill="FFFFFF" w:themeFill="background1"/>
        <w:spacing w:after="0" w:line="360" w:lineRule="auto"/>
        <w:rPr>
          <w:rFonts w:hint="default" w:ascii="Arial" w:hAnsi="Arial" w:cs="Arial"/>
          <w:sz w:val="24"/>
          <w:szCs w:val="24"/>
        </w:rPr>
      </w:pPr>
      <w:r>
        <w:rPr>
          <w:rFonts w:hint="default" w:ascii="Arial" w:hAnsi="Arial" w:eastAsia="Times New Roman" w:cs="Arial"/>
          <w:color w:val="2E2E2E"/>
          <w:sz w:val="24"/>
          <w:szCs w:val="24"/>
        </w:rPr>
        <w:t xml:space="preserve">Exercise-Based Cardiac Rehabilitation: Improving cardiovascular fitness, muscular strength, and quality of life </w:t>
      </w:r>
      <w:r>
        <w:rPr>
          <w:rFonts w:hint="default" w:ascii="Arial" w:hAnsi="Arial" w:eastAsia="Arial" w:cs="Arial"/>
          <w:color w:val="2E2E2E"/>
          <w:sz w:val="24"/>
          <w:szCs w:val="24"/>
        </w:rPr>
        <w:t>(Taylor et al; 2022)</w:t>
      </w:r>
    </w:p>
    <w:p w14:paraId="57390EED">
      <w:pPr>
        <w:pStyle w:val="35"/>
        <w:numPr>
          <w:ilvl w:val="0"/>
          <w:numId w:val="35"/>
        </w:numPr>
        <w:shd w:val="clear" w:color="auto" w:fill="FFFFFF" w:themeFill="background1"/>
        <w:spacing w:after="0" w:line="360" w:lineRule="auto"/>
        <w:rPr>
          <w:rFonts w:hint="default" w:ascii="Arial" w:hAnsi="Arial" w:eastAsia="Times New Roman" w:cs="Arial"/>
          <w:color w:val="2E2E2E"/>
          <w:sz w:val="24"/>
          <w:szCs w:val="24"/>
        </w:rPr>
      </w:pPr>
      <w:r>
        <w:rPr>
          <w:rFonts w:hint="default" w:ascii="Arial" w:hAnsi="Arial" w:eastAsia="Times New Roman" w:cs="Arial"/>
          <w:color w:val="2E2E2E"/>
          <w:sz w:val="24"/>
          <w:szCs w:val="24"/>
        </w:rPr>
        <w:t>Functional Training: Tailored exercises to manage fatigue and enhance daily activity (Ubeda Tikkanen et al; 2023).</w:t>
      </w:r>
    </w:p>
    <w:p w14:paraId="6E3C416A">
      <w:pPr>
        <w:shd w:val="clear" w:color="auto" w:fill="FFFFFF" w:themeFill="background1"/>
        <w:spacing w:after="0" w:line="360" w:lineRule="auto"/>
        <w:rPr>
          <w:rFonts w:hint="default" w:ascii="Arial" w:hAnsi="Arial" w:eastAsia="Times New Roman" w:cs="Arial"/>
          <w:color w:val="2E2E2E"/>
          <w:sz w:val="24"/>
          <w:szCs w:val="24"/>
        </w:rPr>
      </w:pPr>
      <w:r>
        <w:rPr>
          <w:rFonts w:hint="default" w:ascii="Arial" w:hAnsi="Arial" w:eastAsia="Times New Roman" w:cs="Arial"/>
          <w:color w:val="2E2E2E"/>
          <w:sz w:val="24"/>
          <w:szCs w:val="24"/>
        </w:rPr>
        <w:t>.</w:t>
      </w:r>
      <w:r>
        <w:rPr>
          <w:rFonts w:hint="default" w:ascii="Arial" w:hAnsi="Arial" w:cs="Arial"/>
          <w:sz w:val="24"/>
          <w:szCs w:val="24"/>
        </w:rPr>
        <w:drawing>
          <wp:inline distT="0" distB="0" distL="0" distR="0">
            <wp:extent cx="6386830" cy="2753360"/>
            <wp:effectExtent l="0" t="0" r="0" b="0"/>
            <wp:docPr id="4176615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661563" name="drawing"/>
                    <pic:cNvPicPr>
                      <a:picLocks noChangeAspect="1"/>
                    </pic:cNvPicPr>
                  </pic:nvPicPr>
                  <pic:blipFill>
                    <a:blip r:embed="rId23"/>
                    <a:stretch>
                      <a:fillRect/>
                    </a:stretch>
                  </pic:blipFill>
                  <pic:spPr>
                    <a:xfrm>
                      <a:off x="0" y="0"/>
                      <a:ext cx="6387068" cy="2753399"/>
                    </a:xfrm>
                    <a:prstGeom prst="rect">
                      <a:avLst/>
                    </a:prstGeom>
                  </pic:spPr>
                </pic:pic>
              </a:graphicData>
            </a:graphic>
          </wp:inline>
        </w:drawing>
      </w:r>
    </w:p>
    <w:p w14:paraId="34AE6A80">
      <w:pPr>
        <w:pStyle w:val="35"/>
        <w:shd w:val="clear" w:color="auto" w:fill="FFFFFF" w:themeFill="background1"/>
        <w:spacing w:after="0" w:line="360" w:lineRule="auto"/>
        <w:ind w:left="0"/>
        <w:jc w:val="center"/>
        <w:rPr>
          <w:rFonts w:hint="default" w:ascii="Arial" w:hAnsi="Arial" w:cs="Arial"/>
          <w:color w:val="808080" w:themeColor="text1" w:themeTint="80"/>
          <w:sz w:val="24"/>
          <w:szCs w:val="24"/>
          <w14:textFill>
            <w14:solidFill>
              <w14:schemeClr w14:val="tx1">
                <w14:lumMod w14:val="50000"/>
                <w14:lumOff w14:val="50000"/>
              </w14:schemeClr>
            </w14:solidFill>
          </w14:textFill>
        </w:rPr>
      </w:pPr>
      <w:r>
        <w:rPr>
          <w:rFonts w:hint="default" w:ascii="Arial" w:hAnsi="Arial" w:eastAsia="Arial" w:cs="Arial"/>
          <w:color w:val="808080" w:themeColor="text1" w:themeTint="80"/>
          <w:sz w:val="24"/>
          <w:szCs w:val="24"/>
          <w14:textFill>
            <w14:solidFill>
              <w14:schemeClr w14:val="tx1">
                <w14:lumMod w14:val="50000"/>
                <w14:lumOff w14:val="50000"/>
              </w14:schemeClr>
            </w14:solidFill>
          </w14:textFill>
        </w:rPr>
        <w:t>(Taylor et al; 2022)</w:t>
      </w:r>
    </w:p>
    <w:p w14:paraId="55D105CA">
      <w:pPr>
        <w:pStyle w:val="35"/>
        <w:shd w:val="clear" w:color="auto" w:fill="FFFFFF" w:themeFill="background1"/>
        <w:spacing w:after="0" w:line="360" w:lineRule="auto"/>
        <w:ind w:left="0"/>
        <w:rPr>
          <w:rFonts w:hint="default" w:ascii="Arial" w:hAnsi="Arial" w:eastAsia="Times New Roman" w:cs="Arial"/>
          <w:b/>
          <w:bCs/>
          <w:color w:val="2E2E2E"/>
          <w:sz w:val="24"/>
          <w:szCs w:val="24"/>
        </w:rPr>
      </w:pPr>
    </w:p>
    <w:p w14:paraId="2F61032D">
      <w:pPr>
        <w:shd w:val="clear" w:color="auto" w:fill="FFFFFF" w:themeFill="background1"/>
        <w:spacing w:after="0" w:line="360" w:lineRule="auto"/>
        <w:ind w:left="360"/>
        <w:rPr>
          <w:rFonts w:hint="default" w:ascii="Arial" w:hAnsi="Arial" w:eastAsia="Arial" w:cs="Arial"/>
          <w:b/>
          <w:bCs/>
          <w:sz w:val="24"/>
          <w:szCs w:val="24"/>
        </w:rPr>
      </w:pPr>
      <w:r>
        <w:rPr>
          <w:rFonts w:hint="default" w:ascii="Arial" w:hAnsi="Arial" w:eastAsia="Arial" w:cs="Arial"/>
          <w:b/>
          <w:bCs/>
          <w:sz w:val="24"/>
          <w:szCs w:val="24"/>
        </w:rPr>
        <w:t>Improving Interventions</w:t>
      </w:r>
    </w:p>
    <w:p w14:paraId="37C39317">
      <w:pPr>
        <w:pStyle w:val="35"/>
        <w:numPr>
          <w:ilvl w:val="0"/>
          <w:numId w:val="35"/>
        </w:numPr>
        <w:shd w:val="clear" w:color="auto" w:fill="FFFFFF" w:themeFill="background1"/>
        <w:spacing w:after="0" w:line="360" w:lineRule="auto"/>
        <w:rPr>
          <w:rFonts w:hint="default" w:ascii="Arial" w:hAnsi="Arial" w:eastAsia="Arial" w:cs="Arial"/>
          <w:sz w:val="24"/>
          <w:szCs w:val="24"/>
        </w:rPr>
      </w:pPr>
      <w:r>
        <w:rPr>
          <w:rFonts w:hint="default" w:ascii="Arial" w:hAnsi="Arial" w:eastAsia="Arial" w:cs="Arial"/>
          <w:sz w:val="24"/>
          <w:szCs w:val="24"/>
        </w:rPr>
        <w:t>Ductal stenting vs surgical shunting (Prakoso et al;2024) shorter hospital stay &amp; lower mortality</w:t>
      </w:r>
    </w:p>
    <w:p w14:paraId="64EEA69B">
      <w:pPr>
        <w:pStyle w:val="35"/>
        <w:numPr>
          <w:ilvl w:val="0"/>
          <w:numId w:val="35"/>
        </w:numPr>
        <w:shd w:val="clear" w:color="auto" w:fill="FFFFFF" w:themeFill="background1"/>
        <w:spacing w:after="0" w:line="360" w:lineRule="auto"/>
        <w:rPr>
          <w:rFonts w:hint="default" w:ascii="Arial" w:hAnsi="Arial" w:cs="Arial"/>
          <w:sz w:val="24"/>
          <w:szCs w:val="24"/>
        </w:rPr>
      </w:pPr>
      <w:r>
        <w:rPr>
          <w:rFonts w:hint="default" w:ascii="Arial" w:hAnsi="Arial" w:eastAsia="Arial" w:cs="Arial"/>
          <w:sz w:val="24"/>
          <w:szCs w:val="24"/>
        </w:rPr>
        <w:t>App-ba</w:t>
      </w:r>
      <w:r>
        <w:rPr>
          <w:rFonts w:hint="default" w:ascii="Arial" w:hAnsi="Arial" w:cs="Arial"/>
          <w:sz w:val="24"/>
          <w:szCs w:val="24"/>
        </w:rPr>
        <w:t>sed interstage home monitoring (IHM) reduces mortality (Rosenthal et al;2025)</w:t>
      </w:r>
    </w:p>
    <w:p w14:paraId="1B3E4E52">
      <w:pPr>
        <w:pStyle w:val="35"/>
        <w:numPr>
          <w:ilvl w:val="0"/>
          <w:numId w:val="35"/>
        </w:numPr>
        <w:shd w:val="clear" w:color="auto" w:fill="FFFFFF" w:themeFill="background1"/>
        <w:spacing w:after="0" w:line="360" w:lineRule="auto"/>
        <w:rPr>
          <w:rFonts w:hint="default" w:ascii="Arial" w:hAnsi="Arial" w:cs="Arial"/>
          <w:sz w:val="24"/>
          <w:szCs w:val="24"/>
        </w:rPr>
      </w:pPr>
      <w:r>
        <w:rPr>
          <w:rFonts w:hint="default" w:ascii="Arial" w:hAnsi="Arial"/>
          <w:sz w:val="24"/>
          <w:szCs w:val="24"/>
        </w:rPr>
        <w:t>Regarding assessments and interventions in physical therapy (Assessment and Intervention will be unique to each patient; assessments and intervention will include part of all of the following variables depending upon the patient's age, cognition and other needs etc.) (APTA 2014)</w:t>
      </w:r>
    </w:p>
    <w:p w14:paraId="03F5210B">
      <w:pPr>
        <w:shd w:val="clear" w:color="auto" w:fill="FFFFFF" w:themeFill="background1"/>
        <w:spacing w:after="0" w:line="360" w:lineRule="auto"/>
        <w:ind w:left="720"/>
        <w:jc w:val="center"/>
        <w:rPr>
          <w:rFonts w:hint="default" w:ascii="Arial" w:hAnsi="Arial" w:cs="Arial"/>
          <w:sz w:val="24"/>
          <w:szCs w:val="24"/>
        </w:rPr>
      </w:pPr>
      <w:r>
        <w:rPr>
          <w:rFonts w:hint="default" w:ascii="Arial" w:hAnsi="Arial" w:cs="Arial"/>
          <w:sz w:val="24"/>
          <w:szCs w:val="24"/>
        </w:rPr>
        <w:drawing>
          <wp:inline distT="0" distB="0" distL="0" distR="0">
            <wp:extent cx="3933825" cy="4177030"/>
            <wp:effectExtent l="0" t="0" r="0" b="0"/>
            <wp:docPr id="10916914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691429" name="drawing"/>
                    <pic:cNvPicPr>
                      <a:picLocks noChangeAspect="1"/>
                    </pic:cNvPicPr>
                  </pic:nvPicPr>
                  <pic:blipFill>
                    <a:blip r:embed="rId24"/>
                    <a:srcRect t="28668" b="23860"/>
                    <a:stretch>
                      <a:fillRect/>
                    </a:stretch>
                  </pic:blipFill>
                  <pic:spPr>
                    <a:xfrm>
                      <a:off x="0" y="0"/>
                      <a:ext cx="3934221" cy="4177117"/>
                    </a:xfrm>
                    <a:prstGeom prst="rect">
                      <a:avLst/>
                    </a:prstGeom>
                  </pic:spPr>
                </pic:pic>
              </a:graphicData>
            </a:graphic>
          </wp:inline>
        </w:drawing>
      </w:r>
    </w:p>
    <w:p w14:paraId="21F41D61">
      <w:pPr>
        <w:shd w:val="clear" w:color="auto" w:fill="FFFFFF" w:themeFill="background1"/>
        <w:spacing w:after="0" w:line="360" w:lineRule="auto"/>
        <w:jc w:val="center"/>
        <w:rPr>
          <w:rFonts w:hint="default" w:ascii="Arial" w:hAnsi="Arial" w:cs="Arial"/>
          <w:color w:val="808080" w:themeColor="text1" w:themeTint="80"/>
          <w:sz w:val="24"/>
          <w:szCs w:val="24"/>
          <w14:textFill>
            <w14:solidFill>
              <w14:schemeClr w14:val="tx1">
                <w14:lumMod w14:val="50000"/>
                <w14:lumOff w14:val="50000"/>
              </w14:schemeClr>
            </w14:solidFill>
          </w14:textFill>
        </w:rPr>
      </w:pPr>
      <w:r>
        <w:rPr>
          <w:rFonts w:hint="default" w:ascii="Arial" w:hAnsi="Arial" w:cs="Arial"/>
          <w:color w:val="808080" w:themeColor="text1" w:themeTint="80"/>
          <w:sz w:val="24"/>
          <w:szCs w:val="24"/>
          <w14:textFill>
            <w14:solidFill>
              <w14:schemeClr w14:val="tx1">
                <w14:lumMod w14:val="50000"/>
                <w14:lumOff w14:val="50000"/>
              </w14:schemeClr>
            </w14:solidFill>
          </w14:textFill>
        </w:rPr>
        <w:t>Cardiac rehabilitation and all‑cause mortality trends (Taylor et al., 2022)</w:t>
      </w:r>
    </w:p>
    <w:p w14:paraId="6667D83E">
      <w:pPr>
        <w:shd w:val="clear" w:color="auto" w:fill="FFFFFF" w:themeFill="background1"/>
        <w:spacing w:after="0" w:line="360" w:lineRule="auto"/>
        <w:rPr>
          <w:rFonts w:hint="default" w:ascii="Arial" w:hAnsi="Arial" w:cs="Arial"/>
          <w:color w:val="808080" w:themeColor="text1" w:themeTint="80"/>
          <w:sz w:val="24"/>
          <w:szCs w:val="24"/>
          <w14:textFill>
            <w14:solidFill>
              <w14:schemeClr w14:val="tx1">
                <w14:lumMod w14:val="50000"/>
                <w14:lumOff w14:val="50000"/>
              </w14:schemeClr>
            </w14:solidFill>
          </w14:textFill>
        </w:rPr>
      </w:pPr>
    </w:p>
    <w:tbl>
      <w:tblPr>
        <w:tblStyle w:val="20"/>
        <w:tblW w:w="0" w:type="auto"/>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3690"/>
        <w:gridCol w:w="2880"/>
      </w:tblGrid>
      <w:tr w14:paraId="466D7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070" w:type="dxa"/>
          </w:tcPr>
          <w:p w14:paraId="58585172">
            <w:pPr>
              <w:widowControl w:val="0"/>
              <w:jc w:val="center"/>
              <w:rPr>
                <w:rFonts w:hint="default" w:ascii="Arial" w:hAnsi="Arial" w:cs="Arial"/>
                <w:sz w:val="24"/>
                <w:szCs w:val="24"/>
              </w:rPr>
            </w:pPr>
            <w:r>
              <w:rPr>
                <w:rFonts w:hint="default" w:ascii="Arial" w:hAnsi="Arial" w:cs="Arial"/>
                <w:sz w:val="24"/>
                <w:szCs w:val="24"/>
              </w:rPr>
              <w:t xml:space="preserve">Assessment </w:t>
            </w:r>
            <w:r>
              <w:rPr>
                <w:rFonts w:hint="default" w:ascii="Arial" w:hAnsi="Arial" w:eastAsia="Arial" w:cs="Arial"/>
                <w:sz w:val="24"/>
                <w:szCs w:val="24"/>
              </w:rPr>
              <w:t>domain</w:t>
            </w:r>
          </w:p>
        </w:tc>
        <w:tc>
          <w:tcPr>
            <w:tcW w:w="3690" w:type="dxa"/>
          </w:tcPr>
          <w:p w14:paraId="2904EA59">
            <w:pPr>
              <w:widowControl w:val="0"/>
              <w:jc w:val="center"/>
              <w:rPr>
                <w:rFonts w:hint="default" w:ascii="Arial" w:hAnsi="Arial" w:cs="Arial"/>
                <w:sz w:val="24"/>
                <w:szCs w:val="24"/>
              </w:rPr>
            </w:pPr>
            <w:r>
              <w:rPr>
                <w:rFonts w:hint="default" w:ascii="Arial" w:hAnsi="Arial" w:eastAsia="Arial" w:cs="Arial"/>
                <w:sz w:val="24"/>
                <w:szCs w:val="24"/>
              </w:rPr>
              <w:t>Assessment</w:t>
            </w:r>
            <w:r>
              <w:rPr>
                <w:rFonts w:hint="default" w:ascii="Arial" w:hAnsi="Arial" w:cs="Arial"/>
                <w:sz w:val="24"/>
                <w:szCs w:val="24"/>
              </w:rPr>
              <w:t xml:space="preserve"> considerations</w:t>
            </w:r>
          </w:p>
        </w:tc>
        <w:tc>
          <w:tcPr>
            <w:tcW w:w="2880" w:type="dxa"/>
          </w:tcPr>
          <w:p w14:paraId="1733B1A9">
            <w:pPr>
              <w:widowControl w:val="0"/>
              <w:jc w:val="center"/>
              <w:rPr>
                <w:rFonts w:hint="default" w:ascii="Arial" w:hAnsi="Arial" w:cs="Arial"/>
                <w:sz w:val="24"/>
                <w:szCs w:val="24"/>
              </w:rPr>
            </w:pPr>
            <w:r>
              <w:rPr>
                <w:rFonts w:hint="default" w:ascii="Arial" w:hAnsi="Arial" w:cs="Arial"/>
                <w:sz w:val="24"/>
                <w:szCs w:val="24"/>
              </w:rPr>
              <w:t xml:space="preserve">Intervention </w:t>
            </w:r>
            <w:r>
              <w:rPr>
                <w:rFonts w:hint="default" w:ascii="Arial" w:hAnsi="Arial" w:eastAsia="Arial" w:cs="Arial"/>
                <w:sz w:val="24"/>
                <w:szCs w:val="24"/>
              </w:rPr>
              <w:t>considerations</w:t>
            </w:r>
          </w:p>
        </w:tc>
      </w:tr>
      <w:tr w14:paraId="47FFC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070" w:type="dxa"/>
          </w:tcPr>
          <w:p w14:paraId="269CFF24">
            <w:pPr>
              <w:widowControl w:val="0"/>
              <w:spacing w:line="360" w:lineRule="auto"/>
              <w:jc w:val="center"/>
              <w:rPr>
                <w:rFonts w:hint="default" w:ascii="Arial" w:hAnsi="Arial" w:cs="Arial"/>
                <w:sz w:val="24"/>
                <w:szCs w:val="24"/>
              </w:rPr>
            </w:pPr>
            <w:r>
              <w:rPr>
                <w:rFonts w:hint="default" w:ascii="Arial" w:hAnsi="Arial" w:cs="Arial"/>
                <w:sz w:val="24"/>
                <w:szCs w:val="24"/>
              </w:rPr>
              <w:t xml:space="preserve">Aerobic capacity/ </w:t>
            </w:r>
            <w:r>
              <w:rPr>
                <w:rFonts w:hint="default" w:ascii="Arial" w:hAnsi="Arial" w:eastAsia="Arial" w:cs="Arial"/>
                <w:sz w:val="24"/>
                <w:szCs w:val="24"/>
              </w:rPr>
              <w:t>endurance</w:t>
            </w:r>
            <w:r>
              <w:rPr>
                <w:rFonts w:hint="default" w:ascii="Arial" w:hAnsi="Arial" w:cs="Arial"/>
                <w:sz w:val="24"/>
                <w:szCs w:val="24"/>
              </w:rPr>
              <w:t xml:space="preserve"> (APTA, 2014)</w:t>
            </w:r>
          </w:p>
          <w:p w14:paraId="714363FF">
            <w:pPr>
              <w:widowControl w:val="0"/>
              <w:jc w:val="center"/>
              <w:rPr>
                <w:rFonts w:hint="default" w:ascii="Arial" w:hAnsi="Arial" w:cs="Arial"/>
                <w:sz w:val="24"/>
                <w:szCs w:val="24"/>
              </w:rPr>
            </w:pPr>
          </w:p>
        </w:tc>
        <w:tc>
          <w:tcPr>
            <w:tcW w:w="3690" w:type="dxa"/>
          </w:tcPr>
          <w:p w14:paraId="2205C6FD">
            <w:pPr>
              <w:pStyle w:val="35"/>
              <w:widowControl w:val="0"/>
              <w:numPr>
                <w:ilvl w:val="0"/>
                <w:numId w:val="36"/>
              </w:numPr>
              <w:spacing w:after="0" w:line="360" w:lineRule="auto"/>
              <w:ind w:left="420" w:leftChars="0" w:hanging="420" w:firstLineChars="0"/>
              <w:jc w:val="both"/>
              <w:rPr>
                <w:rFonts w:hint="default" w:ascii="Arial" w:hAnsi="Arial"/>
                <w:sz w:val="24"/>
                <w:szCs w:val="24"/>
              </w:rPr>
            </w:pPr>
            <w:r>
              <w:rPr>
                <w:rFonts w:hint="default" w:ascii="Arial" w:hAnsi="Arial"/>
                <w:sz w:val="24"/>
                <w:szCs w:val="24"/>
              </w:rPr>
              <w:t>Utilization of the six-minute walk test as a measure of distance traveled during the six-minute test. This provides an approximation of the individuals VO2 max and helps to evaluate individual's aerobic fitness/endurance level through sub-maximal testing.</w:t>
            </w:r>
          </w:p>
          <w:p w14:paraId="4515EB93">
            <w:pPr>
              <w:pStyle w:val="35"/>
              <w:widowControl w:val="0"/>
              <w:numPr>
                <w:ilvl w:val="0"/>
                <w:numId w:val="36"/>
              </w:numPr>
              <w:spacing w:after="0" w:line="360" w:lineRule="auto"/>
              <w:ind w:left="420" w:leftChars="0" w:hanging="420" w:firstLineChars="0"/>
              <w:jc w:val="both"/>
              <w:rPr>
                <w:rFonts w:hint="default" w:ascii="Arial" w:hAnsi="Arial"/>
                <w:sz w:val="24"/>
                <w:szCs w:val="24"/>
              </w:rPr>
            </w:pPr>
            <w:r>
              <w:rPr>
                <w:rFonts w:hint="default" w:ascii="Arial" w:hAnsi="Arial"/>
                <w:sz w:val="24"/>
                <w:szCs w:val="24"/>
              </w:rPr>
              <w:t>Assess individual's heart rate (HR), blood pressure (BP), rated perceived exertion (RPE), METS, oxygen saturation if required, for each activity.</w:t>
            </w:r>
          </w:p>
          <w:p w14:paraId="3314CC9E">
            <w:pPr>
              <w:pStyle w:val="35"/>
              <w:widowControl w:val="0"/>
              <w:numPr>
                <w:ilvl w:val="0"/>
                <w:numId w:val="36"/>
              </w:numPr>
              <w:spacing w:after="0" w:line="360" w:lineRule="auto"/>
              <w:ind w:left="420" w:leftChars="0" w:hanging="420" w:firstLineChars="0"/>
              <w:jc w:val="both"/>
              <w:rPr>
                <w:rFonts w:hint="default" w:ascii="Arial" w:hAnsi="Arial"/>
                <w:sz w:val="24"/>
                <w:szCs w:val="24"/>
              </w:rPr>
            </w:pPr>
            <w:r>
              <w:rPr>
                <w:rFonts w:hint="default" w:ascii="Arial" w:hAnsi="Arial"/>
                <w:sz w:val="24"/>
                <w:szCs w:val="24"/>
              </w:rPr>
              <w:t xml:space="preserve">Evaluate rate pressure product (RPP) to provide standardized intensity values in different modes of activity. </w:t>
            </w:r>
          </w:p>
          <w:p w14:paraId="53FF7A04">
            <w:pPr>
              <w:pStyle w:val="35"/>
              <w:widowControl w:val="0"/>
              <w:numPr>
                <w:ilvl w:val="0"/>
                <w:numId w:val="36"/>
              </w:numPr>
              <w:spacing w:after="0" w:line="360" w:lineRule="auto"/>
              <w:ind w:left="420" w:leftChars="0" w:hanging="420" w:firstLineChars="0"/>
              <w:jc w:val="both"/>
              <w:rPr>
                <w:rFonts w:hint="default" w:ascii="Arial" w:hAnsi="Arial" w:cs="Arial"/>
                <w:sz w:val="24"/>
                <w:szCs w:val="24"/>
              </w:rPr>
            </w:pPr>
            <w:r>
              <w:rPr>
                <w:rFonts w:hint="default" w:ascii="Arial" w:hAnsi="Arial"/>
                <w:sz w:val="24"/>
                <w:szCs w:val="24"/>
              </w:rPr>
              <w:t>Telemetry monitoring if indicated by the cardiologist.</w:t>
            </w:r>
          </w:p>
        </w:tc>
        <w:tc>
          <w:tcPr>
            <w:tcW w:w="2880" w:type="dxa"/>
          </w:tcPr>
          <w:p w14:paraId="20890875">
            <w:pPr>
              <w:pStyle w:val="35"/>
              <w:widowControl w:val="0"/>
              <w:jc w:val="both"/>
              <w:rPr>
                <w:rFonts w:hint="default" w:ascii="Arial" w:hAnsi="Arial" w:cs="Arial"/>
                <w:sz w:val="24"/>
                <w:szCs w:val="24"/>
              </w:rPr>
            </w:pPr>
          </w:p>
        </w:tc>
      </w:tr>
      <w:tr w14:paraId="5BC75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070" w:type="dxa"/>
          </w:tcPr>
          <w:p w14:paraId="67051384">
            <w:pPr>
              <w:widowControl w:val="0"/>
              <w:spacing w:line="360" w:lineRule="auto"/>
              <w:jc w:val="both"/>
              <w:rPr>
                <w:rFonts w:hint="default" w:ascii="Arial" w:hAnsi="Arial" w:cs="Arial"/>
                <w:sz w:val="24"/>
                <w:szCs w:val="24"/>
              </w:rPr>
            </w:pPr>
            <w:r>
              <w:rPr>
                <w:rFonts w:hint="default" w:ascii="Arial" w:hAnsi="Arial" w:cs="Arial"/>
                <w:sz w:val="24"/>
                <w:szCs w:val="24"/>
              </w:rPr>
              <w:t>Mobility (Cuello-Garcia et al., 2018)</w:t>
            </w:r>
          </w:p>
        </w:tc>
        <w:tc>
          <w:tcPr>
            <w:tcW w:w="3690" w:type="dxa"/>
          </w:tcPr>
          <w:p w14:paraId="7111019E">
            <w:pPr>
              <w:pStyle w:val="35"/>
              <w:widowControl w:val="0"/>
              <w:numPr>
                <w:ilvl w:val="0"/>
                <w:numId w:val="37"/>
              </w:numPr>
              <w:spacing w:line="360" w:lineRule="auto"/>
              <w:ind w:left="420" w:leftChars="0" w:hanging="420" w:firstLineChars="0"/>
              <w:jc w:val="both"/>
              <w:rPr>
                <w:rFonts w:hint="default" w:ascii="Arial" w:hAnsi="Arial"/>
                <w:sz w:val="24"/>
                <w:szCs w:val="24"/>
              </w:rPr>
            </w:pPr>
            <w:r>
              <w:rPr>
                <w:rFonts w:hint="default" w:ascii="Arial" w:hAnsi="Arial"/>
                <w:sz w:val="24"/>
                <w:szCs w:val="24"/>
              </w:rPr>
              <w:t xml:space="preserve">Use physical performance scales e.g. the Test of Gross Motor Skill Development - Third Edition (TGMD-3). </w:t>
            </w:r>
          </w:p>
          <w:p w14:paraId="54E816F7">
            <w:pPr>
              <w:pStyle w:val="35"/>
              <w:widowControl w:val="0"/>
              <w:numPr>
                <w:ilvl w:val="0"/>
                <w:numId w:val="37"/>
              </w:numPr>
              <w:spacing w:line="360" w:lineRule="auto"/>
              <w:ind w:left="420" w:leftChars="0" w:hanging="420" w:firstLineChars="0"/>
              <w:jc w:val="both"/>
              <w:rPr>
                <w:rFonts w:hint="default" w:ascii="Arial" w:hAnsi="Arial" w:cs="Arial"/>
                <w:sz w:val="24"/>
                <w:szCs w:val="24"/>
              </w:rPr>
            </w:pPr>
            <w:r>
              <w:rPr>
                <w:rFonts w:hint="default" w:ascii="Arial" w:hAnsi="Arial"/>
                <w:sz w:val="24"/>
                <w:szCs w:val="24"/>
              </w:rPr>
              <w:t>Dynamic Gait Index (DGI): to assess an individual’s ability to adapt their balance during walking with the presence of external forces, or challenges to their balance.</w:t>
            </w:r>
          </w:p>
        </w:tc>
        <w:tc>
          <w:tcPr>
            <w:tcW w:w="2880" w:type="dxa"/>
          </w:tcPr>
          <w:p w14:paraId="202FFF96">
            <w:pPr>
              <w:pStyle w:val="35"/>
              <w:widowControl w:val="0"/>
              <w:numPr>
                <w:ilvl w:val="0"/>
                <w:numId w:val="37"/>
              </w:numPr>
              <w:spacing w:after="0" w:line="360" w:lineRule="auto"/>
              <w:ind w:left="420" w:leftChars="0" w:hanging="420" w:firstLineChars="0"/>
              <w:jc w:val="both"/>
              <w:rPr>
                <w:rFonts w:hint="default" w:ascii="Arial" w:hAnsi="Arial"/>
                <w:sz w:val="24"/>
                <w:szCs w:val="24"/>
              </w:rPr>
            </w:pPr>
            <w:r>
              <w:rPr>
                <w:rFonts w:hint="default" w:ascii="Arial" w:hAnsi="Arial"/>
                <w:sz w:val="24"/>
                <w:szCs w:val="24"/>
              </w:rPr>
              <w:t xml:space="preserve">Gait training </w:t>
            </w:r>
          </w:p>
          <w:p w14:paraId="7B64473D">
            <w:pPr>
              <w:pStyle w:val="35"/>
              <w:widowControl w:val="0"/>
              <w:numPr>
                <w:ilvl w:val="0"/>
                <w:numId w:val="37"/>
              </w:numPr>
              <w:spacing w:after="0" w:line="360" w:lineRule="auto"/>
              <w:ind w:left="420" w:leftChars="0" w:hanging="420" w:firstLineChars="0"/>
              <w:jc w:val="both"/>
              <w:rPr>
                <w:rFonts w:hint="default" w:ascii="Arial" w:hAnsi="Arial"/>
                <w:sz w:val="24"/>
                <w:szCs w:val="24"/>
              </w:rPr>
            </w:pPr>
            <w:r>
              <w:rPr>
                <w:rFonts w:hint="default" w:ascii="Arial" w:hAnsi="Arial"/>
                <w:sz w:val="24"/>
                <w:szCs w:val="24"/>
              </w:rPr>
              <w:t xml:space="preserve">Depending on an individual's current functional status, therapeutic goals will include sequential performance of: bed mobility, supine to sit; supine to stand; and progressive ambulation. </w:t>
            </w:r>
          </w:p>
          <w:p w14:paraId="2BFD1331">
            <w:pPr>
              <w:pStyle w:val="35"/>
              <w:widowControl w:val="0"/>
              <w:numPr>
                <w:ilvl w:val="0"/>
                <w:numId w:val="37"/>
              </w:numPr>
              <w:spacing w:after="0" w:line="360" w:lineRule="auto"/>
              <w:ind w:left="420" w:leftChars="0" w:hanging="420" w:firstLineChars="0"/>
              <w:jc w:val="both"/>
              <w:rPr>
                <w:rFonts w:hint="default" w:ascii="Arial" w:hAnsi="Arial" w:cs="Arial"/>
                <w:sz w:val="24"/>
                <w:szCs w:val="24"/>
              </w:rPr>
            </w:pPr>
            <w:r>
              <w:rPr>
                <w:rFonts w:hint="default" w:ascii="Arial" w:hAnsi="Arial"/>
                <w:sz w:val="24"/>
                <w:szCs w:val="24"/>
              </w:rPr>
              <w:t>Transfer training - as necessary.</w:t>
            </w:r>
          </w:p>
        </w:tc>
      </w:tr>
      <w:tr w14:paraId="78FB7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070" w:type="dxa"/>
          </w:tcPr>
          <w:p w14:paraId="7F602695">
            <w:pPr>
              <w:widowControl w:val="0"/>
              <w:spacing w:line="360" w:lineRule="auto"/>
              <w:jc w:val="center"/>
              <w:rPr>
                <w:rFonts w:hint="default" w:ascii="Arial" w:hAnsi="Arial" w:cs="Arial"/>
                <w:sz w:val="24"/>
                <w:szCs w:val="24"/>
              </w:rPr>
            </w:pPr>
            <w:r>
              <w:rPr>
                <w:rFonts w:hint="default" w:ascii="Arial" w:hAnsi="Arial" w:cs="Arial"/>
                <w:sz w:val="24"/>
                <w:szCs w:val="24"/>
              </w:rPr>
              <w:t>Musculoskeletal screen</w:t>
            </w:r>
          </w:p>
        </w:tc>
        <w:tc>
          <w:tcPr>
            <w:tcW w:w="3690" w:type="dxa"/>
          </w:tcPr>
          <w:p w14:paraId="7CD506A9">
            <w:pPr>
              <w:pStyle w:val="35"/>
              <w:widowControl w:val="0"/>
              <w:numPr>
                <w:ilvl w:val="0"/>
                <w:numId w:val="37"/>
              </w:numPr>
              <w:spacing w:line="360" w:lineRule="auto"/>
              <w:ind w:left="420" w:leftChars="0" w:hanging="420" w:firstLineChars="0"/>
              <w:jc w:val="both"/>
              <w:rPr>
                <w:rFonts w:hint="default" w:ascii="Arial" w:hAnsi="Arial" w:cs="Arial"/>
                <w:sz w:val="24"/>
                <w:szCs w:val="24"/>
              </w:rPr>
            </w:pPr>
            <w:r>
              <w:rPr>
                <w:rFonts w:hint="default" w:ascii="Arial" w:hAnsi="Arial"/>
                <w:sz w:val="24"/>
                <w:szCs w:val="24"/>
              </w:rPr>
              <w:t>Range of motion assessment- evaluate joints for available range of motion passively or actively. Recommended joints to assess for range of motion include: shoulder flexion; lateral trunk flexion; popliteal angle; ankle dorsiflexion with straight knee;</w:t>
            </w:r>
          </w:p>
        </w:tc>
        <w:tc>
          <w:tcPr>
            <w:tcW w:w="2880" w:type="dxa"/>
          </w:tcPr>
          <w:p w14:paraId="0EF5129F">
            <w:pPr>
              <w:pStyle w:val="35"/>
              <w:widowControl w:val="0"/>
              <w:numPr>
                <w:ilvl w:val="0"/>
                <w:numId w:val="37"/>
              </w:numPr>
              <w:spacing w:after="0" w:line="360" w:lineRule="auto"/>
              <w:ind w:left="420" w:leftChars="0" w:hanging="420" w:firstLineChars="0"/>
              <w:jc w:val="both"/>
              <w:rPr>
                <w:rFonts w:hint="default" w:ascii="Arial" w:hAnsi="Arial"/>
                <w:sz w:val="24"/>
                <w:szCs w:val="24"/>
              </w:rPr>
            </w:pPr>
            <w:r>
              <w:rPr>
                <w:rFonts w:hint="default" w:ascii="Arial" w:hAnsi="Arial"/>
                <w:sz w:val="24"/>
                <w:szCs w:val="24"/>
              </w:rPr>
              <w:t xml:space="preserve">Postural training </w:t>
            </w:r>
          </w:p>
          <w:p w14:paraId="5DE9F7EF">
            <w:pPr>
              <w:pStyle w:val="35"/>
              <w:widowControl w:val="0"/>
              <w:numPr>
                <w:ilvl w:val="0"/>
                <w:numId w:val="37"/>
              </w:numPr>
              <w:spacing w:after="0" w:line="360" w:lineRule="auto"/>
              <w:ind w:left="420" w:leftChars="0" w:hanging="420" w:firstLineChars="0"/>
              <w:jc w:val="both"/>
              <w:rPr>
                <w:rFonts w:hint="default" w:ascii="Arial" w:hAnsi="Arial"/>
                <w:sz w:val="24"/>
                <w:szCs w:val="24"/>
              </w:rPr>
            </w:pPr>
            <w:r>
              <w:rPr>
                <w:rFonts w:hint="default" w:ascii="Arial" w:hAnsi="Arial"/>
                <w:sz w:val="24"/>
                <w:szCs w:val="24"/>
              </w:rPr>
              <w:t xml:space="preserve">Breathing mechanics </w:t>
            </w:r>
          </w:p>
          <w:p w14:paraId="1A75EF1F">
            <w:pPr>
              <w:pStyle w:val="35"/>
              <w:widowControl w:val="0"/>
              <w:numPr>
                <w:ilvl w:val="0"/>
                <w:numId w:val="37"/>
              </w:numPr>
              <w:spacing w:after="0" w:line="360" w:lineRule="auto"/>
              <w:ind w:left="420" w:leftChars="0" w:hanging="420" w:firstLineChars="0"/>
              <w:jc w:val="both"/>
              <w:rPr>
                <w:rFonts w:hint="default" w:ascii="Arial" w:hAnsi="Arial"/>
                <w:sz w:val="24"/>
                <w:szCs w:val="24"/>
              </w:rPr>
            </w:pPr>
            <w:r>
              <w:rPr>
                <w:rFonts w:hint="default" w:ascii="Arial" w:hAnsi="Arial"/>
                <w:sz w:val="24"/>
                <w:szCs w:val="24"/>
              </w:rPr>
              <w:t xml:space="preserve">Initiate scar tissue mobilization </w:t>
            </w:r>
          </w:p>
          <w:p w14:paraId="104B8A11">
            <w:pPr>
              <w:pStyle w:val="35"/>
              <w:widowControl w:val="0"/>
              <w:numPr>
                <w:ilvl w:val="0"/>
                <w:numId w:val="37"/>
              </w:numPr>
              <w:spacing w:after="0" w:line="360" w:lineRule="auto"/>
              <w:ind w:left="420" w:leftChars="0" w:hanging="420" w:firstLineChars="0"/>
              <w:jc w:val="both"/>
              <w:rPr>
                <w:rFonts w:hint="default" w:ascii="Arial" w:hAnsi="Arial"/>
                <w:sz w:val="24"/>
                <w:szCs w:val="24"/>
              </w:rPr>
            </w:pPr>
            <w:r>
              <w:rPr>
                <w:rFonts w:hint="default" w:ascii="Arial" w:hAnsi="Arial"/>
                <w:sz w:val="24"/>
                <w:szCs w:val="24"/>
              </w:rPr>
              <w:t xml:space="preserve">Strengthening - Progress to light resistance as appropriate. </w:t>
            </w:r>
          </w:p>
          <w:p w14:paraId="121E0979">
            <w:pPr>
              <w:pStyle w:val="35"/>
              <w:widowControl w:val="0"/>
              <w:numPr>
                <w:ilvl w:val="0"/>
                <w:numId w:val="37"/>
              </w:numPr>
              <w:spacing w:after="0" w:line="360" w:lineRule="auto"/>
              <w:ind w:left="420" w:leftChars="0" w:hanging="420" w:firstLineChars="0"/>
              <w:jc w:val="both"/>
              <w:rPr>
                <w:rFonts w:hint="default" w:ascii="Arial" w:hAnsi="Arial"/>
                <w:sz w:val="24"/>
                <w:szCs w:val="24"/>
              </w:rPr>
            </w:pPr>
            <w:r>
              <w:rPr>
                <w:rFonts w:hint="default" w:ascii="Arial" w:hAnsi="Arial"/>
                <w:sz w:val="24"/>
                <w:szCs w:val="24"/>
              </w:rPr>
              <w:t xml:space="preserve">Stretching </w:t>
            </w:r>
          </w:p>
          <w:p w14:paraId="4AF49001">
            <w:pPr>
              <w:pStyle w:val="35"/>
              <w:widowControl w:val="0"/>
              <w:numPr>
                <w:ilvl w:val="0"/>
                <w:numId w:val="37"/>
              </w:numPr>
              <w:spacing w:after="0" w:line="360" w:lineRule="auto"/>
              <w:ind w:left="420" w:leftChars="0" w:hanging="420" w:firstLineChars="0"/>
              <w:jc w:val="both"/>
              <w:rPr>
                <w:rFonts w:hint="default" w:ascii="Arial" w:hAnsi="Arial" w:cs="Arial"/>
                <w:sz w:val="24"/>
                <w:szCs w:val="24"/>
              </w:rPr>
            </w:pPr>
            <w:r>
              <w:rPr>
                <w:rFonts w:hint="default" w:ascii="Arial" w:hAnsi="Arial"/>
                <w:sz w:val="24"/>
                <w:szCs w:val="24"/>
              </w:rPr>
              <w:t>May consist of passive, active, or active-assisted range of motion.</w:t>
            </w:r>
          </w:p>
        </w:tc>
      </w:tr>
    </w:tbl>
    <w:p w14:paraId="70A71261">
      <w:pPr>
        <w:pStyle w:val="35"/>
        <w:shd w:val="clear" w:color="auto" w:fill="FFFFFF" w:themeFill="background1"/>
        <w:spacing w:after="0" w:line="360" w:lineRule="auto"/>
        <w:rPr>
          <w:rFonts w:hint="default" w:ascii="Arial" w:hAnsi="Arial" w:cs="Arial"/>
          <w:b/>
          <w:bCs/>
          <w:color w:val="000000" w:themeColor="text1"/>
          <w:sz w:val="24"/>
          <w:szCs w:val="24"/>
          <w14:textFill>
            <w14:solidFill>
              <w14:schemeClr w14:val="tx1"/>
            </w14:solidFill>
          </w14:textFill>
        </w:rPr>
      </w:pPr>
    </w:p>
    <w:p w14:paraId="3E1792BE">
      <w:pPr>
        <w:shd w:val="clear" w:color="auto" w:fill="FFFFFF" w:themeFill="background1"/>
        <w:spacing w:after="0" w:line="360" w:lineRule="auto"/>
        <w:rPr>
          <w:rFonts w:hint="default" w:ascii="Arial" w:hAnsi="Arial" w:cs="Arial"/>
          <w:b/>
          <w:bCs/>
          <w:color w:val="156082" w:themeColor="accent1"/>
          <w:sz w:val="28"/>
          <w:szCs w:val="28"/>
          <w14:textFill>
            <w14:solidFill>
              <w14:schemeClr w14:val="accent1"/>
            </w14:solidFill>
          </w14:textFill>
        </w:rPr>
      </w:pPr>
      <w:bookmarkStart w:id="15" w:name="_Toc3087"/>
      <w:r>
        <w:rPr>
          <w:rStyle w:val="23"/>
          <w:rFonts w:hint="default" w:ascii="Arial" w:hAnsi="Arial" w:cs="Arial"/>
          <w:sz w:val="28"/>
          <w:szCs w:val="28"/>
        </w:rPr>
        <w:t>4.2. Physical exercise in children with congenital heart disease</w:t>
      </w:r>
      <w:bookmarkEnd w:id="15"/>
      <w:r>
        <w:rPr>
          <w:rStyle w:val="13"/>
          <w:rFonts w:hint="default" w:ascii="Arial" w:hAnsi="Arial" w:cs="Arial"/>
          <w:b/>
          <w:bCs/>
          <w:i w:val="0"/>
          <w:iCs w:val="0"/>
          <w:color w:val="156082" w:themeColor="accent1"/>
          <w:sz w:val="28"/>
          <w:szCs w:val="28"/>
          <w14:textFill>
            <w14:solidFill>
              <w14:schemeClr w14:val="accent1"/>
            </w14:solidFill>
          </w14:textFill>
        </w:rPr>
        <w:t>:</w:t>
      </w:r>
    </w:p>
    <w:p w14:paraId="29656375">
      <w:pPr>
        <w:pStyle w:val="35"/>
        <w:numPr>
          <w:ilvl w:val="0"/>
          <w:numId w:val="38"/>
        </w:numPr>
        <w:spacing w:after="0" w:line="360" w:lineRule="auto"/>
        <w:rPr>
          <w:rFonts w:hint="default" w:ascii="Arial" w:hAnsi="Arial" w:eastAsia="Times New Roman" w:cs="Arial"/>
          <w:color w:val="000000" w:themeColor="text1"/>
          <w:sz w:val="24"/>
          <w:szCs w:val="24"/>
          <w14:textFill>
            <w14:solidFill>
              <w14:schemeClr w14:val="tx1"/>
            </w14:solidFill>
          </w14:textFill>
        </w:rPr>
      </w:pPr>
      <w:r>
        <w:rPr>
          <w:rFonts w:hint="default" w:ascii="Arial" w:hAnsi="Arial" w:eastAsia="Times New Roman" w:cs="Arial"/>
          <w:color w:val="000000" w:themeColor="text1"/>
          <w:sz w:val="24"/>
          <w:szCs w:val="24"/>
          <w14:textFill>
            <w14:solidFill>
              <w14:schemeClr w14:val="tx1"/>
            </w14:solidFill>
          </w14:textFill>
        </w:rPr>
        <w:t xml:space="preserve">Congenital heart disease (CHD) affects 8–9 per 1,000 newborns </w:t>
      </w:r>
      <w:r>
        <w:rPr>
          <w:rStyle w:val="13"/>
          <w:rFonts w:hint="default" w:ascii="Arial" w:hAnsi="Arial" w:cs="Arial"/>
          <w:i w:val="0"/>
          <w:iCs w:val="0"/>
          <w:color w:val="000000" w:themeColor="text1"/>
          <w:sz w:val="24"/>
          <w:szCs w:val="24"/>
          <w14:textFill>
            <w14:solidFill>
              <w14:schemeClr w14:val="tx1"/>
            </w14:solidFill>
          </w14:textFill>
        </w:rPr>
        <w:t>(Lynge et al., 2018)</w:t>
      </w:r>
      <w:r>
        <w:rPr>
          <w:rFonts w:hint="default" w:ascii="Arial" w:hAnsi="Arial" w:eastAsia="Times New Roman" w:cs="Arial"/>
          <w:color w:val="000000" w:themeColor="text1"/>
          <w:sz w:val="24"/>
          <w:szCs w:val="24"/>
          <w14:textFill>
            <w14:solidFill>
              <w14:schemeClr w14:val="tx1"/>
            </w14:solidFill>
          </w14:textFill>
        </w:rPr>
        <w:t>.</w:t>
      </w:r>
    </w:p>
    <w:p w14:paraId="31A55094">
      <w:pPr>
        <w:pStyle w:val="35"/>
        <w:numPr>
          <w:ilvl w:val="0"/>
          <w:numId w:val="38"/>
        </w:numPr>
        <w:spacing w:after="0" w:line="360" w:lineRule="auto"/>
        <w:rPr>
          <w:rFonts w:hint="default" w:ascii="Arial" w:hAnsi="Arial" w:eastAsia="Times New Roman" w:cs="Arial"/>
          <w:color w:val="000000" w:themeColor="text1"/>
          <w:sz w:val="24"/>
          <w:szCs w:val="24"/>
          <w14:textFill>
            <w14:solidFill>
              <w14:schemeClr w14:val="tx1"/>
            </w14:solidFill>
          </w14:textFill>
        </w:rPr>
      </w:pPr>
      <w:r>
        <w:rPr>
          <w:rFonts w:hint="default" w:ascii="Arial" w:hAnsi="Arial" w:eastAsia="Times New Roman" w:cs="Arial"/>
          <w:color w:val="000000" w:themeColor="text1"/>
          <w:sz w:val="24"/>
          <w:szCs w:val="24"/>
          <w14:textFill>
            <w14:solidFill>
              <w14:schemeClr w14:val="tx1"/>
            </w14:solidFill>
          </w14:textFill>
        </w:rPr>
        <w:t xml:space="preserve">Around 85% survive into adulthood due to advances in paediatric cardiac surgery </w:t>
      </w:r>
      <w:r>
        <w:rPr>
          <w:rStyle w:val="13"/>
          <w:rFonts w:hint="default" w:ascii="Arial" w:hAnsi="Arial" w:cs="Arial"/>
          <w:i w:val="0"/>
          <w:iCs w:val="0"/>
          <w:color w:val="000000" w:themeColor="text1"/>
          <w:sz w:val="24"/>
          <w:szCs w:val="24"/>
          <w14:textFill>
            <w14:solidFill>
              <w14:schemeClr w14:val="tx1"/>
            </w14:solidFill>
          </w14:textFill>
        </w:rPr>
        <w:t>(Lynge et al., 2018)</w:t>
      </w:r>
      <w:r>
        <w:rPr>
          <w:rFonts w:hint="default" w:ascii="Arial" w:hAnsi="Arial" w:eastAsia="Times New Roman" w:cs="Arial"/>
          <w:color w:val="000000" w:themeColor="text1"/>
          <w:sz w:val="24"/>
          <w:szCs w:val="24"/>
          <w14:textFill>
            <w14:solidFill>
              <w14:schemeClr w14:val="tx1"/>
            </w14:solidFill>
          </w14:textFill>
        </w:rPr>
        <w:t>.</w:t>
      </w:r>
    </w:p>
    <w:p w14:paraId="2E1105C6">
      <w:pPr>
        <w:pStyle w:val="35"/>
        <w:numPr>
          <w:ilvl w:val="0"/>
          <w:numId w:val="38"/>
        </w:numPr>
        <w:spacing w:after="0" w:line="360" w:lineRule="auto"/>
        <w:rPr>
          <w:rFonts w:hint="default" w:ascii="Arial" w:hAnsi="Arial" w:eastAsia="Times New Roman" w:cs="Arial"/>
          <w:color w:val="000000" w:themeColor="text1"/>
          <w:sz w:val="24"/>
          <w:szCs w:val="24"/>
          <w14:textFill>
            <w14:solidFill>
              <w14:schemeClr w14:val="tx1"/>
            </w14:solidFill>
          </w14:textFill>
        </w:rPr>
      </w:pPr>
      <w:r>
        <w:rPr>
          <w:rStyle w:val="18"/>
          <w:rFonts w:hint="default" w:ascii="Arial" w:hAnsi="Arial" w:eastAsia="Times New Roman" w:cs="Arial"/>
          <w:b w:val="0"/>
          <w:bCs w:val="0"/>
          <w:color w:val="000000" w:themeColor="text1"/>
          <w:sz w:val="24"/>
          <w:szCs w:val="24"/>
          <w14:textFill>
            <w14:solidFill>
              <w14:schemeClr w14:val="tx1"/>
            </w14:solidFill>
          </w14:textFill>
        </w:rPr>
        <w:t xml:space="preserve">Sudden cardiac death is rare (0.1% per year); only 8% occur during exercise </w:t>
      </w:r>
      <w:r>
        <w:rPr>
          <w:rStyle w:val="13"/>
          <w:rFonts w:hint="default" w:ascii="Arial" w:hAnsi="Arial" w:cs="Arial"/>
          <w:i w:val="0"/>
          <w:iCs w:val="0"/>
          <w:color w:val="000000" w:themeColor="text1"/>
          <w:sz w:val="24"/>
          <w:szCs w:val="24"/>
          <w14:textFill>
            <w14:solidFill>
              <w14:schemeClr w14:val="tx1"/>
            </w14:solidFill>
          </w14:textFill>
        </w:rPr>
        <w:t>(Lynge et al., 2018)</w:t>
      </w:r>
      <w:r>
        <w:rPr>
          <w:rStyle w:val="18"/>
          <w:rFonts w:hint="default" w:ascii="Arial" w:hAnsi="Arial" w:eastAsia="Times New Roman" w:cs="Arial"/>
          <w:b w:val="0"/>
          <w:bCs w:val="0"/>
          <w:color w:val="000000" w:themeColor="text1"/>
          <w:sz w:val="24"/>
          <w:szCs w:val="24"/>
          <w14:textFill>
            <w14:solidFill>
              <w14:schemeClr w14:val="tx1"/>
            </w14:solidFill>
          </w14:textFill>
        </w:rPr>
        <w:t>.</w:t>
      </w:r>
    </w:p>
    <w:p w14:paraId="5E1745C2">
      <w:pPr>
        <w:pStyle w:val="35"/>
        <w:numPr>
          <w:ilvl w:val="0"/>
          <w:numId w:val="38"/>
        </w:numPr>
        <w:spacing w:after="0" w:line="360" w:lineRule="auto"/>
        <w:rPr>
          <w:rFonts w:hint="default" w:ascii="Arial" w:hAnsi="Arial" w:eastAsia="Times New Roman" w:cs="Arial"/>
          <w:color w:val="000000" w:themeColor="text1"/>
          <w:sz w:val="24"/>
          <w:szCs w:val="24"/>
          <w14:textFill>
            <w14:solidFill>
              <w14:schemeClr w14:val="tx1"/>
            </w14:solidFill>
          </w14:textFill>
        </w:rPr>
      </w:pPr>
      <w:r>
        <w:rPr>
          <w:rFonts w:hint="default" w:ascii="Arial" w:hAnsi="Arial" w:eastAsia="Times New Roman" w:cs="Arial"/>
          <w:color w:val="000000" w:themeColor="text1"/>
          <w:sz w:val="24"/>
          <w:szCs w:val="24"/>
          <w14:textFill>
            <w14:solidFill>
              <w14:schemeClr w14:val="tx1"/>
            </w14:solidFill>
          </w14:textFill>
        </w:rPr>
        <w:t xml:space="preserve">Exercise is safe and beneficial when properly supervised </w:t>
      </w:r>
      <w:r>
        <w:rPr>
          <w:rStyle w:val="13"/>
          <w:rFonts w:hint="default" w:ascii="Arial" w:hAnsi="Arial" w:cs="Arial"/>
          <w:i w:val="0"/>
          <w:iCs w:val="0"/>
          <w:color w:val="000000" w:themeColor="text1"/>
          <w:sz w:val="24"/>
          <w:szCs w:val="24"/>
          <w14:textFill>
            <w14:solidFill>
              <w14:schemeClr w14:val="tx1"/>
            </w14:solidFill>
          </w14:textFill>
        </w:rPr>
        <w:t>(Lynge et al., 2018)</w:t>
      </w:r>
      <w:r>
        <w:rPr>
          <w:rFonts w:hint="default" w:ascii="Arial" w:hAnsi="Arial" w:eastAsia="Times New Roman" w:cs="Arial"/>
          <w:color w:val="000000" w:themeColor="text1"/>
          <w:sz w:val="24"/>
          <w:szCs w:val="24"/>
          <w14:textFill>
            <w14:solidFill>
              <w14:schemeClr w14:val="tx1"/>
            </w14:solidFill>
          </w14:textFill>
        </w:rPr>
        <w:t>.</w:t>
      </w:r>
    </w:p>
    <w:p w14:paraId="3F9DA6D4">
      <w:pPr>
        <w:pStyle w:val="4"/>
        <w:numPr>
          <w:ilvl w:val="0"/>
          <w:numId w:val="39"/>
        </w:numPr>
        <w:rPr>
          <w:rFonts w:hint="default" w:ascii="Arial" w:hAnsi="Arial" w:eastAsia="Times New Roman" w:cs="Arial"/>
          <w:b/>
          <w:bCs/>
          <w:color w:val="000000" w:themeColor="text1"/>
          <w:sz w:val="24"/>
          <w:szCs w:val="24"/>
          <w14:textFill>
            <w14:solidFill>
              <w14:schemeClr w14:val="tx1"/>
            </w14:solidFill>
          </w14:textFill>
        </w:rPr>
      </w:pPr>
      <w:bookmarkStart w:id="16" w:name="_Toc21332"/>
      <w:r>
        <w:rPr>
          <w:rFonts w:hint="default" w:ascii="Arial" w:hAnsi="Arial" w:eastAsia="Times New Roman" w:cs="Arial"/>
          <w:b/>
          <w:bCs/>
          <w:color w:val="000000" w:themeColor="text1"/>
          <w:sz w:val="24"/>
          <w:szCs w:val="24"/>
          <w14:textFill>
            <w14:solidFill>
              <w14:schemeClr w14:val="tx1"/>
            </w14:solidFill>
          </w14:textFill>
        </w:rPr>
        <w:t>Benefits of Exercise:</w:t>
      </w:r>
      <w:bookmarkEnd w:id="16"/>
    </w:p>
    <w:p w14:paraId="3EC2395F">
      <w:pPr>
        <w:pStyle w:val="4"/>
        <w:numPr>
          <w:ilvl w:val="0"/>
          <w:numId w:val="40"/>
        </w:numPr>
        <w:spacing w:before="0" w:after="0" w:line="360" w:lineRule="auto"/>
        <w:rPr>
          <w:rFonts w:hint="default" w:ascii="Arial" w:hAnsi="Arial" w:eastAsia="Times New Roman" w:cs="Arial"/>
          <w:color w:val="000000" w:themeColor="text1"/>
          <w:sz w:val="24"/>
          <w:szCs w:val="24"/>
          <w14:textFill>
            <w14:solidFill>
              <w14:schemeClr w14:val="tx1"/>
            </w14:solidFill>
          </w14:textFill>
        </w:rPr>
      </w:pPr>
      <w:bookmarkStart w:id="17" w:name="_Toc3896"/>
      <w:r>
        <w:rPr>
          <w:rFonts w:hint="default" w:ascii="Arial" w:hAnsi="Arial" w:eastAsia="Times New Roman" w:cs="Arial"/>
          <w:color w:val="000000" w:themeColor="text1"/>
          <w:sz w:val="24"/>
          <w:szCs w:val="24"/>
          <w14:textFill>
            <w14:solidFill>
              <w14:schemeClr w14:val="tx1"/>
            </w14:solidFill>
          </w14:textFill>
        </w:rPr>
        <w:t>Improves physical capacity (Serra-Grima et al., 2011)</w:t>
      </w:r>
      <w:bookmarkEnd w:id="17"/>
    </w:p>
    <w:p w14:paraId="3C1FB76C">
      <w:pPr>
        <w:pStyle w:val="35"/>
        <w:numPr>
          <w:ilvl w:val="0"/>
          <w:numId w:val="40"/>
        </w:numPr>
        <w:spacing w:after="0" w:line="360" w:lineRule="auto"/>
        <w:rPr>
          <w:rFonts w:hint="default" w:ascii="Arial" w:hAnsi="Arial" w:eastAsia="Times New Roman" w:cs="Arial"/>
          <w:color w:val="000000" w:themeColor="text1"/>
          <w:sz w:val="24"/>
          <w:szCs w:val="24"/>
          <w14:textFill>
            <w14:solidFill>
              <w14:schemeClr w14:val="tx1"/>
            </w14:solidFill>
          </w14:textFill>
        </w:rPr>
      </w:pPr>
      <w:r>
        <w:rPr>
          <w:rFonts w:hint="default" w:ascii="Arial" w:hAnsi="Arial" w:eastAsia="Times New Roman" w:cs="Arial"/>
          <w:color w:val="000000" w:themeColor="text1"/>
          <w:sz w:val="24"/>
          <w:szCs w:val="24"/>
          <w14:textFill>
            <w14:solidFill>
              <w14:schemeClr w14:val="tx1"/>
            </w14:solidFill>
          </w14:textFill>
        </w:rPr>
        <w:t>Enhances cognitive function and learning (Serra-Grima et al., 2011)</w:t>
      </w:r>
    </w:p>
    <w:p w14:paraId="27CC6FC5">
      <w:pPr>
        <w:pStyle w:val="35"/>
        <w:numPr>
          <w:ilvl w:val="0"/>
          <w:numId w:val="40"/>
        </w:numPr>
        <w:spacing w:after="0" w:line="360" w:lineRule="auto"/>
        <w:rPr>
          <w:rFonts w:hint="default" w:ascii="Arial" w:hAnsi="Arial" w:eastAsia="Times New Roman" w:cs="Arial"/>
          <w:color w:val="000000" w:themeColor="text1"/>
          <w:sz w:val="24"/>
          <w:szCs w:val="24"/>
          <w14:textFill>
            <w14:solidFill>
              <w14:schemeClr w14:val="tx1"/>
            </w14:solidFill>
          </w14:textFill>
        </w:rPr>
      </w:pPr>
      <w:r>
        <w:rPr>
          <w:rFonts w:hint="default" w:ascii="Arial" w:hAnsi="Arial" w:eastAsia="Times New Roman" w:cs="Arial"/>
          <w:color w:val="000000" w:themeColor="text1"/>
          <w:sz w:val="24"/>
          <w:szCs w:val="24"/>
          <w14:textFill>
            <w14:solidFill>
              <w14:schemeClr w14:val="tx1"/>
            </w14:solidFill>
          </w14:textFill>
        </w:rPr>
        <w:t>Supports social inclusion (Serra-Grima et al., 2011)</w:t>
      </w:r>
    </w:p>
    <w:p w14:paraId="68E8A19F">
      <w:pPr>
        <w:pStyle w:val="35"/>
        <w:numPr>
          <w:ilvl w:val="0"/>
          <w:numId w:val="40"/>
        </w:numPr>
        <w:spacing w:after="0" w:line="360" w:lineRule="auto"/>
        <w:rPr>
          <w:rFonts w:hint="default" w:ascii="Arial" w:hAnsi="Arial" w:eastAsia="Times New Roman" w:cs="Arial"/>
          <w:color w:val="000000" w:themeColor="text1"/>
          <w:sz w:val="24"/>
          <w:szCs w:val="24"/>
          <w14:textFill>
            <w14:solidFill>
              <w14:schemeClr w14:val="tx1"/>
            </w14:solidFill>
          </w14:textFill>
        </w:rPr>
      </w:pPr>
      <w:r>
        <w:rPr>
          <w:rFonts w:hint="default" w:ascii="Arial" w:hAnsi="Arial" w:eastAsia="Times New Roman" w:cs="Arial"/>
          <w:color w:val="000000" w:themeColor="text1"/>
          <w:sz w:val="24"/>
          <w:szCs w:val="24"/>
          <w14:textFill>
            <w14:solidFill>
              <w14:schemeClr w14:val="tx1"/>
            </w14:solidFill>
          </w14:textFill>
        </w:rPr>
        <w:t>Reduces risk of overweight and inactivity-related fitness decline (Serra-Grima et al., 2011)</w:t>
      </w:r>
    </w:p>
    <w:p w14:paraId="3F8D2E6C">
      <w:pPr>
        <w:pStyle w:val="35"/>
        <w:numPr>
          <w:ilvl w:val="0"/>
          <w:numId w:val="40"/>
        </w:numPr>
        <w:spacing w:after="0" w:line="360" w:lineRule="auto"/>
        <w:rPr>
          <w:rFonts w:hint="default" w:ascii="Arial" w:hAnsi="Arial" w:eastAsia="Times New Roman" w:cs="Arial"/>
          <w:color w:val="000000" w:themeColor="text1"/>
          <w:sz w:val="24"/>
          <w:szCs w:val="24"/>
          <w14:textFill>
            <w14:solidFill>
              <w14:schemeClr w14:val="tx1"/>
            </w14:solidFill>
          </w14:textFill>
        </w:rPr>
      </w:pPr>
      <w:r>
        <w:rPr>
          <w:rFonts w:hint="default" w:ascii="Arial" w:hAnsi="Arial" w:eastAsia="Times New Roman" w:cs="Arial"/>
          <w:color w:val="000000" w:themeColor="text1"/>
          <w:sz w:val="24"/>
          <w:szCs w:val="24"/>
          <w14:textFill>
            <w14:solidFill>
              <w14:schemeClr w14:val="tx1"/>
            </w14:solidFill>
          </w14:textFill>
        </w:rPr>
        <w:t>Improves quality of life (Serra-Grima et al., 2011)</w:t>
      </w:r>
    </w:p>
    <w:p w14:paraId="5B2194C7">
      <w:pPr>
        <w:pStyle w:val="35"/>
        <w:spacing w:after="0" w:line="360" w:lineRule="auto"/>
        <w:rPr>
          <w:rFonts w:hint="default" w:ascii="Arial" w:hAnsi="Arial" w:eastAsia="Times New Roman" w:cs="Arial"/>
          <w:color w:val="000000" w:themeColor="text1"/>
          <w:sz w:val="24"/>
          <w:szCs w:val="24"/>
          <w14:textFill>
            <w14:solidFill>
              <w14:schemeClr w14:val="tx1"/>
            </w14:solidFill>
          </w14:textFill>
        </w:rPr>
      </w:pPr>
    </w:p>
    <w:p w14:paraId="263AC106">
      <w:pPr>
        <w:pStyle w:val="4"/>
        <w:numPr>
          <w:ilvl w:val="0"/>
          <w:numId w:val="41"/>
        </w:numPr>
        <w:spacing w:before="0" w:after="0" w:line="360" w:lineRule="auto"/>
        <w:rPr>
          <w:rFonts w:hint="default" w:ascii="Arial" w:hAnsi="Arial" w:eastAsia="Times New Roman" w:cs="Arial"/>
          <w:b/>
          <w:bCs/>
          <w:color w:val="000000" w:themeColor="text1"/>
          <w:sz w:val="24"/>
          <w:szCs w:val="24"/>
          <w14:textFill>
            <w14:solidFill>
              <w14:schemeClr w14:val="tx1"/>
            </w14:solidFill>
          </w14:textFill>
        </w:rPr>
      </w:pPr>
      <w:bookmarkStart w:id="18" w:name="_Toc3556"/>
      <w:r>
        <w:rPr>
          <w:rFonts w:hint="default" w:ascii="Arial" w:hAnsi="Arial" w:eastAsia="Times New Roman" w:cs="Arial"/>
          <w:b/>
          <w:bCs/>
          <w:color w:val="000000" w:themeColor="text1"/>
          <w:sz w:val="24"/>
          <w:szCs w:val="24"/>
          <w14:textFill>
            <w14:solidFill>
              <w14:schemeClr w14:val="tx1"/>
            </w14:solidFill>
          </w14:textFill>
        </w:rPr>
        <w:t>Common Problems</w:t>
      </w:r>
      <w:bookmarkEnd w:id="18"/>
    </w:p>
    <w:p w14:paraId="370BCA36">
      <w:pPr>
        <w:pStyle w:val="35"/>
        <w:numPr>
          <w:ilvl w:val="0"/>
          <w:numId w:val="42"/>
        </w:numPr>
        <w:spacing w:after="0" w:line="360" w:lineRule="auto"/>
        <w:rPr>
          <w:rFonts w:hint="default" w:ascii="Arial" w:hAnsi="Arial" w:eastAsia="Times New Roman" w:cs="Arial"/>
          <w:color w:val="000000" w:themeColor="text1"/>
          <w:sz w:val="24"/>
          <w:szCs w:val="24"/>
          <w14:textFill>
            <w14:solidFill>
              <w14:schemeClr w14:val="tx1"/>
            </w14:solidFill>
          </w14:textFill>
        </w:rPr>
      </w:pPr>
      <w:r>
        <w:rPr>
          <w:rFonts w:hint="default" w:ascii="Arial" w:hAnsi="Arial" w:eastAsia="Times New Roman" w:cs="Arial"/>
          <w:color w:val="000000" w:themeColor="text1"/>
          <w:sz w:val="24"/>
          <w:szCs w:val="24"/>
          <w14:textFill>
            <w14:solidFill>
              <w14:schemeClr w14:val="tx1"/>
            </w14:solidFill>
          </w14:textFill>
        </w:rPr>
        <w:t>Delayed physiotherapy follow-up after hospital discharge (Serra Grima, 2020)</w:t>
      </w:r>
    </w:p>
    <w:p w14:paraId="5A595AF3">
      <w:pPr>
        <w:pStyle w:val="35"/>
        <w:numPr>
          <w:ilvl w:val="0"/>
          <w:numId w:val="42"/>
        </w:numPr>
        <w:spacing w:after="0" w:line="360" w:lineRule="auto"/>
        <w:rPr>
          <w:rFonts w:hint="default" w:ascii="Arial" w:hAnsi="Arial" w:eastAsia="Times New Roman" w:cs="Arial"/>
          <w:color w:val="000000" w:themeColor="text1"/>
          <w:sz w:val="24"/>
          <w:szCs w:val="24"/>
          <w14:textFill>
            <w14:solidFill>
              <w14:schemeClr w14:val="tx1"/>
            </w14:solidFill>
          </w14:textFill>
        </w:rPr>
      </w:pPr>
      <w:r>
        <w:rPr>
          <w:rFonts w:hint="default" w:ascii="Arial" w:hAnsi="Arial" w:eastAsia="Times New Roman" w:cs="Arial"/>
          <w:color w:val="000000" w:themeColor="text1"/>
          <w:sz w:val="24"/>
          <w:szCs w:val="24"/>
          <w14:textFill>
            <w14:solidFill>
              <w14:schemeClr w14:val="tx1"/>
            </w14:solidFill>
          </w14:textFill>
        </w:rPr>
        <w:t>Overprotection by parents and teachers (Serra Grima, 2020)</w:t>
      </w:r>
    </w:p>
    <w:p w14:paraId="3102F43F">
      <w:pPr>
        <w:pStyle w:val="35"/>
        <w:numPr>
          <w:ilvl w:val="0"/>
          <w:numId w:val="42"/>
        </w:numPr>
        <w:spacing w:after="0" w:line="360" w:lineRule="auto"/>
        <w:rPr>
          <w:rFonts w:hint="default" w:ascii="Arial" w:hAnsi="Arial" w:eastAsia="Times New Roman" w:cs="Arial"/>
          <w:color w:val="000000" w:themeColor="text1"/>
          <w:sz w:val="24"/>
          <w:szCs w:val="24"/>
          <w14:textFill>
            <w14:solidFill>
              <w14:schemeClr w14:val="tx1"/>
            </w14:solidFill>
          </w14:textFill>
        </w:rPr>
      </w:pPr>
      <w:r>
        <w:rPr>
          <w:rFonts w:hint="default" w:ascii="Arial" w:hAnsi="Arial" w:eastAsia="Times New Roman" w:cs="Arial"/>
          <w:color w:val="000000" w:themeColor="text1"/>
          <w:sz w:val="24"/>
          <w:szCs w:val="24"/>
          <w14:textFill>
            <w14:solidFill>
              <w14:schemeClr w14:val="tx1"/>
            </w14:solidFill>
          </w14:textFill>
        </w:rPr>
        <w:t>Children often exercise below their actual capacity (70%) (Serra Grima, 2020)</w:t>
      </w:r>
    </w:p>
    <w:p w14:paraId="5960D1CD">
      <w:pPr>
        <w:pStyle w:val="35"/>
        <w:numPr>
          <w:ilvl w:val="0"/>
          <w:numId w:val="42"/>
        </w:numPr>
        <w:spacing w:after="0" w:line="360" w:lineRule="auto"/>
        <w:rPr>
          <w:rFonts w:hint="default" w:ascii="Arial" w:hAnsi="Arial" w:eastAsia="Times New Roman" w:cs="Arial"/>
          <w:color w:val="000000" w:themeColor="text1"/>
          <w:sz w:val="24"/>
          <w:szCs w:val="24"/>
          <w14:textFill>
            <w14:solidFill>
              <w14:schemeClr w14:val="tx1"/>
            </w14:solidFill>
          </w14:textFill>
        </w:rPr>
      </w:pPr>
      <w:r>
        <w:rPr>
          <w:rFonts w:hint="default" w:ascii="Arial" w:hAnsi="Arial" w:eastAsia="Times New Roman" w:cs="Arial"/>
          <w:color w:val="000000" w:themeColor="text1"/>
          <w:sz w:val="24"/>
          <w:szCs w:val="24"/>
          <w14:textFill>
            <w14:solidFill>
              <w14:schemeClr w14:val="tx1"/>
            </w14:solidFill>
          </w14:textFill>
        </w:rPr>
        <w:t>Social exclusion from peer activities (Serra Grima, 2020)</w:t>
      </w:r>
    </w:p>
    <w:p w14:paraId="589C4766">
      <w:pPr>
        <w:pStyle w:val="35"/>
        <w:spacing w:after="0" w:line="360" w:lineRule="auto"/>
        <w:rPr>
          <w:rFonts w:hint="default" w:ascii="Arial" w:hAnsi="Arial" w:eastAsia="Times New Roman" w:cs="Arial"/>
          <w:color w:val="000000" w:themeColor="text1"/>
          <w:sz w:val="24"/>
          <w:szCs w:val="24"/>
          <w14:textFill>
            <w14:solidFill>
              <w14:schemeClr w14:val="tx1"/>
            </w14:solidFill>
          </w14:textFill>
        </w:rPr>
      </w:pPr>
    </w:p>
    <w:p w14:paraId="725D9929">
      <w:pPr>
        <w:pStyle w:val="4"/>
        <w:numPr>
          <w:ilvl w:val="0"/>
          <w:numId w:val="41"/>
        </w:numPr>
        <w:spacing w:before="0" w:after="0" w:line="360" w:lineRule="auto"/>
        <w:rPr>
          <w:rFonts w:hint="default" w:ascii="Arial" w:hAnsi="Arial" w:eastAsia="Times New Roman" w:cs="Arial"/>
          <w:b/>
          <w:bCs/>
          <w:color w:val="000000" w:themeColor="text1"/>
          <w:sz w:val="24"/>
          <w:szCs w:val="24"/>
          <w14:textFill>
            <w14:solidFill>
              <w14:schemeClr w14:val="tx1"/>
            </w14:solidFill>
          </w14:textFill>
        </w:rPr>
      </w:pPr>
      <w:bookmarkStart w:id="19" w:name="_Toc1163"/>
      <w:r>
        <w:rPr>
          <w:rFonts w:hint="default" w:ascii="Arial" w:hAnsi="Arial" w:eastAsia="Times New Roman" w:cs="Arial"/>
          <w:b/>
          <w:bCs/>
          <w:color w:val="000000" w:themeColor="text1"/>
          <w:sz w:val="24"/>
          <w:szCs w:val="24"/>
          <w14:textFill>
            <w14:solidFill>
              <w14:schemeClr w14:val="tx1"/>
            </w14:solidFill>
          </w14:textFill>
        </w:rPr>
        <w:t>Recommendations</w:t>
      </w:r>
      <w:bookmarkEnd w:id="19"/>
    </w:p>
    <w:p w14:paraId="0BC9A51F">
      <w:pPr>
        <w:pStyle w:val="35"/>
        <w:numPr>
          <w:ilvl w:val="0"/>
          <w:numId w:val="43"/>
        </w:numPr>
        <w:spacing w:after="0" w:line="360" w:lineRule="auto"/>
        <w:rPr>
          <w:rFonts w:hint="default" w:ascii="Arial" w:hAnsi="Arial" w:eastAsia="Times New Roman" w:cs="Arial"/>
          <w:color w:val="000000" w:themeColor="text1"/>
          <w:sz w:val="24"/>
          <w:szCs w:val="24"/>
          <w14:textFill>
            <w14:solidFill>
              <w14:schemeClr w14:val="tx1"/>
            </w14:solidFill>
          </w14:textFill>
        </w:rPr>
      </w:pPr>
      <w:r>
        <w:rPr>
          <w:rFonts w:hint="default" w:ascii="Arial" w:hAnsi="Arial" w:eastAsia="Times New Roman" w:cs="Arial"/>
          <w:color w:val="000000" w:themeColor="text1"/>
          <w:sz w:val="24"/>
          <w:szCs w:val="24"/>
          <w14:textFill>
            <w14:solidFill>
              <w14:schemeClr w14:val="tx1"/>
            </w14:solidFill>
          </w14:textFill>
        </w:rPr>
        <w:t>Regular, supervised physiotherapy and training (Serra Grima, 2020)</w:t>
      </w:r>
    </w:p>
    <w:p w14:paraId="51D0470A">
      <w:pPr>
        <w:pStyle w:val="35"/>
        <w:numPr>
          <w:ilvl w:val="0"/>
          <w:numId w:val="43"/>
        </w:numPr>
        <w:spacing w:after="0" w:line="360" w:lineRule="auto"/>
        <w:rPr>
          <w:rFonts w:hint="default" w:ascii="Arial" w:hAnsi="Arial" w:eastAsia="Times New Roman" w:cs="Arial"/>
          <w:color w:val="000000" w:themeColor="text1"/>
          <w:sz w:val="24"/>
          <w:szCs w:val="24"/>
          <w14:textFill>
            <w14:solidFill>
              <w14:schemeClr w14:val="tx1"/>
            </w14:solidFill>
          </w14:textFill>
        </w:rPr>
      </w:pPr>
      <w:r>
        <w:rPr>
          <w:rFonts w:hint="default" w:ascii="Arial" w:hAnsi="Arial" w:eastAsia="Times New Roman" w:cs="Arial"/>
          <w:color w:val="000000" w:themeColor="text1"/>
          <w:sz w:val="24"/>
          <w:szCs w:val="24"/>
          <w14:textFill>
            <w14:solidFill>
              <w14:schemeClr w14:val="tx1"/>
            </w14:solidFill>
          </w14:textFill>
        </w:rPr>
        <w:t>Individualised programs adjusted to tolerance (Serra Grima, 2020)</w:t>
      </w:r>
    </w:p>
    <w:p w14:paraId="3E422DFD">
      <w:pPr>
        <w:pStyle w:val="35"/>
        <w:numPr>
          <w:ilvl w:val="0"/>
          <w:numId w:val="43"/>
        </w:numPr>
        <w:spacing w:after="0" w:line="360" w:lineRule="auto"/>
        <w:rPr>
          <w:rFonts w:hint="default" w:ascii="Arial" w:hAnsi="Arial" w:eastAsia="Times New Roman" w:cs="Arial"/>
          <w:color w:val="000000" w:themeColor="text1"/>
          <w:sz w:val="24"/>
          <w:szCs w:val="24"/>
          <w14:textFill>
            <w14:solidFill>
              <w14:schemeClr w14:val="tx1"/>
            </w14:solidFill>
          </w14:textFill>
        </w:rPr>
      </w:pPr>
      <w:r>
        <w:rPr>
          <w:rStyle w:val="18"/>
          <w:rFonts w:hint="default" w:ascii="Arial" w:hAnsi="Arial" w:eastAsia="Times New Roman" w:cs="Arial"/>
          <w:b w:val="0"/>
          <w:bCs w:val="0"/>
          <w:color w:val="000000" w:themeColor="text1"/>
          <w:sz w:val="24"/>
          <w:szCs w:val="24"/>
          <w14:textFill>
            <w14:solidFill>
              <w14:schemeClr w14:val="tx1"/>
            </w14:solidFill>
          </w14:textFill>
        </w:rPr>
        <w:t>Cardiopulmonary exercise testing to guide safe intensity (Serra Grima, 2020)</w:t>
      </w:r>
    </w:p>
    <w:p w14:paraId="0BEB1735">
      <w:pPr>
        <w:pStyle w:val="35"/>
        <w:numPr>
          <w:ilvl w:val="0"/>
          <w:numId w:val="43"/>
        </w:numPr>
        <w:spacing w:after="0" w:line="360" w:lineRule="auto"/>
        <w:rPr>
          <w:rFonts w:hint="default" w:ascii="Arial" w:hAnsi="Arial" w:eastAsia="Times New Roman" w:cs="Arial"/>
          <w:color w:val="000000" w:themeColor="text1"/>
          <w:sz w:val="24"/>
          <w:szCs w:val="24"/>
          <w14:textFill>
            <w14:solidFill>
              <w14:schemeClr w14:val="tx1"/>
            </w14:solidFill>
          </w14:textFill>
        </w:rPr>
      </w:pPr>
      <w:r>
        <w:rPr>
          <w:rFonts w:hint="default" w:ascii="Arial" w:hAnsi="Arial" w:eastAsia="Times New Roman" w:cs="Arial"/>
          <w:color w:val="000000" w:themeColor="text1"/>
          <w:sz w:val="24"/>
          <w:szCs w:val="24"/>
          <w14:textFill>
            <w14:solidFill>
              <w14:schemeClr w14:val="tx1"/>
            </w14:solidFill>
          </w14:textFill>
        </w:rPr>
        <w:t>Encourage participation in normal age-appropriate activities (Serra Grima, 2020)</w:t>
      </w:r>
    </w:p>
    <w:p w14:paraId="7F37B7D2">
      <w:pPr>
        <w:pStyle w:val="35"/>
        <w:spacing w:after="0" w:line="360" w:lineRule="auto"/>
        <w:rPr>
          <w:rFonts w:hint="default" w:ascii="Arial" w:hAnsi="Arial" w:eastAsia="Times New Roman" w:cs="Arial"/>
          <w:color w:val="000000" w:themeColor="text1"/>
          <w:sz w:val="24"/>
          <w:szCs w:val="24"/>
          <w14:textFill>
            <w14:solidFill>
              <w14:schemeClr w14:val="tx1"/>
            </w14:solidFill>
          </w14:textFill>
        </w:rPr>
      </w:pPr>
    </w:p>
    <w:p w14:paraId="54E60CFE">
      <w:pPr>
        <w:pStyle w:val="4"/>
        <w:numPr>
          <w:ilvl w:val="0"/>
          <w:numId w:val="44"/>
        </w:numPr>
        <w:spacing w:before="0" w:after="0" w:line="360" w:lineRule="auto"/>
        <w:rPr>
          <w:rFonts w:hint="default" w:ascii="Arial" w:hAnsi="Arial" w:eastAsia="Times New Roman" w:cs="Arial"/>
          <w:b/>
          <w:bCs/>
          <w:color w:val="000000" w:themeColor="text1"/>
          <w:sz w:val="24"/>
          <w:szCs w:val="24"/>
          <w14:textFill>
            <w14:solidFill>
              <w14:schemeClr w14:val="tx1"/>
            </w14:solidFill>
          </w14:textFill>
        </w:rPr>
      </w:pPr>
      <w:bookmarkStart w:id="20" w:name="_Toc27522"/>
      <w:r>
        <w:rPr>
          <w:rFonts w:hint="default" w:ascii="Arial" w:hAnsi="Arial" w:eastAsia="Times New Roman" w:cs="Arial"/>
          <w:b/>
          <w:bCs/>
          <w:color w:val="000000" w:themeColor="text1"/>
          <w:sz w:val="24"/>
          <w:szCs w:val="24"/>
          <w14:textFill>
            <w14:solidFill>
              <w14:schemeClr w14:val="tx1"/>
            </w14:solidFill>
          </w14:textFill>
        </w:rPr>
        <w:t>Conclusion</w:t>
      </w:r>
      <w:bookmarkEnd w:id="20"/>
    </w:p>
    <w:p w14:paraId="188D43B8">
      <w:pPr>
        <w:pStyle w:val="17"/>
        <w:numPr>
          <w:ilvl w:val="0"/>
          <w:numId w:val="45"/>
        </w:numPr>
        <w:spacing w:before="0" w:beforeAutospacing="0" w:after="0" w:afterAutospacing="0" w:line="36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Structured, supervised exercise programs help children with CHD achieve better physical fitness, cognitive development, and equal opportunities compared to peers (Serra Grima, 2020).</w:t>
      </w:r>
    </w:p>
    <w:p w14:paraId="4DE5DBBB">
      <w:pPr>
        <w:pStyle w:val="17"/>
        <w:shd w:val="clear" w:color="auto" w:fill="FFFFFF" w:themeFill="background1"/>
        <w:spacing w:before="0" w:beforeAutospacing="0" w:after="300" w:afterAutospacing="0"/>
        <w:jc w:val="center"/>
        <w:rPr>
          <w:rFonts w:hint="default" w:ascii="Arial" w:hAnsi="Arial" w:cs="Arial"/>
          <w:sz w:val="24"/>
          <w:szCs w:val="24"/>
        </w:rPr>
      </w:pPr>
      <w:r>
        <w:rPr>
          <w:rFonts w:hint="default" w:ascii="Arial" w:hAnsi="Arial" w:cs="Arial"/>
          <w:sz w:val="24"/>
          <w:szCs w:val="24"/>
        </w:rPr>
        <w:drawing>
          <wp:inline distT="0" distB="0" distL="0" distR="0">
            <wp:extent cx="4287520" cy="6631305"/>
            <wp:effectExtent l="0" t="0" r="0" b="0"/>
            <wp:docPr id="8959226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922646" name="drawing"/>
                    <pic:cNvPicPr>
                      <a:picLocks noChangeAspect="1"/>
                    </pic:cNvPicPr>
                  </pic:nvPicPr>
                  <pic:blipFill>
                    <a:blip r:embed="rId25"/>
                    <a:stretch>
                      <a:fillRect/>
                    </a:stretch>
                  </pic:blipFill>
                  <pic:spPr>
                    <a:xfrm>
                      <a:off x="0" y="0"/>
                      <a:ext cx="4287637" cy="6631559"/>
                    </a:xfrm>
                    <a:prstGeom prst="rect">
                      <a:avLst/>
                    </a:prstGeom>
                  </pic:spPr>
                </pic:pic>
              </a:graphicData>
            </a:graphic>
          </wp:inline>
        </w:drawing>
      </w:r>
    </w:p>
    <w:p w14:paraId="3EF9BDEB">
      <w:pPr>
        <w:pStyle w:val="17"/>
        <w:shd w:val="clear" w:color="auto" w:fill="FFFFFF" w:themeFill="background1"/>
        <w:spacing w:before="0" w:beforeAutospacing="0" w:after="300" w:afterAutospacing="0" w:line="360" w:lineRule="auto"/>
        <w:jc w:val="center"/>
        <w:rPr>
          <w:rFonts w:hint="default" w:ascii="Arial" w:hAnsi="Arial" w:eastAsia="Arial" w:cs="Arial"/>
          <w:color w:val="808080" w:themeColor="text1" w:themeTint="80"/>
          <w:sz w:val="24"/>
          <w:szCs w:val="24"/>
          <w14:textFill>
            <w14:solidFill>
              <w14:schemeClr w14:val="tx1">
                <w14:lumMod w14:val="50000"/>
                <w14:lumOff w14:val="50000"/>
              </w14:schemeClr>
            </w14:solidFill>
          </w14:textFill>
        </w:rPr>
      </w:pPr>
      <w:r>
        <w:rPr>
          <w:rFonts w:hint="default" w:ascii="Arial" w:hAnsi="Arial" w:eastAsia="Arial" w:cs="Arial"/>
          <w:color w:val="808080" w:themeColor="text1" w:themeTint="80"/>
          <w:sz w:val="24"/>
          <w:szCs w:val="24"/>
          <w14:textFill>
            <w14:solidFill>
              <w14:schemeClr w14:val="tx1">
                <w14:lumMod w14:val="50000"/>
                <w14:lumOff w14:val="50000"/>
              </w14:schemeClr>
            </w14:solidFill>
          </w14:textFill>
        </w:rPr>
        <w:t>Core components of cardiac rehabilitation (Brown et al., 2024)</w:t>
      </w:r>
    </w:p>
    <w:p w14:paraId="300CCE51">
      <w:pPr>
        <w:pStyle w:val="17"/>
        <w:shd w:val="clear" w:color="auto" w:fill="FFFFFF" w:themeFill="background1"/>
        <w:spacing w:before="0" w:beforeAutospacing="0" w:after="300" w:afterAutospacing="0" w:line="360" w:lineRule="auto"/>
        <w:jc w:val="center"/>
        <w:rPr>
          <w:rFonts w:hint="default" w:ascii="Arial" w:hAnsi="Arial" w:eastAsia="Arial" w:cs="Arial"/>
          <w:color w:val="808080" w:themeColor="text1" w:themeTint="80"/>
          <w:sz w:val="24"/>
          <w:szCs w:val="24"/>
          <w14:textFill>
            <w14:solidFill>
              <w14:schemeClr w14:val="tx1">
                <w14:lumMod w14:val="50000"/>
                <w14:lumOff w14:val="50000"/>
              </w14:schemeClr>
            </w14:solidFill>
          </w14:textFill>
        </w:rPr>
      </w:pPr>
    </w:p>
    <w:p w14:paraId="6DC5D6C2">
      <w:pPr>
        <w:pStyle w:val="2"/>
        <w:numPr>
          <w:ilvl w:val="0"/>
          <w:numId w:val="34"/>
        </w:numPr>
        <w:bidi w:val="0"/>
        <w:ind w:left="0" w:leftChars="0" w:firstLine="0" w:firstLineChars="0"/>
        <w:rPr>
          <w:rFonts w:hint="default" w:ascii="Arial" w:hAnsi="Arial" w:cs="Arial"/>
          <w:sz w:val="32"/>
          <w:szCs w:val="32"/>
          <w:lang w:val="en-US"/>
        </w:rPr>
      </w:pPr>
      <w:bookmarkStart w:id="21" w:name="_Toc11528"/>
      <w:r>
        <w:rPr>
          <w:rFonts w:hint="default" w:ascii="Arial" w:hAnsi="Arial" w:cs="Arial"/>
          <w:sz w:val="32"/>
          <w:szCs w:val="32"/>
        </w:rPr>
        <w:t>End-of-Life Care</w:t>
      </w:r>
      <w:bookmarkEnd w:id="21"/>
      <w:r>
        <w:rPr>
          <w:rFonts w:hint="default" w:ascii="Arial" w:hAnsi="Arial" w:cs="Arial"/>
          <w:sz w:val="32"/>
          <w:szCs w:val="32"/>
          <w:lang w:val="en-US"/>
        </w:rPr>
        <w:t>:</w:t>
      </w:r>
    </w:p>
    <w:p w14:paraId="5212571C">
      <w:pPr>
        <w:numPr>
          <w:numId w:val="0"/>
        </w:numPr>
        <w:ind w:leftChars="0"/>
        <w:rPr>
          <w:rFonts w:hint="default"/>
          <w:lang w:val="en-US"/>
        </w:rPr>
      </w:pPr>
    </w:p>
    <w:p w14:paraId="3568F530">
      <w:pPr>
        <w:pStyle w:val="17"/>
        <w:shd w:val="clear" w:color="auto" w:fill="FFFFFF" w:themeFill="background1"/>
        <w:spacing w:before="0" w:beforeAutospacing="0" w:after="300" w:afterAutospacing="0"/>
        <w:jc w:val="center"/>
        <w:rPr>
          <w:rFonts w:hint="default" w:ascii="Arial" w:hAnsi="Arial" w:eastAsia="Arial" w:cs="Arial"/>
          <w:b/>
          <w:bCs/>
          <w:color w:val="808080" w:themeColor="text1" w:themeTint="80"/>
          <w:sz w:val="24"/>
          <w:szCs w:val="24"/>
          <w14:textFill>
            <w14:solidFill>
              <w14:schemeClr w14:val="tx1">
                <w14:lumMod w14:val="50000"/>
                <w14:lumOff w14:val="50000"/>
              </w14:schemeClr>
            </w14:solidFill>
          </w14:textFill>
        </w:rPr>
      </w:pPr>
      <w:r>
        <w:rPr>
          <w:rFonts w:hint="default" w:ascii="Arial" w:hAnsi="Arial" w:cs="Arial"/>
          <w:sz w:val="24"/>
          <w:szCs w:val="24"/>
        </w:rPr>
        <w:drawing>
          <wp:inline distT="0" distB="0" distL="0" distR="0">
            <wp:extent cx="5943600" cy="5775960"/>
            <wp:effectExtent l="0" t="0" r="0" b="0"/>
            <wp:docPr id="1918106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106834" name="Picture 1"/>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5943600" cy="5775960"/>
                    </a:xfrm>
                    <a:prstGeom prst="rect">
                      <a:avLst/>
                    </a:prstGeom>
                  </pic:spPr>
                </pic:pic>
              </a:graphicData>
            </a:graphic>
          </wp:inline>
        </w:drawing>
      </w:r>
    </w:p>
    <w:p w14:paraId="213F3856">
      <w:pPr>
        <w:pStyle w:val="17"/>
        <w:shd w:val="clear" w:color="auto" w:fill="FFFFFF" w:themeFill="background1"/>
        <w:spacing w:before="0" w:beforeAutospacing="0" w:after="300" w:afterAutospacing="0"/>
        <w:jc w:val="center"/>
        <w:rPr>
          <w:rFonts w:hint="default" w:ascii="Arial" w:hAnsi="Arial" w:eastAsia="Arial" w:cs="Arial"/>
          <w:b/>
          <w:bCs/>
          <w:color w:val="808080" w:themeColor="text1" w:themeTint="80"/>
          <w:sz w:val="24"/>
          <w:szCs w:val="24"/>
          <w14:textFill>
            <w14:solidFill>
              <w14:schemeClr w14:val="tx1">
                <w14:lumMod w14:val="50000"/>
                <w14:lumOff w14:val="50000"/>
              </w14:schemeClr>
            </w14:solidFill>
          </w14:textFill>
        </w:rPr>
      </w:pPr>
      <w:r>
        <w:rPr>
          <w:rFonts w:hint="default" w:ascii="Arial" w:hAnsi="Arial" w:eastAsia="Arial" w:cs="Arial"/>
          <w:b/>
          <w:bCs/>
          <w:color w:val="808080" w:themeColor="text1" w:themeTint="80"/>
          <w:sz w:val="24"/>
          <w:szCs w:val="24"/>
          <w14:textFill>
            <w14:solidFill>
              <w14:schemeClr w14:val="tx1">
                <w14:lumMod w14:val="50000"/>
                <w14:lumOff w14:val="50000"/>
              </w14:schemeClr>
            </w14:solidFill>
          </w14:textFill>
        </w:rPr>
        <w:t>enital heart diseases:End-of-life care pathway for children (Chambers, 2019)</w:t>
      </w:r>
    </w:p>
    <w:p w14:paraId="12CFEC62">
      <w:pPr>
        <w:pStyle w:val="17"/>
        <w:shd w:val="clear" w:color="auto" w:fill="FFFFFF" w:themeFill="background1"/>
        <w:spacing w:before="0" w:beforeAutospacing="0" w:after="300" w:afterAutospacing="0"/>
        <w:jc w:val="center"/>
        <w:rPr>
          <w:rFonts w:hint="default" w:ascii="Arial" w:hAnsi="Arial" w:eastAsia="Arial" w:cs="Arial"/>
          <w:b/>
          <w:bCs/>
          <w:color w:val="808080" w:themeColor="text1" w:themeTint="80"/>
          <w:sz w:val="24"/>
          <w:szCs w:val="24"/>
          <w14:textFill>
            <w14:solidFill>
              <w14:schemeClr w14:val="tx1">
                <w14:lumMod w14:val="50000"/>
                <w14:lumOff w14:val="50000"/>
              </w14:schemeClr>
            </w14:solidFill>
          </w14:textFill>
        </w:rPr>
      </w:pPr>
    </w:p>
    <w:p w14:paraId="7D66873F">
      <w:pPr>
        <w:pStyle w:val="17"/>
        <w:shd w:val="clear" w:color="auto" w:fill="FFFFFF" w:themeFill="background1"/>
        <w:spacing w:before="0" w:beforeAutospacing="0" w:after="300" w:afterAutospacing="0"/>
        <w:jc w:val="center"/>
        <w:rPr>
          <w:rFonts w:hint="default" w:ascii="Arial" w:hAnsi="Arial" w:eastAsia="Arial" w:cs="Arial"/>
          <w:b/>
          <w:bCs/>
          <w:color w:val="808080" w:themeColor="text1" w:themeTint="80"/>
          <w:sz w:val="24"/>
          <w:szCs w:val="24"/>
          <w14:textFill>
            <w14:solidFill>
              <w14:schemeClr w14:val="tx1">
                <w14:lumMod w14:val="50000"/>
                <w14:lumOff w14:val="50000"/>
              </w14:schemeClr>
            </w14:solidFill>
          </w14:textFill>
        </w:rPr>
      </w:pPr>
    </w:p>
    <w:p w14:paraId="1BD07004">
      <w:pPr>
        <w:pStyle w:val="17"/>
        <w:shd w:val="clear" w:color="auto" w:fill="FFFFFF" w:themeFill="background1"/>
        <w:spacing w:before="0" w:beforeAutospacing="0" w:after="300" w:afterAutospacing="0"/>
        <w:jc w:val="center"/>
        <w:rPr>
          <w:rFonts w:hint="default" w:ascii="Arial" w:hAnsi="Arial" w:eastAsia="Arial" w:cs="Arial"/>
          <w:b/>
          <w:bCs/>
          <w:color w:val="808080" w:themeColor="text1" w:themeTint="80"/>
          <w:sz w:val="24"/>
          <w:szCs w:val="24"/>
          <w14:textFill>
            <w14:solidFill>
              <w14:schemeClr w14:val="tx1">
                <w14:lumMod w14:val="50000"/>
                <w14:lumOff w14:val="50000"/>
              </w14:schemeClr>
            </w14:solidFill>
          </w14:textFill>
        </w:rPr>
      </w:pPr>
    </w:p>
    <w:p w14:paraId="48B71D79">
      <w:pPr>
        <w:pStyle w:val="17"/>
        <w:numPr>
          <w:ilvl w:val="0"/>
          <w:numId w:val="46"/>
        </w:numPr>
        <w:shd w:val="clear" w:color="auto" w:fill="FFFFFF" w:themeFill="background1"/>
        <w:spacing w:before="0" w:beforeAutospacing="0" w:after="300" w:afterAutospacing="0"/>
        <w:rPr>
          <w:rFonts w:hint="default" w:ascii="Arial" w:hAnsi="Arial" w:eastAsia="Arial" w:cs="Arial"/>
          <w:b/>
          <w:bCs/>
          <w:color w:val="0B0C0C"/>
          <w:sz w:val="24"/>
          <w:szCs w:val="24"/>
        </w:rPr>
      </w:pPr>
      <w:r>
        <w:rPr>
          <w:rFonts w:hint="default" w:ascii="Arial" w:hAnsi="Arial" w:eastAsia="Arial" w:cs="Arial"/>
          <w:b/>
          <w:bCs/>
          <w:color w:val="0B0C0C"/>
          <w:sz w:val="24"/>
          <w:szCs w:val="24"/>
        </w:rPr>
        <w:t>Policy Framework:</w:t>
      </w:r>
      <w:r>
        <w:rPr>
          <w:rFonts w:hint="default" w:ascii="Arial" w:hAnsi="Arial" w:eastAsia="Arial" w:cs="Arial"/>
          <w:color w:val="0B0C0C"/>
          <w:sz w:val="24"/>
          <w:szCs w:val="24"/>
        </w:rPr>
        <w:t>Paediatric end-of-life cardiac care should align with:</w:t>
      </w:r>
    </w:p>
    <w:p w14:paraId="33F276DC">
      <w:pPr>
        <w:pStyle w:val="17"/>
        <w:numPr>
          <w:ilvl w:val="0"/>
          <w:numId w:val="47"/>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NHS England service specifications for congenital heart disease (National Institute for Health and Care Excellence, 2016).</w:t>
      </w:r>
    </w:p>
    <w:p w14:paraId="77C6AFD5">
      <w:pPr>
        <w:pStyle w:val="17"/>
        <w:numPr>
          <w:ilvl w:val="0"/>
          <w:numId w:val="47"/>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National Institute for Health and Care Excellence (NICE) guideline NG61: End of life care for infants, children and young people with life-limiting conditions (National Institute for Health and Care Excellence, 2016).</w:t>
      </w:r>
    </w:p>
    <w:p w14:paraId="1C547D63">
      <w:pPr>
        <w:pStyle w:val="17"/>
        <w:numPr>
          <w:ilvl w:val="0"/>
          <w:numId w:val="47"/>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Together for Short Lives national children’s palliative care framework (National Institute for Health and Care Excellence, 2016).</w:t>
      </w:r>
    </w:p>
    <w:p w14:paraId="705AEDF1">
      <w:pPr>
        <w:pStyle w:val="17"/>
        <w:numPr>
          <w:ilvl w:val="0"/>
          <w:numId w:val="47"/>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UK statutory guidance on organ and tissue donation via NHS Blood and Transplant (National Institute for Health and Care Excellence, 2016).</w:t>
      </w:r>
    </w:p>
    <w:p w14:paraId="0EE32726">
      <w:pPr>
        <w:pStyle w:val="17"/>
        <w:shd w:val="clear" w:color="auto" w:fill="FFFFFF" w:themeFill="background1"/>
        <w:spacing w:before="0" w:beforeAutospacing="0" w:after="0" w:afterAutospacing="0" w:line="360" w:lineRule="auto"/>
        <w:ind w:left="720"/>
        <w:rPr>
          <w:rFonts w:hint="default" w:ascii="Arial" w:hAnsi="Arial" w:eastAsia="Arial" w:cs="Arial"/>
          <w:color w:val="0B0C0C"/>
          <w:sz w:val="24"/>
          <w:szCs w:val="24"/>
        </w:rPr>
      </w:pPr>
    </w:p>
    <w:p w14:paraId="1BD8EFB8">
      <w:pPr>
        <w:pStyle w:val="17"/>
        <w:numPr>
          <w:ilvl w:val="0"/>
          <w:numId w:val="48"/>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b/>
          <w:bCs/>
          <w:color w:val="0B0C0C"/>
          <w:sz w:val="24"/>
          <w:szCs w:val="24"/>
        </w:rPr>
        <w:t>Policy Principle:</w:t>
      </w:r>
      <w:r>
        <w:rPr>
          <w:rFonts w:hint="default" w:ascii="Arial" w:hAnsi="Arial" w:eastAsia="Arial" w:cs="Arial"/>
          <w:color w:val="0B0C0C"/>
          <w:sz w:val="24"/>
          <w:szCs w:val="24"/>
        </w:rPr>
        <w:t>Care must be child-centred, family-centred, coordinated and equitable across regions (National Institute for Health and Care Excellence, 2016).</w:t>
      </w:r>
    </w:p>
    <w:p w14:paraId="4C214A59">
      <w:pPr>
        <w:pStyle w:val="17"/>
        <w:numPr>
          <w:numId w:val="0"/>
        </w:numPr>
        <w:shd w:val="clear" w:color="auto" w:fill="FFFFFF" w:themeFill="background1"/>
        <w:spacing w:before="0" w:beforeAutospacing="0" w:after="0" w:afterAutospacing="0" w:line="360" w:lineRule="auto"/>
        <w:ind w:left="360" w:leftChars="0"/>
        <w:rPr>
          <w:rFonts w:hint="default" w:ascii="Arial" w:hAnsi="Arial" w:eastAsia="Arial" w:cs="Arial"/>
          <w:color w:val="0B0C0C"/>
          <w:sz w:val="24"/>
          <w:szCs w:val="24"/>
        </w:rPr>
      </w:pPr>
    </w:p>
    <w:p w14:paraId="419307BD">
      <w:pPr>
        <w:pStyle w:val="17"/>
        <w:numPr>
          <w:ilvl w:val="0"/>
          <w:numId w:val="48"/>
        </w:numPr>
        <w:shd w:val="clear" w:color="auto" w:fill="FFFFFF" w:themeFill="background1"/>
        <w:spacing w:after="300"/>
        <w:rPr>
          <w:rFonts w:hint="default" w:ascii="Arial" w:hAnsi="Arial" w:eastAsia="Arial" w:cs="Arial"/>
          <w:b/>
          <w:bCs/>
          <w:color w:val="0B0C0C"/>
          <w:sz w:val="24"/>
          <w:szCs w:val="24"/>
        </w:rPr>
      </w:pPr>
      <w:r>
        <w:rPr>
          <w:rFonts w:hint="default" w:ascii="Arial" w:hAnsi="Arial" w:eastAsia="Arial" w:cs="Arial"/>
          <w:b/>
          <w:bCs/>
          <w:color w:val="0B0C0C"/>
          <w:sz w:val="24"/>
          <w:szCs w:val="24"/>
        </w:rPr>
        <w:t>Clinical Responsibilities (What Services Must Do)</w:t>
      </w:r>
    </w:p>
    <w:p w14:paraId="409CB4CD">
      <w:pPr>
        <w:pStyle w:val="17"/>
        <w:numPr>
          <w:ilvl w:val="0"/>
          <w:numId w:val="49"/>
        </w:numPr>
        <w:shd w:val="clear" w:color="auto" w:fill="FFFFFF" w:themeFill="background1"/>
        <w:spacing w:after="300" w:line="360" w:lineRule="auto"/>
        <w:rPr>
          <w:rFonts w:hint="default" w:ascii="Arial" w:hAnsi="Arial" w:eastAsia="Arial" w:cs="Arial"/>
          <w:color w:val="0B0C0C"/>
          <w:sz w:val="24"/>
          <w:szCs w:val="24"/>
        </w:rPr>
      </w:pPr>
      <w:r>
        <w:rPr>
          <w:rFonts w:hint="default" w:ascii="Arial" w:hAnsi="Arial" w:eastAsia="Arial" w:cs="Arial"/>
          <w:color w:val="0B0C0C"/>
          <w:sz w:val="24"/>
          <w:szCs w:val="24"/>
        </w:rPr>
        <w:t>Use nationally approved paediatric palliative pathways (NICE NG61).</w:t>
      </w:r>
    </w:p>
    <w:p w14:paraId="56D0FFD4">
      <w:pPr>
        <w:pStyle w:val="17"/>
        <w:numPr>
          <w:ilvl w:val="0"/>
          <w:numId w:val="49"/>
        </w:numPr>
        <w:shd w:val="clear" w:color="auto" w:fill="FFFFFF" w:themeFill="background1"/>
        <w:spacing w:after="300" w:line="360" w:lineRule="auto"/>
        <w:rPr>
          <w:rFonts w:hint="default" w:ascii="Arial" w:hAnsi="Arial" w:eastAsia="Arial" w:cs="Arial"/>
          <w:color w:val="0B0C0C"/>
          <w:sz w:val="24"/>
          <w:szCs w:val="24"/>
        </w:rPr>
      </w:pPr>
      <w:r>
        <w:rPr>
          <w:rFonts w:hint="default" w:ascii="Arial" w:hAnsi="Arial" w:eastAsia="Arial" w:cs="Arial"/>
          <w:color w:val="0B0C0C"/>
          <w:sz w:val="24"/>
          <w:szCs w:val="24"/>
        </w:rPr>
        <w:t>Allocate a named lead consultant and specialist nurse (National Institute for Health and Care Excellence, 2016).</w:t>
      </w:r>
    </w:p>
    <w:p w14:paraId="2AF33C50">
      <w:pPr>
        <w:pStyle w:val="17"/>
        <w:numPr>
          <w:ilvl w:val="0"/>
          <w:numId w:val="49"/>
        </w:numPr>
        <w:shd w:val="clear" w:color="auto" w:fill="FFFFFF" w:themeFill="background1"/>
        <w:spacing w:after="300" w:line="360" w:lineRule="auto"/>
        <w:rPr>
          <w:rFonts w:hint="default" w:ascii="Arial" w:hAnsi="Arial" w:eastAsia="Arial" w:cs="Arial"/>
          <w:color w:val="0B0C0C"/>
          <w:sz w:val="24"/>
          <w:szCs w:val="24"/>
        </w:rPr>
      </w:pPr>
      <w:r>
        <w:rPr>
          <w:rFonts w:hint="default" w:ascii="Arial" w:hAnsi="Arial" w:eastAsia="Arial" w:cs="Arial"/>
          <w:color w:val="0B0C0C"/>
          <w:sz w:val="24"/>
          <w:szCs w:val="24"/>
        </w:rPr>
        <w:t>Develop a written, individualised end-of-life care plan (National Institute for Health and Care Excellence, 2016</w:t>
      </w:r>
      <w:r>
        <w:rPr>
          <w:rFonts w:hint="default" w:ascii="Arial" w:hAnsi="Arial" w:eastAsia="Arial" w:cs="Arial"/>
          <w:color w:val="0B0C0C"/>
          <w:sz w:val="24"/>
          <w:szCs w:val="24"/>
          <w:lang w:val="en-US"/>
        </w:rPr>
        <w:t xml:space="preserve"> .p.45</w:t>
      </w:r>
      <w:r>
        <w:rPr>
          <w:rFonts w:hint="default" w:ascii="Arial" w:hAnsi="Arial" w:eastAsia="Arial" w:cs="Arial"/>
          <w:color w:val="0B0C0C"/>
          <w:sz w:val="24"/>
          <w:szCs w:val="24"/>
        </w:rPr>
        <w:t>).</w:t>
      </w:r>
    </w:p>
    <w:p w14:paraId="505D89CD">
      <w:pPr>
        <w:pStyle w:val="17"/>
        <w:numPr>
          <w:ilvl w:val="0"/>
          <w:numId w:val="49"/>
        </w:numPr>
        <w:shd w:val="clear" w:color="auto" w:fill="FFFFFF" w:themeFill="background1"/>
        <w:spacing w:after="300" w:line="360" w:lineRule="auto"/>
        <w:rPr>
          <w:rFonts w:hint="default" w:ascii="Arial" w:hAnsi="Arial" w:eastAsia="Arial" w:cs="Arial"/>
          <w:color w:val="0B0C0C"/>
          <w:sz w:val="24"/>
          <w:szCs w:val="24"/>
        </w:rPr>
      </w:pPr>
      <w:r>
        <w:rPr>
          <w:rFonts w:hint="default" w:ascii="Arial" w:hAnsi="Arial" w:eastAsia="Arial" w:cs="Arial"/>
          <w:color w:val="0B0C0C"/>
          <w:sz w:val="24"/>
          <w:szCs w:val="24"/>
        </w:rPr>
        <w:t>Discuss organ and tissue donation sensitively (National Institute for Health and Care Excellence, 2016</w:t>
      </w:r>
      <w:r>
        <w:rPr>
          <w:rFonts w:hint="default" w:ascii="Arial" w:hAnsi="Arial" w:eastAsia="Arial" w:cs="Arial"/>
          <w:color w:val="0B0C0C"/>
          <w:sz w:val="24"/>
          <w:szCs w:val="24"/>
          <w:lang w:val="en-US"/>
        </w:rPr>
        <w:t>.p.45</w:t>
      </w:r>
      <w:r>
        <w:rPr>
          <w:rFonts w:hint="default" w:ascii="Arial" w:hAnsi="Arial" w:eastAsia="Arial" w:cs="Arial"/>
          <w:color w:val="0B0C0C"/>
          <w:sz w:val="24"/>
          <w:szCs w:val="24"/>
        </w:rPr>
        <w:t>).</w:t>
      </w:r>
    </w:p>
    <w:p w14:paraId="2F7C54EA">
      <w:pPr>
        <w:pStyle w:val="17"/>
        <w:numPr>
          <w:ilvl w:val="0"/>
          <w:numId w:val="49"/>
        </w:numPr>
        <w:shd w:val="clear" w:color="auto" w:fill="FFFFFF" w:themeFill="background1"/>
        <w:spacing w:after="300" w:line="360" w:lineRule="auto"/>
        <w:rPr>
          <w:rFonts w:hint="default" w:ascii="Arial" w:hAnsi="Arial" w:eastAsia="Arial" w:cs="Arial"/>
          <w:color w:val="0B0C0C"/>
          <w:sz w:val="24"/>
          <w:szCs w:val="24"/>
        </w:rPr>
      </w:pPr>
      <w:r>
        <w:rPr>
          <w:rFonts w:hint="default" w:ascii="Arial" w:hAnsi="Arial" w:eastAsia="Arial" w:cs="Arial"/>
          <w:color w:val="0B0C0C"/>
          <w:sz w:val="24"/>
          <w:szCs w:val="24"/>
        </w:rPr>
        <w:t>Provide 24/7 hospital access for community-managed patients (National Institute for Health and Care Excellence, 2016).</w:t>
      </w:r>
    </w:p>
    <w:p w14:paraId="4FD26DDF">
      <w:pPr>
        <w:pStyle w:val="17"/>
        <w:numPr>
          <w:ilvl w:val="0"/>
          <w:numId w:val="49"/>
        </w:numPr>
        <w:shd w:val="clear" w:color="auto" w:fill="FFFFFF" w:themeFill="background1"/>
        <w:spacing w:after="300" w:line="360" w:lineRule="auto"/>
        <w:rPr>
          <w:rFonts w:hint="default" w:ascii="Arial" w:hAnsi="Arial" w:eastAsia="Arial" w:cs="Arial"/>
          <w:color w:val="0B0C0C"/>
          <w:sz w:val="24"/>
          <w:szCs w:val="24"/>
        </w:rPr>
      </w:pPr>
      <w:r>
        <w:rPr>
          <w:rFonts w:hint="default" w:ascii="Arial" w:hAnsi="Arial" w:eastAsia="Arial" w:cs="Arial"/>
          <w:color w:val="0B0C0C"/>
          <w:sz w:val="24"/>
          <w:szCs w:val="24"/>
        </w:rPr>
        <w:t>Coordinate with hospice, community nursing and primary care teams (National Institute for Health and Care Excellence, 2016).</w:t>
      </w:r>
    </w:p>
    <w:p w14:paraId="36440101">
      <w:pPr>
        <w:pStyle w:val="17"/>
        <w:shd w:val="clear" w:color="auto" w:fill="FFFFFF" w:themeFill="background1"/>
        <w:spacing w:after="300" w:line="276" w:lineRule="auto"/>
        <w:rPr>
          <w:rFonts w:hint="default" w:ascii="Arial" w:hAnsi="Arial" w:eastAsia="Arial" w:cs="Arial"/>
          <w:color w:val="0B0C0C"/>
          <w:sz w:val="24"/>
          <w:szCs w:val="24"/>
        </w:rPr>
      </w:pPr>
    </w:p>
    <w:p w14:paraId="56CDEE2F">
      <w:pPr>
        <w:pStyle w:val="17"/>
        <w:numPr>
          <w:ilvl w:val="0"/>
          <w:numId w:val="50"/>
        </w:numPr>
        <w:shd w:val="clear" w:color="auto" w:fill="FFFFFF" w:themeFill="background1"/>
        <w:spacing w:after="300" w:line="276" w:lineRule="auto"/>
        <w:rPr>
          <w:rFonts w:hint="default" w:ascii="Arial" w:hAnsi="Arial" w:eastAsia="Arial" w:cs="Arial"/>
          <w:color w:val="0B0C0C"/>
          <w:sz w:val="24"/>
          <w:szCs w:val="24"/>
        </w:rPr>
      </w:pPr>
      <w:r>
        <w:rPr>
          <w:rFonts w:hint="default" w:ascii="Arial" w:hAnsi="Arial" w:eastAsia="Arial" w:cs="Arial"/>
          <w:b/>
          <w:bCs/>
          <w:color w:val="0B0C0C"/>
          <w:sz w:val="24"/>
          <w:szCs w:val="24"/>
        </w:rPr>
        <w:t>Offer structured bereavement follow-up</w:t>
      </w:r>
      <w:r>
        <w:rPr>
          <w:rFonts w:hint="default" w:ascii="Arial" w:hAnsi="Arial" w:eastAsia="Arial" w:cs="Arial"/>
          <w:color w:val="0B0C0C"/>
          <w:sz w:val="24"/>
          <w:szCs w:val="24"/>
        </w:rPr>
        <w:t>:</w:t>
      </w:r>
    </w:p>
    <w:p w14:paraId="353769AD">
      <w:pPr>
        <w:pStyle w:val="17"/>
        <w:numPr>
          <w:ilvl w:val="0"/>
          <w:numId w:val="49"/>
        </w:numPr>
        <w:shd w:val="clear" w:color="auto" w:fill="FFFFFF" w:themeFill="background1"/>
        <w:spacing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 xml:space="preserve">Nurse contact within 1 week </w:t>
      </w:r>
      <w:r>
        <w:rPr>
          <w:rFonts w:hint="default" w:ascii="Arial" w:hAnsi="Arial" w:eastAsia="Arial" w:cs="Arial"/>
          <w:color w:val="0B0C0C"/>
          <w:sz w:val="24"/>
          <w:szCs w:val="24"/>
          <w:lang w:val="en-US"/>
        </w:rPr>
        <w:t>(Aidoo and Rajapakse; 2019)</w:t>
      </w:r>
    </w:p>
    <w:p w14:paraId="123E70E1">
      <w:pPr>
        <w:pStyle w:val="17"/>
        <w:numPr>
          <w:ilvl w:val="0"/>
          <w:numId w:val="49"/>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Consultant review offered within 6 weeks (</w:t>
      </w:r>
      <w:r>
        <w:rPr>
          <w:rFonts w:hint="default" w:ascii="Arial" w:hAnsi="Arial" w:eastAsia="Arial" w:cs="Arial"/>
          <w:color w:val="0B0C0C"/>
          <w:sz w:val="24"/>
          <w:szCs w:val="24"/>
          <w:lang w:val="en-US"/>
        </w:rPr>
        <w:t>(Aidoo and Rajapakse; 2019</w:t>
      </w:r>
      <w:r>
        <w:rPr>
          <w:rFonts w:hint="default" w:ascii="Arial" w:hAnsi="Arial" w:eastAsia="Arial" w:cs="Arial"/>
          <w:color w:val="0B0C0C"/>
          <w:sz w:val="24"/>
          <w:szCs w:val="24"/>
        </w:rPr>
        <w:t>).</w:t>
      </w:r>
    </w:p>
    <w:p w14:paraId="14038394">
      <w:pPr>
        <w:pStyle w:val="17"/>
        <w:numPr>
          <w:ilvl w:val="0"/>
          <w:numId w:val="51"/>
        </w:numPr>
        <w:shd w:val="clear" w:color="auto" w:fill="FFFFFF" w:themeFill="background1"/>
        <w:spacing w:before="0" w:beforeAutospacing="0" w:after="0" w:afterAutospacing="0" w:line="360" w:lineRule="auto"/>
        <w:rPr>
          <w:rFonts w:hint="default" w:ascii="Arial" w:hAnsi="Arial" w:eastAsia="Arial" w:cs="Arial"/>
          <w:b/>
          <w:bCs/>
          <w:color w:val="0B0C0C"/>
          <w:sz w:val="24"/>
          <w:szCs w:val="24"/>
        </w:rPr>
      </w:pPr>
      <w:r>
        <w:rPr>
          <w:rFonts w:hint="default" w:ascii="Arial" w:hAnsi="Arial" w:eastAsia="Arial" w:cs="Arial"/>
          <w:b/>
          <w:bCs/>
          <w:color w:val="0B0C0C"/>
          <w:sz w:val="24"/>
          <w:szCs w:val="24"/>
        </w:rPr>
        <w:t>After-Death Care (NHS Standards):</w:t>
      </w:r>
    </w:p>
    <w:p w14:paraId="318C57DC">
      <w:pPr>
        <w:pStyle w:val="17"/>
        <w:numPr>
          <w:ilvl w:val="0"/>
          <w:numId w:val="52"/>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Explain legal processes clearly and sensitively (National Institute for Health and Care Excellence, 2016).</w:t>
      </w:r>
    </w:p>
    <w:p w14:paraId="70135741">
      <w:pPr>
        <w:pStyle w:val="17"/>
        <w:numPr>
          <w:ilvl w:val="0"/>
          <w:numId w:val="52"/>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Provide written and verbal information at the family’s pace (National Institute for Health and Care Excellence, 2016).</w:t>
      </w:r>
    </w:p>
    <w:p w14:paraId="31074BA1">
      <w:pPr>
        <w:pStyle w:val="17"/>
        <w:numPr>
          <w:ilvl w:val="0"/>
          <w:numId w:val="52"/>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rPr>
        <w:t>Ensure continuity between cardiac and bereavement teams (National Institute for Health and Care Excellence, 2016).</w:t>
      </w:r>
    </w:p>
    <w:p w14:paraId="62718C94">
      <w:pPr>
        <w:pStyle w:val="17"/>
        <w:numPr>
          <w:ilvl w:val="0"/>
          <w:numId w:val="52"/>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b/>
          <w:bCs/>
          <w:color w:val="0B0C0C"/>
          <w:sz w:val="24"/>
          <w:szCs w:val="24"/>
        </w:rPr>
        <w:t>Support: Death</w:t>
      </w:r>
      <w:r>
        <w:rPr>
          <w:rFonts w:hint="default" w:ascii="Arial" w:hAnsi="Arial" w:eastAsia="Arial" w:cs="Arial"/>
          <w:color w:val="0B0C0C"/>
          <w:sz w:val="24"/>
          <w:szCs w:val="24"/>
        </w:rPr>
        <w:t xml:space="preserve"> registration, Body transport, Funeral arrangements </w:t>
      </w:r>
      <w:r>
        <w:rPr>
          <w:rFonts w:hint="default" w:ascii="Arial" w:hAnsi="Arial" w:eastAsia="Arial" w:cs="Arial"/>
          <w:color w:val="0B0C0C"/>
          <w:sz w:val="24"/>
          <w:szCs w:val="24"/>
          <w:lang w:val="en-US"/>
        </w:rPr>
        <w:t>( Bennett; 2012).</w:t>
      </w:r>
    </w:p>
    <w:p w14:paraId="5EC3B1F7">
      <w:pPr>
        <w:pStyle w:val="17"/>
        <w:numPr>
          <w:ilvl w:val="0"/>
          <w:numId w:val="52"/>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color w:val="0B0C0C"/>
          <w:sz w:val="24"/>
          <w:szCs w:val="24"/>
          <w:lang w:val="en-US"/>
        </w:rPr>
        <w:t xml:space="preserve"> </w:t>
      </w:r>
      <w:r>
        <w:rPr>
          <w:rFonts w:hint="default" w:ascii="Arial" w:hAnsi="Arial" w:eastAsia="Arial" w:cs="Arial"/>
          <w:color w:val="0B0C0C"/>
          <w:sz w:val="24"/>
          <w:szCs w:val="24"/>
        </w:rPr>
        <w:t xml:space="preserve">Offer follow-up consultation to discuss clinical circumstances </w:t>
      </w:r>
      <w:r>
        <w:rPr>
          <w:rFonts w:hint="default" w:ascii="Arial" w:hAnsi="Arial" w:eastAsia="Arial" w:cs="Arial"/>
          <w:color w:val="0B0C0C"/>
          <w:sz w:val="24"/>
          <w:szCs w:val="24"/>
          <w:lang w:val="en-US"/>
        </w:rPr>
        <w:t>( Bennett; 2012).</w:t>
      </w:r>
    </w:p>
    <w:p w14:paraId="44E6D6AC">
      <w:pPr>
        <w:pStyle w:val="17"/>
        <w:numPr>
          <w:ilvl w:val="0"/>
          <w:numId w:val="52"/>
        </w:numPr>
        <w:shd w:val="clear" w:color="auto" w:fill="FFFFFF" w:themeFill="background1"/>
        <w:spacing w:before="0" w:beforeAutospacing="0" w:after="0" w:afterAutospacing="0" w:line="360" w:lineRule="auto"/>
        <w:rPr>
          <w:rFonts w:hint="default" w:ascii="Arial" w:hAnsi="Arial" w:eastAsia="Arial" w:cs="Arial"/>
          <w:color w:val="0B0C0C"/>
          <w:sz w:val="24"/>
          <w:szCs w:val="24"/>
        </w:rPr>
      </w:pPr>
      <w:r>
        <w:rPr>
          <w:rFonts w:hint="default" w:ascii="Arial" w:hAnsi="Arial" w:eastAsia="Arial" w:cs="Arial"/>
          <w:b/>
          <w:bCs/>
          <w:color w:val="0B0C0C"/>
          <w:sz w:val="24"/>
          <w:szCs w:val="24"/>
        </w:rPr>
        <w:t>Ethical Focus: Transparency</w:t>
      </w:r>
      <w:r>
        <w:rPr>
          <w:rFonts w:hint="default" w:ascii="Arial" w:hAnsi="Arial" w:eastAsia="Arial" w:cs="Arial"/>
          <w:color w:val="0B0C0C"/>
          <w:sz w:val="24"/>
          <w:szCs w:val="24"/>
        </w:rPr>
        <w:t>, dignity, continuity and compassionate communication</w:t>
      </w:r>
      <w:r>
        <w:rPr>
          <w:rFonts w:hint="default" w:ascii="Arial" w:hAnsi="Arial" w:eastAsia="Arial" w:cs="Arial"/>
          <w:color w:val="0B0C0C"/>
          <w:sz w:val="24"/>
          <w:szCs w:val="24"/>
          <w:lang w:val="en-US"/>
        </w:rPr>
        <w:t xml:space="preserve"> ( Bennett; 2012).</w:t>
      </w:r>
    </w:p>
    <w:p w14:paraId="4CDED9B4">
      <w:pPr>
        <w:pStyle w:val="17"/>
        <w:numPr>
          <w:ilvl w:val="0"/>
          <w:numId w:val="0"/>
        </w:numPr>
        <w:shd w:val="clear" w:color="auto" w:fill="FFFFFF" w:themeFill="background1"/>
        <w:spacing w:before="0" w:beforeAutospacing="0" w:after="0" w:afterAutospacing="0" w:line="360" w:lineRule="auto"/>
        <w:ind w:left="360" w:leftChars="0"/>
        <w:jc w:val="center"/>
        <w:rPr>
          <w:rFonts w:hint="default" w:ascii="Arial" w:hAnsi="Arial" w:eastAsia="Arial" w:cs="Arial"/>
          <w:b/>
          <w:bCs/>
          <w:color w:val="156082" w:themeColor="accent1"/>
          <w:sz w:val="24"/>
          <w:szCs w:val="24"/>
          <w14:textFill>
            <w14:solidFill>
              <w14:schemeClr w14:val="accent1"/>
            </w14:solidFill>
          </w14:textFill>
        </w:rPr>
      </w:pPr>
      <w:r>
        <w:rPr>
          <w:rFonts w:hint="default" w:ascii="Arial" w:hAnsi="Arial" w:cs="Arial"/>
          <w:color w:val="0B0C0C"/>
          <w:sz w:val="24"/>
          <w:szCs w:val="24"/>
        </w:rPr>
        <w:drawing>
          <wp:anchor distT="0" distB="0" distL="114300" distR="114300" simplePos="0" relativeHeight="251659264" behindDoc="0" locked="0" layoutInCell="1" allowOverlap="1">
            <wp:simplePos x="0" y="0"/>
            <wp:positionH relativeFrom="column">
              <wp:posOffset>67310</wp:posOffset>
            </wp:positionH>
            <wp:positionV relativeFrom="paragraph">
              <wp:posOffset>118110</wp:posOffset>
            </wp:positionV>
            <wp:extent cx="5988685" cy="3434715"/>
            <wp:effectExtent l="0" t="0" r="5715" b="6985"/>
            <wp:wrapTopAndBottom/>
            <wp:docPr id="259013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01395" name="Picture 2"/>
                    <pic:cNvPicPr>
                      <a:picLocks noChangeAspect="1"/>
                    </pic:cNvPicPr>
                  </pic:nvPicPr>
                  <pic:blipFill>
                    <a:blip r:embed="rId27" cstate="print"/>
                    <a:stretch>
                      <a:fillRect/>
                    </a:stretch>
                  </pic:blipFill>
                  <pic:spPr>
                    <a:xfrm>
                      <a:off x="0" y="0"/>
                      <a:ext cx="5988685" cy="3434715"/>
                    </a:xfrm>
                    <a:prstGeom prst="rect">
                      <a:avLst/>
                    </a:prstGeom>
                  </pic:spPr>
                </pic:pic>
              </a:graphicData>
            </a:graphic>
          </wp:anchor>
        </w:drawing>
      </w:r>
      <w:r>
        <w:rPr>
          <w:rFonts w:hint="default" w:ascii="Arial" w:hAnsi="Arial" w:eastAsia="Arial" w:cs="Arial"/>
          <w:color w:val="0B0C0C"/>
          <w:sz w:val="24"/>
          <w:szCs w:val="24"/>
        </w:rPr>
        <w:t>(NHS England;2022)</w:t>
      </w:r>
    </w:p>
    <w:p w14:paraId="3F04A35D">
      <w:pPr>
        <w:pStyle w:val="3"/>
        <w:bidi w:val="0"/>
        <w:rPr>
          <w:rFonts w:hint="default" w:ascii="Arial" w:hAnsi="Arial" w:cs="Arial"/>
          <w:sz w:val="28"/>
          <w:szCs w:val="28"/>
        </w:rPr>
      </w:pPr>
      <w:bookmarkStart w:id="22" w:name="_Toc16292"/>
      <w:r>
        <w:rPr>
          <w:rFonts w:hint="default" w:ascii="Arial" w:hAnsi="Arial" w:cs="Arial"/>
          <w:sz w:val="28"/>
          <w:szCs w:val="28"/>
        </w:rPr>
        <w:t>5. 1. Useful websites:</w:t>
      </w:r>
      <w:bookmarkEnd w:id="22"/>
    </w:p>
    <w:p w14:paraId="52D37B21">
      <w:pPr>
        <w:pStyle w:val="17"/>
        <w:shd w:val="clear" w:color="auto" w:fill="FFFFFF" w:themeFill="background1"/>
        <w:spacing w:before="0" w:beforeAutospacing="0" w:after="0" w:afterAutospacing="0" w:line="360" w:lineRule="auto"/>
        <w:jc w:val="both"/>
        <w:rPr>
          <w:rFonts w:hint="default" w:ascii="Arial" w:hAnsi="Arial" w:eastAsia="Arial" w:cs="Arial"/>
          <w:color w:val="156082" w:themeColor="accent1"/>
          <w:sz w:val="24"/>
          <w:szCs w:val="24"/>
          <w14:textFill>
            <w14:solidFill>
              <w14:schemeClr w14:val="accent1"/>
            </w14:solidFill>
          </w14:textFill>
        </w:rPr>
      </w:pPr>
    </w:p>
    <w:p w14:paraId="19B33929">
      <w:pPr>
        <w:pStyle w:val="17"/>
        <w:shd w:val="clear" w:color="auto" w:fill="FFFFFF" w:themeFill="background1"/>
        <w:spacing w:before="0" w:beforeAutospacing="0" w:after="0" w:afterAutospacing="0" w:line="360" w:lineRule="auto"/>
        <w:jc w:val="both"/>
        <w:rPr>
          <w:rFonts w:hint="default" w:ascii="Arial" w:hAnsi="Arial" w:eastAsia="Arial" w:cs="Arial"/>
          <w:b/>
          <w:bCs/>
          <w:color w:val="0B0C0C"/>
          <w:sz w:val="24"/>
          <w:szCs w:val="24"/>
        </w:rPr>
      </w:pPr>
      <w:r>
        <w:rPr>
          <w:rFonts w:hint="default" w:ascii="Arial" w:hAnsi="Arial" w:eastAsia="Arial" w:cs="Arial"/>
          <w:b/>
          <w:bCs/>
          <w:color w:val="0B0C0C"/>
          <w:sz w:val="24"/>
          <w:szCs w:val="24"/>
        </w:rPr>
        <w:t>Cardiac Risk in the Young</w:t>
      </w:r>
    </w:p>
    <w:p w14:paraId="52710C60">
      <w:pPr>
        <w:pStyle w:val="17"/>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Raises the awareness of cardiac risk and offers support to families who have lost a family member through sudden death</w:t>
      </w:r>
    </w:p>
    <w:p w14:paraId="5F0CB137">
      <w:pPr>
        <w:pStyle w:val="17"/>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w:t>
      </w:r>
      <w:r>
        <w:rPr>
          <w:rFonts w:hint="default" w:ascii="Arial" w:hAnsi="Arial" w:cs="Arial"/>
          <w:sz w:val="24"/>
          <w:szCs w:val="24"/>
        </w:rPr>
        <w:fldChar w:fldCharType="begin"/>
      </w:r>
      <w:r>
        <w:rPr>
          <w:rFonts w:hint="default" w:ascii="Arial" w:hAnsi="Arial" w:cs="Arial"/>
          <w:sz w:val="24"/>
          <w:szCs w:val="24"/>
        </w:rPr>
        <w:instrText xml:space="preserve"> HYPERLINK "https://www.c-r-y.org.uk" \h </w:instrText>
      </w:r>
      <w:r>
        <w:rPr>
          <w:rFonts w:hint="default" w:ascii="Arial" w:hAnsi="Arial" w:cs="Arial"/>
          <w:sz w:val="24"/>
          <w:szCs w:val="24"/>
        </w:rPr>
        <w:fldChar w:fldCharType="separate"/>
      </w:r>
      <w:r>
        <w:rPr>
          <w:rFonts w:hint="default" w:ascii="Arial" w:hAnsi="Arial" w:eastAsia="Arial" w:cs="Arial"/>
          <w:color w:val="0B0C0C"/>
          <w:sz w:val="24"/>
          <w:szCs w:val="24"/>
        </w:rPr>
        <w:t>www.c-r-y.org.uk).</w:t>
      </w:r>
      <w:r>
        <w:rPr>
          <w:rFonts w:hint="default" w:ascii="Arial" w:hAnsi="Arial" w:eastAsia="Arial" w:cs="Arial"/>
          <w:color w:val="0B0C0C"/>
          <w:sz w:val="24"/>
          <w:szCs w:val="24"/>
        </w:rPr>
        <w:fldChar w:fldCharType="end"/>
      </w:r>
      <w:r>
        <w:rPr>
          <w:rFonts w:hint="default" w:ascii="Arial" w:hAnsi="Arial" w:eastAsia="Arial" w:cs="Arial"/>
          <w:color w:val="0B0C0C"/>
          <w:sz w:val="24"/>
          <w:szCs w:val="24"/>
        </w:rPr>
        <w:t xml:space="preserve"> </w:t>
      </w:r>
    </w:p>
    <w:p w14:paraId="31F54694">
      <w:pPr>
        <w:pStyle w:val="17"/>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p>
    <w:p w14:paraId="0B90291A">
      <w:pPr>
        <w:pStyle w:val="17"/>
        <w:shd w:val="clear" w:color="auto" w:fill="FFFFFF" w:themeFill="background1"/>
        <w:spacing w:before="0" w:beforeAutospacing="0" w:after="0" w:afterAutospacing="0" w:line="360" w:lineRule="auto"/>
        <w:jc w:val="both"/>
        <w:rPr>
          <w:rFonts w:hint="default" w:ascii="Arial" w:hAnsi="Arial" w:eastAsia="Arial" w:cs="Arial"/>
          <w:b/>
          <w:bCs/>
          <w:color w:val="0B0C0C"/>
          <w:sz w:val="24"/>
          <w:szCs w:val="24"/>
        </w:rPr>
      </w:pPr>
      <w:r>
        <w:rPr>
          <w:rFonts w:hint="default" w:ascii="Arial" w:hAnsi="Arial" w:eastAsia="Arial" w:cs="Arial"/>
          <w:b/>
          <w:bCs/>
          <w:color w:val="0B0C0C"/>
          <w:sz w:val="24"/>
          <w:szCs w:val="24"/>
        </w:rPr>
        <w:t>Cove Point Foundation</w:t>
      </w:r>
    </w:p>
    <w:p w14:paraId="2AF2130B">
      <w:pPr>
        <w:pStyle w:val="17"/>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Congenital Heart Disease information for children and adults from Helen B Taussig, Children’s Heart Center, Johns Hopkins University.</w:t>
      </w:r>
    </w:p>
    <w:p w14:paraId="1BD8F140">
      <w:pPr>
        <w:pStyle w:val="17"/>
        <w:shd w:val="clear" w:color="auto" w:fill="FFFFFF" w:themeFill="background1"/>
        <w:spacing w:before="0" w:beforeAutospacing="0" w:after="0" w:afterAutospacing="0" w:line="360" w:lineRule="auto"/>
        <w:jc w:val="both"/>
        <w:rPr>
          <w:rFonts w:hint="default" w:ascii="Arial" w:hAnsi="Arial" w:eastAsia="Arial" w:cs="Arial"/>
          <w:sz w:val="24"/>
          <w:szCs w:val="24"/>
        </w:rPr>
      </w:pPr>
      <w:r>
        <w:rPr>
          <w:rFonts w:hint="default" w:ascii="Arial" w:hAnsi="Arial" w:eastAsia="Arial" w:cs="Arial"/>
          <w:color w:val="0B0C0C"/>
          <w:sz w:val="24"/>
          <w:szCs w:val="24"/>
        </w:rPr>
        <w:t>(</w:t>
      </w:r>
      <w:r>
        <w:rPr>
          <w:rFonts w:hint="default" w:ascii="Arial" w:hAnsi="Arial" w:cs="Arial"/>
          <w:sz w:val="24"/>
          <w:szCs w:val="24"/>
        </w:rPr>
        <w:fldChar w:fldCharType="begin"/>
      </w:r>
      <w:r>
        <w:rPr>
          <w:rFonts w:hint="default" w:ascii="Arial" w:hAnsi="Arial" w:cs="Arial"/>
          <w:sz w:val="24"/>
          <w:szCs w:val="24"/>
        </w:rPr>
        <w:instrText xml:space="preserve"> HYPERLINK "https://www.pted.org" \h </w:instrText>
      </w:r>
      <w:r>
        <w:rPr>
          <w:rFonts w:hint="default" w:ascii="Arial" w:hAnsi="Arial" w:cs="Arial"/>
          <w:sz w:val="24"/>
          <w:szCs w:val="24"/>
        </w:rPr>
        <w:fldChar w:fldCharType="separate"/>
      </w:r>
      <w:r>
        <w:rPr>
          <w:rFonts w:hint="default" w:ascii="Arial" w:hAnsi="Arial" w:eastAsia="Arial" w:cs="Arial"/>
          <w:color w:val="0B0C0C"/>
          <w:sz w:val="24"/>
          <w:szCs w:val="24"/>
        </w:rPr>
        <w:t>www.pted.org)</w:t>
      </w:r>
      <w:r>
        <w:rPr>
          <w:rFonts w:hint="default" w:ascii="Arial" w:hAnsi="Arial" w:eastAsia="Arial" w:cs="Arial"/>
          <w:color w:val="0B0C0C"/>
          <w:sz w:val="24"/>
          <w:szCs w:val="24"/>
        </w:rPr>
        <w:fldChar w:fldCharType="end"/>
      </w:r>
    </w:p>
    <w:p w14:paraId="46F0D8AB">
      <w:pPr>
        <w:pStyle w:val="17"/>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p>
    <w:p w14:paraId="07005BC1">
      <w:pPr>
        <w:pStyle w:val="17"/>
        <w:shd w:val="clear" w:color="auto" w:fill="FFFFFF" w:themeFill="background1"/>
        <w:spacing w:before="0" w:beforeAutospacing="0" w:after="0" w:afterAutospacing="0" w:line="360" w:lineRule="auto"/>
        <w:jc w:val="both"/>
        <w:rPr>
          <w:rFonts w:hint="default" w:ascii="Arial" w:hAnsi="Arial" w:eastAsia="Arial" w:cs="Arial"/>
          <w:b/>
          <w:bCs/>
          <w:color w:val="0B0C0C"/>
          <w:sz w:val="24"/>
          <w:szCs w:val="24"/>
        </w:rPr>
      </w:pPr>
      <w:r>
        <w:rPr>
          <w:rFonts w:hint="default" w:ascii="Arial" w:hAnsi="Arial" w:eastAsia="Arial" w:cs="Arial"/>
          <w:b/>
          <w:bCs/>
          <w:color w:val="0B0C0C"/>
          <w:sz w:val="24"/>
          <w:szCs w:val="24"/>
        </w:rPr>
        <w:t>Great Ormond Street Hospital for Sick Children (GOSH)</w:t>
      </w:r>
    </w:p>
    <w:p w14:paraId="073F83A5">
      <w:pPr>
        <w:pStyle w:val="17"/>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Contains general information, details relating to accommodation, parking, how to get there, etc. Also, a variety of fact sheets for parents.The website has links to other sites relating to health and illness for young people.</w:t>
      </w:r>
    </w:p>
    <w:p w14:paraId="63AF2B31">
      <w:pPr>
        <w:pStyle w:val="17"/>
        <w:shd w:val="clear" w:color="auto" w:fill="FFFFFF" w:themeFill="background1"/>
        <w:spacing w:before="0" w:beforeAutospacing="0" w:after="0" w:afterAutospacing="0" w:line="360" w:lineRule="auto"/>
        <w:jc w:val="both"/>
        <w:rPr>
          <w:rFonts w:hint="default" w:ascii="Arial" w:hAnsi="Arial" w:eastAsia="Arial" w:cs="Arial"/>
          <w:sz w:val="24"/>
          <w:szCs w:val="24"/>
        </w:rPr>
      </w:pPr>
      <w:r>
        <w:rPr>
          <w:rFonts w:hint="default" w:ascii="Arial" w:hAnsi="Arial" w:eastAsia="Arial" w:cs="Arial"/>
          <w:color w:val="0B0C0C"/>
          <w:sz w:val="24"/>
          <w:szCs w:val="24"/>
        </w:rPr>
        <w:t>(</w:t>
      </w:r>
      <w:r>
        <w:rPr>
          <w:rFonts w:hint="default" w:ascii="Arial" w:hAnsi="Arial" w:cs="Arial"/>
          <w:sz w:val="24"/>
          <w:szCs w:val="24"/>
        </w:rPr>
        <w:fldChar w:fldCharType="begin"/>
      </w:r>
      <w:r>
        <w:rPr>
          <w:rFonts w:hint="default" w:ascii="Arial" w:hAnsi="Arial" w:cs="Arial"/>
          <w:sz w:val="24"/>
          <w:szCs w:val="24"/>
        </w:rPr>
        <w:instrText xml:space="preserve"> HYPERLINK "https://www.gosh.nhs.uk" \h </w:instrText>
      </w:r>
      <w:r>
        <w:rPr>
          <w:rFonts w:hint="default" w:ascii="Arial" w:hAnsi="Arial" w:cs="Arial"/>
          <w:sz w:val="24"/>
          <w:szCs w:val="24"/>
        </w:rPr>
        <w:fldChar w:fldCharType="separate"/>
      </w:r>
      <w:r>
        <w:rPr>
          <w:rFonts w:hint="default" w:ascii="Arial" w:hAnsi="Arial" w:eastAsia="Arial" w:cs="Arial"/>
          <w:color w:val="0B0C0C"/>
          <w:sz w:val="24"/>
          <w:szCs w:val="24"/>
        </w:rPr>
        <w:t>www.gosh.nhs.uk)</w:t>
      </w:r>
      <w:r>
        <w:rPr>
          <w:rFonts w:hint="default" w:ascii="Arial" w:hAnsi="Arial" w:eastAsia="Arial" w:cs="Arial"/>
          <w:color w:val="0B0C0C"/>
          <w:sz w:val="24"/>
          <w:szCs w:val="24"/>
        </w:rPr>
        <w:fldChar w:fldCharType="end"/>
      </w:r>
    </w:p>
    <w:p w14:paraId="49C5B2E9">
      <w:pPr>
        <w:pStyle w:val="17"/>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p>
    <w:p w14:paraId="48BB990E">
      <w:pPr>
        <w:pStyle w:val="17"/>
        <w:shd w:val="clear" w:color="auto" w:fill="FFFFFF" w:themeFill="background1"/>
        <w:spacing w:before="0" w:beforeAutospacing="0" w:after="0" w:afterAutospacing="0" w:line="360" w:lineRule="auto"/>
        <w:jc w:val="both"/>
        <w:rPr>
          <w:rFonts w:hint="default" w:ascii="Arial" w:hAnsi="Arial" w:eastAsia="Arial" w:cs="Arial"/>
          <w:b/>
          <w:bCs/>
          <w:color w:val="0B0C0C"/>
          <w:sz w:val="24"/>
          <w:szCs w:val="24"/>
        </w:rPr>
      </w:pPr>
      <w:r>
        <w:rPr>
          <w:rFonts w:hint="default" w:ascii="Arial" w:hAnsi="Arial" w:eastAsia="Arial" w:cs="Arial"/>
          <w:b/>
          <w:bCs/>
          <w:color w:val="0B0C0C"/>
          <w:sz w:val="24"/>
          <w:szCs w:val="24"/>
        </w:rPr>
        <w:t>Southampton General Hospital</w:t>
      </w:r>
    </w:p>
    <w:p w14:paraId="24E17320">
      <w:pPr>
        <w:pStyle w:val="17"/>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Information for parents and children about the ward in Southampton.</w:t>
      </w:r>
    </w:p>
    <w:p w14:paraId="4D239A46">
      <w:pPr>
        <w:pStyle w:val="17"/>
        <w:shd w:val="clear" w:color="auto" w:fill="FFFFFF" w:themeFill="background1"/>
        <w:spacing w:before="0" w:beforeAutospacing="0" w:after="0" w:afterAutospacing="0" w:line="360" w:lineRule="auto"/>
        <w:jc w:val="both"/>
        <w:rPr>
          <w:rFonts w:hint="default" w:ascii="Arial" w:hAnsi="Arial" w:eastAsia="Arial" w:cs="Arial"/>
          <w:sz w:val="24"/>
          <w:szCs w:val="24"/>
        </w:rPr>
      </w:pPr>
      <w:r>
        <w:rPr>
          <w:rFonts w:hint="default" w:ascii="Arial" w:hAnsi="Arial" w:eastAsia="Arial" w:cs="Arial"/>
          <w:color w:val="0B0C0C"/>
          <w:sz w:val="24"/>
          <w:szCs w:val="24"/>
        </w:rPr>
        <w:t>(</w:t>
      </w:r>
      <w:r>
        <w:rPr>
          <w:rFonts w:hint="default" w:ascii="Arial" w:hAnsi="Arial" w:cs="Arial"/>
          <w:sz w:val="24"/>
          <w:szCs w:val="24"/>
        </w:rPr>
        <w:fldChar w:fldCharType="begin"/>
      </w:r>
      <w:r>
        <w:rPr>
          <w:rFonts w:hint="default" w:ascii="Arial" w:hAnsi="Arial" w:cs="Arial"/>
          <w:sz w:val="24"/>
          <w:szCs w:val="24"/>
        </w:rPr>
        <w:instrText xml:space="preserve"> HYPERLINK "https://www.oceanward.co.uk" \h </w:instrText>
      </w:r>
      <w:r>
        <w:rPr>
          <w:rFonts w:hint="default" w:ascii="Arial" w:hAnsi="Arial" w:cs="Arial"/>
          <w:sz w:val="24"/>
          <w:szCs w:val="24"/>
        </w:rPr>
        <w:fldChar w:fldCharType="separate"/>
      </w:r>
      <w:r>
        <w:rPr>
          <w:rFonts w:hint="default" w:ascii="Arial" w:hAnsi="Arial" w:eastAsia="Arial" w:cs="Arial"/>
          <w:color w:val="0B0C0C"/>
          <w:sz w:val="24"/>
          <w:szCs w:val="24"/>
        </w:rPr>
        <w:t>www.oceanward.co.uk)</w:t>
      </w:r>
      <w:r>
        <w:rPr>
          <w:rFonts w:hint="default" w:ascii="Arial" w:hAnsi="Arial" w:eastAsia="Arial" w:cs="Arial"/>
          <w:color w:val="0B0C0C"/>
          <w:sz w:val="24"/>
          <w:szCs w:val="24"/>
        </w:rPr>
        <w:fldChar w:fldCharType="end"/>
      </w:r>
    </w:p>
    <w:p w14:paraId="0768B8F3">
      <w:pPr>
        <w:pStyle w:val="17"/>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p>
    <w:p w14:paraId="517A2DFB">
      <w:pPr>
        <w:pStyle w:val="17"/>
        <w:shd w:val="clear" w:color="auto" w:fill="FFFFFF" w:themeFill="background1"/>
        <w:spacing w:before="0" w:beforeAutospacing="0" w:after="0" w:afterAutospacing="0" w:line="360" w:lineRule="auto"/>
        <w:jc w:val="both"/>
        <w:rPr>
          <w:rFonts w:hint="default" w:ascii="Arial" w:hAnsi="Arial" w:eastAsia="Arial" w:cs="Arial"/>
          <w:b/>
          <w:bCs/>
          <w:color w:val="0B0C0C"/>
          <w:sz w:val="24"/>
          <w:szCs w:val="24"/>
        </w:rPr>
      </w:pPr>
      <w:r>
        <w:rPr>
          <w:rFonts w:hint="default" w:ascii="Arial" w:hAnsi="Arial" w:eastAsia="Arial" w:cs="Arial"/>
          <w:b/>
          <w:bCs/>
          <w:color w:val="0B0C0C"/>
          <w:sz w:val="24"/>
          <w:szCs w:val="24"/>
        </w:rPr>
        <w:t xml:space="preserve">Thames Valley and Wessex Congenital </w:t>
      </w:r>
    </w:p>
    <w:p w14:paraId="5C2218D5">
      <w:pPr>
        <w:pStyle w:val="17"/>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Heart Disease Network</w:t>
      </w:r>
    </w:p>
    <w:p w14:paraId="4F1532DF">
      <w:pPr>
        <w:pStyle w:val="17"/>
        <w:shd w:val="clear" w:color="auto" w:fill="FFFFFF" w:themeFill="background1"/>
        <w:spacing w:before="0" w:beforeAutospacing="0" w:after="0" w:afterAutospacing="0" w:line="360" w:lineRule="auto"/>
        <w:jc w:val="both"/>
        <w:rPr>
          <w:rFonts w:hint="default" w:ascii="Arial" w:hAnsi="Arial" w:eastAsia="Arial" w:cs="Arial"/>
          <w:color w:val="0B0C0C"/>
          <w:sz w:val="24"/>
          <w:szCs w:val="24"/>
        </w:rPr>
      </w:pPr>
      <w:r>
        <w:rPr>
          <w:rFonts w:hint="default" w:ascii="Arial" w:hAnsi="Arial" w:eastAsia="Arial" w:cs="Arial"/>
          <w:color w:val="0B0C0C"/>
          <w:sz w:val="24"/>
          <w:szCs w:val="24"/>
        </w:rPr>
        <w:t>(</w:t>
      </w:r>
      <w:r>
        <w:rPr>
          <w:rFonts w:hint="default" w:ascii="Arial" w:hAnsi="Arial" w:cs="Arial"/>
          <w:sz w:val="24"/>
          <w:szCs w:val="24"/>
        </w:rPr>
        <w:fldChar w:fldCharType="begin"/>
      </w:r>
      <w:r>
        <w:rPr>
          <w:rFonts w:hint="default" w:ascii="Arial" w:hAnsi="Arial" w:cs="Arial"/>
          <w:sz w:val="24"/>
          <w:szCs w:val="24"/>
        </w:rPr>
        <w:instrText xml:space="preserve"> HYPERLINK "https://www.congenitalheartnetwork.org.uk" \h </w:instrText>
      </w:r>
      <w:r>
        <w:rPr>
          <w:rFonts w:hint="default" w:ascii="Arial" w:hAnsi="Arial" w:cs="Arial"/>
          <w:sz w:val="24"/>
          <w:szCs w:val="24"/>
        </w:rPr>
        <w:fldChar w:fldCharType="separate"/>
      </w:r>
      <w:r>
        <w:rPr>
          <w:rStyle w:val="16"/>
          <w:rFonts w:hint="default" w:ascii="Arial" w:hAnsi="Arial" w:eastAsia="Arial" w:cs="Arial"/>
          <w:sz w:val="24"/>
          <w:szCs w:val="24"/>
        </w:rPr>
        <w:t>www.congenitalheartnetwork.org.uk</w:t>
      </w:r>
      <w:r>
        <w:rPr>
          <w:rStyle w:val="16"/>
          <w:rFonts w:hint="default" w:ascii="Arial" w:hAnsi="Arial" w:eastAsia="Arial" w:cs="Arial"/>
          <w:sz w:val="24"/>
          <w:szCs w:val="24"/>
        </w:rPr>
        <w:fldChar w:fldCharType="end"/>
      </w:r>
      <w:r>
        <w:rPr>
          <w:rFonts w:hint="default" w:ascii="Arial" w:hAnsi="Arial" w:eastAsia="Arial" w:cs="Arial"/>
          <w:color w:val="0B0C0C"/>
          <w:sz w:val="24"/>
          <w:szCs w:val="24"/>
        </w:rPr>
        <w:t>)</w:t>
      </w:r>
    </w:p>
    <w:p w14:paraId="40D9D2F0">
      <w:pPr>
        <w:pStyle w:val="17"/>
        <w:shd w:val="clear" w:color="auto" w:fill="FFFFFF" w:themeFill="background1"/>
        <w:spacing w:before="0" w:beforeAutospacing="0" w:after="300" w:afterAutospacing="0"/>
        <w:jc w:val="center"/>
        <w:rPr>
          <w:rFonts w:hint="default" w:ascii="Arial" w:hAnsi="Arial" w:cs="Arial"/>
          <w:b/>
          <w:bCs/>
          <w:color w:val="0B0C0C"/>
          <w:sz w:val="24"/>
          <w:szCs w:val="24"/>
        </w:rPr>
      </w:pPr>
      <w:r>
        <w:rPr>
          <w:rFonts w:hint="default" w:ascii="Arial" w:hAnsi="Arial" w:cs="Arial"/>
          <w:sz w:val="24"/>
          <w:szCs w:val="24"/>
        </w:rPr>
        <w:drawing>
          <wp:inline distT="0" distB="0" distL="0" distR="0">
            <wp:extent cx="1211580" cy="1020445"/>
            <wp:effectExtent l="0" t="0" r="0" b="0"/>
            <wp:docPr id="3076977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97766" name="drawing"/>
                    <pic:cNvPicPr>
                      <a:picLocks noChangeAspect="1"/>
                    </pic:cNvPicPr>
                  </pic:nvPicPr>
                  <pic:blipFill>
                    <a:blip r:embed="rId28"/>
                    <a:srcRect l="31810" t="8413" r="31362" b="77724"/>
                    <a:stretch>
                      <a:fillRect/>
                    </a:stretch>
                  </pic:blipFill>
                  <pic:spPr>
                    <a:xfrm>
                      <a:off x="0" y="0"/>
                      <a:ext cx="1212127" cy="1020488"/>
                    </a:xfrm>
                    <a:prstGeom prst="rect">
                      <a:avLst/>
                    </a:prstGeom>
                  </pic:spPr>
                </pic:pic>
              </a:graphicData>
            </a:graphic>
          </wp:inline>
        </w:drawing>
      </w:r>
      <w:r>
        <w:rPr>
          <w:rFonts w:hint="default" w:ascii="Arial" w:hAnsi="Arial" w:cs="Arial"/>
          <w:sz w:val="24"/>
          <w:szCs w:val="24"/>
        </w:rPr>
        <w:drawing>
          <wp:inline distT="0" distB="0" distL="0" distR="0">
            <wp:extent cx="1168400" cy="1059180"/>
            <wp:effectExtent l="0" t="0" r="0" b="0"/>
            <wp:docPr id="18554814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481494" name="drawing"/>
                    <pic:cNvPicPr>
                      <a:picLocks noChangeAspect="1"/>
                    </pic:cNvPicPr>
                  </pic:nvPicPr>
                  <pic:blipFill>
                    <a:blip r:embed="rId29"/>
                    <a:stretch>
                      <a:fillRect/>
                    </a:stretch>
                  </pic:blipFill>
                  <pic:spPr>
                    <a:xfrm>
                      <a:off x="0" y="0"/>
                      <a:ext cx="1168570" cy="1059358"/>
                    </a:xfrm>
                    <a:prstGeom prst="rect">
                      <a:avLst/>
                    </a:prstGeom>
                  </pic:spPr>
                </pic:pic>
              </a:graphicData>
            </a:graphic>
          </wp:inline>
        </w:drawing>
      </w:r>
      <w:r>
        <w:rPr>
          <w:rFonts w:hint="default" w:ascii="Arial" w:hAnsi="Arial" w:cs="Arial"/>
          <w:sz w:val="24"/>
          <w:szCs w:val="24"/>
        </w:rPr>
        <w:t xml:space="preserve">    </w:t>
      </w:r>
    </w:p>
    <w:p w14:paraId="4DE8B3A4">
      <w:pPr>
        <w:pStyle w:val="2"/>
        <w:bidi w:val="0"/>
        <w:rPr>
          <w:rFonts w:hint="default" w:ascii="Arial" w:hAnsi="Arial" w:cs="Arial"/>
          <w:sz w:val="32"/>
          <w:szCs w:val="32"/>
        </w:rPr>
      </w:pPr>
      <w:bookmarkStart w:id="24" w:name="_GoBack"/>
      <w:bookmarkStart w:id="23" w:name="_Toc4856"/>
      <w:r>
        <w:rPr>
          <w:rFonts w:hint="default" w:ascii="Arial" w:hAnsi="Arial" w:cs="Arial"/>
          <w:sz w:val="32"/>
          <w:szCs w:val="32"/>
        </w:rPr>
        <w:t>6. References</w:t>
      </w:r>
      <w:bookmarkEnd w:id="23"/>
      <w:r>
        <w:rPr>
          <w:rFonts w:hint="default" w:ascii="Arial" w:hAnsi="Arial" w:cs="Arial"/>
          <w:sz w:val="32"/>
          <w:szCs w:val="32"/>
        </w:rPr>
        <w:t xml:space="preserve"> </w:t>
      </w:r>
    </w:p>
    <w:bookmarkEnd w:id="24"/>
    <w:p w14:paraId="4EEF608A">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rPr>
        <w:t>Aidoo, E. and Rajapakse, D., 2019. Overview of paediatric palliative care. BJA Education, 19(2), pp.60–64. https://doi.org/10.1016/j.bjae.2018.11.001</w:t>
      </w:r>
    </w:p>
    <w:p w14:paraId="60ACCD86">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Amir, N.H., Dorobantu, D.M., Wadey, C.A., Caputo, M., Stuart, A.G., Pieles, G.E. and Williams, C.A. (2021) ‘Exercise training in paediatric congenital heart disease: fit for purpose?’, </w:t>
      </w:r>
      <w:r>
        <w:rPr>
          <w:rStyle w:val="13"/>
          <w:rFonts w:hint="default" w:ascii="Arial" w:hAnsi="Arial" w:cs="Arial"/>
        </w:rPr>
        <w:t>Archives of Disease in Childhood</w:t>
      </w:r>
      <w:r>
        <w:rPr>
          <w:rFonts w:hint="default" w:ascii="Arial" w:hAnsi="Arial" w:cs="Arial"/>
        </w:rPr>
        <w:t>. doi:10.1136/archdischild-2020-321390.</w:t>
      </w:r>
    </w:p>
    <w:p w14:paraId="3696EA02">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American Physical Therapy Association (2014) </w:t>
      </w:r>
      <w:r>
        <w:rPr>
          <w:rStyle w:val="13"/>
          <w:rFonts w:hint="default" w:ascii="Arial" w:hAnsi="Arial" w:cs="Arial"/>
        </w:rPr>
        <w:t>Guide to Physical Therapist Practice 3.0</w:t>
      </w:r>
      <w:r>
        <w:rPr>
          <w:rFonts w:hint="default" w:ascii="Arial" w:hAnsi="Arial" w:cs="Arial"/>
        </w:rPr>
        <w:t>. Alexandria, VA: American Physical Therapy Association.</w:t>
      </w:r>
    </w:p>
    <w:p w14:paraId="28D45EBB">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rPr>
        <w:t>Bennett, H., 2012. A guide to end of life care: Care of children and young people before death, at the time of death and after death. Bristol: Together for Short Lives.</w:t>
      </w:r>
    </w:p>
    <w:p w14:paraId="48601468">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Baumgartner, H. and De Backer, J. (2020) ‘The ESC clinical practice guidelines for the management of adult congenital heart disease 2020’, </w:t>
      </w:r>
      <w:r>
        <w:rPr>
          <w:rStyle w:val="13"/>
          <w:rFonts w:hint="default" w:ascii="Arial" w:hAnsi="Arial" w:cs="Arial"/>
        </w:rPr>
        <w:t>European Heart Journal</w:t>
      </w:r>
      <w:r>
        <w:rPr>
          <w:rFonts w:hint="default" w:ascii="Arial" w:hAnsi="Arial" w:cs="Arial"/>
        </w:rPr>
        <w:t>, 41(43), pp. 4153–4154. doi:10.1093/eurheartj/ehaa701.</w:t>
      </w:r>
    </w:p>
    <w:p w14:paraId="156554EB">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Brown, T.M., Pack, Q.R., Aberegg, E., Brewer, L.C., Ford, Y.R., Forman, D.E., Gathright, E.C., Khadanga, S. and Thomas, R.J. (2024) ‘Core components of cardiac rehabilitation programs: 2024 update: a scientific statement from the American Heart Association and the American Association of Cardiovascular and Pulmonary Rehabilitation’, </w:t>
      </w:r>
      <w:r>
        <w:rPr>
          <w:rStyle w:val="13"/>
          <w:rFonts w:hint="default" w:ascii="Arial" w:hAnsi="Arial" w:cs="Arial"/>
        </w:rPr>
        <w:t>Circulation</w:t>
      </w:r>
      <w:r>
        <w:rPr>
          <w:rFonts w:hint="default" w:ascii="Arial" w:hAnsi="Arial" w:cs="Arial"/>
        </w:rPr>
        <w:t>, 150(18). doi:10.1161/CIR.0000000000001289.</w:t>
      </w:r>
    </w:p>
    <w:p w14:paraId="5CA3EB7D">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Chambers, L. (2019) </w:t>
      </w:r>
      <w:r>
        <w:rPr>
          <w:rStyle w:val="13"/>
          <w:rFonts w:hint="default" w:ascii="Arial" w:hAnsi="Arial" w:cs="Arial"/>
        </w:rPr>
        <w:t>Caring for a child at end of life: A guide for professionals on the care of children and young people before death, at the time of death and after death</w:t>
      </w:r>
      <w:r>
        <w:rPr>
          <w:rFonts w:hint="default" w:ascii="Arial" w:hAnsi="Arial" w:cs="Arial"/>
        </w:rPr>
        <w:t>. 2nd edn. Bristol: Together for Short Lives.</w:t>
      </w:r>
    </w:p>
    <w:p w14:paraId="1B2B799A">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Chaudhry, I., Ghassani, A., Wray, J., Chaudhry, B. and Coats, L. (2024) ‘Outpatient care of adults with congenital heart disease in the UK: a qualitative appraisal of the clinician perspective’, </w:t>
      </w:r>
      <w:r>
        <w:rPr>
          <w:rStyle w:val="13"/>
          <w:rFonts w:hint="default" w:ascii="Arial" w:hAnsi="Arial" w:cs="Arial"/>
        </w:rPr>
        <w:t>Open Heart</w:t>
      </w:r>
      <w:r>
        <w:rPr>
          <w:rFonts w:hint="default" w:ascii="Arial" w:hAnsi="Arial" w:cs="Arial"/>
        </w:rPr>
        <w:t>, 11, e002420. doi:10.1136/openhrt-2023-002420.</w:t>
      </w:r>
    </w:p>
    <w:p w14:paraId="1815C8FC">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Clarke, S.L., Milburn, N.C., Menzies, J.C. and Drury, N.E. (2024) ‘The provision and impact of rehabilitation provided by physiotherapists in children and young people with congenital heart disease following cardiac surgery: a scoping review’, </w:t>
      </w:r>
      <w:r>
        <w:rPr>
          <w:rStyle w:val="13"/>
          <w:rFonts w:hint="default" w:ascii="Arial" w:hAnsi="Arial" w:cs="Arial"/>
        </w:rPr>
        <w:t>Physiotherapy</w:t>
      </w:r>
      <w:r>
        <w:rPr>
          <w:rFonts w:hint="default" w:ascii="Arial" w:hAnsi="Arial" w:cs="Arial"/>
        </w:rPr>
        <w:t>, 122, pp. 47–56. doi:10.1016/j.physio.2023.09.001.</w:t>
      </w:r>
    </w:p>
    <w:p w14:paraId="14345AD4">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Clarke, S.L., Menzies, J.C., Shkurka, E. </w:t>
      </w:r>
      <w:r>
        <w:rPr>
          <w:rStyle w:val="13"/>
          <w:rFonts w:hint="default" w:ascii="Arial" w:hAnsi="Arial" w:cs="Arial"/>
        </w:rPr>
        <w:t>et al.</w:t>
      </w:r>
      <w:r>
        <w:rPr>
          <w:rFonts w:hint="default" w:ascii="Arial" w:hAnsi="Arial" w:cs="Arial"/>
        </w:rPr>
        <w:t xml:space="preserve"> (2025) ‘Exploring parental perspectives of physiotherapy in children with congenital heart disease: a qualitative study’, </w:t>
      </w:r>
      <w:r>
        <w:rPr>
          <w:rStyle w:val="13"/>
          <w:rFonts w:hint="default" w:ascii="Arial" w:hAnsi="Arial" w:cs="Arial"/>
        </w:rPr>
        <w:t>BMJ Paediatrics Open</w:t>
      </w:r>
      <w:r>
        <w:rPr>
          <w:rFonts w:hint="default" w:ascii="Arial" w:hAnsi="Arial" w:cs="Arial"/>
        </w:rPr>
        <w:t>, 9, e003705. doi:10.1136/bmjpo-2025-003705.</w:t>
      </w:r>
    </w:p>
    <w:p w14:paraId="19F60C91">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Coleman, K., Austin, B.T., Brach, C. and Wagner, E.H. (2009) ‘Evidence on the Chronic Care Model in the new millennium’, </w:t>
      </w:r>
      <w:r>
        <w:rPr>
          <w:rStyle w:val="13"/>
          <w:rFonts w:hint="default" w:ascii="Arial" w:hAnsi="Arial" w:cs="Arial"/>
        </w:rPr>
        <w:t>Health Affairs</w:t>
      </w:r>
      <w:r>
        <w:rPr>
          <w:rFonts w:hint="default" w:ascii="Arial" w:hAnsi="Arial" w:cs="Arial"/>
        </w:rPr>
        <w:t>, 28(1), pp. 75–85. doi:10.1377/hlthaff.28.1.75.</w:t>
      </w:r>
    </w:p>
    <w:p w14:paraId="4CF8F7B2">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Cuello-Garcia, C.A., Mai, S.H.C., Simpson, R., Al-Harbi, S. and Choong, K. (2018) ‘Early mobilization in critically ill children: a systematic review’, </w:t>
      </w:r>
      <w:r>
        <w:rPr>
          <w:rStyle w:val="13"/>
          <w:rFonts w:hint="default" w:ascii="Arial" w:hAnsi="Arial" w:cs="Arial"/>
        </w:rPr>
        <w:t>The Journal of Pediatrics</w:t>
      </w:r>
      <w:r>
        <w:rPr>
          <w:rFonts w:hint="default" w:ascii="Arial" w:hAnsi="Arial" w:cs="Arial"/>
        </w:rPr>
        <w:t>, 203, pp. 25–33.e6. doi:10.1016/j.jpeds.2018.07.037.</w:t>
      </w:r>
    </w:p>
    <w:p w14:paraId="70368CFB">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Elissen, A., Nolte, E., Knai, C., Brunn, M., Chevreul, K., Conklin, A., Durand-Zaleski, I., Erler, A., Flamm, M., Frølich, A., Fullerton, B., Jacobsen, R., Sönnichsen, A. and Vrijhoef, H.J.M. (2013) ‘Is Europe putting theory into practice? A qualitative study of the level of self-management support in chronic care management approaches’, </w:t>
      </w:r>
      <w:r>
        <w:rPr>
          <w:rStyle w:val="13"/>
          <w:rFonts w:hint="default" w:ascii="Arial" w:hAnsi="Arial" w:cs="Arial"/>
        </w:rPr>
        <w:t>BMC Health Services Research</w:t>
      </w:r>
      <w:r>
        <w:rPr>
          <w:rFonts w:hint="default" w:ascii="Arial" w:hAnsi="Arial" w:cs="Arial"/>
        </w:rPr>
        <w:t>, 13, p. 117. doi:10.1186/1472-6963-13-117.</w:t>
      </w:r>
    </w:p>
    <w:p w14:paraId="201FEB21">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Fleming, M., Athanasopoulos, P., Mackay, D.F. </w:t>
      </w:r>
      <w:r>
        <w:rPr>
          <w:rStyle w:val="13"/>
          <w:rFonts w:hint="default" w:ascii="Arial" w:hAnsi="Arial" w:cs="Arial"/>
        </w:rPr>
        <w:t>et al.</w:t>
      </w:r>
      <w:r>
        <w:rPr>
          <w:rFonts w:hint="default" w:ascii="Arial" w:hAnsi="Arial" w:cs="Arial"/>
        </w:rPr>
        <w:t xml:space="preserve"> (2024) ‘Educational outcomes among children with congenital heart disease compared to peers: a Scotland-wide record-linkage study of 715,850 schoolchildren’, </w:t>
      </w:r>
      <w:r>
        <w:rPr>
          <w:rStyle w:val="13"/>
          <w:rFonts w:hint="default" w:ascii="Arial" w:hAnsi="Arial" w:cs="Arial"/>
        </w:rPr>
        <w:t>BMC Pediatrics</w:t>
      </w:r>
      <w:r>
        <w:rPr>
          <w:rFonts w:hint="default" w:ascii="Arial" w:hAnsi="Arial" w:cs="Arial"/>
        </w:rPr>
        <w:t>, 24, p. 405. doi:10.1186/s12887-024-04848-2.</w:t>
      </w:r>
    </w:p>
    <w:p w14:paraId="789DC392">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Fung, W.L., Butcher, N.J., Costain, G. </w:t>
      </w:r>
      <w:r>
        <w:rPr>
          <w:rStyle w:val="13"/>
          <w:rFonts w:hint="default" w:ascii="Arial" w:hAnsi="Arial" w:cs="Arial"/>
        </w:rPr>
        <w:t>et al.</w:t>
      </w:r>
      <w:r>
        <w:rPr>
          <w:rFonts w:hint="default" w:ascii="Arial" w:hAnsi="Arial" w:cs="Arial"/>
        </w:rPr>
        <w:t xml:space="preserve"> (2015) ‘Practical guidelines for managing adults with 22q11.2 deletion syndrome’, </w:t>
      </w:r>
      <w:r>
        <w:rPr>
          <w:rStyle w:val="13"/>
          <w:rFonts w:hint="default" w:ascii="Arial" w:hAnsi="Arial" w:cs="Arial"/>
        </w:rPr>
        <w:t>Genetics in Medicine</w:t>
      </w:r>
      <w:r>
        <w:rPr>
          <w:rFonts w:hint="default" w:ascii="Arial" w:hAnsi="Arial" w:cs="Arial"/>
        </w:rPr>
        <w:t>, 17(8), pp. 599–609. doi:10.1038/gim.2014.175.</w:t>
      </w:r>
    </w:p>
    <w:p w14:paraId="663E2092">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Ghoussaini, R., Zareef, R., Makarem, A. </w:t>
      </w:r>
      <w:r>
        <w:rPr>
          <w:rStyle w:val="13"/>
          <w:rFonts w:hint="default" w:ascii="Arial" w:hAnsi="Arial" w:cs="Arial"/>
        </w:rPr>
        <w:t>et al.</w:t>
      </w:r>
      <w:r>
        <w:rPr>
          <w:rFonts w:hint="default" w:ascii="Arial" w:hAnsi="Arial" w:cs="Arial"/>
        </w:rPr>
        <w:t xml:space="preserve"> (2024) ‘Pulmonary artery banding: a 20-year experience at a tertiary care center in a developing country’, </w:t>
      </w:r>
      <w:r>
        <w:rPr>
          <w:rStyle w:val="13"/>
          <w:rFonts w:hint="default" w:ascii="Arial" w:hAnsi="Arial" w:cs="Arial"/>
        </w:rPr>
        <w:t>Frontiers in Cardiovascular Medicine</w:t>
      </w:r>
      <w:r>
        <w:rPr>
          <w:rFonts w:hint="default" w:ascii="Arial" w:hAnsi="Arial" w:cs="Arial"/>
        </w:rPr>
        <w:t>, 11, p. 1368921. doi:10.3389/fcvm.2024.1368921.</w:t>
      </w:r>
    </w:p>
    <w:p w14:paraId="21C28954">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Haddad, R.N., Boudjemline, Y., Combes, N., Hadeed, K., Karsenty, C. and Saliba, Z. (2022) ‘Three centers experience with device closure of congenital Gerbode-type perimembranous ventricular septal defects’, </w:t>
      </w:r>
      <w:r>
        <w:rPr>
          <w:rStyle w:val="13"/>
          <w:rFonts w:hint="default" w:ascii="Arial" w:hAnsi="Arial" w:cs="Arial"/>
        </w:rPr>
        <w:t>Journal of Cardiac Surgery</w:t>
      </w:r>
      <w:r>
        <w:rPr>
          <w:rFonts w:hint="default" w:ascii="Arial" w:hAnsi="Arial" w:cs="Arial"/>
        </w:rPr>
        <w:t>, 37, pp. 2714–2724.</w:t>
      </w:r>
    </w:p>
    <w:p w14:paraId="53DACFEB">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Henrion, D. (2022) ‘Modulating the immune response to reduce hypertension-associated cardiovascular damage’, </w:t>
      </w:r>
      <w:r>
        <w:rPr>
          <w:rStyle w:val="13"/>
          <w:rFonts w:hint="default" w:ascii="Arial" w:hAnsi="Arial" w:cs="Arial"/>
        </w:rPr>
        <w:t>Journal of Clinical Investigation</w:t>
      </w:r>
      <w:r>
        <w:rPr>
          <w:rFonts w:hint="default" w:ascii="Arial" w:hAnsi="Arial" w:cs="Arial"/>
        </w:rPr>
        <w:t>, 132(6), p. e158280. doi:10.1172/JCI158280.</w:t>
      </w:r>
    </w:p>
    <w:p w14:paraId="2B8CBFF2">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Huang, J.-B., Liu, Y.-L., Sun, P.-W., Lv, X.-D., Du, M. and Fan, X.-M. (2010) ‘Molecular mechanisms of congenital heart disease’, </w:t>
      </w:r>
      <w:r>
        <w:rPr>
          <w:rStyle w:val="13"/>
          <w:rFonts w:hint="default" w:ascii="Arial" w:hAnsi="Arial" w:cs="Arial"/>
        </w:rPr>
        <w:t>Cardiovascular Pathology</w:t>
      </w:r>
      <w:r>
        <w:rPr>
          <w:rFonts w:hint="default" w:ascii="Arial" w:hAnsi="Arial" w:cs="Arial"/>
        </w:rPr>
        <w:t>, 19(5), pp. e183–e193. doi:10.1016/j.carpath.2009.06.008.</w:t>
      </w:r>
    </w:p>
    <w:p w14:paraId="67F25B2A">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Izumi, S., Mood, L., Velk, L. </w:t>
      </w:r>
      <w:r>
        <w:rPr>
          <w:rStyle w:val="13"/>
          <w:rFonts w:hint="default" w:ascii="Arial" w:hAnsi="Arial" w:cs="Arial"/>
        </w:rPr>
        <w:t>et al.</w:t>
      </w:r>
      <w:r>
        <w:rPr>
          <w:rFonts w:hint="default" w:ascii="Arial" w:hAnsi="Arial" w:cs="Arial"/>
        </w:rPr>
        <w:t xml:space="preserve"> (2025) ‘Key components of chronic care management programs: qualitative descriptions of care managers’ practice’, </w:t>
      </w:r>
      <w:r>
        <w:rPr>
          <w:rStyle w:val="13"/>
          <w:rFonts w:hint="default" w:ascii="Arial" w:hAnsi="Arial" w:cs="Arial"/>
        </w:rPr>
        <w:t>BMC Health Services Research</w:t>
      </w:r>
      <w:r>
        <w:rPr>
          <w:rFonts w:hint="default" w:ascii="Arial" w:hAnsi="Arial" w:cs="Arial"/>
        </w:rPr>
        <w:t>, 25(1), p. 1542. doi:10.1186/s12913-025-13788-1.</w:t>
      </w:r>
    </w:p>
    <w:p w14:paraId="2F293E88">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Jinga, M. (2018) ‘Essential in genetic etiology of congenital heart diseases’, in Dumitrescu, S., Ţintoiu, I. and Underwood, M. (eds.) </w:t>
      </w:r>
      <w:r>
        <w:rPr>
          <w:rStyle w:val="13"/>
          <w:rFonts w:hint="default" w:ascii="Arial" w:hAnsi="Arial" w:cs="Arial"/>
        </w:rPr>
        <w:t>Right heart pathology</w:t>
      </w:r>
      <w:r>
        <w:rPr>
          <w:rFonts w:hint="default" w:ascii="Arial" w:hAnsi="Arial" w:cs="Arial"/>
        </w:rPr>
        <w:t>. Cham: Springer. doi:10.1007/978-3-319-73764-5_13.</w:t>
      </w:r>
    </w:p>
    <w:p w14:paraId="2EBC0A26">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Kacar, P., Flander, M. and Prokselj, K. (2025) ‘Quality of life in adults with congenital heart disease: insights from a tertiary centre’, </w:t>
      </w:r>
      <w:r>
        <w:rPr>
          <w:rStyle w:val="13"/>
          <w:rFonts w:hint="default" w:ascii="Arial" w:hAnsi="Arial" w:cs="Arial"/>
        </w:rPr>
        <w:t>Journal of Clinical Medicine</w:t>
      </w:r>
      <w:r>
        <w:rPr>
          <w:rFonts w:hint="default" w:ascii="Arial" w:hAnsi="Arial" w:cs="Arial"/>
        </w:rPr>
        <w:t>, 14(20), p. 7451. doi:10.3390/jcm14207451.</w:t>
      </w:r>
    </w:p>
    <w:p w14:paraId="5EF9346F">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Kuswiyanto, R.B., Gunawijaya, E., Djer, M.M. </w:t>
      </w:r>
      <w:r>
        <w:rPr>
          <w:rStyle w:val="13"/>
          <w:rFonts w:hint="default" w:ascii="Arial" w:hAnsi="Arial" w:cs="Arial"/>
        </w:rPr>
        <w:t>et al.</w:t>
      </w:r>
      <w:r>
        <w:rPr>
          <w:rFonts w:hint="default" w:ascii="Arial" w:hAnsi="Arial" w:cs="Arial"/>
        </w:rPr>
        <w:t xml:space="preserve"> (2022) ‘Transcatheter closure of perimembranous ventricular septal defect using the Lifetech Konar-multi functional occluder: early to midterm results of the Indonesian multicenter study’, </w:t>
      </w:r>
      <w:r>
        <w:rPr>
          <w:rStyle w:val="13"/>
          <w:rFonts w:hint="default" w:ascii="Arial" w:hAnsi="Arial" w:cs="Arial"/>
        </w:rPr>
        <w:t>Global Heart</w:t>
      </w:r>
      <w:r>
        <w:rPr>
          <w:rFonts w:hint="default" w:ascii="Arial" w:hAnsi="Arial" w:cs="Arial"/>
        </w:rPr>
        <w:t>, 17(1), p. 15. doi:10.5334/gh.1106.</w:t>
      </w:r>
    </w:p>
    <w:p w14:paraId="2C1506D6">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Lynge, T.H., Jeppesen, A.G., Winkel, B.G. </w:t>
      </w:r>
      <w:r>
        <w:rPr>
          <w:rStyle w:val="13"/>
          <w:rFonts w:hint="default" w:ascii="Arial" w:hAnsi="Arial" w:cs="Arial"/>
        </w:rPr>
        <w:t>et al.</w:t>
      </w:r>
      <w:r>
        <w:rPr>
          <w:rFonts w:hint="default" w:ascii="Arial" w:hAnsi="Arial" w:cs="Arial"/>
        </w:rPr>
        <w:t xml:space="preserve"> (2018) ‘Nationwide study of sudden cardiac death in people with congenital heart defects aged 0 to 35 years’, </w:t>
      </w:r>
      <w:r>
        <w:rPr>
          <w:rStyle w:val="13"/>
          <w:rFonts w:hint="default" w:ascii="Arial" w:hAnsi="Arial" w:cs="Arial"/>
        </w:rPr>
        <w:t>Circulation: Arrhythmia and Electrophysiology</w:t>
      </w:r>
      <w:r>
        <w:rPr>
          <w:rFonts w:hint="default" w:ascii="Arial" w:hAnsi="Arial" w:cs="Arial"/>
        </w:rPr>
        <w:t>, 11(6), p. e005757. doi:10.1161/CIRCEP.117.005757.</w:t>
      </w:r>
    </w:p>
    <w:p w14:paraId="1542F0FA">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Meng, X., Song, M., Zhang, K. </w:t>
      </w:r>
      <w:r>
        <w:rPr>
          <w:rStyle w:val="13"/>
          <w:rFonts w:hint="default" w:ascii="Arial" w:hAnsi="Arial" w:cs="Arial"/>
        </w:rPr>
        <w:t>et al.</w:t>
      </w:r>
      <w:r>
        <w:rPr>
          <w:rFonts w:hint="default" w:ascii="Arial" w:hAnsi="Arial" w:cs="Arial"/>
        </w:rPr>
        <w:t xml:space="preserve"> (2024) ‘Congenital heart disease: types, pathophysiology, diagnosis, and treatment options’, </w:t>
      </w:r>
      <w:r>
        <w:rPr>
          <w:rStyle w:val="13"/>
          <w:rFonts w:hint="default" w:ascii="Arial" w:hAnsi="Arial" w:cs="Arial"/>
        </w:rPr>
        <w:t>MedComm</w:t>
      </w:r>
      <w:r>
        <w:rPr>
          <w:rFonts w:hint="default" w:ascii="Arial" w:hAnsi="Arial" w:cs="Arial"/>
        </w:rPr>
        <w:t>, 5(7), p. e631. doi:10.1002/mco2.631.</w:t>
      </w:r>
    </w:p>
    <w:p w14:paraId="24036F78">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National Institute for Health and Care Excellence (2016) </w:t>
      </w:r>
      <w:r>
        <w:rPr>
          <w:rStyle w:val="13"/>
          <w:rFonts w:hint="default" w:ascii="Arial" w:hAnsi="Arial" w:cs="Arial"/>
        </w:rPr>
        <w:t>End of life care for infants, children and young people with life-limiting conditions (NG61)</w:t>
      </w:r>
      <w:r>
        <w:rPr>
          <w:rFonts w:hint="default" w:ascii="Arial" w:hAnsi="Arial" w:cs="Arial"/>
        </w:rPr>
        <w:t>. London: NICE.</w:t>
      </w:r>
    </w:p>
    <w:p w14:paraId="10EA2370">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Nicholson, C., Strange, G., Ayer, J. </w:t>
      </w:r>
      <w:r>
        <w:rPr>
          <w:rStyle w:val="13"/>
          <w:rFonts w:hint="default" w:ascii="Arial" w:hAnsi="Arial" w:cs="Arial"/>
        </w:rPr>
        <w:t>et al.</w:t>
      </w:r>
      <w:r>
        <w:rPr>
          <w:rFonts w:hint="default" w:ascii="Arial" w:hAnsi="Arial" w:cs="Arial"/>
        </w:rPr>
        <w:t xml:space="preserve"> (2024) ‘A national Australian Congenital Heart Disease registry; methods and initial results’, </w:t>
      </w:r>
      <w:r>
        <w:rPr>
          <w:rStyle w:val="13"/>
          <w:rFonts w:hint="default" w:ascii="Arial" w:hAnsi="Arial" w:cs="Arial"/>
        </w:rPr>
        <w:t>International Journal of Cardiology: Congenital Heart Disease</w:t>
      </w:r>
      <w:r>
        <w:rPr>
          <w:rFonts w:hint="default" w:ascii="Arial" w:hAnsi="Arial" w:cs="Arial"/>
        </w:rPr>
        <w:t>, 17, p. 100538. doi:10.1016/j.ijcchd.2024.100538.</w:t>
      </w:r>
    </w:p>
    <w:p w14:paraId="7C6C3146">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NHS Digital (2022) </w:t>
      </w:r>
      <w:r>
        <w:rPr>
          <w:rStyle w:val="13"/>
          <w:rFonts w:hint="default" w:ascii="Arial" w:hAnsi="Arial" w:cs="Arial"/>
        </w:rPr>
        <w:t>NCARDRS congenital anomaly statistics: annual data, 2020</w:t>
      </w:r>
      <w:r>
        <w:rPr>
          <w:rFonts w:hint="default" w:ascii="Arial" w:hAnsi="Arial" w:cs="Arial"/>
        </w:rPr>
        <w:t>. England: NHS Digital.</w:t>
      </w:r>
    </w:p>
    <w:p w14:paraId="2BFFAA5A">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Pitchford, E.A. and Webster, E.K. (2021) ‘Clinical validity of the Test of Gross Motor Development-3 in children with disabilities from the U.S. national normative sample’, </w:t>
      </w:r>
      <w:r>
        <w:rPr>
          <w:rStyle w:val="13"/>
          <w:rFonts w:hint="default" w:ascii="Arial" w:hAnsi="Arial" w:cs="Arial"/>
        </w:rPr>
        <w:t>Adapted Physical Activity Quarterly</w:t>
      </w:r>
      <w:r>
        <w:rPr>
          <w:rFonts w:hint="default" w:ascii="Arial" w:hAnsi="Arial" w:cs="Arial"/>
        </w:rPr>
        <w:t>, 38(1), pp. 62–78. doi:10.1123/apaq.2020-0023.</w:t>
      </w:r>
    </w:p>
    <w:p w14:paraId="0188E9DB">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Prakoso, R., Simanjorang, C.N.S., Kurniawati, Y. </w:t>
      </w:r>
      <w:r>
        <w:rPr>
          <w:rStyle w:val="13"/>
          <w:rFonts w:hint="default" w:ascii="Arial" w:hAnsi="Arial" w:cs="Arial"/>
        </w:rPr>
        <w:t>et al.</w:t>
      </w:r>
      <w:r>
        <w:rPr>
          <w:rFonts w:hint="default" w:ascii="Arial" w:hAnsi="Arial" w:cs="Arial"/>
        </w:rPr>
        <w:t xml:space="preserve"> (2024) ‘Ductal stenting vs. surgical shunting in late presenting duct-dependent pulmonary circulation: a single-center experience’, </w:t>
      </w:r>
      <w:r>
        <w:rPr>
          <w:rStyle w:val="13"/>
          <w:rFonts w:hint="default" w:ascii="Arial" w:hAnsi="Arial" w:cs="Arial"/>
        </w:rPr>
        <w:t>Frontiers in Cardiovascular Medicine</w:t>
      </w:r>
      <w:r>
        <w:rPr>
          <w:rFonts w:hint="default" w:ascii="Arial" w:hAnsi="Arial" w:cs="Arial"/>
        </w:rPr>
        <w:t>, 11, p. 1382879. doi:10.3389/fcvm.2024.1382879.</w:t>
      </w:r>
    </w:p>
    <w:p w14:paraId="01ADD47B">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Razzaghi, H., Oster, M. and Reefhuis, J. (2015) ‘Long-term outcomes in children with congenital heart disease: National Health Interview Survey’, </w:t>
      </w:r>
      <w:r>
        <w:rPr>
          <w:rStyle w:val="13"/>
          <w:rFonts w:hint="default" w:ascii="Arial" w:hAnsi="Arial" w:cs="Arial"/>
        </w:rPr>
        <w:t>The Journal of Pediatrics</w:t>
      </w:r>
      <w:r>
        <w:rPr>
          <w:rFonts w:hint="default" w:ascii="Arial" w:hAnsi="Arial" w:cs="Arial"/>
        </w:rPr>
        <w:t>, 166(1), pp. 119–124. doi:10.1016/j.jpeds.2014.09.006.</w:t>
      </w:r>
    </w:p>
    <w:p w14:paraId="72E8795B">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Rosenthal, L.-M., Danne, F., de Belsunce, S. </w:t>
      </w:r>
      <w:r>
        <w:rPr>
          <w:rStyle w:val="13"/>
          <w:rFonts w:hint="default" w:ascii="Arial" w:hAnsi="Arial" w:cs="Arial"/>
        </w:rPr>
        <w:t>et al.</w:t>
      </w:r>
      <w:r>
        <w:rPr>
          <w:rFonts w:hint="default" w:ascii="Arial" w:hAnsi="Arial" w:cs="Arial"/>
        </w:rPr>
        <w:t xml:space="preserve"> (2025) ‘Application-based remote interstage home monitoring for infants with shunt- or duct-dependent pulmonary perfusion’, </w:t>
      </w:r>
      <w:r>
        <w:rPr>
          <w:rStyle w:val="13"/>
          <w:rFonts w:hint="default" w:ascii="Arial" w:hAnsi="Arial" w:cs="Arial"/>
        </w:rPr>
        <w:t>Frontiers in Cardiovascular Medicine</w:t>
      </w:r>
      <w:r>
        <w:rPr>
          <w:rFonts w:hint="default" w:ascii="Arial" w:hAnsi="Arial" w:cs="Arial"/>
        </w:rPr>
        <w:t>, 11, p. 1493698. doi:10.3389/fcvm.2024.1493698.</w:t>
      </w:r>
    </w:p>
    <w:p w14:paraId="27233E3C">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Sajid, A., Chavez-Valdez, R., Sharp, A.N. </w:t>
      </w:r>
      <w:r>
        <w:rPr>
          <w:rStyle w:val="13"/>
          <w:rFonts w:hint="default" w:ascii="Arial" w:hAnsi="Arial" w:cs="Arial"/>
        </w:rPr>
        <w:t>et al.</w:t>
      </w:r>
      <w:r>
        <w:rPr>
          <w:rFonts w:hint="default" w:ascii="Arial" w:hAnsi="Arial" w:cs="Arial"/>
        </w:rPr>
        <w:t xml:space="preserve"> (2025) ‘Neurodevelopment in congenital heart disease: a review of antenatal mechanisms and therapeutic potentials’, </w:t>
      </w:r>
      <w:r>
        <w:rPr>
          <w:rStyle w:val="13"/>
          <w:rFonts w:hint="default" w:ascii="Arial" w:hAnsi="Arial" w:cs="Arial"/>
        </w:rPr>
        <w:t>Pediatric Research</w:t>
      </w:r>
      <w:r>
        <w:rPr>
          <w:rFonts w:hint="default" w:ascii="Arial" w:hAnsi="Arial" w:cs="Arial"/>
        </w:rPr>
        <w:t>, 98, pp. 2483–2490.</w:t>
      </w:r>
    </w:p>
    <w:p w14:paraId="5B184235">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Serra Grima, R. (2020) ‘Physical exercise in children with congenital heart disease’, </w:t>
      </w:r>
      <w:r>
        <w:rPr>
          <w:rStyle w:val="13"/>
          <w:rFonts w:hint="default" w:ascii="Arial" w:hAnsi="Arial" w:cs="Arial"/>
        </w:rPr>
        <w:t>Pediatric Dimensions</w:t>
      </w:r>
      <w:r>
        <w:rPr>
          <w:rFonts w:hint="default" w:ascii="Arial" w:hAnsi="Arial" w:cs="Arial"/>
        </w:rPr>
        <w:t>, 5, pp. 1–1. doi:10.15761/PD.1000210.</w:t>
      </w:r>
    </w:p>
    <w:p w14:paraId="3D858957">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Serra-Grima, R., Doñate, M., Borrás, X. </w:t>
      </w:r>
      <w:r>
        <w:rPr>
          <w:rStyle w:val="13"/>
          <w:rFonts w:hint="default" w:ascii="Arial" w:hAnsi="Arial" w:cs="Arial"/>
        </w:rPr>
        <w:t>et al.</w:t>
      </w:r>
      <w:r>
        <w:rPr>
          <w:rFonts w:hint="default" w:ascii="Arial" w:hAnsi="Arial" w:cs="Arial"/>
        </w:rPr>
        <w:t xml:space="preserve"> (2011) ‘Cardiopulmonary stress testing in children who have had congenital heart disease surgery: physical exercise recommendations during school hours’, </w:t>
      </w:r>
      <w:r>
        <w:rPr>
          <w:rStyle w:val="13"/>
          <w:rFonts w:hint="default" w:ascii="Arial" w:hAnsi="Arial" w:cs="Arial"/>
        </w:rPr>
        <w:t>Revista Española de Cardiología</w:t>
      </w:r>
      <w:r>
        <w:rPr>
          <w:rFonts w:hint="default" w:ascii="Arial" w:hAnsi="Arial" w:cs="Arial"/>
        </w:rPr>
        <w:t>, 64(9), pp. 780–787. doi:10.1016/j.recesp.2011.05.007.</w:t>
      </w:r>
    </w:p>
    <w:p w14:paraId="6F3C747E">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Shih, K., Herz, N., Sheikh, A., O’Neill, C., Carter, P. and Anderson, M. (2025) ‘Economic burden of cardiovascular disease in the United Kingdom’, </w:t>
      </w:r>
      <w:r>
        <w:rPr>
          <w:rStyle w:val="13"/>
          <w:rFonts w:hint="default" w:ascii="Arial" w:hAnsi="Arial" w:cs="Arial"/>
        </w:rPr>
        <w:t>European Heart Journal: Quality of Care &amp; Clinical Outcomes</w:t>
      </w:r>
      <w:r>
        <w:rPr>
          <w:rFonts w:hint="default" w:ascii="Arial" w:hAnsi="Arial" w:cs="Arial"/>
        </w:rPr>
        <w:t>, 11(5), pp. 678–690. doi:10.1093/ehjqcco/qcaf011.</w:t>
      </w:r>
    </w:p>
    <w:p w14:paraId="58B6FABE">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Taylor, R.S., Dalal, H.M. and McDonagh, S.T.J. (2022) ‘The role of cardiac rehabilitation in improving cardiovascular outcomes’, </w:t>
      </w:r>
      <w:r>
        <w:rPr>
          <w:rStyle w:val="13"/>
          <w:rFonts w:hint="default" w:ascii="Arial" w:hAnsi="Arial" w:cs="Arial"/>
        </w:rPr>
        <w:t>Nature Reviews Cardiology</w:t>
      </w:r>
      <w:r>
        <w:rPr>
          <w:rFonts w:hint="default" w:ascii="Arial" w:hAnsi="Arial" w:cs="Arial"/>
        </w:rPr>
        <w:t>, 19(3), pp. 180–194. doi:10.1038/s41569-021-00611-7.</w:t>
      </w:r>
    </w:p>
    <w:p w14:paraId="3FB3957C">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Vikhe, C.S., Sharath, H.V., Brahmane, N.A. and Ramteke, S.U. (2024) ‘The effect of physiotherapy intervention on an infant with congenital heart defect associated with developmental delay: a case report’, </w:t>
      </w:r>
      <w:r>
        <w:rPr>
          <w:rStyle w:val="13"/>
          <w:rFonts w:hint="default" w:ascii="Arial" w:hAnsi="Arial" w:cs="Arial"/>
        </w:rPr>
        <w:t>Cureus</w:t>
      </w:r>
      <w:r>
        <w:rPr>
          <w:rFonts w:hint="default" w:ascii="Arial" w:hAnsi="Arial" w:cs="Arial"/>
        </w:rPr>
        <w:t>, 16(5), p. e60215. doi:10.7759/cureus.60215.</w:t>
      </w:r>
    </w:p>
    <w:p w14:paraId="7926604D">
      <w:pPr>
        <w:pStyle w:val="17"/>
        <w:keepNext w:val="0"/>
        <w:keepLines w:val="0"/>
        <w:widowControl/>
        <w:numPr>
          <w:ilvl w:val="0"/>
          <w:numId w:val="53"/>
        </w:numPr>
        <w:suppressLineNumbers w:val="0"/>
        <w:spacing w:line="360" w:lineRule="auto"/>
        <w:ind w:left="720" w:leftChars="0" w:hanging="360" w:firstLineChars="0"/>
        <w:jc w:val="both"/>
        <w:rPr>
          <w:rFonts w:hint="default" w:ascii="Arial" w:hAnsi="Arial" w:cs="Arial"/>
        </w:rPr>
      </w:pPr>
      <w:r>
        <w:rPr>
          <w:rFonts w:hint="default" w:ascii="Arial" w:hAnsi="Arial" w:cs="Arial"/>
        </w:rPr>
        <w:t xml:space="preserve">Xu, J., Yang, Y., Zhao, J., Li, D., Zheng, S., Gu, J. and Wang, M. (2026) ‘Innovative approaches for coronary heart disease management: integrating biomedical sensors, deep learning, and stellate ganglion modulation’, </w:t>
      </w:r>
      <w:r>
        <w:rPr>
          <w:rStyle w:val="13"/>
          <w:rFonts w:hint="default" w:ascii="Arial" w:hAnsi="Arial" w:cs="Arial"/>
        </w:rPr>
        <w:t>Computer Methods in Biomechanics and Biomedical Engineering</w:t>
      </w:r>
      <w:r>
        <w:rPr>
          <w:rFonts w:hint="default" w:ascii="Arial" w:hAnsi="Arial" w:cs="Arial"/>
        </w:rPr>
        <w:t>, 29(1), pp. 85–102. doi:10.1080/10255842.2024.2378099.</w:t>
      </w:r>
    </w:p>
    <w:p w14:paraId="0B63115D">
      <w:pPr>
        <w:pStyle w:val="17"/>
        <w:shd w:val="clear" w:color="auto" w:fill="FFFFFF" w:themeFill="background1"/>
        <w:spacing w:before="0" w:beforeAutospacing="0" w:after="300" w:afterAutospacing="0" w:line="360" w:lineRule="auto"/>
        <w:jc w:val="both"/>
        <w:rPr>
          <w:rFonts w:hint="default" w:ascii="Arial" w:hAnsi="Arial" w:cs="Arial"/>
          <w:b/>
          <w:bCs/>
          <w:color w:val="156082" w:themeColor="accent1"/>
          <w:sz w:val="24"/>
          <w:szCs w:val="24"/>
          <w14:textFill>
            <w14:solidFill>
              <w14:schemeClr w14:val="accent1"/>
            </w14:solidFill>
          </w14:textFill>
        </w:rPr>
      </w:pPr>
    </w:p>
    <w:sectPr>
      <w:headerReference r:id="rId6" w:type="first"/>
      <w:footerReference r:id="rId9" w:type="first"/>
      <w:footerReference r:id="rId7" w:type="default"/>
      <w:headerReference r:id="rId5" w:type="even"/>
      <w:footerReference r:id="rId8" w:type="even"/>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ptos">
    <w:altName w:val="Segoe Print"/>
    <w:panose1 w:val="020B0004020202020204"/>
    <w:charset w:val="00"/>
    <w:family w:val="swiss"/>
    <w:pitch w:val="default"/>
    <w:sig w:usb0="00000000" w:usb1="00000000" w:usb2="00000000" w:usb3="00000000" w:csb0="0000019F" w:csb1="00000000"/>
  </w:font>
  <w:font w:name="游明朝">
    <w:altName w:val="SimSun"/>
    <w:panose1 w:val="00000000000000000000"/>
    <w:charset w:val="86"/>
    <w:family w:val="auto"/>
    <w:pitch w:val="default"/>
    <w:sig w:usb0="00000000" w:usb1="00000000" w:usb2="00000000" w:usb3="00000000" w:csb0="00000000" w:csb1="00000000"/>
  </w:font>
  <w:font w:name="Aptos Display">
    <w:altName w:val="Segoe Print"/>
    <w:panose1 w:val="020B0004020202020204"/>
    <w:charset w:val="00"/>
    <w:family w:val="swiss"/>
    <w:pitch w:val="default"/>
    <w:sig w:usb0="00000000" w:usb1="00000000" w:usb2="00000000" w:usb3="00000000" w:csb0="0000019F" w:csb1="00000000"/>
  </w:font>
  <w:font w:name="Yu Gothic Light">
    <w:panose1 w:val="020B0300000000000000"/>
    <w:charset w:val="80"/>
    <w:family w:val="auto"/>
    <w:pitch w:val="default"/>
    <w:sig w:usb0="E00002FF" w:usb1="2AC7FDFF" w:usb2="00000016" w:usb3="00000000" w:csb0="2002009F" w:csb1="00000000"/>
  </w:font>
  <w:font w:name="Symbol">
    <w:panose1 w:val="05050102010706020507"/>
    <w:charset w:val="02"/>
    <w:family w:val="decorative"/>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游明朝">
    <w:altName w:val="Segoe Print"/>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0" w:type="auto"/>
      <w:tblInd w:w="0" w:type="dxa"/>
      <w:tblLayout w:type="autofit"/>
      <w:tblCellMar>
        <w:top w:w="0" w:type="dxa"/>
        <w:left w:w="108" w:type="dxa"/>
        <w:bottom w:w="0" w:type="dxa"/>
        <w:right w:w="108" w:type="dxa"/>
      </w:tblCellMar>
    </w:tblPr>
    <w:tblGrid>
      <w:gridCol w:w="3120"/>
      <w:gridCol w:w="3120"/>
      <w:gridCol w:w="3120"/>
    </w:tblGrid>
    <w:tr w14:paraId="03E50EFE">
      <w:tblPrEx>
        <w:tblCellMar>
          <w:top w:w="0" w:type="dxa"/>
          <w:left w:w="108" w:type="dxa"/>
          <w:bottom w:w="0" w:type="dxa"/>
          <w:right w:w="108" w:type="dxa"/>
        </w:tblCellMar>
      </w:tblPrEx>
      <w:trPr>
        <w:trHeight w:val="300" w:hRule="atLeast"/>
      </w:trPr>
      <w:tc>
        <w:tcPr>
          <w:tcW w:w="3120" w:type="dxa"/>
        </w:tcPr>
        <w:p w14:paraId="1B8C35F2">
          <w:pPr>
            <w:pStyle w:val="15"/>
            <w:ind w:left="-115"/>
          </w:pPr>
        </w:p>
      </w:tc>
      <w:tc>
        <w:tcPr>
          <w:tcW w:w="3120" w:type="dxa"/>
        </w:tcPr>
        <w:p w14:paraId="386C6CD9">
          <w:pPr>
            <w:pStyle w:val="15"/>
            <w:jc w:val="center"/>
          </w:pPr>
        </w:p>
      </w:tc>
      <w:tc>
        <w:tcPr>
          <w:tcW w:w="3120" w:type="dxa"/>
        </w:tcPr>
        <w:p w14:paraId="084B96E3">
          <w:pPr>
            <w:pStyle w:val="15"/>
            <w:ind w:right="-115"/>
            <w:jc w:val="right"/>
          </w:pPr>
        </w:p>
      </w:tc>
    </w:tr>
  </w:tbl>
  <w:p w14:paraId="613EBC47">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B2FBE">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59165">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85D7F">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AA816">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163F70"/>
    <w:multiLevelType w:val="singleLevel"/>
    <w:tmpl w:val="B7163F7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02464C3B"/>
    <w:multiLevelType w:val="singleLevel"/>
    <w:tmpl w:val="02464C3B"/>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03C0976B"/>
    <w:multiLevelType w:val="multilevel"/>
    <w:tmpl w:val="03C0976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
    <w:nsid w:val="0617651F"/>
    <w:multiLevelType w:val="multilevel"/>
    <w:tmpl w:val="0617651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
    <w:nsid w:val="09DF574E"/>
    <w:multiLevelType w:val="multilevel"/>
    <w:tmpl w:val="09DF574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
    <w:nsid w:val="0BFE6F48"/>
    <w:multiLevelType w:val="multilevel"/>
    <w:tmpl w:val="0BFE6F4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6">
    <w:nsid w:val="103F467D"/>
    <w:multiLevelType w:val="multilevel"/>
    <w:tmpl w:val="103F467D"/>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7">
    <w:nsid w:val="11B90F64"/>
    <w:multiLevelType w:val="multilevel"/>
    <w:tmpl w:val="11B90F6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13A3E9AD"/>
    <w:multiLevelType w:val="multilevel"/>
    <w:tmpl w:val="13A3E9AD"/>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9">
    <w:nsid w:val="17E352BB"/>
    <w:multiLevelType w:val="multilevel"/>
    <w:tmpl w:val="17E352B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0">
    <w:nsid w:val="1A250851"/>
    <w:multiLevelType w:val="multilevel"/>
    <w:tmpl w:val="1A25085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1">
    <w:nsid w:val="1AF5E8AC"/>
    <w:multiLevelType w:val="multilevel"/>
    <w:tmpl w:val="1AF5E8A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2">
    <w:nsid w:val="1BFC4B6F"/>
    <w:multiLevelType w:val="multilevel"/>
    <w:tmpl w:val="1BFC4B6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241054F8"/>
    <w:multiLevelType w:val="multilevel"/>
    <w:tmpl w:val="241054F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4">
    <w:nsid w:val="24F272F5"/>
    <w:multiLevelType w:val="multilevel"/>
    <w:tmpl w:val="24F272F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5">
    <w:nsid w:val="268F526C"/>
    <w:multiLevelType w:val="multilevel"/>
    <w:tmpl w:val="268F526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6">
    <w:nsid w:val="2BDD354C"/>
    <w:multiLevelType w:val="multilevel"/>
    <w:tmpl w:val="2BDD354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7">
    <w:nsid w:val="2E0F4363"/>
    <w:multiLevelType w:val="multilevel"/>
    <w:tmpl w:val="2E0F436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2FEED6EE"/>
    <w:multiLevelType w:val="multilevel"/>
    <w:tmpl w:val="2FEED6E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9">
    <w:nsid w:val="31921EA9"/>
    <w:multiLevelType w:val="multilevel"/>
    <w:tmpl w:val="31921EA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0">
    <w:nsid w:val="31BED83A"/>
    <w:multiLevelType w:val="multilevel"/>
    <w:tmpl w:val="31BED83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1">
    <w:nsid w:val="3299253F"/>
    <w:multiLevelType w:val="multilevel"/>
    <w:tmpl w:val="3299253F"/>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2">
    <w:nsid w:val="38252919"/>
    <w:multiLevelType w:val="multilevel"/>
    <w:tmpl w:val="3825291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394BFB81"/>
    <w:multiLevelType w:val="multilevel"/>
    <w:tmpl w:val="394BFB8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4">
    <w:nsid w:val="39D68B71"/>
    <w:multiLevelType w:val="multilevel"/>
    <w:tmpl w:val="39D68B7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5">
    <w:nsid w:val="3A36D3A2"/>
    <w:multiLevelType w:val="multilevel"/>
    <w:tmpl w:val="3A36D3A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6">
    <w:nsid w:val="3BA94E88"/>
    <w:multiLevelType w:val="multilevel"/>
    <w:tmpl w:val="3BA94E8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7">
    <w:nsid w:val="3E0BD4FA"/>
    <w:multiLevelType w:val="multilevel"/>
    <w:tmpl w:val="3E0BD4F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8">
    <w:nsid w:val="4334E8E5"/>
    <w:multiLevelType w:val="multilevel"/>
    <w:tmpl w:val="4334E8E5"/>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9">
    <w:nsid w:val="443D10D4"/>
    <w:multiLevelType w:val="multilevel"/>
    <w:tmpl w:val="443D10D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0">
    <w:nsid w:val="450DDA8E"/>
    <w:multiLevelType w:val="multilevel"/>
    <w:tmpl w:val="450DDA8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1">
    <w:nsid w:val="4D1D2798"/>
    <w:multiLevelType w:val="multilevel"/>
    <w:tmpl w:val="4D1D279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2">
    <w:nsid w:val="4F911A8E"/>
    <w:multiLevelType w:val="multilevel"/>
    <w:tmpl w:val="4F911A8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3">
    <w:nsid w:val="50517E12"/>
    <w:multiLevelType w:val="multilevel"/>
    <w:tmpl w:val="50517E12"/>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4">
    <w:nsid w:val="51E50647"/>
    <w:multiLevelType w:val="multilevel"/>
    <w:tmpl w:val="51E5064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5">
    <w:nsid w:val="57226C40"/>
    <w:multiLevelType w:val="singleLevel"/>
    <w:tmpl w:val="57226C40"/>
    <w:lvl w:ilvl="0" w:tentative="0">
      <w:start w:val="4"/>
      <w:numFmt w:val="decimal"/>
      <w:suff w:val="space"/>
      <w:lvlText w:val="%1."/>
      <w:lvlJc w:val="left"/>
    </w:lvl>
  </w:abstractNum>
  <w:abstractNum w:abstractNumId="36">
    <w:nsid w:val="5B301753"/>
    <w:multiLevelType w:val="multilevel"/>
    <w:tmpl w:val="5B3017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7">
    <w:nsid w:val="5D1E16F3"/>
    <w:multiLevelType w:val="multilevel"/>
    <w:tmpl w:val="5D1E16F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8">
    <w:nsid w:val="5EA1D637"/>
    <w:multiLevelType w:val="multilevel"/>
    <w:tmpl w:val="5EA1D63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9">
    <w:nsid w:val="6090CA63"/>
    <w:multiLevelType w:val="multilevel"/>
    <w:tmpl w:val="6090CA6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0">
    <w:nsid w:val="66E3EBEB"/>
    <w:multiLevelType w:val="multilevel"/>
    <w:tmpl w:val="66E3EBE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1">
    <w:nsid w:val="673A6945"/>
    <w:multiLevelType w:val="multilevel"/>
    <w:tmpl w:val="673A694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2">
    <w:nsid w:val="67D40F4D"/>
    <w:multiLevelType w:val="multilevel"/>
    <w:tmpl w:val="67D40F4D"/>
    <w:lvl w:ilvl="0" w:tentative="0">
      <w:start w:val="1"/>
      <w:numFmt w:val="bullet"/>
      <w:lvlText w:val=""/>
      <w:lvlJc w:val="left"/>
      <w:pPr>
        <w:tabs>
          <w:tab w:val="left" w:pos="720"/>
        </w:tabs>
        <w:ind w:left="720" w:hanging="360"/>
      </w:pPr>
      <w:rPr>
        <w:rFonts w:hint="default" w:ascii="Wingdings" w:hAnsi="Wingdings"/>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3">
    <w:nsid w:val="6F782ABD"/>
    <w:multiLevelType w:val="multilevel"/>
    <w:tmpl w:val="6F782A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4">
    <w:nsid w:val="705A086D"/>
    <w:multiLevelType w:val="multilevel"/>
    <w:tmpl w:val="705A086D"/>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5">
    <w:nsid w:val="72EF3484"/>
    <w:multiLevelType w:val="multilevel"/>
    <w:tmpl w:val="72EF348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6">
    <w:nsid w:val="748BCB8F"/>
    <w:multiLevelType w:val="multilevel"/>
    <w:tmpl w:val="748BCB8F"/>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7">
    <w:nsid w:val="74D4A901"/>
    <w:multiLevelType w:val="multilevel"/>
    <w:tmpl w:val="74D4A90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8">
    <w:nsid w:val="763DE979"/>
    <w:multiLevelType w:val="multilevel"/>
    <w:tmpl w:val="763DE97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9">
    <w:nsid w:val="7749F92B"/>
    <w:multiLevelType w:val="multilevel"/>
    <w:tmpl w:val="7749F92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0">
    <w:nsid w:val="7848A23E"/>
    <w:multiLevelType w:val="multilevel"/>
    <w:tmpl w:val="7848A23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1">
    <w:nsid w:val="795AD061"/>
    <w:multiLevelType w:val="multilevel"/>
    <w:tmpl w:val="795AD06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2">
    <w:nsid w:val="7E418803"/>
    <w:multiLevelType w:val="multilevel"/>
    <w:tmpl w:val="7E41880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num w:numId="1">
    <w:abstractNumId w:val="29"/>
  </w:num>
  <w:num w:numId="2">
    <w:abstractNumId w:val="14"/>
  </w:num>
  <w:num w:numId="3">
    <w:abstractNumId w:val="45"/>
  </w:num>
  <w:num w:numId="4">
    <w:abstractNumId w:val="27"/>
  </w:num>
  <w:num w:numId="5">
    <w:abstractNumId w:val="12"/>
  </w:num>
  <w:num w:numId="6">
    <w:abstractNumId w:val="37"/>
  </w:num>
  <w:num w:numId="7">
    <w:abstractNumId w:val="18"/>
  </w:num>
  <w:num w:numId="8">
    <w:abstractNumId w:val="50"/>
  </w:num>
  <w:num w:numId="9">
    <w:abstractNumId w:val="3"/>
  </w:num>
  <w:num w:numId="10">
    <w:abstractNumId w:val="11"/>
  </w:num>
  <w:num w:numId="11">
    <w:abstractNumId w:val="22"/>
  </w:num>
  <w:num w:numId="12">
    <w:abstractNumId w:val="6"/>
  </w:num>
  <w:num w:numId="13">
    <w:abstractNumId w:val="33"/>
  </w:num>
  <w:num w:numId="14">
    <w:abstractNumId w:val="26"/>
  </w:num>
  <w:num w:numId="15">
    <w:abstractNumId w:val="28"/>
  </w:num>
  <w:num w:numId="16">
    <w:abstractNumId w:val="2"/>
  </w:num>
  <w:num w:numId="17">
    <w:abstractNumId w:val="31"/>
  </w:num>
  <w:num w:numId="18">
    <w:abstractNumId w:val="17"/>
  </w:num>
  <w:num w:numId="19">
    <w:abstractNumId w:val="43"/>
  </w:num>
  <w:num w:numId="20">
    <w:abstractNumId w:val="36"/>
  </w:num>
  <w:num w:numId="21">
    <w:abstractNumId w:val="20"/>
  </w:num>
  <w:num w:numId="22">
    <w:abstractNumId w:val="52"/>
  </w:num>
  <w:num w:numId="23">
    <w:abstractNumId w:val="23"/>
  </w:num>
  <w:num w:numId="24">
    <w:abstractNumId w:val="44"/>
  </w:num>
  <w:num w:numId="25">
    <w:abstractNumId w:val="30"/>
  </w:num>
  <w:num w:numId="26">
    <w:abstractNumId w:val="21"/>
  </w:num>
  <w:num w:numId="27">
    <w:abstractNumId w:val="15"/>
  </w:num>
  <w:num w:numId="28">
    <w:abstractNumId w:val="51"/>
  </w:num>
  <w:num w:numId="29">
    <w:abstractNumId w:val="32"/>
  </w:num>
  <w:num w:numId="30">
    <w:abstractNumId w:val="49"/>
  </w:num>
  <w:num w:numId="31">
    <w:abstractNumId w:val="10"/>
  </w:num>
  <w:num w:numId="32">
    <w:abstractNumId w:val="24"/>
  </w:num>
  <w:num w:numId="33">
    <w:abstractNumId w:val="25"/>
  </w:num>
  <w:num w:numId="34">
    <w:abstractNumId w:val="35"/>
  </w:num>
  <w:num w:numId="35">
    <w:abstractNumId w:val="40"/>
  </w:num>
  <w:num w:numId="36">
    <w:abstractNumId w:val="1"/>
  </w:num>
  <w:num w:numId="37">
    <w:abstractNumId w:val="0"/>
  </w:num>
  <w:num w:numId="38">
    <w:abstractNumId w:val="41"/>
  </w:num>
  <w:num w:numId="39">
    <w:abstractNumId w:val="13"/>
  </w:num>
  <w:num w:numId="40">
    <w:abstractNumId w:val="9"/>
  </w:num>
  <w:num w:numId="41">
    <w:abstractNumId w:val="5"/>
  </w:num>
  <w:num w:numId="42">
    <w:abstractNumId w:val="19"/>
  </w:num>
  <w:num w:numId="43">
    <w:abstractNumId w:val="38"/>
  </w:num>
  <w:num w:numId="44">
    <w:abstractNumId w:val="42"/>
  </w:num>
  <w:num w:numId="45">
    <w:abstractNumId w:val="47"/>
  </w:num>
  <w:num w:numId="46">
    <w:abstractNumId w:val="46"/>
  </w:num>
  <w:num w:numId="47">
    <w:abstractNumId w:val="48"/>
  </w:num>
  <w:num w:numId="48">
    <w:abstractNumId w:val="34"/>
  </w:num>
  <w:num w:numId="49">
    <w:abstractNumId w:val="16"/>
  </w:num>
  <w:num w:numId="50">
    <w:abstractNumId w:val="8"/>
  </w:num>
  <w:num w:numId="51">
    <w:abstractNumId w:val="39"/>
  </w:num>
  <w:num w:numId="52">
    <w:abstractNumId w:val="4"/>
  </w:num>
  <w:num w:numId="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A44"/>
    <w:rsid w:val="0000200F"/>
    <w:rsid w:val="00003FBB"/>
    <w:rsid w:val="000046C7"/>
    <w:rsid w:val="00005785"/>
    <w:rsid w:val="00006FE6"/>
    <w:rsid w:val="000127FB"/>
    <w:rsid w:val="00013C22"/>
    <w:rsid w:val="00016DCD"/>
    <w:rsid w:val="00017432"/>
    <w:rsid w:val="000221FF"/>
    <w:rsid w:val="00022B8A"/>
    <w:rsid w:val="0002368A"/>
    <w:rsid w:val="000245E1"/>
    <w:rsid w:val="00026072"/>
    <w:rsid w:val="00026544"/>
    <w:rsid w:val="00026A52"/>
    <w:rsid w:val="00026B27"/>
    <w:rsid w:val="00032F2B"/>
    <w:rsid w:val="00037110"/>
    <w:rsid w:val="00037385"/>
    <w:rsid w:val="00040532"/>
    <w:rsid w:val="00041101"/>
    <w:rsid w:val="00043E2C"/>
    <w:rsid w:val="000454EC"/>
    <w:rsid w:val="00046161"/>
    <w:rsid w:val="000462F3"/>
    <w:rsid w:val="0004723F"/>
    <w:rsid w:val="0004760C"/>
    <w:rsid w:val="0005011E"/>
    <w:rsid w:val="000523CD"/>
    <w:rsid w:val="000524F7"/>
    <w:rsid w:val="00052638"/>
    <w:rsid w:val="0005580A"/>
    <w:rsid w:val="00056296"/>
    <w:rsid w:val="0005704E"/>
    <w:rsid w:val="000625CF"/>
    <w:rsid w:val="00062B1C"/>
    <w:rsid w:val="000632DB"/>
    <w:rsid w:val="0006528A"/>
    <w:rsid w:val="00066C45"/>
    <w:rsid w:val="00066DBA"/>
    <w:rsid w:val="000679D5"/>
    <w:rsid w:val="00067B46"/>
    <w:rsid w:val="00067E7B"/>
    <w:rsid w:val="00070987"/>
    <w:rsid w:val="00071A79"/>
    <w:rsid w:val="0007206A"/>
    <w:rsid w:val="00072416"/>
    <w:rsid w:val="0007316D"/>
    <w:rsid w:val="000737C9"/>
    <w:rsid w:val="00073E7B"/>
    <w:rsid w:val="000808E2"/>
    <w:rsid w:val="00081AF6"/>
    <w:rsid w:val="0008209E"/>
    <w:rsid w:val="000829A7"/>
    <w:rsid w:val="00086565"/>
    <w:rsid w:val="000870B0"/>
    <w:rsid w:val="000930D1"/>
    <w:rsid w:val="000931F7"/>
    <w:rsid w:val="00093D96"/>
    <w:rsid w:val="000962A9"/>
    <w:rsid w:val="00096D0E"/>
    <w:rsid w:val="000972F7"/>
    <w:rsid w:val="000972FF"/>
    <w:rsid w:val="000A00CB"/>
    <w:rsid w:val="000A142E"/>
    <w:rsid w:val="000A19E8"/>
    <w:rsid w:val="000A2D9D"/>
    <w:rsid w:val="000A3187"/>
    <w:rsid w:val="000B323C"/>
    <w:rsid w:val="000B35EC"/>
    <w:rsid w:val="000B4536"/>
    <w:rsid w:val="000B5297"/>
    <w:rsid w:val="000B7098"/>
    <w:rsid w:val="000C02F6"/>
    <w:rsid w:val="000C1CE4"/>
    <w:rsid w:val="000C2439"/>
    <w:rsid w:val="000C7049"/>
    <w:rsid w:val="000D0FD4"/>
    <w:rsid w:val="000D23AE"/>
    <w:rsid w:val="000D32C9"/>
    <w:rsid w:val="000D4342"/>
    <w:rsid w:val="000D5874"/>
    <w:rsid w:val="000D5AD9"/>
    <w:rsid w:val="000E1C32"/>
    <w:rsid w:val="000E520A"/>
    <w:rsid w:val="000E58A2"/>
    <w:rsid w:val="000E665F"/>
    <w:rsid w:val="000E6762"/>
    <w:rsid w:val="000E685A"/>
    <w:rsid w:val="000F18EC"/>
    <w:rsid w:val="000F2521"/>
    <w:rsid w:val="000F2D7E"/>
    <w:rsid w:val="000F3D8A"/>
    <w:rsid w:val="000F3F7B"/>
    <w:rsid w:val="000F527A"/>
    <w:rsid w:val="000F6240"/>
    <w:rsid w:val="000F6E5A"/>
    <w:rsid w:val="000F6E75"/>
    <w:rsid w:val="000F6F3D"/>
    <w:rsid w:val="0010189C"/>
    <w:rsid w:val="001028A2"/>
    <w:rsid w:val="00102EA5"/>
    <w:rsid w:val="001038AD"/>
    <w:rsid w:val="0010423A"/>
    <w:rsid w:val="00104EB7"/>
    <w:rsid w:val="001065FE"/>
    <w:rsid w:val="00106BEE"/>
    <w:rsid w:val="00107E77"/>
    <w:rsid w:val="001106C5"/>
    <w:rsid w:val="00112FFD"/>
    <w:rsid w:val="00113009"/>
    <w:rsid w:val="00113CE2"/>
    <w:rsid w:val="001142CB"/>
    <w:rsid w:val="0011551D"/>
    <w:rsid w:val="00115E34"/>
    <w:rsid w:val="00116623"/>
    <w:rsid w:val="001214F2"/>
    <w:rsid w:val="00122988"/>
    <w:rsid w:val="00123012"/>
    <w:rsid w:val="0012447D"/>
    <w:rsid w:val="001247FC"/>
    <w:rsid w:val="0012566B"/>
    <w:rsid w:val="00125CAB"/>
    <w:rsid w:val="00126D62"/>
    <w:rsid w:val="0012780D"/>
    <w:rsid w:val="001278DC"/>
    <w:rsid w:val="001302B8"/>
    <w:rsid w:val="00130C2B"/>
    <w:rsid w:val="00130FFE"/>
    <w:rsid w:val="00133353"/>
    <w:rsid w:val="00133388"/>
    <w:rsid w:val="0013465F"/>
    <w:rsid w:val="001357BF"/>
    <w:rsid w:val="00141335"/>
    <w:rsid w:val="0014148F"/>
    <w:rsid w:val="0014213B"/>
    <w:rsid w:val="0014239D"/>
    <w:rsid w:val="0014281C"/>
    <w:rsid w:val="001438FE"/>
    <w:rsid w:val="00144338"/>
    <w:rsid w:val="001458F2"/>
    <w:rsid w:val="00146C11"/>
    <w:rsid w:val="00147873"/>
    <w:rsid w:val="001479A6"/>
    <w:rsid w:val="00150608"/>
    <w:rsid w:val="0015060D"/>
    <w:rsid w:val="001516A8"/>
    <w:rsid w:val="00151EF3"/>
    <w:rsid w:val="00153DB4"/>
    <w:rsid w:val="00154627"/>
    <w:rsid w:val="0015786C"/>
    <w:rsid w:val="001605F4"/>
    <w:rsid w:val="0016140A"/>
    <w:rsid w:val="001625A8"/>
    <w:rsid w:val="00163217"/>
    <w:rsid w:val="00163AF3"/>
    <w:rsid w:val="00165413"/>
    <w:rsid w:val="00165C5B"/>
    <w:rsid w:val="00172542"/>
    <w:rsid w:val="00173E04"/>
    <w:rsid w:val="00177E3E"/>
    <w:rsid w:val="0018038B"/>
    <w:rsid w:val="00180E59"/>
    <w:rsid w:val="0018138F"/>
    <w:rsid w:val="001814AE"/>
    <w:rsid w:val="00181954"/>
    <w:rsid w:val="001822E3"/>
    <w:rsid w:val="001825A3"/>
    <w:rsid w:val="0018398C"/>
    <w:rsid w:val="00186581"/>
    <w:rsid w:val="001875CE"/>
    <w:rsid w:val="001908E7"/>
    <w:rsid w:val="00192011"/>
    <w:rsid w:val="001926F7"/>
    <w:rsid w:val="001934CE"/>
    <w:rsid w:val="00193A44"/>
    <w:rsid w:val="0019459A"/>
    <w:rsid w:val="00195D15"/>
    <w:rsid w:val="0019658B"/>
    <w:rsid w:val="001970E9"/>
    <w:rsid w:val="00197219"/>
    <w:rsid w:val="001A1D11"/>
    <w:rsid w:val="001A301B"/>
    <w:rsid w:val="001A5371"/>
    <w:rsid w:val="001A5C51"/>
    <w:rsid w:val="001A710A"/>
    <w:rsid w:val="001B11B4"/>
    <w:rsid w:val="001B24DD"/>
    <w:rsid w:val="001B2BCE"/>
    <w:rsid w:val="001B41F9"/>
    <w:rsid w:val="001B5B32"/>
    <w:rsid w:val="001B740F"/>
    <w:rsid w:val="001B765E"/>
    <w:rsid w:val="001B7A7E"/>
    <w:rsid w:val="001C1567"/>
    <w:rsid w:val="001C2EDB"/>
    <w:rsid w:val="001C41E1"/>
    <w:rsid w:val="001C623F"/>
    <w:rsid w:val="001C63D0"/>
    <w:rsid w:val="001D10AF"/>
    <w:rsid w:val="001D42CD"/>
    <w:rsid w:val="001D47FB"/>
    <w:rsid w:val="001D48C5"/>
    <w:rsid w:val="001D4A81"/>
    <w:rsid w:val="001D57C3"/>
    <w:rsid w:val="001D74CD"/>
    <w:rsid w:val="001D7B5B"/>
    <w:rsid w:val="001E18EE"/>
    <w:rsid w:val="001E2860"/>
    <w:rsid w:val="001E37F1"/>
    <w:rsid w:val="001E4000"/>
    <w:rsid w:val="001E4F84"/>
    <w:rsid w:val="001E71DB"/>
    <w:rsid w:val="001E78DA"/>
    <w:rsid w:val="001F0330"/>
    <w:rsid w:val="001F1F85"/>
    <w:rsid w:val="001F2829"/>
    <w:rsid w:val="001F38E2"/>
    <w:rsid w:val="001F3B34"/>
    <w:rsid w:val="001F3E49"/>
    <w:rsid w:val="001F4222"/>
    <w:rsid w:val="001F45F0"/>
    <w:rsid w:val="001F711D"/>
    <w:rsid w:val="001F71BB"/>
    <w:rsid w:val="001F793C"/>
    <w:rsid w:val="001F7AFF"/>
    <w:rsid w:val="00201392"/>
    <w:rsid w:val="00201E5A"/>
    <w:rsid w:val="002057A5"/>
    <w:rsid w:val="00206A7E"/>
    <w:rsid w:val="002114AD"/>
    <w:rsid w:val="00211631"/>
    <w:rsid w:val="00211659"/>
    <w:rsid w:val="002137D6"/>
    <w:rsid w:val="002148C0"/>
    <w:rsid w:val="00216373"/>
    <w:rsid w:val="00220B42"/>
    <w:rsid w:val="00222464"/>
    <w:rsid w:val="00224156"/>
    <w:rsid w:val="0022508B"/>
    <w:rsid w:val="00225A42"/>
    <w:rsid w:val="0023262C"/>
    <w:rsid w:val="00234524"/>
    <w:rsid w:val="002348E1"/>
    <w:rsid w:val="002357E9"/>
    <w:rsid w:val="00236D2F"/>
    <w:rsid w:val="002371E4"/>
    <w:rsid w:val="00237A28"/>
    <w:rsid w:val="00240220"/>
    <w:rsid w:val="00240C21"/>
    <w:rsid w:val="00243960"/>
    <w:rsid w:val="00244B05"/>
    <w:rsid w:val="00244B3B"/>
    <w:rsid w:val="00245461"/>
    <w:rsid w:val="002467F9"/>
    <w:rsid w:val="00250804"/>
    <w:rsid w:val="0025108B"/>
    <w:rsid w:val="00251DF1"/>
    <w:rsid w:val="00251EBB"/>
    <w:rsid w:val="0025259E"/>
    <w:rsid w:val="002529CE"/>
    <w:rsid w:val="00253299"/>
    <w:rsid w:val="002536ED"/>
    <w:rsid w:val="00253B7C"/>
    <w:rsid w:val="00253F61"/>
    <w:rsid w:val="00255127"/>
    <w:rsid w:val="002553E9"/>
    <w:rsid w:val="00255A05"/>
    <w:rsid w:val="00257BD3"/>
    <w:rsid w:val="00260037"/>
    <w:rsid w:val="00260116"/>
    <w:rsid w:val="002602B1"/>
    <w:rsid w:val="00260954"/>
    <w:rsid w:val="002610E6"/>
    <w:rsid w:val="00261187"/>
    <w:rsid w:val="00264535"/>
    <w:rsid w:val="00267D4E"/>
    <w:rsid w:val="002701A3"/>
    <w:rsid w:val="00270428"/>
    <w:rsid w:val="002707FC"/>
    <w:rsid w:val="0027090C"/>
    <w:rsid w:val="00271466"/>
    <w:rsid w:val="00272C28"/>
    <w:rsid w:val="0027343F"/>
    <w:rsid w:val="00274329"/>
    <w:rsid w:val="0027498B"/>
    <w:rsid w:val="00276ED3"/>
    <w:rsid w:val="002804AD"/>
    <w:rsid w:val="00281FD6"/>
    <w:rsid w:val="002820E9"/>
    <w:rsid w:val="00282B15"/>
    <w:rsid w:val="00282FFC"/>
    <w:rsid w:val="00283523"/>
    <w:rsid w:val="002837DE"/>
    <w:rsid w:val="00284E7B"/>
    <w:rsid w:val="002851F1"/>
    <w:rsid w:val="00291D7D"/>
    <w:rsid w:val="00292DB6"/>
    <w:rsid w:val="00293A84"/>
    <w:rsid w:val="00294093"/>
    <w:rsid w:val="002951E4"/>
    <w:rsid w:val="002959E1"/>
    <w:rsid w:val="00295D5C"/>
    <w:rsid w:val="002965A0"/>
    <w:rsid w:val="002A032B"/>
    <w:rsid w:val="002A0705"/>
    <w:rsid w:val="002A459E"/>
    <w:rsid w:val="002A4CD9"/>
    <w:rsid w:val="002A6947"/>
    <w:rsid w:val="002A7E0E"/>
    <w:rsid w:val="002B1539"/>
    <w:rsid w:val="002B172D"/>
    <w:rsid w:val="002B195A"/>
    <w:rsid w:val="002B432C"/>
    <w:rsid w:val="002B582B"/>
    <w:rsid w:val="002B657B"/>
    <w:rsid w:val="002B6803"/>
    <w:rsid w:val="002C0723"/>
    <w:rsid w:val="002C1B1D"/>
    <w:rsid w:val="002C2106"/>
    <w:rsid w:val="002C3474"/>
    <w:rsid w:val="002C4BEF"/>
    <w:rsid w:val="002C738F"/>
    <w:rsid w:val="002D0C86"/>
    <w:rsid w:val="002D2593"/>
    <w:rsid w:val="002D299C"/>
    <w:rsid w:val="002D2FF8"/>
    <w:rsid w:val="002D4AA2"/>
    <w:rsid w:val="002D5628"/>
    <w:rsid w:val="002D5F94"/>
    <w:rsid w:val="002D61BD"/>
    <w:rsid w:val="002D65D3"/>
    <w:rsid w:val="002D6DDC"/>
    <w:rsid w:val="002D724C"/>
    <w:rsid w:val="002E05B8"/>
    <w:rsid w:val="002E08A2"/>
    <w:rsid w:val="002E3DF9"/>
    <w:rsid w:val="002E53A8"/>
    <w:rsid w:val="002E5BA4"/>
    <w:rsid w:val="002E61A1"/>
    <w:rsid w:val="002E6E81"/>
    <w:rsid w:val="002E70EB"/>
    <w:rsid w:val="002F1046"/>
    <w:rsid w:val="002F1319"/>
    <w:rsid w:val="002F21D4"/>
    <w:rsid w:val="002F3723"/>
    <w:rsid w:val="002F49D1"/>
    <w:rsid w:val="002F5516"/>
    <w:rsid w:val="002F6AE8"/>
    <w:rsid w:val="00300D92"/>
    <w:rsid w:val="00302A7D"/>
    <w:rsid w:val="003043C4"/>
    <w:rsid w:val="003045E5"/>
    <w:rsid w:val="0030465B"/>
    <w:rsid w:val="0030672F"/>
    <w:rsid w:val="0030684E"/>
    <w:rsid w:val="0031025C"/>
    <w:rsid w:val="00310CD6"/>
    <w:rsid w:val="003111B6"/>
    <w:rsid w:val="00312BB0"/>
    <w:rsid w:val="00313A8D"/>
    <w:rsid w:val="00313BC4"/>
    <w:rsid w:val="003157DA"/>
    <w:rsid w:val="00316BFF"/>
    <w:rsid w:val="00317689"/>
    <w:rsid w:val="0032242F"/>
    <w:rsid w:val="00322C0C"/>
    <w:rsid w:val="00323DC3"/>
    <w:rsid w:val="003245D1"/>
    <w:rsid w:val="003245E7"/>
    <w:rsid w:val="00325543"/>
    <w:rsid w:val="003277B0"/>
    <w:rsid w:val="00333C82"/>
    <w:rsid w:val="00334181"/>
    <w:rsid w:val="003363A2"/>
    <w:rsid w:val="003365B1"/>
    <w:rsid w:val="00336DC7"/>
    <w:rsid w:val="00337353"/>
    <w:rsid w:val="00337811"/>
    <w:rsid w:val="00337CBF"/>
    <w:rsid w:val="00340635"/>
    <w:rsid w:val="00341017"/>
    <w:rsid w:val="003415D4"/>
    <w:rsid w:val="003427BA"/>
    <w:rsid w:val="0034377F"/>
    <w:rsid w:val="003438D4"/>
    <w:rsid w:val="00344260"/>
    <w:rsid w:val="00345E47"/>
    <w:rsid w:val="00346AF1"/>
    <w:rsid w:val="00347CE2"/>
    <w:rsid w:val="00350BF8"/>
    <w:rsid w:val="00351C23"/>
    <w:rsid w:val="003522A9"/>
    <w:rsid w:val="00352495"/>
    <w:rsid w:val="00352DBA"/>
    <w:rsid w:val="003547ED"/>
    <w:rsid w:val="00360641"/>
    <w:rsid w:val="00361227"/>
    <w:rsid w:val="003617D0"/>
    <w:rsid w:val="00365D96"/>
    <w:rsid w:val="0036707E"/>
    <w:rsid w:val="00367929"/>
    <w:rsid w:val="00370085"/>
    <w:rsid w:val="003745C8"/>
    <w:rsid w:val="0037565E"/>
    <w:rsid w:val="00375E8A"/>
    <w:rsid w:val="00377D07"/>
    <w:rsid w:val="0038056D"/>
    <w:rsid w:val="00381326"/>
    <w:rsid w:val="003879A0"/>
    <w:rsid w:val="00391618"/>
    <w:rsid w:val="0039183A"/>
    <w:rsid w:val="00393072"/>
    <w:rsid w:val="00393220"/>
    <w:rsid w:val="00394E3D"/>
    <w:rsid w:val="00395563"/>
    <w:rsid w:val="0039657D"/>
    <w:rsid w:val="00396C35"/>
    <w:rsid w:val="00397DA6"/>
    <w:rsid w:val="003A0901"/>
    <w:rsid w:val="003A0ABF"/>
    <w:rsid w:val="003A202C"/>
    <w:rsid w:val="003A30A2"/>
    <w:rsid w:val="003A5E06"/>
    <w:rsid w:val="003A686D"/>
    <w:rsid w:val="003B08D7"/>
    <w:rsid w:val="003B1383"/>
    <w:rsid w:val="003B28FC"/>
    <w:rsid w:val="003B2CBF"/>
    <w:rsid w:val="003B46D9"/>
    <w:rsid w:val="003B4E62"/>
    <w:rsid w:val="003B6825"/>
    <w:rsid w:val="003B6DB3"/>
    <w:rsid w:val="003B6FCE"/>
    <w:rsid w:val="003B7ED5"/>
    <w:rsid w:val="003C122D"/>
    <w:rsid w:val="003C1776"/>
    <w:rsid w:val="003C18B4"/>
    <w:rsid w:val="003C2CD6"/>
    <w:rsid w:val="003C36A6"/>
    <w:rsid w:val="003C50D6"/>
    <w:rsid w:val="003C611A"/>
    <w:rsid w:val="003C68FD"/>
    <w:rsid w:val="003D0349"/>
    <w:rsid w:val="003D0557"/>
    <w:rsid w:val="003D15B0"/>
    <w:rsid w:val="003D2114"/>
    <w:rsid w:val="003D4B44"/>
    <w:rsid w:val="003D4C93"/>
    <w:rsid w:val="003D4F5A"/>
    <w:rsid w:val="003D5E84"/>
    <w:rsid w:val="003D7FC7"/>
    <w:rsid w:val="003E418D"/>
    <w:rsid w:val="003E4543"/>
    <w:rsid w:val="003E7EBF"/>
    <w:rsid w:val="003F0987"/>
    <w:rsid w:val="003F2223"/>
    <w:rsid w:val="003F41E5"/>
    <w:rsid w:val="003F470E"/>
    <w:rsid w:val="003F639B"/>
    <w:rsid w:val="00400309"/>
    <w:rsid w:val="00401176"/>
    <w:rsid w:val="004011E5"/>
    <w:rsid w:val="00401465"/>
    <w:rsid w:val="00401B13"/>
    <w:rsid w:val="004038AD"/>
    <w:rsid w:val="00404042"/>
    <w:rsid w:val="00404293"/>
    <w:rsid w:val="0040490D"/>
    <w:rsid w:val="00404EB2"/>
    <w:rsid w:val="004066B4"/>
    <w:rsid w:val="0041009F"/>
    <w:rsid w:val="00411FDE"/>
    <w:rsid w:val="0041282E"/>
    <w:rsid w:val="004128D9"/>
    <w:rsid w:val="00415688"/>
    <w:rsid w:val="004160A5"/>
    <w:rsid w:val="00416705"/>
    <w:rsid w:val="00416E65"/>
    <w:rsid w:val="004200AD"/>
    <w:rsid w:val="00421880"/>
    <w:rsid w:val="00421F9C"/>
    <w:rsid w:val="00422276"/>
    <w:rsid w:val="00422ABD"/>
    <w:rsid w:val="0042343E"/>
    <w:rsid w:val="0042603C"/>
    <w:rsid w:val="00426EAC"/>
    <w:rsid w:val="00431653"/>
    <w:rsid w:val="00431AED"/>
    <w:rsid w:val="00433A77"/>
    <w:rsid w:val="00433ABA"/>
    <w:rsid w:val="00434D62"/>
    <w:rsid w:val="004374AA"/>
    <w:rsid w:val="00437A02"/>
    <w:rsid w:val="004402EC"/>
    <w:rsid w:val="00442165"/>
    <w:rsid w:val="00444D84"/>
    <w:rsid w:val="0044551F"/>
    <w:rsid w:val="00445AF0"/>
    <w:rsid w:val="004517D9"/>
    <w:rsid w:val="00451EFF"/>
    <w:rsid w:val="004522DE"/>
    <w:rsid w:val="00452D62"/>
    <w:rsid w:val="004554CF"/>
    <w:rsid w:val="0045589D"/>
    <w:rsid w:val="00455D2E"/>
    <w:rsid w:val="00457103"/>
    <w:rsid w:val="0045712E"/>
    <w:rsid w:val="0045797D"/>
    <w:rsid w:val="00460058"/>
    <w:rsid w:val="00461120"/>
    <w:rsid w:val="004625E2"/>
    <w:rsid w:val="00463284"/>
    <w:rsid w:val="004655D1"/>
    <w:rsid w:val="00465873"/>
    <w:rsid w:val="00466503"/>
    <w:rsid w:val="00466A9F"/>
    <w:rsid w:val="00470226"/>
    <w:rsid w:val="004709E7"/>
    <w:rsid w:val="00473853"/>
    <w:rsid w:val="004740AB"/>
    <w:rsid w:val="00475432"/>
    <w:rsid w:val="004755B0"/>
    <w:rsid w:val="00476EA2"/>
    <w:rsid w:val="00477DD8"/>
    <w:rsid w:val="004814E6"/>
    <w:rsid w:val="00481952"/>
    <w:rsid w:val="00481BA1"/>
    <w:rsid w:val="004832BC"/>
    <w:rsid w:val="00483504"/>
    <w:rsid w:val="0048428D"/>
    <w:rsid w:val="004846FA"/>
    <w:rsid w:val="00485976"/>
    <w:rsid w:val="00490B6C"/>
    <w:rsid w:val="00491497"/>
    <w:rsid w:val="004919F3"/>
    <w:rsid w:val="00492B3E"/>
    <w:rsid w:val="004941B9"/>
    <w:rsid w:val="00494914"/>
    <w:rsid w:val="004973C9"/>
    <w:rsid w:val="004A0107"/>
    <w:rsid w:val="004A10C6"/>
    <w:rsid w:val="004A1DBF"/>
    <w:rsid w:val="004A341A"/>
    <w:rsid w:val="004A356D"/>
    <w:rsid w:val="004A3911"/>
    <w:rsid w:val="004A4BD5"/>
    <w:rsid w:val="004A6ACA"/>
    <w:rsid w:val="004A70E6"/>
    <w:rsid w:val="004A7B94"/>
    <w:rsid w:val="004B0497"/>
    <w:rsid w:val="004B0F85"/>
    <w:rsid w:val="004B4C01"/>
    <w:rsid w:val="004B593E"/>
    <w:rsid w:val="004B7128"/>
    <w:rsid w:val="004C03B3"/>
    <w:rsid w:val="004C041D"/>
    <w:rsid w:val="004C1E3E"/>
    <w:rsid w:val="004C3EE6"/>
    <w:rsid w:val="004C4404"/>
    <w:rsid w:val="004C44F5"/>
    <w:rsid w:val="004C4CD5"/>
    <w:rsid w:val="004C6802"/>
    <w:rsid w:val="004C7AC0"/>
    <w:rsid w:val="004D24B2"/>
    <w:rsid w:val="004D3C47"/>
    <w:rsid w:val="004D48AA"/>
    <w:rsid w:val="004D4F41"/>
    <w:rsid w:val="004D51B0"/>
    <w:rsid w:val="004D62B8"/>
    <w:rsid w:val="004D6D4C"/>
    <w:rsid w:val="004D6D97"/>
    <w:rsid w:val="004D7CB5"/>
    <w:rsid w:val="004E0206"/>
    <w:rsid w:val="004E02EC"/>
    <w:rsid w:val="004E15A9"/>
    <w:rsid w:val="004E2ECC"/>
    <w:rsid w:val="004E3A69"/>
    <w:rsid w:val="004E77B1"/>
    <w:rsid w:val="004F00E3"/>
    <w:rsid w:val="004F1514"/>
    <w:rsid w:val="004F2398"/>
    <w:rsid w:val="004F2B8C"/>
    <w:rsid w:val="004F34C7"/>
    <w:rsid w:val="004F40B5"/>
    <w:rsid w:val="004F4392"/>
    <w:rsid w:val="004F4DEE"/>
    <w:rsid w:val="004F4E23"/>
    <w:rsid w:val="004F5B6A"/>
    <w:rsid w:val="00500D7F"/>
    <w:rsid w:val="00501454"/>
    <w:rsid w:val="0050285B"/>
    <w:rsid w:val="005036CD"/>
    <w:rsid w:val="00503DA5"/>
    <w:rsid w:val="0050544E"/>
    <w:rsid w:val="0051081C"/>
    <w:rsid w:val="005123CF"/>
    <w:rsid w:val="005133F7"/>
    <w:rsid w:val="0051352B"/>
    <w:rsid w:val="00513EA8"/>
    <w:rsid w:val="00513F38"/>
    <w:rsid w:val="00515E26"/>
    <w:rsid w:val="00517B00"/>
    <w:rsid w:val="0052145A"/>
    <w:rsid w:val="0052440D"/>
    <w:rsid w:val="005256C9"/>
    <w:rsid w:val="005258B0"/>
    <w:rsid w:val="005303F2"/>
    <w:rsid w:val="00531586"/>
    <w:rsid w:val="00531EE8"/>
    <w:rsid w:val="00533689"/>
    <w:rsid w:val="00533768"/>
    <w:rsid w:val="005342A8"/>
    <w:rsid w:val="00543C24"/>
    <w:rsid w:val="00544B32"/>
    <w:rsid w:val="00544E5B"/>
    <w:rsid w:val="005461C2"/>
    <w:rsid w:val="00546B99"/>
    <w:rsid w:val="00546DCB"/>
    <w:rsid w:val="00551F51"/>
    <w:rsid w:val="00552BC9"/>
    <w:rsid w:val="00557E3C"/>
    <w:rsid w:val="00560536"/>
    <w:rsid w:val="005616A4"/>
    <w:rsid w:val="00563302"/>
    <w:rsid w:val="00563C50"/>
    <w:rsid w:val="0056563A"/>
    <w:rsid w:val="00566E55"/>
    <w:rsid w:val="00570FE7"/>
    <w:rsid w:val="005711D7"/>
    <w:rsid w:val="00572523"/>
    <w:rsid w:val="00572704"/>
    <w:rsid w:val="005747C6"/>
    <w:rsid w:val="005800D8"/>
    <w:rsid w:val="0058019B"/>
    <w:rsid w:val="00580619"/>
    <w:rsid w:val="005806E5"/>
    <w:rsid w:val="00580BA5"/>
    <w:rsid w:val="0058164F"/>
    <w:rsid w:val="0058193F"/>
    <w:rsid w:val="005846C5"/>
    <w:rsid w:val="00586644"/>
    <w:rsid w:val="00586D68"/>
    <w:rsid w:val="00592174"/>
    <w:rsid w:val="00593227"/>
    <w:rsid w:val="00593D46"/>
    <w:rsid w:val="00593DC5"/>
    <w:rsid w:val="005A1496"/>
    <w:rsid w:val="005A18E3"/>
    <w:rsid w:val="005A21C4"/>
    <w:rsid w:val="005A245D"/>
    <w:rsid w:val="005A259D"/>
    <w:rsid w:val="005A39A4"/>
    <w:rsid w:val="005A479F"/>
    <w:rsid w:val="005A5AD0"/>
    <w:rsid w:val="005A68DF"/>
    <w:rsid w:val="005B05FE"/>
    <w:rsid w:val="005B33DC"/>
    <w:rsid w:val="005B34F1"/>
    <w:rsid w:val="005B4274"/>
    <w:rsid w:val="005B4A4F"/>
    <w:rsid w:val="005B5A7E"/>
    <w:rsid w:val="005B5AFB"/>
    <w:rsid w:val="005B60AE"/>
    <w:rsid w:val="005B6AD6"/>
    <w:rsid w:val="005B703F"/>
    <w:rsid w:val="005B779D"/>
    <w:rsid w:val="005B7901"/>
    <w:rsid w:val="005C318D"/>
    <w:rsid w:val="005C354A"/>
    <w:rsid w:val="005C461D"/>
    <w:rsid w:val="005C4C9A"/>
    <w:rsid w:val="005C503E"/>
    <w:rsid w:val="005C5CE8"/>
    <w:rsid w:val="005C79F9"/>
    <w:rsid w:val="005D16FE"/>
    <w:rsid w:val="005D3B0D"/>
    <w:rsid w:val="005D5293"/>
    <w:rsid w:val="005D7222"/>
    <w:rsid w:val="005D7581"/>
    <w:rsid w:val="005D7C5D"/>
    <w:rsid w:val="005E03D8"/>
    <w:rsid w:val="005E180A"/>
    <w:rsid w:val="005E1EE9"/>
    <w:rsid w:val="005E20C2"/>
    <w:rsid w:val="005E25C3"/>
    <w:rsid w:val="005E2DF3"/>
    <w:rsid w:val="005E43EB"/>
    <w:rsid w:val="005E47F9"/>
    <w:rsid w:val="005E4FC3"/>
    <w:rsid w:val="005E588D"/>
    <w:rsid w:val="005E6991"/>
    <w:rsid w:val="005E7C11"/>
    <w:rsid w:val="005F0FDF"/>
    <w:rsid w:val="005F1415"/>
    <w:rsid w:val="005F34D6"/>
    <w:rsid w:val="005F3D1D"/>
    <w:rsid w:val="005F49B4"/>
    <w:rsid w:val="005F55C1"/>
    <w:rsid w:val="005F6A4E"/>
    <w:rsid w:val="00602969"/>
    <w:rsid w:val="00602C4F"/>
    <w:rsid w:val="00602D7A"/>
    <w:rsid w:val="00605FB6"/>
    <w:rsid w:val="006065FB"/>
    <w:rsid w:val="0060785C"/>
    <w:rsid w:val="00607911"/>
    <w:rsid w:val="00612FAD"/>
    <w:rsid w:val="0061420F"/>
    <w:rsid w:val="0061489C"/>
    <w:rsid w:val="00614B40"/>
    <w:rsid w:val="0061534E"/>
    <w:rsid w:val="00615EFB"/>
    <w:rsid w:val="006168E9"/>
    <w:rsid w:val="00620F99"/>
    <w:rsid w:val="00620FCE"/>
    <w:rsid w:val="00622422"/>
    <w:rsid w:val="0062271E"/>
    <w:rsid w:val="00623C12"/>
    <w:rsid w:val="0062757D"/>
    <w:rsid w:val="006307ED"/>
    <w:rsid w:val="00630D7C"/>
    <w:rsid w:val="00633F06"/>
    <w:rsid w:val="0063428E"/>
    <w:rsid w:val="0063470F"/>
    <w:rsid w:val="0063592D"/>
    <w:rsid w:val="00636979"/>
    <w:rsid w:val="00640B85"/>
    <w:rsid w:val="00641D05"/>
    <w:rsid w:val="0064235E"/>
    <w:rsid w:val="0064330F"/>
    <w:rsid w:val="00643343"/>
    <w:rsid w:val="00643D39"/>
    <w:rsid w:val="00643E51"/>
    <w:rsid w:val="00644085"/>
    <w:rsid w:val="0064470D"/>
    <w:rsid w:val="00646215"/>
    <w:rsid w:val="0064653C"/>
    <w:rsid w:val="00646BF0"/>
    <w:rsid w:val="00646FEC"/>
    <w:rsid w:val="00647F63"/>
    <w:rsid w:val="006511A5"/>
    <w:rsid w:val="00651FF7"/>
    <w:rsid w:val="00656193"/>
    <w:rsid w:val="00656BD6"/>
    <w:rsid w:val="00657537"/>
    <w:rsid w:val="00657E51"/>
    <w:rsid w:val="00661AB0"/>
    <w:rsid w:val="00662005"/>
    <w:rsid w:val="006630F6"/>
    <w:rsid w:val="0066360E"/>
    <w:rsid w:val="00663CEC"/>
    <w:rsid w:val="006645C3"/>
    <w:rsid w:val="006668C2"/>
    <w:rsid w:val="006678BE"/>
    <w:rsid w:val="006709FD"/>
    <w:rsid w:val="00671C16"/>
    <w:rsid w:val="00672812"/>
    <w:rsid w:val="00675184"/>
    <w:rsid w:val="0068084E"/>
    <w:rsid w:val="00680E59"/>
    <w:rsid w:val="006822A6"/>
    <w:rsid w:val="00682A18"/>
    <w:rsid w:val="00683F79"/>
    <w:rsid w:val="006867C9"/>
    <w:rsid w:val="00687326"/>
    <w:rsid w:val="0069055F"/>
    <w:rsid w:val="00690D6F"/>
    <w:rsid w:val="00692A7D"/>
    <w:rsid w:val="00693793"/>
    <w:rsid w:val="006939A4"/>
    <w:rsid w:val="00694887"/>
    <w:rsid w:val="00695220"/>
    <w:rsid w:val="006960BD"/>
    <w:rsid w:val="006960D7"/>
    <w:rsid w:val="006969A1"/>
    <w:rsid w:val="0069710D"/>
    <w:rsid w:val="006A0966"/>
    <w:rsid w:val="006A29C8"/>
    <w:rsid w:val="006A32F8"/>
    <w:rsid w:val="006A3361"/>
    <w:rsid w:val="006A33E6"/>
    <w:rsid w:val="006A400D"/>
    <w:rsid w:val="006A518C"/>
    <w:rsid w:val="006A61FE"/>
    <w:rsid w:val="006A6A83"/>
    <w:rsid w:val="006A7DB7"/>
    <w:rsid w:val="006B0C33"/>
    <w:rsid w:val="006B0D1F"/>
    <w:rsid w:val="006B2125"/>
    <w:rsid w:val="006B286B"/>
    <w:rsid w:val="006B2937"/>
    <w:rsid w:val="006B479A"/>
    <w:rsid w:val="006B47C4"/>
    <w:rsid w:val="006B65CA"/>
    <w:rsid w:val="006C039D"/>
    <w:rsid w:val="006C12EA"/>
    <w:rsid w:val="006C2109"/>
    <w:rsid w:val="006C52B9"/>
    <w:rsid w:val="006C71FF"/>
    <w:rsid w:val="006C7256"/>
    <w:rsid w:val="006E1099"/>
    <w:rsid w:val="006E2934"/>
    <w:rsid w:val="006E2996"/>
    <w:rsid w:val="006E30E6"/>
    <w:rsid w:val="006E40E9"/>
    <w:rsid w:val="006E7E3B"/>
    <w:rsid w:val="006E7E64"/>
    <w:rsid w:val="006F0627"/>
    <w:rsid w:val="006F0B41"/>
    <w:rsid w:val="006F359A"/>
    <w:rsid w:val="006F364D"/>
    <w:rsid w:val="006F4F8B"/>
    <w:rsid w:val="006F5D93"/>
    <w:rsid w:val="006F68DC"/>
    <w:rsid w:val="00700164"/>
    <w:rsid w:val="0070164A"/>
    <w:rsid w:val="00705915"/>
    <w:rsid w:val="007061A7"/>
    <w:rsid w:val="0071052F"/>
    <w:rsid w:val="007129A5"/>
    <w:rsid w:val="00713114"/>
    <w:rsid w:val="007135FC"/>
    <w:rsid w:val="00713BAA"/>
    <w:rsid w:val="00714E8A"/>
    <w:rsid w:val="0071736D"/>
    <w:rsid w:val="00723782"/>
    <w:rsid w:val="007238E0"/>
    <w:rsid w:val="00723A8C"/>
    <w:rsid w:val="00723E66"/>
    <w:rsid w:val="00725B42"/>
    <w:rsid w:val="00725D93"/>
    <w:rsid w:val="00732B7A"/>
    <w:rsid w:val="00733724"/>
    <w:rsid w:val="0073596A"/>
    <w:rsid w:val="00740155"/>
    <w:rsid w:val="007402D5"/>
    <w:rsid w:val="00740BD6"/>
    <w:rsid w:val="007440D0"/>
    <w:rsid w:val="007450C1"/>
    <w:rsid w:val="007461B3"/>
    <w:rsid w:val="007467B5"/>
    <w:rsid w:val="007517EF"/>
    <w:rsid w:val="00751B25"/>
    <w:rsid w:val="007524D9"/>
    <w:rsid w:val="0076034C"/>
    <w:rsid w:val="007603DD"/>
    <w:rsid w:val="00761D93"/>
    <w:rsid w:val="0076232F"/>
    <w:rsid w:val="00763401"/>
    <w:rsid w:val="007651BF"/>
    <w:rsid w:val="00765339"/>
    <w:rsid w:val="00765652"/>
    <w:rsid w:val="007714E3"/>
    <w:rsid w:val="00773C95"/>
    <w:rsid w:val="007758AC"/>
    <w:rsid w:val="0077630C"/>
    <w:rsid w:val="00776CAE"/>
    <w:rsid w:val="00780B22"/>
    <w:rsid w:val="00781550"/>
    <w:rsid w:val="00782352"/>
    <w:rsid w:val="00782F3D"/>
    <w:rsid w:val="00784D01"/>
    <w:rsid w:val="00785AAB"/>
    <w:rsid w:val="007865F2"/>
    <w:rsid w:val="00787385"/>
    <w:rsid w:val="00787DEC"/>
    <w:rsid w:val="00791898"/>
    <w:rsid w:val="0079263F"/>
    <w:rsid w:val="00793486"/>
    <w:rsid w:val="00795FE6"/>
    <w:rsid w:val="0079717D"/>
    <w:rsid w:val="00797739"/>
    <w:rsid w:val="007A029E"/>
    <w:rsid w:val="007A02E0"/>
    <w:rsid w:val="007A0E51"/>
    <w:rsid w:val="007A42CF"/>
    <w:rsid w:val="007A5243"/>
    <w:rsid w:val="007A5A1B"/>
    <w:rsid w:val="007A5AF7"/>
    <w:rsid w:val="007A6579"/>
    <w:rsid w:val="007A6853"/>
    <w:rsid w:val="007A6B38"/>
    <w:rsid w:val="007B0BCC"/>
    <w:rsid w:val="007B1ABA"/>
    <w:rsid w:val="007B3B81"/>
    <w:rsid w:val="007B4444"/>
    <w:rsid w:val="007B54D4"/>
    <w:rsid w:val="007B646D"/>
    <w:rsid w:val="007B70AD"/>
    <w:rsid w:val="007C0F4F"/>
    <w:rsid w:val="007C11E6"/>
    <w:rsid w:val="007C237E"/>
    <w:rsid w:val="007C346A"/>
    <w:rsid w:val="007C591E"/>
    <w:rsid w:val="007C5F46"/>
    <w:rsid w:val="007C7634"/>
    <w:rsid w:val="007D0877"/>
    <w:rsid w:val="007D2CDB"/>
    <w:rsid w:val="007D340E"/>
    <w:rsid w:val="007D6C5F"/>
    <w:rsid w:val="007D6D7A"/>
    <w:rsid w:val="007D786C"/>
    <w:rsid w:val="007E3F1A"/>
    <w:rsid w:val="007E4445"/>
    <w:rsid w:val="007E44D2"/>
    <w:rsid w:val="007E4BF1"/>
    <w:rsid w:val="007E5D25"/>
    <w:rsid w:val="007E737F"/>
    <w:rsid w:val="007E73A4"/>
    <w:rsid w:val="007E73D0"/>
    <w:rsid w:val="007F0288"/>
    <w:rsid w:val="007F049C"/>
    <w:rsid w:val="007F133F"/>
    <w:rsid w:val="007F4FDC"/>
    <w:rsid w:val="007F5A7E"/>
    <w:rsid w:val="007F6334"/>
    <w:rsid w:val="007F6A81"/>
    <w:rsid w:val="007F6D75"/>
    <w:rsid w:val="007F6EC7"/>
    <w:rsid w:val="00800715"/>
    <w:rsid w:val="00800C9F"/>
    <w:rsid w:val="00800D31"/>
    <w:rsid w:val="00801B4A"/>
    <w:rsid w:val="00802F55"/>
    <w:rsid w:val="00804DD4"/>
    <w:rsid w:val="00805E4B"/>
    <w:rsid w:val="008069DA"/>
    <w:rsid w:val="008069ED"/>
    <w:rsid w:val="00806AF4"/>
    <w:rsid w:val="00810AB7"/>
    <w:rsid w:val="00810E1C"/>
    <w:rsid w:val="008131F8"/>
    <w:rsid w:val="00814352"/>
    <w:rsid w:val="00815854"/>
    <w:rsid w:val="00815B0F"/>
    <w:rsid w:val="00815DBF"/>
    <w:rsid w:val="00816055"/>
    <w:rsid w:val="00820440"/>
    <w:rsid w:val="008208CA"/>
    <w:rsid w:val="0082142A"/>
    <w:rsid w:val="00821558"/>
    <w:rsid w:val="00824200"/>
    <w:rsid w:val="00825232"/>
    <w:rsid w:val="008262BB"/>
    <w:rsid w:val="00826541"/>
    <w:rsid w:val="00830BC2"/>
    <w:rsid w:val="008319D1"/>
    <w:rsid w:val="008323C2"/>
    <w:rsid w:val="00832BD4"/>
    <w:rsid w:val="00833666"/>
    <w:rsid w:val="0084023F"/>
    <w:rsid w:val="008407C2"/>
    <w:rsid w:val="008419F1"/>
    <w:rsid w:val="00843168"/>
    <w:rsid w:val="00844399"/>
    <w:rsid w:val="0085031E"/>
    <w:rsid w:val="008516D8"/>
    <w:rsid w:val="0085191D"/>
    <w:rsid w:val="00852998"/>
    <w:rsid w:val="00853C8F"/>
    <w:rsid w:val="0085456C"/>
    <w:rsid w:val="00863D7D"/>
    <w:rsid w:val="00864A06"/>
    <w:rsid w:val="00866BC1"/>
    <w:rsid w:val="008677DE"/>
    <w:rsid w:val="00867D4E"/>
    <w:rsid w:val="00867DF4"/>
    <w:rsid w:val="00870104"/>
    <w:rsid w:val="008705B0"/>
    <w:rsid w:val="00870F67"/>
    <w:rsid w:val="00871B84"/>
    <w:rsid w:val="008720F5"/>
    <w:rsid w:val="00875B28"/>
    <w:rsid w:val="0087620B"/>
    <w:rsid w:val="008769E9"/>
    <w:rsid w:val="008777E5"/>
    <w:rsid w:val="00882CC3"/>
    <w:rsid w:val="00887423"/>
    <w:rsid w:val="0088768F"/>
    <w:rsid w:val="00890257"/>
    <w:rsid w:val="008907C1"/>
    <w:rsid w:val="00890DE6"/>
    <w:rsid w:val="00891046"/>
    <w:rsid w:val="00891E32"/>
    <w:rsid w:val="00894592"/>
    <w:rsid w:val="00895918"/>
    <w:rsid w:val="00896DDD"/>
    <w:rsid w:val="008977E7"/>
    <w:rsid w:val="00897891"/>
    <w:rsid w:val="00898D7C"/>
    <w:rsid w:val="008A0EBB"/>
    <w:rsid w:val="008A0FD8"/>
    <w:rsid w:val="008A15B0"/>
    <w:rsid w:val="008A2BB6"/>
    <w:rsid w:val="008A5570"/>
    <w:rsid w:val="008A5A86"/>
    <w:rsid w:val="008A6415"/>
    <w:rsid w:val="008A6464"/>
    <w:rsid w:val="008A6E82"/>
    <w:rsid w:val="008B002F"/>
    <w:rsid w:val="008B06D7"/>
    <w:rsid w:val="008B1610"/>
    <w:rsid w:val="008B1AAC"/>
    <w:rsid w:val="008B4CB1"/>
    <w:rsid w:val="008B54D1"/>
    <w:rsid w:val="008B5F65"/>
    <w:rsid w:val="008B6550"/>
    <w:rsid w:val="008B66D5"/>
    <w:rsid w:val="008B75FA"/>
    <w:rsid w:val="008C0203"/>
    <w:rsid w:val="008C03C4"/>
    <w:rsid w:val="008C47CC"/>
    <w:rsid w:val="008C5B86"/>
    <w:rsid w:val="008C63EC"/>
    <w:rsid w:val="008C6D4F"/>
    <w:rsid w:val="008D05E8"/>
    <w:rsid w:val="008D1151"/>
    <w:rsid w:val="008D3540"/>
    <w:rsid w:val="008D361E"/>
    <w:rsid w:val="008D4A1E"/>
    <w:rsid w:val="008D6352"/>
    <w:rsid w:val="008D6CE3"/>
    <w:rsid w:val="008E0801"/>
    <w:rsid w:val="008E26C1"/>
    <w:rsid w:val="008E26F9"/>
    <w:rsid w:val="008E2768"/>
    <w:rsid w:val="008E2E5A"/>
    <w:rsid w:val="008E3161"/>
    <w:rsid w:val="008E5BB5"/>
    <w:rsid w:val="008F0B99"/>
    <w:rsid w:val="008F2AC9"/>
    <w:rsid w:val="008F2FE0"/>
    <w:rsid w:val="008F323B"/>
    <w:rsid w:val="008F3A2B"/>
    <w:rsid w:val="008F7C1E"/>
    <w:rsid w:val="00900EDF"/>
    <w:rsid w:val="00901D1C"/>
    <w:rsid w:val="00904686"/>
    <w:rsid w:val="009073AC"/>
    <w:rsid w:val="0091108C"/>
    <w:rsid w:val="00911E06"/>
    <w:rsid w:val="00913923"/>
    <w:rsid w:val="009144E8"/>
    <w:rsid w:val="009149C2"/>
    <w:rsid w:val="00914B0B"/>
    <w:rsid w:val="00914CD4"/>
    <w:rsid w:val="009154C4"/>
    <w:rsid w:val="0091758E"/>
    <w:rsid w:val="0092113E"/>
    <w:rsid w:val="0092190F"/>
    <w:rsid w:val="00923A5C"/>
    <w:rsid w:val="0092415C"/>
    <w:rsid w:val="0092496A"/>
    <w:rsid w:val="00924F18"/>
    <w:rsid w:val="009264D3"/>
    <w:rsid w:val="0093175F"/>
    <w:rsid w:val="00933E97"/>
    <w:rsid w:val="0093411D"/>
    <w:rsid w:val="009342B3"/>
    <w:rsid w:val="009344BA"/>
    <w:rsid w:val="0093575A"/>
    <w:rsid w:val="0093758F"/>
    <w:rsid w:val="00937B3D"/>
    <w:rsid w:val="0094181D"/>
    <w:rsid w:val="009423ED"/>
    <w:rsid w:val="00942CA6"/>
    <w:rsid w:val="009437FE"/>
    <w:rsid w:val="00946A44"/>
    <w:rsid w:val="00947659"/>
    <w:rsid w:val="009476C4"/>
    <w:rsid w:val="00950884"/>
    <w:rsid w:val="00950CF0"/>
    <w:rsid w:val="009516B5"/>
    <w:rsid w:val="00952C50"/>
    <w:rsid w:val="00953467"/>
    <w:rsid w:val="009538CE"/>
    <w:rsid w:val="00953D97"/>
    <w:rsid w:val="00953DFE"/>
    <w:rsid w:val="009542B0"/>
    <w:rsid w:val="0095564E"/>
    <w:rsid w:val="009567D7"/>
    <w:rsid w:val="00956ECE"/>
    <w:rsid w:val="0095714D"/>
    <w:rsid w:val="00960570"/>
    <w:rsid w:val="00960DF6"/>
    <w:rsid w:val="00961BBD"/>
    <w:rsid w:val="00964A1F"/>
    <w:rsid w:val="0096515A"/>
    <w:rsid w:val="00965310"/>
    <w:rsid w:val="0096576A"/>
    <w:rsid w:val="00966087"/>
    <w:rsid w:val="009712CC"/>
    <w:rsid w:val="00973684"/>
    <w:rsid w:val="0097435F"/>
    <w:rsid w:val="0097559B"/>
    <w:rsid w:val="00975701"/>
    <w:rsid w:val="00975DE6"/>
    <w:rsid w:val="00976F4E"/>
    <w:rsid w:val="00977C56"/>
    <w:rsid w:val="009808D9"/>
    <w:rsid w:val="00980F0D"/>
    <w:rsid w:val="00982BE2"/>
    <w:rsid w:val="00984A3E"/>
    <w:rsid w:val="00985FB4"/>
    <w:rsid w:val="00991636"/>
    <w:rsid w:val="009923A2"/>
    <w:rsid w:val="00992FF3"/>
    <w:rsid w:val="00993B23"/>
    <w:rsid w:val="00995915"/>
    <w:rsid w:val="00996EFA"/>
    <w:rsid w:val="0099717B"/>
    <w:rsid w:val="0099720E"/>
    <w:rsid w:val="00997761"/>
    <w:rsid w:val="00997FD4"/>
    <w:rsid w:val="009A1C91"/>
    <w:rsid w:val="009A2A19"/>
    <w:rsid w:val="009A33C2"/>
    <w:rsid w:val="009A3AAD"/>
    <w:rsid w:val="009A4763"/>
    <w:rsid w:val="009A48DB"/>
    <w:rsid w:val="009A5596"/>
    <w:rsid w:val="009A5B34"/>
    <w:rsid w:val="009A63DD"/>
    <w:rsid w:val="009A77CB"/>
    <w:rsid w:val="009B0CF3"/>
    <w:rsid w:val="009B1779"/>
    <w:rsid w:val="009B1EF3"/>
    <w:rsid w:val="009B25C3"/>
    <w:rsid w:val="009B27AE"/>
    <w:rsid w:val="009B3657"/>
    <w:rsid w:val="009B532F"/>
    <w:rsid w:val="009B56C5"/>
    <w:rsid w:val="009B5963"/>
    <w:rsid w:val="009B6F74"/>
    <w:rsid w:val="009B6FB4"/>
    <w:rsid w:val="009C05EF"/>
    <w:rsid w:val="009C0CB5"/>
    <w:rsid w:val="009C1143"/>
    <w:rsid w:val="009C14FD"/>
    <w:rsid w:val="009C41AC"/>
    <w:rsid w:val="009C4C46"/>
    <w:rsid w:val="009C4CE6"/>
    <w:rsid w:val="009C5883"/>
    <w:rsid w:val="009C6E4B"/>
    <w:rsid w:val="009D0776"/>
    <w:rsid w:val="009D1945"/>
    <w:rsid w:val="009D3807"/>
    <w:rsid w:val="009D5ADF"/>
    <w:rsid w:val="009D6E51"/>
    <w:rsid w:val="009D7897"/>
    <w:rsid w:val="009E1D4F"/>
    <w:rsid w:val="009E358A"/>
    <w:rsid w:val="009E3FAF"/>
    <w:rsid w:val="009E474F"/>
    <w:rsid w:val="009E5FF5"/>
    <w:rsid w:val="009F1B0C"/>
    <w:rsid w:val="009F1B99"/>
    <w:rsid w:val="009F289C"/>
    <w:rsid w:val="009F5112"/>
    <w:rsid w:val="009F628D"/>
    <w:rsid w:val="009F6E3E"/>
    <w:rsid w:val="009F75E4"/>
    <w:rsid w:val="00A00AE9"/>
    <w:rsid w:val="00A00C9A"/>
    <w:rsid w:val="00A015C5"/>
    <w:rsid w:val="00A0251D"/>
    <w:rsid w:val="00A044EE"/>
    <w:rsid w:val="00A056AF"/>
    <w:rsid w:val="00A06A87"/>
    <w:rsid w:val="00A06D1D"/>
    <w:rsid w:val="00A07F6C"/>
    <w:rsid w:val="00A101F9"/>
    <w:rsid w:val="00A11843"/>
    <w:rsid w:val="00A118BD"/>
    <w:rsid w:val="00A12264"/>
    <w:rsid w:val="00A13902"/>
    <w:rsid w:val="00A13FAD"/>
    <w:rsid w:val="00A16A8C"/>
    <w:rsid w:val="00A2073F"/>
    <w:rsid w:val="00A22BE5"/>
    <w:rsid w:val="00A23177"/>
    <w:rsid w:val="00A25034"/>
    <w:rsid w:val="00A26E18"/>
    <w:rsid w:val="00A278D3"/>
    <w:rsid w:val="00A302A0"/>
    <w:rsid w:val="00A32184"/>
    <w:rsid w:val="00A33821"/>
    <w:rsid w:val="00A35B74"/>
    <w:rsid w:val="00A35C14"/>
    <w:rsid w:val="00A36175"/>
    <w:rsid w:val="00A364F0"/>
    <w:rsid w:val="00A37470"/>
    <w:rsid w:val="00A37DBB"/>
    <w:rsid w:val="00A40106"/>
    <w:rsid w:val="00A408D4"/>
    <w:rsid w:val="00A41859"/>
    <w:rsid w:val="00A41B3B"/>
    <w:rsid w:val="00A437BF"/>
    <w:rsid w:val="00A44951"/>
    <w:rsid w:val="00A4581F"/>
    <w:rsid w:val="00A47BC4"/>
    <w:rsid w:val="00A52229"/>
    <w:rsid w:val="00A53240"/>
    <w:rsid w:val="00A54632"/>
    <w:rsid w:val="00A54867"/>
    <w:rsid w:val="00A54A30"/>
    <w:rsid w:val="00A54D19"/>
    <w:rsid w:val="00A55880"/>
    <w:rsid w:val="00A558E9"/>
    <w:rsid w:val="00A55BC1"/>
    <w:rsid w:val="00A57A14"/>
    <w:rsid w:val="00A57EB5"/>
    <w:rsid w:val="00A609C3"/>
    <w:rsid w:val="00A615B5"/>
    <w:rsid w:val="00A637A0"/>
    <w:rsid w:val="00A6476B"/>
    <w:rsid w:val="00A654EB"/>
    <w:rsid w:val="00A657FF"/>
    <w:rsid w:val="00A72705"/>
    <w:rsid w:val="00A72945"/>
    <w:rsid w:val="00A73064"/>
    <w:rsid w:val="00A73635"/>
    <w:rsid w:val="00A75101"/>
    <w:rsid w:val="00A759DF"/>
    <w:rsid w:val="00A766C6"/>
    <w:rsid w:val="00A803B7"/>
    <w:rsid w:val="00A8057C"/>
    <w:rsid w:val="00A8182E"/>
    <w:rsid w:val="00A82011"/>
    <w:rsid w:val="00A82387"/>
    <w:rsid w:val="00A8244B"/>
    <w:rsid w:val="00A82B78"/>
    <w:rsid w:val="00A82E74"/>
    <w:rsid w:val="00A83043"/>
    <w:rsid w:val="00A836D2"/>
    <w:rsid w:val="00A8443B"/>
    <w:rsid w:val="00A8459E"/>
    <w:rsid w:val="00A8494C"/>
    <w:rsid w:val="00A865B0"/>
    <w:rsid w:val="00A8715A"/>
    <w:rsid w:val="00A96D32"/>
    <w:rsid w:val="00A97F25"/>
    <w:rsid w:val="00AA2AF2"/>
    <w:rsid w:val="00AA3094"/>
    <w:rsid w:val="00AA3BE6"/>
    <w:rsid w:val="00AA4477"/>
    <w:rsid w:val="00AA473F"/>
    <w:rsid w:val="00AA4C86"/>
    <w:rsid w:val="00AA6001"/>
    <w:rsid w:val="00AA776E"/>
    <w:rsid w:val="00AB0526"/>
    <w:rsid w:val="00AB20B5"/>
    <w:rsid w:val="00AB2767"/>
    <w:rsid w:val="00AB3C05"/>
    <w:rsid w:val="00AB5C37"/>
    <w:rsid w:val="00AB6493"/>
    <w:rsid w:val="00AB6650"/>
    <w:rsid w:val="00AB681E"/>
    <w:rsid w:val="00AC25C6"/>
    <w:rsid w:val="00AC3C2D"/>
    <w:rsid w:val="00AC3FF6"/>
    <w:rsid w:val="00AC4093"/>
    <w:rsid w:val="00AC4405"/>
    <w:rsid w:val="00AD0096"/>
    <w:rsid w:val="00AD1305"/>
    <w:rsid w:val="00AD3D59"/>
    <w:rsid w:val="00AD51E0"/>
    <w:rsid w:val="00AD57F2"/>
    <w:rsid w:val="00AD6689"/>
    <w:rsid w:val="00AD7D5A"/>
    <w:rsid w:val="00AE0E00"/>
    <w:rsid w:val="00AE0E06"/>
    <w:rsid w:val="00AE1E56"/>
    <w:rsid w:val="00AE40A3"/>
    <w:rsid w:val="00AE4A1E"/>
    <w:rsid w:val="00AE4D2A"/>
    <w:rsid w:val="00AE50AE"/>
    <w:rsid w:val="00AE5A6E"/>
    <w:rsid w:val="00AE605F"/>
    <w:rsid w:val="00AF183D"/>
    <w:rsid w:val="00AF217C"/>
    <w:rsid w:val="00AF2A28"/>
    <w:rsid w:val="00AF6BEA"/>
    <w:rsid w:val="00AF7775"/>
    <w:rsid w:val="00B001F3"/>
    <w:rsid w:val="00B00AF3"/>
    <w:rsid w:val="00B02B3B"/>
    <w:rsid w:val="00B02DEC"/>
    <w:rsid w:val="00B036FB"/>
    <w:rsid w:val="00B03CFF"/>
    <w:rsid w:val="00B04014"/>
    <w:rsid w:val="00B0482D"/>
    <w:rsid w:val="00B04B76"/>
    <w:rsid w:val="00B04CFC"/>
    <w:rsid w:val="00B05F55"/>
    <w:rsid w:val="00B06FB0"/>
    <w:rsid w:val="00B0797D"/>
    <w:rsid w:val="00B07CA3"/>
    <w:rsid w:val="00B1073F"/>
    <w:rsid w:val="00B137EF"/>
    <w:rsid w:val="00B141A0"/>
    <w:rsid w:val="00B1472D"/>
    <w:rsid w:val="00B14850"/>
    <w:rsid w:val="00B15092"/>
    <w:rsid w:val="00B17C7B"/>
    <w:rsid w:val="00B221B9"/>
    <w:rsid w:val="00B234D2"/>
    <w:rsid w:val="00B2357A"/>
    <w:rsid w:val="00B24A3E"/>
    <w:rsid w:val="00B27A85"/>
    <w:rsid w:val="00B27CE9"/>
    <w:rsid w:val="00B30B65"/>
    <w:rsid w:val="00B319FF"/>
    <w:rsid w:val="00B31B4C"/>
    <w:rsid w:val="00B32C21"/>
    <w:rsid w:val="00B370FA"/>
    <w:rsid w:val="00B377D0"/>
    <w:rsid w:val="00B418B4"/>
    <w:rsid w:val="00B42D2D"/>
    <w:rsid w:val="00B43353"/>
    <w:rsid w:val="00B4418C"/>
    <w:rsid w:val="00B459E5"/>
    <w:rsid w:val="00B46130"/>
    <w:rsid w:val="00B462A8"/>
    <w:rsid w:val="00B46742"/>
    <w:rsid w:val="00B478B5"/>
    <w:rsid w:val="00B51792"/>
    <w:rsid w:val="00B520D5"/>
    <w:rsid w:val="00B52534"/>
    <w:rsid w:val="00B529CD"/>
    <w:rsid w:val="00B52FD4"/>
    <w:rsid w:val="00B53F11"/>
    <w:rsid w:val="00B542F5"/>
    <w:rsid w:val="00B5490B"/>
    <w:rsid w:val="00B55F1C"/>
    <w:rsid w:val="00B5760A"/>
    <w:rsid w:val="00B66093"/>
    <w:rsid w:val="00B66667"/>
    <w:rsid w:val="00B66E9D"/>
    <w:rsid w:val="00B67208"/>
    <w:rsid w:val="00B70622"/>
    <w:rsid w:val="00B70A8D"/>
    <w:rsid w:val="00B721CA"/>
    <w:rsid w:val="00B72ECA"/>
    <w:rsid w:val="00B73740"/>
    <w:rsid w:val="00B8014B"/>
    <w:rsid w:val="00B80A78"/>
    <w:rsid w:val="00B82DC3"/>
    <w:rsid w:val="00B82F7F"/>
    <w:rsid w:val="00B84E93"/>
    <w:rsid w:val="00B9094E"/>
    <w:rsid w:val="00B9124D"/>
    <w:rsid w:val="00B91ACF"/>
    <w:rsid w:val="00B92793"/>
    <w:rsid w:val="00B92C69"/>
    <w:rsid w:val="00B94B0A"/>
    <w:rsid w:val="00B96F39"/>
    <w:rsid w:val="00B96F7C"/>
    <w:rsid w:val="00B971D8"/>
    <w:rsid w:val="00BA03FD"/>
    <w:rsid w:val="00BA0971"/>
    <w:rsid w:val="00BA1CA0"/>
    <w:rsid w:val="00BA362A"/>
    <w:rsid w:val="00BA55F6"/>
    <w:rsid w:val="00BA56B3"/>
    <w:rsid w:val="00BA5F01"/>
    <w:rsid w:val="00BA71E4"/>
    <w:rsid w:val="00BA770E"/>
    <w:rsid w:val="00BA7D6E"/>
    <w:rsid w:val="00BB04BB"/>
    <w:rsid w:val="00BB25E5"/>
    <w:rsid w:val="00BB3264"/>
    <w:rsid w:val="00BB587A"/>
    <w:rsid w:val="00BB6CB1"/>
    <w:rsid w:val="00BB7417"/>
    <w:rsid w:val="00BB7494"/>
    <w:rsid w:val="00BB78AB"/>
    <w:rsid w:val="00BC0F41"/>
    <w:rsid w:val="00BC0FE9"/>
    <w:rsid w:val="00BC14B4"/>
    <w:rsid w:val="00BC256D"/>
    <w:rsid w:val="00BC25A1"/>
    <w:rsid w:val="00BC64DA"/>
    <w:rsid w:val="00BC78DC"/>
    <w:rsid w:val="00BD2F2D"/>
    <w:rsid w:val="00BD4592"/>
    <w:rsid w:val="00BD595B"/>
    <w:rsid w:val="00BD6A0E"/>
    <w:rsid w:val="00BD7397"/>
    <w:rsid w:val="00BD793F"/>
    <w:rsid w:val="00BE1FF5"/>
    <w:rsid w:val="00BE2FCE"/>
    <w:rsid w:val="00BE3AD9"/>
    <w:rsid w:val="00BE4D95"/>
    <w:rsid w:val="00BE5C26"/>
    <w:rsid w:val="00BE5CA6"/>
    <w:rsid w:val="00BE5F66"/>
    <w:rsid w:val="00BE5F76"/>
    <w:rsid w:val="00BE674F"/>
    <w:rsid w:val="00BE7FE6"/>
    <w:rsid w:val="00BF1A66"/>
    <w:rsid w:val="00BF3ADA"/>
    <w:rsid w:val="00BF4A26"/>
    <w:rsid w:val="00BF7D1A"/>
    <w:rsid w:val="00C006A6"/>
    <w:rsid w:val="00C02236"/>
    <w:rsid w:val="00C026C8"/>
    <w:rsid w:val="00C03C83"/>
    <w:rsid w:val="00C04A8D"/>
    <w:rsid w:val="00C11B12"/>
    <w:rsid w:val="00C123F0"/>
    <w:rsid w:val="00C13694"/>
    <w:rsid w:val="00C1548C"/>
    <w:rsid w:val="00C16357"/>
    <w:rsid w:val="00C168D8"/>
    <w:rsid w:val="00C17404"/>
    <w:rsid w:val="00C205C6"/>
    <w:rsid w:val="00C20B34"/>
    <w:rsid w:val="00C221C2"/>
    <w:rsid w:val="00C24361"/>
    <w:rsid w:val="00C27102"/>
    <w:rsid w:val="00C31798"/>
    <w:rsid w:val="00C329F5"/>
    <w:rsid w:val="00C32A49"/>
    <w:rsid w:val="00C34435"/>
    <w:rsid w:val="00C364FD"/>
    <w:rsid w:val="00C36781"/>
    <w:rsid w:val="00C40BA8"/>
    <w:rsid w:val="00C428BA"/>
    <w:rsid w:val="00C45FF6"/>
    <w:rsid w:val="00C466C6"/>
    <w:rsid w:val="00C4771A"/>
    <w:rsid w:val="00C47DC8"/>
    <w:rsid w:val="00C50963"/>
    <w:rsid w:val="00C522A5"/>
    <w:rsid w:val="00C5534F"/>
    <w:rsid w:val="00C571A7"/>
    <w:rsid w:val="00C57C7D"/>
    <w:rsid w:val="00C60235"/>
    <w:rsid w:val="00C606CD"/>
    <w:rsid w:val="00C616F4"/>
    <w:rsid w:val="00C63685"/>
    <w:rsid w:val="00C63F56"/>
    <w:rsid w:val="00C65E7C"/>
    <w:rsid w:val="00C6710D"/>
    <w:rsid w:val="00C676B0"/>
    <w:rsid w:val="00C67941"/>
    <w:rsid w:val="00C70055"/>
    <w:rsid w:val="00C703C3"/>
    <w:rsid w:val="00C71973"/>
    <w:rsid w:val="00C73D9E"/>
    <w:rsid w:val="00C74FFB"/>
    <w:rsid w:val="00C8050A"/>
    <w:rsid w:val="00C80BF9"/>
    <w:rsid w:val="00C8166D"/>
    <w:rsid w:val="00C821A3"/>
    <w:rsid w:val="00C82459"/>
    <w:rsid w:val="00C84C6E"/>
    <w:rsid w:val="00C859BD"/>
    <w:rsid w:val="00C87456"/>
    <w:rsid w:val="00C90DE3"/>
    <w:rsid w:val="00C9187C"/>
    <w:rsid w:val="00C928B0"/>
    <w:rsid w:val="00C92C74"/>
    <w:rsid w:val="00C92E4B"/>
    <w:rsid w:val="00C93EC9"/>
    <w:rsid w:val="00C95154"/>
    <w:rsid w:val="00C96DE7"/>
    <w:rsid w:val="00CA0E6D"/>
    <w:rsid w:val="00CA18F4"/>
    <w:rsid w:val="00CA4201"/>
    <w:rsid w:val="00CA4D98"/>
    <w:rsid w:val="00CA5F59"/>
    <w:rsid w:val="00CA6634"/>
    <w:rsid w:val="00CB2FEC"/>
    <w:rsid w:val="00CB331B"/>
    <w:rsid w:val="00CB4A25"/>
    <w:rsid w:val="00CB4B26"/>
    <w:rsid w:val="00CB6C51"/>
    <w:rsid w:val="00CC0317"/>
    <w:rsid w:val="00CC2527"/>
    <w:rsid w:val="00CC3D81"/>
    <w:rsid w:val="00CC5272"/>
    <w:rsid w:val="00CC5EF9"/>
    <w:rsid w:val="00CC654E"/>
    <w:rsid w:val="00CD11F7"/>
    <w:rsid w:val="00CD23AF"/>
    <w:rsid w:val="00CD29A6"/>
    <w:rsid w:val="00CD2EE7"/>
    <w:rsid w:val="00CD4FBC"/>
    <w:rsid w:val="00CD609C"/>
    <w:rsid w:val="00CD67A7"/>
    <w:rsid w:val="00CE0230"/>
    <w:rsid w:val="00CE1755"/>
    <w:rsid w:val="00CE53AA"/>
    <w:rsid w:val="00CF0941"/>
    <w:rsid w:val="00CF17F0"/>
    <w:rsid w:val="00CF1A44"/>
    <w:rsid w:val="00CF528C"/>
    <w:rsid w:val="00CF5A8D"/>
    <w:rsid w:val="00CF5F03"/>
    <w:rsid w:val="00D02845"/>
    <w:rsid w:val="00D030A8"/>
    <w:rsid w:val="00D04404"/>
    <w:rsid w:val="00D044AC"/>
    <w:rsid w:val="00D04D79"/>
    <w:rsid w:val="00D05B94"/>
    <w:rsid w:val="00D0756B"/>
    <w:rsid w:val="00D11C1A"/>
    <w:rsid w:val="00D1233C"/>
    <w:rsid w:val="00D1271B"/>
    <w:rsid w:val="00D12CDC"/>
    <w:rsid w:val="00D14441"/>
    <w:rsid w:val="00D14619"/>
    <w:rsid w:val="00D14744"/>
    <w:rsid w:val="00D16CC6"/>
    <w:rsid w:val="00D175DE"/>
    <w:rsid w:val="00D20DDC"/>
    <w:rsid w:val="00D22484"/>
    <w:rsid w:val="00D23AAA"/>
    <w:rsid w:val="00D24A44"/>
    <w:rsid w:val="00D304C4"/>
    <w:rsid w:val="00D306D9"/>
    <w:rsid w:val="00D329F7"/>
    <w:rsid w:val="00D33C75"/>
    <w:rsid w:val="00D3578B"/>
    <w:rsid w:val="00D362BB"/>
    <w:rsid w:val="00D37B2E"/>
    <w:rsid w:val="00D37CEC"/>
    <w:rsid w:val="00D40053"/>
    <w:rsid w:val="00D42884"/>
    <w:rsid w:val="00D43A99"/>
    <w:rsid w:val="00D44E57"/>
    <w:rsid w:val="00D45419"/>
    <w:rsid w:val="00D45F9C"/>
    <w:rsid w:val="00D47A83"/>
    <w:rsid w:val="00D52F30"/>
    <w:rsid w:val="00D57041"/>
    <w:rsid w:val="00D60E03"/>
    <w:rsid w:val="00D61DB4"/>
    <w:rsid w:val="00D63C05"/>
    <w:rsid w:val="00D63D2D"/>
    <w:rsid w:val="00D64704"/>
    <w:rsid w:val="00D64DCE"/>
    <w:rsid w:val="00D66E2B"/>
    <w:rsid w:val="00D6772E"/>
    <w:rsid w:val="00D70DE4"/>
    <w:rsid w:val="00D726B6"/>
    <w:rsid w:val="00D75225"/>
    <w:rsid w:val="00D763E9"/>
    <w:rsid w:val="00D772EE"/>
    <w:rsid w:val="00D807B8"/>
    <w:rsid w:val="00D833F1"/>
    <w:rsid w:val="00D878D1"/>
    <w:rsid w:val="00D87C3C"/>
    <w:rsid w:val="00D92DE3"/>
    <w:rsid w:val="00D93A59"/>
    <w:rsid w:val="00D945AB"/>
    <w:rsid w:val="00D94990"/>
    <w:rsid w:val="00D9536A"/>
    <w:rsid w:val="00D959FA"/>
    <w:rsid w:val="00D95BA6"/>
    <w:rsid w:val="00D96238"/>
    <w:rsid w:val="00DA0437"/>
    <w:rsid w:val="00DA1E47"/>
    <w:rsid w:val="00DA4F66"/>
    <w:rsid w:val="00DA5381"/>
    <w:rsid w:val="00DA5ACE"/>
    <w:rsid w:val="00DA7DE1"/>
    <w:rsid w:val="00DB0B18"/>
    <w:rsid w:val="00DB106F"/>
    <w:rsid w:val="00DB23AE"/>
    <w:rsid w:val="00DB2A44"/>
    <w:rsid w:val="00DB43DA"/>
    <w:rsid w:val="00DB493C"/>
    <w:rsid w:val="00DB5A6F"/>
    <w:rsid w:val="00DB5FFD"/>
    <w:rsid w:val="00DB7956"/>
    <w:rsid w:val="00DC1B96"/>
    <w:rsid w:val="00DC4F34"/>
    <w:rsid w:val="00DC513E"/>
    <w:rsid w:val="00DC5617"/>
    <w:rsid w:val="00DC5C69"/>
    <w:rsid w:val="00DC5EDF"/>
    <w:rsid w:val="00DC605B"/>
    <w:rsid w:val="00DD12FE"/>
    <w:rsid w:val="00DD2855"/>
    <w:rsid w:val="00DD3F58"/>
    <w:rsid w:val="00DD740B"/>
    <w:rsid w:val="00DE0E8F"/>
    <w:rsid w:val="00DE2E42"/>
    <w:rsid w:val="00DE324A"/>
    <w:rsid w:val="00DE3665"/>
    <w:rsid w:val="00DE3851"/>
    <w:rsid w:val="00DE3A9D"/>
    <w:rsid w:val="00DE3C35"/>
    <w:rsid w:val="00DE3EF5"/>
    <w:rsid w:val="00DE4109"/>
    <w:rsid w:val="00DE4BA3"/>
    <w:rsid w:val="00DE4DFF"/>
    <w:rsid w:val="00DE70F9"/>
    <w:rsid w:val="00DE754B"/>
    <w:rsid w:val="00DF10EF"/>
    <w:rsid w:val="00DF26AC"/>
    <w:rsid w:val="00DF3117"/>
    <w:rsid w:val="00DF59E3"/>
    <w:rsid w:val="00DF5FD2"/>
    <w:rsid w:val="00E06055"/>
    <w:rsid w:val="00E07B01"/>
    <w:rsid w:val="00E07BF7"/>
    <w:rsid w:val="00E102CE"/>
    <w:rsid w:val="00E10C02"/>
    <w:rsid w:val="00E11C33"/>
    <w:rsid w:val="00E12E56"/>
    <w:rsid w:val="00E13875"/>
    <w:rsid w:val="00E13B1B"/>
    <w:rsid w:val="00E143E8"/>
    <w:rsid w:val="00E153AB"/>
    <w:rsid w:val="00E15469"/>
    <w:rsid w:val="00E1697A"/>
    <w:rsid w:val="00E16FD7"/>
    <w:rsid w:val="00E17C19"/>
    <w:rsid w:val="00E21239"/>
    <w:rsid w:val="00E21A24"/>
    <w:rsid w:val="00E21A25"/>
    <w:rsid w:val="00E24542"/>
    <w:rsid w:val="00E2516E"/>
    <w:rsid w:val="00E30617"/>
    <w:rsid w:val="00E3255D"/>
    <w:rsid w:val="00E368AF"/>
    <w:rsid w:val="00E3712F"/>
    <w:rsid w:val="00E37234"/>
    <w:rsid w:val="00E378BB"/>
    <w:rsid w:val="00E379CE"/>
    <w:rsid w:val="00E37A1E"/>
    <w:rsid w:val="00E37B37"/>
    <w:rsid w:val="00E403A0"/>
    <w:rsid w:val="00E43EBF"/>
    <w:rsid w:val="00E4432E"/>
    <w:rsid w:val="00E45893"/>
    <w:rsid w:val="00E51083"/>
    <w:rsid w:val="00E53C42"/>
    <w:rsid w:val="00E541F8"/>
    <w:rsid w:val="00E55CC7"/>
    <w:rsid w:val="00E57AD5"/>
    <w:rsid w:val="00E57B7F"/>
    <w:rsid w:val="00E60391"/>
    <w:rsid w:val="00E60BB4"/>
    <w:rsid w:val="00E627D3"/>
    <w:rsid w:val="00E63291"/>
    <w:rsid w:val="00E637F3"/>
    <w:rsid w:val="00E67367"/>
    <w:rsid w:val="00E674E3"/>
    <w:rsid w:val="00E702A6"/>
    <w:rsid w:val="00E70DF2"/>
    <w:rsid w:val="00E71865"/>
    <w:rsid w:val="00E719E8"/>
    <w:rsid w:val="00E743AD"/>
    <w:rsid w:val="00E765F4"/>
    <w:rsid w:val="00E76D12"/>
    <w:rsid w:val="00E7779B"/>
    <w:rsid w:val="00E77E6C"/>
    <w:rsid w:val="00E8045E"/>
    <w:rsid w:val="00E820F7"/>
    <w:rsid w:val="00E82346"/>
    <w:rsid w:val="00E92460"/>
    <w:rsid w:val="00E92526"/>
    <w:rsid w:val="00E943FF"/>
    <w:rsid w:val="00E952EE"/>
    <w:rsid w:val="00E96C4D"/>
    <w:rsid w:val="00EA588D"/>
    <w:rsid w:val="00EA7993"/>
    <w:rsid w:val="00EB0220"/>
    <w:rsid w:val="00EB0314"/>
    <w:rsid w:val="00EB08C2"/>
    <w:rsid w:val="00EB0D30"/>
    <w:rsid w:val="00EB1C84"/>
    <w:rsid w:val="00EB38DD"/>
    <w:rsid w:val="00EB66CA"/>
    <w:rsid w:val="00EB726E"/>
    <w:rsid w:val="00EB7D44"/>
    <w:rsid w:val="00EC2ED0"/>
    <w:rsid w:val="00EC2F49"/>
    <w:rsid w:val="00ED05F2"/>
    <w:rsid w:val="00ED0E75"/>
    <w:rsid w:val="00ED2E6A"/>
    <w:rsid w:val="00ED4592"/>
    <w:rsid w:val="00ED45E0"/>
    <w:rsid w:val="00ED65FC"/>
    <w:rsid w:val="00ED6EED"/>
    <w:rsid w:val="00EE0C17"/>
    <w:rsid w:val="00EE0E59"/>
    <w:rsid w:val="00EE107D"/>
    <w:rsid w:val="00EE1755"/>
    <w:rsid w:val="00EE207A"/>
    <w:rsid w:val="00EE26A9"/>
    <w:rsid w:val="00EE2ED5"/>
    <w:rsid w:val="00EE37CD"/>
    <w:rsid w:val="00EE5D40"/>
    <w:rsid w:val="00EE615C"/>
    <w:rsid w:val="00EE7084"/>
    <w:rsid w:val="00EE7247"/>
    <w:rsid w:val="00EF0915"/>
    <w:rsid w:val="00EF0E62"/>
    <w:rsid w:val="00EF3D00"/>
    <w:rsid w:val="00EF4E52"/>
    <w:rsid w:val="00EF571A"/>
    <w:rsid w:val="00EF6073"/>
    <w:rsid w:val="00F003B5"/>
    <w:rsid w:val="00F03062"/>
    <w:rsid w:val="00F036D6"/>
    <w:rsid w:val="00F03E8B"/>
    <w:rsid w:val="00F041BA"/>
    <w:rsid w:val="00F048D0"/>
    <w:rsid w:val="00F061C2"/>
    <w:rsid w:val="00F0A7FE"/>
    <w:rsid w:val="00F10D6E"/>
    <w:rsid w:val="00F13403"/>
    <w:rsid w:val="00F13F07"/>
    <w:rsid w:val="00F14276"/>
    <w:rsid w:val="00F15149"/>
    <w:rsid w:val="00F156F4"/>
    <w:rsid w:val="00F15E00"/>
    <w:rsid w:val="00F16024"/>
    <w:rsid w:val="00F1701D"/>
    <w:rsid w:val="00F17E8D"/>
    <w:rsid w:val="00F20118"/>
    <w:rsid w:val="00F21993"/>
    <w:rsid w:val="00F21BBA"/>
    <w:rsid w:val="00F21C09"/>
    <w:rsid w:val="00F22B62"/>
    <w:rsid w:val="00F23095"/>
    <w:rsid w:val="00F24CE0"/>
    <w:rsid w:val="00F30259"/>
    <w:rsid w:val="00F30E36"/>
    <w:rsid w:val="00F318CB"/>
    <w:rsid w:val="00F320DE"/>
    <w:rsid w:val="00F32D9E"/>
    <w:rsid w:val="00F342E9"/>
    <w:rsid w:val="00F354B4"/>
    <w:rsid w:val="00F365B3"/>
    <w:rsid w:val="00F37845"/>
    <w:rsid w:val="00F402F4"/>
    <w:rsid w:val="00F407FC"/>
    <w:rsid w:val="00F40973"/>
    <w:rsid w:val="00F40C97"/>
    <w:rsid w:val="00F45943"/>
    <w:rsid w:val="00F47133"/>
    <w:rsid w:val="00F4794F"/>
    <w:rsid w:val="00F5127A"/>
    <w:rsid w:val="00F526D7"/>
    <w:rsid w:val="00F5521F"/>
    <w:rsid w:val="00F61C98"/>
    <w:rsid w:val="00F62888"/>
    <w:rsid w:val="00F62CD4"/>
    <w:rsid w:val="00F63E2E"/>
    <w:rsid w:val="00F651E2"/>
    <w:rsid w:val="00F6607C"/>
    <w:rsid w:val="00F6626F"/>
    <w:rsid w:val="00F67012"/>
    <w:rsid w:val="00F67A37"/>
    <w:rsid w:val="00F71B9E"/>
    <w:rsid w:val="00F71D12"/>
    <w:rsid w:val="00F72D34"/>
    <w:rsid w:val="00F76BD6"/>
    <w:rsid w:val="00F77A90"/>
    <w:rsid w:val="00F822DA"/>
    <w:rsid w:val="00F82DF9"/>
    <w:rsid w:val="00F84F11"/>
    <w:rsid w:val="00F85F4F"/>
    <w:rsid w:val="00F90C7F"/>
    <w:rsid w:val="00F91E7A"/>
    <w:rsid w:val="00F91F29"/>
    <w:rsid w:val="00F9347B"/>
    <w:rsid w:val="00F95996"/>
    <w:rsid w:val="00F9697D"/>
    <w:rsid w:val="00F97BEE"/>
    <w:rsid w:val="00FA00AD"/>
    <w:rsid w:val="00FA1910"/>
    <w:rsid w:val="00FA193D"/>
    <w:rsid w:val="00FA3AA6"/>
    <w:rsid w:val="00FA441C"/>
    <w:rsid w:val="00FA77FD"/>
    <w:rsid w:val="00FA7CE6"/>
    <w:rsid w:val="00FB3BD9"/>
    <w:rsid w:val="00FB3D87"/>
    <w:rsid w:val="00FB5424"/>
    <w:rsid w:val="00FC08E3"/>
    <w:rsid w:val="00FC0DB6"/>
    <w:rsid w:val="00FC4A03"/>
    <w:rsid w:val="00FC59DB"/>
    <w:rsid w:val="00FC695D"/>
    <w:rsid w:val="00FC6EFC"/>
    <w:rsid w:val="00FD0E17"/>
    <w:rsid w:val="00FD1235"/>
    <w:rsid w:val="00FD13F0"/>
    <w:rsid w:val="00FD16F9"/>
    <w:rsid w:val="00FD236D"/>
    <w:rsid w:val="00FD359E"/>
    <w:rsid w:val="00FD42BC"/>
    <w:rsid w:val="00FD52E3"/>
    <w:rsid w:val="00FD575D"/>
    <w:rsid w:val="00FD5C20"/>
    <w:rsid w:val="00FD5D8C"/>
    <w:rsid w:val="00FD5E03"/>
    <w:rsid w:val="00FE38FB"/>
    <w:rsid w:val="00FE5820"/>
    <w:rsid w:val="00FE5A16"/>
    <w:rsid w:val="00FE6380"/>
    <w:rsid w:val="00FE6669"/>
    <w:rsid w:val="00FF0F37"/>
    <w:rsid w:val="00FF118E"/>
    <w:rsid w:val="00FF1904"/>
    <w:rsid w:val="00FF2038"/>
    <w:rsid w:val="00FF30BF"/>
    <w:rsid w:val="00FF395B"/>
    <w:rsid w:val="00FF44B1"/>
    <w:rsid w:val="00FF46F6"/>
    <w:rsid w:val="00FF5613"/>
    <w:rsid w:val="00FF7B26"/>
    <w:rsid w:val="015E2F04"/>
    <w:rsid w:val="01918D48"/>
    <w:rsid w:val="01A46315"/>
    <w:rsid w:val="01C150D7"/>
    <w:rsid w:val="01C8EC15"/>
    <w:rsid w:val="022F7607"/>
    <w:rsid w:val="02B2245A"/>
    <w:rsid w:val="02F003BE"/>
    <w:rsid w:val="0331016B"/>
    <w:rsid w:val="034BEC35"/>
    <w:rsid w:val="036E8A81"/>
    <w:rsid w:val="03715022"/>
    <w:rsid w:val="03880939"/>
    <w:rsid w:val="03B450C8"/>
    <w:rsid w:val="044E7EE5"/>
    <w:rsid w:val="0456A50A"/>
    <w:rsid w:val="046FB227"/>
    <w:rsid w:val="04A9949F"/>
    <w:rsid w:val="04C70C45"/>
    <w:rsid w:val="05747EC4"/>
    <w:rsid w:val="05A3562C"/>
    <w:rsid w:val="06DEEB81"/>
    <w:rsid w:val="06E7E03D"/>
    <w:rsid w:val="06FBB543"/>
    <w:rsid w:val="073994E0"/>
    <w:rsid w:val="07A589C6"/>
    <w:rsid w:val="07B31B29"/>
    <w:rsid w:val="07C60DE3"/>
    <w:rsid w:val="0881DF9B"/>
    <w:rsid w:val="08F24807"/>
    <w:rsid w:val="08F40EC9"/>
    <w:rsid w:val="09489732"/>
    <w:rsid w:val="095F91FB"/>
    <w:rsid w:val="096EF0A1"/>
    <w:rsid w:val="09B19C1C"/>
    <w:rsid w:val="09DA56B2"/>
    <w:rsid w:val="09E23DBA"/>
    <w:rsid w:val="0A5D082E"/>
    <w:rsid w:val="0A67EE0A"/>
    <w:rsid w:val="0B486F06"/>
    <w:rsid w:val="0B9E84CA"/>
    <w:rsid w:val="0C37CF1E"/>
    <w:rsid w:val="0C4D8703"/>
    <w:rsid w:val="0C6A4507"/>
    <w:rsid w:val="0C8676BA"/>
    <w:rsid w:val="0CF752BD"/>
    <w:rsid w:val="0D7FD6C7"/>
    <w:rsid w:val="0D9F34EE"/>
    <w:rsid w:val="0DC7D744"/>
    <w:rsid w:val="0DE8E641"/>
    <w:rsid w:val="0E03D477"/>
    <w:rsid w:val="0E38D915"/>
    <w:rsid w:val="0E4502B1"/>
    <w:rsid w:val="0E871BAF"/>
    <w:rsid w:val="0EDCC425"/>
    <w:rsid w:val="0EF8FB15"/>
    <w:rsid w:val="0F996092"/>
    <w:rsid w:val="0FE9E6B4"/>
    <w:rsid w:val="0FF51F06"/>
    <w:rsid w:val="10145421"/>
    <w:rsid w:val="1072C80A"/>
    <w:rsid w:val="10ECAE34"/>
    <w:rsid w:val="12107CD6"/>
    <w:rsid w:val="1292A497"/>
    <w:rsid w:val="12B83442"/>
    <w:rsid w:val="13044730"/>
    <w:rsid w:val="131A7171"/>
    <w:rsid w:val="132AC271"/>
    <w:rsid w:val="132E9F46"/>
    <w:rsid w:val="139D2E35"/>
    <w:rsid w:val="13CD3C6D"/>
    <w:rsid w:val="14407061"/>
    <w:rsid w:val="1457F3C5"/>
    <w:rsid w:val="1481E32D"/>
    <w:rsid w:val="14C99712"/>
    <w:rsid w:val="14DA6035"/>
    <w:rsid w:val="14DF238B"/>
    <w:rsid w:val="1505E21B"/>
    <w:rsid w:val="156F07DB"/>
    <w:rsid w:val="1580A1EF"/>
    <w:rsid w:val="158CCB07"/>
    <w:rsid w:val="15E51731"/>
    <w:rsid w:val="15FBE193"/>
    <w:rsid w:val="16471166"/>
    <w:rsid w:val="167C8ADA"/>
    <w:rsid w:val="16CF9933"/>
    <w:rsid w:val="16E4F12E"/>
    <w:rsid w:val="16FA2752"/>
    <w:rsid w:val="178EA489"/>
    <w:rsid w:val="1832A575"/>
    <w:rsid w:val="1834CB66"/>
    <w:rsid w:val="18431015"/>
    <w:rsid w:val="187E8C4B"/>
    <w:rsid w:val="18D40BDB"/>
    <w:rsid w:val="18F70B04"/>
    <w:rsid w:val="1970B3CA"/>
    <w:rsid w:val="19A5F9DE"/>
    <w:rsid w:val="1A1536B3"/>
    <w:rsid w:val="1A22BE10"/>
    <w:rsid w:val="1A2CB59D"/>
    <w:rsid w:val="1A4B658D"/>
    <w:rsid w:val="1A9AED7B"/>
    <w:rsid w:val="1AADEEF9"/>
    <w:rsid w:val="1AED887D"/>
    <w:rsid w:val="1AF6E9E6"/>
    <w:rsid w:val="1B018BD7"/>
    <w:rsid w:val="1B07410A"/>
    <w:rsid w:val="1B5C70A8"/>
    <w:rsid w:val="1B7970F3"/>
    <w:rsid w:val="1C4BEC51"/>
    <w:rsid w:val="1C6BF1A9"/>
    <w:rsid w:val="1D43AEB4"/>
    <w:rsid w:val="1DB0B976"/>
    <w:rsid w:val="1DEF18A4"/>
    <w:rsid w:val="1E281012"/>
    <w:rsid w:val="1E537984"/>
    <w:rsid w:val="1E5451BE"/>
    <w:rsid w:val="1F1908BC"/>
    <w:rsid w:val="1F4D2793"/>
    <w:rsid w:val="1F6DB101"/>
    <w:rsid w:val="1FD316F1"/>
    <w:rsid w:val="1FD324C5"/>
    <w:rsid w:val="2016F2FF"/>
    <w:rsid w:val="213FACA1"/>
    <w:rsid w:val="218431A8"/>
    <w:rsid w:val="227C4C81"/>
    <w:rsid w:val="22BBA900"/>
    <w:rsid w:val="22F191CD"/>
    <w:rsid w:val="22FECD1E"/>
    <w:rsid w:val="234FAAF0"/>
    <w:rsid w:val="2355D97F"/>
    <w:rsid w:val="2469DA92"/>
    <w:rsid w:val="24EE957D"/>
    <w:rsid w:val="24F43A2F"/>
    <w:rsid w:val="2507DC84"/>
    <w:rsid w:val="2545CE07"/>
    <w:rsid w:val="255779D9"/>
    <w:rsid w:val="2568426A"/>
    <w:rsid w:val="256AB7DD"/>
    <w:rsid w:val="260C4803"/>
    <w:rsid w:val="2613D212"/>
    <w:rsid w:val="268D706D"/>
    <w:rsid w:val="269F6066"/>
    <w:rsid w:val="26C6F2E5"/>
    <w:rsid w:val="26CB6F3B"/>
    <w:rsid w:val="26CC3F40"/>
    <w:rsid w:val="26D868B4"/>
    <w:rsid w:val="26E1F20C"/>
    <w:rsid w:val="2723D97D"/>
    <w:rsid w:val="274BAA40"/>
    <w:rsid w:val="278534D1"/>
    <w:rsid w:val="27EC6A05"/>
    <w:rsid w:val="2855E984"/>
    <w:rsid w:val="2869FFA2"/>
    <w:rsid w:val="28954F36"/>
    <w:rsid w:val="29023AC0"/>
    <w:rsid w:val="2958B959"/>
    <w:rsid w:val="295C0979"/>
    <w:rsid w:val="29C1F5EC"/>
    <w:rsid w:val="29F7DC86"/>
    <w:rsid w:val="2A109B07"/>
    <w:rsid w:val="2A71B25D"/>
    <w:rsid w:val="2AEBC4D8"/>
    <w:rsid w:val="2B1193BB"/>
    <w:rsid w:val="2B4B5062"/>
    <w:rsid w:val="2B502285"/>
    <w:rsid w:val="2B734C4F"/>
    <w:rsid w:val="2BF3B4D7"/>
    <w:rsid w:val="2C1501E5"/>
    <w:rsid w:val="2C2568E7"/>
    <w:rsid w:val="2C5D5987"/>
    <w:rsid w:val="2CDEDFDD"/>
    <w:rsid w:val="2CED5073"/>
    <w:rsid w:val="2D1B38EC"/>
    <w:rsid w:val="2D43C2A4"/>
    <w:rsid w:val="2D69F723"/>
    <w:rsid w:val="2DB4F12F"/>
    <w:rsid w:val="2DD6140F"/>
    <w:rsid w:val="2DFDE9A8"/>
    <w:rsid w:val="2E322DBA"/>
    <w:rsid w:val="2E3D0202"/>
    <w:rsid w:val="2EB4E962"/>
    <w:rsid w:val="2FD5BCB0"/>
    <w:rsid w:val="300C382E"/>
    <w:rsid w:val="3030FBC5"/>
    <w:rsid w:val="3055736A"/>
    <w:rsid w:val="30A27D2B"/>
    <w:rsid w:val="30A476F9"/>
    <w:rsid w:val="3108D719"/>
    <w:rsid w:val="3183E1BB"/>
    <w:rsid w:val="31B78DF0"/>
    <w:rsid w:val="31E8FED4"/>
    <w:rsid w:val="3216EE88"/>
    <w:rsid w:val="32352E31"/>
    <w:rsid w:val="3239C641"/>
    <w:rsid w:val="328C5557"/>
    <w:rsid w:val="32913007"/>
    <w:rsid w:val="329E941F"/>
    <w:rsid w:val="32BAA9B0"/>
    <w:rsid w:val="337AEE10"/>
    <w:rsid w:val="34222C5F"/>
    <w:rsid w:val="34900A6C"/>
    <w:rsid w:val="34B74D9F"/>
    <w:rsid w:val="34D76BD2"/>
    <w:rsid w:val="3511AC18"/>
    <w:rsid w:val="3542E57C"/>
    <w:rsid w:val="355E400D"/>
    <w:rsid w:val="35A4E8A6"/>
    <w:rsid w:val="35B1B1E7"/>
    <w:rsid w:val="361ECA8C"/>
    <w:rsid w:val="3666A386"/>
    <w:rsid w:val="368A883E"/>
    <w:rsid w:val="379352C0"/>
    <w:rsid w:val="37984031"/>
    <w:rsid w:val="37C42769"/>
    <w:rsid w:val="37E8BE04"/>
    <w:rsid w:val="37E92883"/>
    <w:rsid w:val="38416ABE"/>
    <w:rsid w:val="384C4CCE"/>
    <w:rsid w:val="38A1F145"/>
    <w:rsid w:val="38D1E0CE"/>
    <w:rsid w:val="38EE18DC"/>
    <w:rsid w:val="39194F43"/>
    <w:rsid w:val="391C4489"/>
    <w:rsid w:val="39296A2C"/>
    <w:rsid w:val="39394A21"/>
    <w:rsid w:val="39576FE9"/>
    <w:rsid w:val="39BE8E38"/>
    <w:rsid w:val="3A0ECFFD"/>
    <w:rsid w:val="3A3E7C9B"/>
    <w:rsid w:val="3A411574"/>
    <w:rsid w:val="3A43818B"/>
    <w:rsid w:val="3ACE56BD"/>
    <w:rsid w:val="3ADAE156"/>
    <w:rsid w:val="3BB301F3"/>
    <w:rsid w:val="3BDFD7A2"/>
    <w:rsid w:val="3BE3BF29"/>
    <w:rsid w:val="3D1B9031"/>
    <w:rsid w:val="3D3B3BCA"/>
    <w:rsid w:val="3D3B59F0"/>
    <w:rsid w:val="3D78ECB9"/>
    <w:rsid w:val="3DB8BD38"/>
    <w:rsid w:val="3E585C12"/>
    <w:rsid w:val="3EE54B41"/>
    <w:rsid w:val="3F052BF8"/>
    <w:rsid w:val="3F0A2D83"/>
    <w:rsid w:val="3FB0F87E"/>
    <w:rsid w:val="3FD41482"/>
    <w:rsid w:val="3FEC20DD"/>
    <w:rsid w:val="40633BEF"/>
    <w:rsid w:val="408D0B7A"/>
    <w:rsid w:val="40D06EE5"/>
    <w:rsid w:val="40DF1747"/>
    <w:rsid w:val="410E1D04"/>
    <w:rsid w:val="411B3422"/>
    <w:rsid w:val="4132A46F"/>
    <w:rsid w:val="417BC2D1"/>
    <w:rsid w:val="41851A19"/>
    <w:rsid w:val="41D3AABD"/>
    <w:rsid w:val="41EE5D4B"/>
    <w:rsid w:val="423718B7"/>
    <w:rsid w:val="426BA842"/>
    <w:rsid w:val="4289818F"/>
    <w:rsid w:val="428C61A5"/>
    <w:rsid w:val="42C5C38D"/>
    <w:rsid w:val="4330963B"/>
    <w:rsid w:val="436BCA17"/>
    <w:rsid w:val="43D433ED"/>
    <w:rsid w:val="4452B509"/>
    <w:rsid w:val="446B8FBA"/>
    <w:rsid w:val="44D606A3"/>
    <w:rsid w:val="44FD12F9"/>
    <w:rsid w:val="451A98C2"/>
    <w:rsid w:val="453446F6"/>
    <w:rsid w:val="45482873"/>
    <w:rsid w:val="45BAC14F"/>
    <w:rsid w:val="46114DBD"/>
    <w:rsid w:val="4651BEFD"/>
    <w:rsid w:val="4656DB4F"/>
    <w:rsid w:val="467471E5"/>
    <w:rsid w:val="46BCA6C2"/>
    <w:rsid w:val="4728E93A"/>
    <w:rsid w:val="47318D47"/>
    <w:rsid w:val="475D0554"/>
    <w:rsid w:val="47FAE5D1"/>
    <w:rsid w:val="485D8091"/>
    <w:rsid w:val="4930F14F"/>
    <w:rsid w:val="4995868F"/>
    <w:rsid w:val="49A1AAA2"/>
    <w:rsid w:val="49CA2072"/>
    <w:rsid w:val="49FC03D6"/>
    <w:rsid w:val="4A03D612"/>
    <w:rsid w:val="4A0E8895"/>
    <w:rsid w:val="4A4152C4"/>
    <w:rsid w:val="4AAEDA5E"/>
    <w:rsid w:val="4AEEBDF5"/>
    <w:rsid w:val="4B3B0A04"/>
    <w:rsid w:val="4B43289C"/>
    <w:rsid w:val="4B585223"/>
    <w:rsid w:val="4B685D16"/>
    <w:rsid w:val="4B6E6EF1"/>
    <w:rsid w:val="4B8C33F1"/>
    <w:rsid w:val="4B8C80EB"/>
    <w:rsid w:val="4BAEE059"/>
    <w:rsid w:val="4BF01046"/>
    <w:rsid w:val="4C1FA26C"/>
    <w:rsid w:val="4C2509F9"/>
    <w:rsid w:val="4C349600"/>
    <w:rsid w:val="4CA89594"/>
    <w:rsid w:val="4CF6C64D"/>
    <w:rsid w:val="4D5ED3BE"/>
    <w:rsid w:val="4DCB372D"/>
    <w:rsid w:val="4E6A37A2"/>
    <w:rsid w:val="4EE2DAF2"/>
    <w:rsid w:val="4F103E40"/>
    <w:rsid w:val="4F6905BB"/>
    <w:rsid w:val="4FCAE432"/>
    <w:rsid w:val="4FCD481E"/>
    <w:rsid w:val="50C05F50"/>
    <w:rsid w:val="5134B5E0"/>
    <w:rsid w:val="5172BF1D"/>
    <w:rsid w:val="519100A4"/>
    <w:rsid w:val="51920E0A"/>
    <w:rsid w:val="51C57C0C"/>
    <w:rsid w:val="51DB3E6A"/>
    <w:rsid w:val="51DDCC37"/>
    <w:rsid w:val="521092CA"/>
    <w:rsid w:val="522EC049"/>
    <w:rsid w:val="53086D27"/>
    <w:rsid w:val="53B12868"/>
    <w:rsid w:val="53FCF50D"/>
    <w:rsid w:val="54A1B50C"/>
    <w:rsid w:val="54CF2F9D"/>
    <w:rsid w:val="54EB838F"/>
    <w:rsid w:val="5509CC94"/>
    <w:rsid w:val="55EAE154"/>
    <w:rsid w:val="55F3927F"/>
    <w:rsid w:val="55F78033"/>
    <w:rsid w:val="55FA04C7"/>
    <w:rsid w:val="566B5AF6"/>
    <w:rsid w:val="5673441D"/>
    <w:rsid w:val="56762D5E"/>
    <w:rsid w:val="567BD8C4"/>
    <w:rsid w:val="56DD149A"/>
    <w:rsid w:val="570CA380"/>
    <w:rsid w:val="572271F6"/>
    <w:rsid w:val="57856EEA"/>
    <w:rsid w:val="579ED9E3"/>
    <w:rsid w:val="57D0A1EB"/>
    <w:rsid w:val="5817F5D0"/>
    <w:rsid w:val="582AD720"/>
    <w:rsid w:val="5866FBC4"/>
    <w:rsid w:val="587622D5"/>
    <w:rsid w:val="58C71105"/>
    <w:rsid w:val="58CD3897"/>
    <w:rsid w:val="59022E11"/>
    <w:rsid w:val="59342B54"/>
    <w:rsid w:val="59AF9660"/>
    <w:rsid w:val="59BE5B71"/>
    <w:rsid w:val="59D96FCA"/>
    <w:rsid w:val="59FD8810"/>
    <w:rsid w:val="5A6973D0"/>
    <w:rsid w:val="5A69B468"/>
    <w:rsid w:val="5B958B70"/>
    <w:rsid w:val="5C00DB4E"/>
    <w:rsid w:val="5C0BF095"/>
    <w:rsid w:val="5C0E5A9D"/>
    <w:rsid w:val="5CA50AF8"/>
    <w:rsid w:val="5D308D67"/>
    <w:rsid w:val="5D3E0511"/>
    <w:rsid w:val="5DB7A5D7"/>
    <w:rsid w:val="5E683742"/>
    <w:rsid w:val="5E6BA12B"/>
    <w:rsid w:val="5E7750BC"/>
    <w:rsid w:val="5E7CC62D"/>
    <w:rsid w:val="5E8E5477"/>
    <w:rsid w:val="5EAF01A4"/>
    <w:rsid w:val="5EC86198"/>
    <w:rsid w:val="5F42D133"/>
    <w:rsid w:val="5F78D80B"/>
    <w:rsid w:val="5FBC4B4E"/>
    <w:rsid w:val="5FD6AA57"/>
    <w:rsid w:val="600F07B0"/>
    <w:rsid w:val="6019F5CA"/>
    <w:rsid w:val="6084D088"/>
    <w:rsid w:val="6105E9DE"/>
    <w:rsid w:val="61407728"/>
    <w:rsid w:val="61803EEB"/>
    <w:rsid w:val="61AC2D95"/>
    <w:rsid w:val="61FE936B"/>
    <w:rsid w:val="6244D6AE"/>
    <w:rsid w:val="624FC195"/>
    <w:rsid w:val="62AAC40C"/>
    <w:rsid w:val="631C830B"/>
    <w:rsid w:val="634A4A23"/>
    <w:rsid w:val="6352CD93"/>
    <w:rsid w:val="63698F45"/>
    <w:rsid w:val="638577C9"/>
    <w:rsid w:val="63859EA8"/>
    <w:rsid w:val="63B3A8B8"/>
    <w:rsid w:val="63CB7B99"/>
    <w:rsid w:val="6479C9FF"/>
    <w:rsid w:val="64E83C75"/>
    <w:rsid w:val="6592E883"/>
    <w:rsid w:val="65F600CC"/>
    <w:rsid w:val="660774C6"/>
    <w:rsid w:val="66320267"/>
    <w:rsid w:val="6661B5EA"/>
    <w:rsid w:val="6674C3D6"/>
    <w:rsid w:val="668E8D1A"/>
    <w:rsid w:val="66AA5704"/>
    <w:rsid w:val="66E3BF0C"/>
    <w:rsid w:val="671E8DE6"/>
    <w:rsid w:val="67CBAF45"/>
    <w:rsid w:val="67D1FD8D"/>
    <w:rsid w:val="67EA22E7"/>
    <w:rsid w:val="685BF6DF"/>
    <w:rsid w:val="68C58872"/>
    <w:rsid w:val="68FDB342"/>
    <w:rsid w:val="69E280F8"/>
    <w:rsid w:val="6ABC9EA0"/>
    <w:rsid w:val="6C22EED4"/>
    <w:rsid w:val="6C618CCA"/>
    <w:rsid w:val="6C767755"/>
    <w:rsid w:val="6D6A5414"/>
    <w:rsid w:val="6DB85CDB"/>
    <w:rsid w:val="6DF791C9"/>
    <w:rsid w:val="6E76B152"/>
    <w:rsid w:val="6EACA9D3"/>
    <w:rsid w:val="6F401D7D"/>
    <w:rsid w:val="6F5BC399"/>
    <w:rsid w:val="6F7658D3"/>
    <w:rsid w:val="6F891224"/>
    <w:rsid w:val="6FBB7C1F"/>
    <w:rsid w:val="6FD27806"/>
    <w:rsid w:val="701F7CE1"/>
    <w:rsid w:val="7056E257"/>
    <w:rsid w:val="7073DB8E"/>
    <w:rsid w:val="7081CC79"/>
    <w:rsid w:val="7081D349"/>
    <w:rsid w:val="709D39C9"/>
    <w:rsid w:val="709F2D06"/>
    <w:rsid w:val="70A3F45F"/>
    <w:rsid w:val="70EC489D"/>
    <w:rsid w:val="70F56B48"/>
    <w:rsid w:val="70FC0514"/>
    <w:rsid w:val="7103F9F4"/>
    <w:rsid w:val="710EB5F3"/>
    <w:rsid w:val="712145A5"/>
    <w:rsid w:val="7142935E"/>
    <w:rsid w:val="7173E8C0"/>
    <w:rsid w:val="71B23051"/>
    <w:rsid w:val="71B52FB2"/>
    <w:rsid w:val="71F68EC1"/>
    <w:rsid w:val="720BFBBD"/>
    <w:rsid w:val="722DE3EA"/>
    <w:rsid w:val="72AA0B91"/>
    <w:rsid w:val="72E094BB"/>
    <w:rsid w:val="7305DBB6"/>
    <w:rsid w:val="7335BC61"/>
    <w:rsid w:val="734C37D5"/>
    <w:rsid w:val="735B97A4"/>
    <w:rsid w:val="739DBF35"/>
    <w:rsid w:val="73AD37CC"/>
    <w:rsid w:val="73B0B6FC"/>
    <w:rsid w:val="73EB1874"/>
    <w:rsid w:val="74299F59"/>
    <w:rsid w:val="744D4801"/>
    <w:rsid w:val="7459589B"/>
    <w:rsid w:val="7473D526"/>
    <w:rsid w:val="74897954"/>
    <w:rsid w:val="748B62CE"/>
    <w:rsid w:val="74C62ACA"/>
    <w:rsid w:val="750149ED"/>
    <w:rsid w:val="750E2D9B"/>
    <w:rsid w:val="751A82B7"/>
    <w:rsid w:val="753E44E2"/>
    <w:rsid w:val="75F96D17"/>
    <w:rsid w:val="760022A3"/>
    <w:rsid w:val="76033E17"/>
    <w:rsid w:val="760A4957"/>
    <w:rsid w:val="7626C2A1"/>
    <w:rsid w:val="7682A5DF"/>
    <w:rsid w:val="76890001"/>
    <w:rsid w:val="76A6F8A9"/>
    <w:rsid w:val="76B82D1F"/>
    <w:rsid w:val="76E3631E"/>
    <w:rsid w:val="77582A45"/>
    <w:rsid w:val="77603F65"/>
    <w:rsid w:val="77828BA1"/>
    <w:rsid w:val="77ADCBB1"/>
    <w:rsid w:val="77E80BB3"/>
    <w:rsid w:val="78169779"/>
    <w:rsid w:val="78177DA7"/>
    <w:rsid w:val="7824A630"/>
    <w:rsid w:val="78278A32"/>
    <w:rsid w:val="78A60907"/>
    <w:rsid w:val="79107C5B"/>
    <w:rsid w:val="79510C2A"/>
    <w:rsid w:val="796424FF"/>
    <w:rsid w:val="79DE1CC3"/>
    <w:rsid w:val="7AD81A8D"/>
    <w:rsid w:val="7AF259E1"/>
    <w:rsid w:val="7B105512"/>
    <w:rsid w:val="7B28DA97"/>
    <w:rsid w:val="7B2F900D"/>
    <w:rsid w:val="7B40AB18"/>
    <w:rsid w:val="7B570D83"/>
    <w:rsid w:val="7B67BC65"/>
    <w:rsid w:val="7B7A5844"/>
    <w:rsid w:val="7BC98E0B"/>
    <w:rsid w:val="7BCF648D"/>
    <w:rsid w:val="7BE7154F"/>
    <w:rsid w:val="7C03FCA9"/>
    <w:rsid w:val="7C6CF130"/>
    <w:rsid w:val="7C733528"/>
    <w:rsid w:val="7D126700"/>
    <w:rsid w:val="7D14217F"/>
    <w:rsid w:val="7D50AABB"/>
    <w:rsid w:val="7E27B776"/>
    <w:rsid w:val="7E6FCE70"/>
    <w:rsid w:val="7F1C89DC"/>
    <w:rsid w:val="7F47E3BA"/>
    <w:rsid w:val="7F4F4C83"/>
    <w:rsid w:val="7F6C192E"/>
    <w:rsid w:val="7FC014F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24"/>
      <w:lang w:val="en-GB" w:eastAsia="en-US" w:bidi="ar-SA"/>
      <w14:ligatures w14:val="standardContextual"/>
    </w:rPr>
  </w:style>
  <w:style w:type="paragraph" w:styleId="2">
    <w:name w:val="heading 1"/>
    <w:basedOn w:val="1"/>
    <w:next w:val="1"/>
    <w:link w:val="22"/>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3"/>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4"/>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5"/>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6"/>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7"/>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8"/>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0"/>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paragraph" w:styleId="14">
    <w:name w:val="footer"/>
    <w:basedOn w:val="1"/>
    <w:unhideWhenUsed/>
    <w:qFormat/>
    <w:uiPriority w:val="99"/>
    <w:pPr>
      <w:tabs>
        <w:tab w:val="center" w:pos="4680"/>
        <w:tab w:val="right" w:pos="9360"/>
      </w:tabs>
      <w:spacing w:after="0"/>
    </w:pPr>
  </w:style>
  <w:style w:type="paragraph" w:styleId="15">
    <w:name w:val="header"/>
    <w:basedOn w:val="1"/>
    <w:unhideWhenUsed/>
    <w:qFormat/>
    <w:uiPriority w:val="99"/>
    <w:pPr>
      <w:tabs>
        <w:tab w:val="center" w:pos="4680"/>
        <w:tab w:val="right" w:pos="9360"/>
      </w:tabs>
      <w:spacing w:after="0"/>
    </w:pPr>
  </w:style>
  <w:style w:type="character" w:styleId="16">
    <w:name w:val="Hyperlink"/>
    <w:basedOn w:val="11"/>
    <w:unhideWhenUsed/>
    <w:qFormat/>
    <w:uiPriority w:val="99"/>
    <w:rPr>
      <w:color w:val="0000FF"/>
      <w:u w:val="single"/>
    </w:rPr>
  </w:style>
  <w:style w:type="paragraph" w:styleId="17">
    <w:name w:val="Normal (Web)"/>
    <w:basedOn w:val="1"/>
    <w:semiHidden/>
    <w:unhideWhenUsed/>
    <w:qFormat/>
    <w:uiPriority w:val="99"/>
    <w:pPr>
      <w:spacing w:before="100" w:beforeAutospacing="1" w:after="100" w:afterAutospacing="1" w:line="240" w:lineRule="auto"/>
    </w:pPr>
    <w:rPr>
      <w:rFonts w:ascii="Times New Roman" w:hAnsi="Times New Roman" w:cs="Times New Roman"/>
      <w:kern w:val="0"/>
      <w14:ligatures w14:val="none"/>
    </w:rPr>
  </w:style>
  <w:style w:type="character" w:styleId="18">
    <w:name w:val="Strong"/>
    <w:basedOn w:val="11"/>
    <w:qFormat/>
    <w:uiPriority w:val="22"/>
    <w:rPr>
      <w:b/>
      <w:bCs/>
    </w:rPr>
  </w:style>
  <w:style w:type="paragraph" w:styleId="19">
    <w:name w:val="Subtitle"/>
    <w:basedOn w:val="1"/>
    <w:next w:val="1"/>
    <w:link w:val="32"/>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0">
    <w:name w:val="Table Grid"/>
    <w:basedOn w:val="1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1">
    <w:name w:val="Title"/>
    <w:basedOn w:val="1"/>
    <w:next w:val="1"/>
    <w:link w:val="31"/>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2">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3">
    <w:name w:val="Heading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24">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25">
    <w:name w:val="Heading 4 Char"/>
    <w:basedOn w:val="11"/>
    <w:link w:val="5"/>
    <w:semiHidden/>
    <w:qFormat/>
    <w:uiPriority w:val="9"/>
    <w:rPr>
      <w:rFonts w:eastAsiaTheme="majorEastAsia" w:cstheme="majorBidi"/>
      <w:i/>
      <w:iCs/>
      <w:color w:val="104862" w:themeColor="accent1" w:themeShade="BF"/>
    </w:rPr>
  </w:style>
  <w:style w:type="character" w:customStyle="1" w:styleId="26">
    <w:name w:val="Heading 5 Char"/>
    <w:basedOn w:val="11"/>
    <w:link w:val="6"/>
    <w:semiHidden/>
    <w:qFormat/>
    <w:uiPriority w:val="9"/>
    <w:rPr>
      <w:rFonts w:eastAsiaTheme="majorEastAsia" w:cstheme="majorBidi"/>
      <w:color w:val="104862" w:themeColor="accent1" w:themeShade="BF"/>
    </w:rPr>
  </w:style>
  <w:style w:type="character" w:customStyle="1" w:styleId="27">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8">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0">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1">
    <w:name w:val="Title Char"/>
    <w:basedOn w:val="11"/>
    <w:link w:val="21"/>
    <w:qFormat/>
    <w:uiPriority w:val="10"/>
    <w:rPr>
      <w:rFonts w:asciiTheme="majorHAnsi" w:hAnsiTheme="majorHAnsi" w:eastAsiaTheme="majorEastAsia" w:cstheme="majorBidi"/>
      <w:spacing w:val="-10"/>
      <w:kern w:val="28"/>
      <w:sz w:val="56"/>
      <w:szCs w:val="56"/>
    </w:rPr>
  </w:style>
  <w:style w:type="character" w:customStyle="1" w:styleId="32">
    <w:name w:val="Subtitle Char"/>
    <w:basedOn w:val="11"/>
    <w:link w:val="1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Quote Char"/>
    <w:basedOn w:val="11"/>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Intense Emphasis1"/>
    <w:basedOn w:val="11"/>
    <w:qFormat/>
    <w:uiPriority w:val="21"/>
    <w:rPr>
      <w:i/>
      <w:iCs/>
      <w:color w:val="104862" w:themeColor="accent1" w:themeShade="BF"/>
    </w:rPr>
  </w:style>
  <w:style w:type="paragraph" w:styleId="37">
    <w:name w:val="Intense Quote"/>
    <w:basedOn w:val="1"/>
    <w:next w:val="1"/>
    <w:link w:val="38"/>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8">
    <w:name w:val="Intense Quote Char"/>
    <w:basedOn w:val="11"/>
    <w:link w:val="37"/>
    <w:qFormat/>
    <w:uiPriority w:val="30"/>
    <w:rPr>
      <w:i/>
      <w:iCs/>
      <w:color w:val="104862" w:themeColor="accent1" w:themeShade="BF"/>
    </w:rPr>
  </w:style>
  <w:style w:type="character" w:customStyle="1" w:styleId="39">
    <w:name w:val="Intense Reference1"/>
    <w:basedOn w:val="11"/>
    <w:qFormat/>
    <w:uiPriority w:val="32"/>
    <w:rPr>
      <w:b/>
      <w:bCs/>
      <w:smallCaps/>
      <w:color w:val="104862" w:themeColor="accent1" w:themeShade="BF"/>
      <w:spacing w:val="5"/>
    </w:rPr>
  </w:style>
  <w:style w:type="paragraph" w:customStyle="1" w:styleId="40">
    <w:name w:val="Style1"/>
    <w:basedOn w:val="1"/>
    <w:link w:val="41"/>
    <w:qFormat/>
    <w:uiPriority w:val="1"/>
    <w:pPr>
      <w:shd w:val="clear" w:color="auto" w:fill="FFFFFF" w:themeFill="background1"/>
    </w:pPr>
    <w:rPr>
      <w:color w:val="2E2E2E"/>
    </w:rPr>
  </w:style>
  <w:style w:type="character" w:customStyle="1" w:styleId="41">
    <w:name w:val="Style1 Char"/>
    <w:basedOn w:val="11"/>
    <w:link w:val="40"/>
    <w:qFormat/>
    <w:uiPriority w:val="0"/>
    <w:rPr>
      <w:rFonts w:asciiTheme="minorHAnsi" w:hAnsiTheme="minorHAnsi" w:eastAsiaTheme="minorEastAsia" w:cstheme="minorBidi"/>
      <w:color w:val="2E2E2E"/>
      <w:sz w:val="24"/>
      <w:szCs w:val="24"/>
      <w:lang w:eastAsia="en-US"/>
    </w:rPr>
  </w:style>
  <w:style w:type="character" w:customStyle="1" w:styleId="42">
    <w:name w:val="Unresolved Mention"/>
    <w:basedOn w:val="11"/>
    <w:semiHidden/>
    <w:unhideWhenUsed/>
    <w:qFormat/>
    <w:uiPriority w:val="99"/>
    <w:rPr>
      <w:color w:val="605E5C"/>
      <w:shd w:val="clear" w:color="auto" w:fill="E1DFDD"/>
    </w:rPr>
  </w:style>
  <w:style w:type="paragraph" w:customStyle="1" w:styleId="43">
    <w:name w:val="WPSOffice手动目录 1"/>
    <w:qFormat/>
    <w:uiPriority w:val="0"/>
    <w:pPr>
      <w:ind w:leftChars="0"/>
    </w:pPr>
    <w:rPr>
      <w:rFonts w:asciiTheme="minorHAnsi" w:hAnsiTheme="minorHAnsi" w:eastAsiaTheme="minorEastAsia" w:cstheme="minorBidi"/>
      <w:sz w:val="20"/>
      <w:szCs w:val="20"/>
    </w:rPr>
  </w:style>
  <w:style w:type="paragraph" w:customStyle="1" w:styleId="44">
    <w:name w:val="WPSOffice手动目录 2"/>
    <w:qFormat/>
    <w:uiPriority w:val="0"/>
    <w:pPr>
      <w:ind w:leftChars="200"/>
    </w:pPr>
    <w:rPr>
      <w:rFonts w:asciiTheme="minorHAnsi" w:hAnsiTheme="minorHAnsi" w:eastAsiaTheme="minorEastAsia" w:cstheme="minorBidi"/>
      <w:sz w:val="20"/>
      <w:szCs w:val="20"/>
    </w:rPr>
  </w:style>
  <w:style w:type="paragraph" w:customStyle="1" w:styleId="45">
    <w:name w:val="WPSOffice手动目录 3"/>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image" Target="media/image19.jpeg"/><Relationship Id="rId28" Type="http://schemas.openxmlformats.org/officeDocument/2006/relationships/image" Target="media/image18.jpeg"/><Relationship Id="rId27" Type="http://schemas.openxmlformats.org/officeDocument/2006/relationships/image" Target="media/image17.jpeg"/><Relationship Id="rId26" Type="http://schemas.openxmlformats.org/officeDocument/2006/relationships/image" Target="media/image16.jpeg"/><Relationship Id="rId25" Type="http://schemas.openxmlformats.org/officeDocument/2006/relationships/image" Target="media/image15.jpeg"/><Relationship Id="rId24" Type="http://schemas.openxmlformats.org/officeDocument/2006/relationships/image" Target="media/image14.jpeg"/><Relationship Id="rId23" Type="http://schemas.openxmlformats.org/officeDocument/2006/relationships/image" Target="media/image13.jpeg"/><Relationship Id="rId22" Type="http://schemas.openxmlformats.org/officeDocument/2006/relationships/image" Target="media/image12.jpeg"/><Relationship Id="rId21" Type="http://schemas.openxmlformats.org/officeDocument/2006/relationships/image" Target="media/image11.jpeg"/><Relationship Id="rId20" Type="http://schemas.openxmlformats.org/officeDocument/2006/relationships/image" Target="media/image10.jpeg"/><Relationship Id="rId2" Type="http://schemas.openxmlformats.org/officeDocument/2006/relationships/settings" Target="settings.xml"/><Relationship Id="rId19" Type="http://schemas.openxmlformats.org/officeDocument/2006/relationships/image" Target="media/image9.jpeg"/><Relationship Id="rId18" Type="http://schemas.openxmlformats.org/officeDocument/2006/relationships/image" Target="media/image8.png"/><Relationship Id="rId17" Type="http://schemas.openxmlformats.org/officeDocument/2006/relationships/image" Target="media/image7.jpeg"/><Relationship Id="rId16" Type="http://schemas.openxmlformats.org/officeDocument/2006/relationships/image" Target="media/image6.jpeg"/><Relationship Id="rId15" Type="http://schemas.openxmlformats.org/officeDocument/2006/relationships/image" Target="media/image5.jpeg"/><Relationship Id="rId14" Type="http://schemas.openxmlformats.org/officeDocument/2006/relationships/image" Target="media/image4.png"/><Relationship Id="rId13" Type="http://schemas.openxmlformats.org/officeDocument/2006/relationships/image" Target="media/image3.jpeg"/><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35</Pages>
  <Words>5656</Words>
  <Characters>32240</Characters>
  <Lines>268</Lines>
  <Paragraphs>75</Paragraphs>
  <TotalTime>24</TotalTime>
  <ScaleCrop>false</ScaleCrop>
  <LinksUpToDate>false</LinksUpToDate>
  <CharactersWithSpaces>37821</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2026-02-26T14:09:00Z</dcterms:created>
  <dc:creator>Hetvi Sangdot</dc:creator>
  <cp:lastModifiedBy>Rajveer Rana</cp:lastModifiedBy>
  <dcterms:modified xsi:type="dcterms:W3CDTF">2026-02-27T00:33:17Z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041769AA759D4D95B5107D3AC99AAE1D_13</vt:lpwstr>
  </property>
</Properties>
</file>