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A8799CB" w14:textId="43F3B6D3" w:rsidR="0068097B" w:rsidRDefault="008279DB">
      <w:pPr>
        <w:spacing w:line="360" w:lineRule="auto"/>
        <w:rPr>
          <w:b/>
        </w:rPr>
      </w:pPr>
      <w:r>
        <w:rPr>
          <w:b/>
          <w:noProof/>
        </w:rPr>
        <w:drawing>
          <wp:anchor distT="0" distB="0" distL="114300" distR="114300" simplePos="0" relativeHeight="251658240" behindDoc="1" locked="0" layoutInCell="1" allowOverlap="1" wp14:anchorId="77B9A493" wp14:editId="523E7740">
            <wp:simplePos x="0" y="0"/>
            <wp:positionH relativeFrom="column">
              <wp:posOffset>2762250</wp:posOffset>
            </wp:positionH>
            <wp:positionV relativeFrom="paragraph">
              <wp:posOffset>-635469</wp:posOffset>
            </wp:positionV>
            <wp:extent cx="3843020" cy="1921510"/>
            <wp:effectExtent l="304800" t="304800" r="328930" b="326390"/>
            <wp:wrapThrough wrapText="bothSides">
              <wp:wrapPolygon edited="0">
                <wp:start x="964" y="-3426"/>
                <wp:lineTo x="-1285" y="-2998"/>
                <wp:lineTo x="-1285" y="428"/>
                <wp:lineTo x="-1713" y="428"/>
                <wp:lineTo x="-1713" y="21200"/>
                <wp:lineTo x="-857" y="24412"/>
                <wp:lineTo x="-107" y="25055"/>
                <wp:lineTo x="19915" y="25055"/>
                <wp:lineTo x="20772" y="24412"/>
                <wp:lineTo x="22913" y="21200"/>
                <wp:lineTo x="22913" y="20986"/>
                <wp:lineTo x="23342" y="17560"/>
                <wp:lineTo x="23342" y="428"/>
                <wp:lineTo x="22271" y="-2784"/>
                <wp:lineTo x="22164" y="-3426"/>
                <wp:lineTo x="964" y="-3426"/>
              </wp:wrapPolygon>
            </wp:wrapThrough>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8"/>
                    <a:stretch>
                      <a:fillRect/>
                    </a:stretch>
                  </pic:blipFill>
                  <pic:spPr>
                    <a:xfrm>
                      <a:off x="0" y="0"/>
                      <a:ext cx="3843020" cy="1921510"/>
                    </a:xfrm>
                    <a:prstGeom prst="round2DiagRect">
                      <a:avLst>
                        <a:gd name="adj1" fmla="val 16667"/>
                        <a:gd name="adj2" fmla="val 0"/>
                      </a:avLst>
                    </a:prstGeom>
                    <a:ln w="88900" cap="sq">
                      <a:solidFill>
                        <a:srgbClr val="FFFFFF"/>
                      </a:solidFill>
                      <a:miter lim="800000"/>
                    </a:ln>
                    <a:effectLst>
                      <a:outerShdw blurRad="254000" algn="tl" rotWithShape="0">
                        <a:srgbClr val="000000">
                          <a:alpha val="43000"/>
                        </a:srgbClr>
                      </a:outerShdw>
                    </a:effectLst>
                  </pic:spPr>
                </pic:pic>
              </a:graphicData>
            </a:graphic>
            <wp14:sizeRelH relativeFrom="margin">
              <wp14:pctWidth>0</wp14:pctWidth>
            </wp14:sizeRelH>
            <wp14:sizeRelV relativeFrom="margin">
              <wp14:pctHeight>0</wp14:pctHeight>
            </wp14:sizeRelV>
          </wp:anchor>
        </w:drawing>
      </w:r>
    </w:p>
    <w:p w14:paraId="50C9F888" w14:textId="77777777" w:rsidR="0068097B" w:rsidRDefault="0068097B">
      <w:pPr>
        <w:spacing w:line="360" w:lineRule="auto"/>
        <w:rPr>
          <w:b/>
        </w:rPr>
      </w:pPr>
    </w:p>
    <w:p w14:paraId="7609BB67" w14:textId="77777777" w:rsidR="0068097B" w:rsidRDefault="0068097B">
      <w:pPr>
        <w:spacing w:line="360" w:lineRule="auto"/>
        <w:rPr>
          <w:b/>
        </w:rPr>
      </w:pPr>
    </w:p>
    <w:p w14:paraId="0D91D7ED" w14:textId="77777777" w:rsidR="0068097B" w:rsidRDefault="0068097B">
      <w:pPr>
        <w:spacing w:line="360" w:lineRule="auto"/>
        <w:rPr>
          <w:b/>
        </w:rPr>
      </w:pPr>
    </w:p>
    <w:p w14:paraId="62D68300" w14:textId="77777777" w:rsidR="0068097B" w:rsidRDefault="0068097B">
      <w:pPr>
        <w:spacing w:line="360" w:lineRule="auto"/>
        <w:rPr>
          <w:b/>
        </w:rPr>
      </w:pPr>
    </w:p>
    <w:p w14:paraId="0F3162C3" w14:textId="77777777" w:rsidR="0068097B" w:rsidRDefault="0068097B">
      <w:pPr>
        <w:spacing w:line="360" w:lineRule="auto"/>
        <w:rPr>
          <w:b/>
        </w:rPr>
      </w:pPr>
    </w:p>
    <w:p w14:paraId="1C776146" w14:textId="49163B2E" w:rsidR="008279DB" w:rsidRDefault="008279DB">
      <w:pPr>
        <w:spacing w:line="360" w:lineRule="auto"/>
        <w:rPr>
          <w:b/>
        </w:rPr>
      </w:pPr>
    </w:p>
    <w:p w14:paraId="74E94107" w14:textId="77777777" w:rsidR="008279DB" w:rsidRDefault="008279DB">
      <w:pPr>
        <w:spacing w:line="360" w:lineRule="auto"/>
        <w:rPr>
          <w:b/>
        </w:rPr>
      </w:pPr>
    </w:p>
    <w:p w14:paraId="4DA6A4C3" w14:textId="77777777" w:rsidR="0068097B" w:rsidRDefault="0068097B">
      <w:pPr>
        <w:spacing w:line="360" w:lineRule="auto"/>
        <w:rPr>
          <w:b/>
        </w:rPr>
      </w:pPr>
    </w:p>
    <w:p w14:paraId="2855138E" w14:textId="29887EE5" w:rsidR="00BB5DC1" w:rsidRPr="0068097B" w:rsidRDefault="008279DB">
      <w:pPr>
        <w:spacing w:line="360" w:lineRule="auto"/>
        <w:rPr>
          <w:rFonts w:cs="Arial"/>
          <w:color w:val="000000" w:themeColor="text1"/>
        </w:rPr>
      </w:pPr>
      <w:r w:rsidRPr="0068097B">
        <w:rPr>
          <w:rFonts w:cs="Arial"/>
        </w:rPr>
        <w:t>Student Name:</w:t>
      </w:r>
      <w:r w:rsidRPr="0068097B">
        <w:rPr>
          <w:rFonts w:cs="Arial"/>
          <w:b/>
          <w:color w:val="000000" w:themeColor="text1"/>
        </w:rPr>
        <w:t xml:space="preserve"> </w:t>
      </w:r>
      <w:r w:rsidRPr="0068097B">
        <w:rPr>
          <w:rFonts w:cs="Arial"/>
          <w:color w:val="000000" w:themeColor="text1"/>
        </w:rPr>
        <w:t>Julaka Awal</w:t>
      </w:r>
    </w:p>
    <w:p w14:paraId="62DC00A1" w14:textId="64D36FD6" w:rsidR="00BB5DC1" w:rsidRPr="0068097B" w:rsidRDefault="008279DB">
      <w:pPr>
        <w:spacing w:line="360" w:lineRule="auto"/>
        <w:rPr>
          <w:rFonts w:cs="Arial"/>
          <w:color w:val="000000" w:themeColor="text1"/>
        </w:rPr>
      </w:pPr>
      <w:r w:rsidRPr="0068097B">
        <w:rPr>
          <w:rFonts w:cs="Arial"/>
        </w:rPr>
        <w:t>Student Number</w:t>
      </w:r>
      <w:r w:rsidRPr="0068097B">
        <w:rPr>
          <w:rFonts w:cs="Arial"/>
          <w:b/>
          <w:color w:val="000000" w:themeColor="text1"/>
        </w:rPr>
        <w:t xml:space="preserve">: </w:t>
      </w:r>
      <w:r w:rsidRPr="0068097B">
        <w:rPr>
          <w:rFonts w:cs="Arial"/>
          <w:color w:val="000000" w:themeColor="text1"/>
        </w:rPr>
        <w:t>2427684</w:t>
      </w:r>
    </w:p>
    <w:p w14:paraId="2D111CB9" w14:textId="78FB7CFD" w:rsidR="00BB5DC1" w:rsidRPr="0068097B" w:rsidRDefault="008279DB" w:rsidP="008279DB">
      <w:pPr>
        <w:rPr>
          <w:b/>
          <w:color w:val="000000" w:themeColor="text1"/>
        </w:rPr>
      </w:pPr>
      <w:r w:rsidRPr="0068097B">
        <w:t>Module Code</w:t>
      </w:r>
      <w:r w:rsidRPr="0068097B">
        <w:rPr>
          <w:b/>
          <w:color w:val="000000" w:themeColor="text1"/>
        </w:rPr>
        <w:t xml:space="preserve">: </w:t>
      </w:r>
      <w:r w:rsidRPr="008279DB">
        <w:t>LCHS4010</w:t>
      </w:r>
    </w:p>
    <w:p w14:paraId="52CFADB1" w14:textId="5D8F85B7" w:rsidR="0068097B" w:rsidRPr="0068097B" w:rsidRDefault="0068097B">
      <w:pPr>
        <w:spacing w:line="360" w:lineRule="auto"/>
        <w:rPr>
          <w:rFonts w:cs="Arial"/>
          <w:color w:val="000000" w:themeColor="text1"/>
        </w:rPr>
      </w:pPr>
      <w:r w:rsidRPr="0068097B">
        <w:rPr>
          <w:rFonts w:cs="Arial"/>
          <w:color w:val="000000" w:themeColor="text1"/>
        </w:rPr>
        <w:t>Module</w:t>
      </w:r>
      <w:r w:rsidR="008279DB" w:rsidRPr="0068097B">
        <w:rPr>
          <w:rFonts w:cs="Arial"/>
          <w:color w:val="000000" w:themeColor="text1"/>
        </w:rPr>
        <w:t>:</w:t>
      </w:r>
      <w:r w:rsidR="008279DB">
        <w:rPr>
          <w:rFonts w:cs="Arial"/>
          <w:color w:val="000000" w:themeColor="text1"/>
        </w:rPr>
        <w:t xml:space="preserve"> Psychology in Health and Social Care </w:t>
      </w:r>
    </w:p>
    <w:p w14:paraId="04879ED5" w14:textId="467D1D6C" w:rsidR="00BB5DC1" w:rsidRPr="0068097B" w:rsidRDefault="008279DB" w:rsidP="0068097B">
      <w:pPr>
        <w:rPr>
          <w:rFonts w:cs="Arial"/>
        </w:rPr>
      </w:pPr>
      <w:r w:rsidRPr="0068097B">
        <w:rPr>
          <w:rFonts w:cs="Arial"/>
        </w:rPr>
        <w:t xml:space="preserve">Lecturer’s Name: </w:t>
      </w:r>
      <w:proofErr w:type="spellStart"/>
      <w:r w:rsidR="0068097B" w:rsidRPr="0068097B">
        <w:rPr>
          <w:rFonts w:cs="Arial"/>
        </w:rPr>
        <w:t>Shaila</w:t>
      </w:r>
      <w:proofErr w:type="spellEnd"/>
      <w:r w:rsidR="0068097B" w:rsidRPr="0068097B">
        <w:rPr>
          <w:rFonts w:cs="Arial"/>
        </w:rPr>
        <w:t xml:space="preserve"> Hussain </w:t>
      </w:r>
    </w:p>
    <w:p w14:paraId="61E4F8A4" w14:textId="19ED8BBB" w:rsidR="00BB5DC1" w:rsidRPr="0068097B" w:rsidRDefault="008279DB" w:rsidP="0068097B">
      <w:pPr>
        <w:rPr>
          <w:rFonts w:cs="Arial"/>
        </w:rPr>
      </w:pPr>
      <w:r w:rsidRPr="0068097B">
        <w:rPr>
          <w:rFonts w:cs="Arial"/>
        </w:rPr>
        <w:t xml:space="preserve">Assignment Title: </w:t>
      </w:r>
      <w:r w:rsidRPr="0068097B">
        <w:rPr>
          <w:rFonts w:cs="Arial"/>
        </w:rPr>
        <w:t xml:space="preserve">Using Psychological Theory </w:t>
      </w:r>
      <w:r>
        <w:rPr>
          <w:rFonts w:cs="Arial"/>
        </w:rPr>
        <w:t>to</w:t>
      </w:r>
      <w:r w:rsidRPr="0068097B">
        <w:rPr>
          <w:rFonts w:cs="Arial"/>
        </w:rPr>
        <w:t xml:space="preserve"> </w:t>
      </w:r>
      <w:r w:rsidRPr="0068097B">
        <w:rPr>
          <w:rFonts w:cs="Arial"/>
        </w:rPr>
        <w:t xml:space="preserve">Support Adults (65+) With </w:t>
      </w:r>
      <w:r w:rsidRPr="0068097B">
        <w:rPr>
          <w:rFonts w:cs="Arial"/>
        </w:rPr>
        <w:t xml:space="preserve">Dementia </w:t>
      </w:r>
      <w:r>
        <w:rPr>
          <w:rFonts w:cs="Arial"/>
        </w:rPr>
        <w:t>i</w:t>
      </w:r>
      <w:r w:rsidRPr="0068097B">
        <w:rPr>
          <w:rFonts w:cs="Arial"/>
        </w:rPr>
        <w:t xml:space="preserve">n </w:t>
      </w:r>
      <w:r w:rsidRPr="0068097B">
        <w:rPr>
          <w:rFonts w:cs="Arial"/>
        </w:rPr>
        <w:t>Care Homes</w:t>
      </w:r>
    </w:p>
    <w:p w14:paraId="28238C50" w14:textId="1C2D3943" w:rsidR="00BB5DC1" w:rsidRPr="0068097B" w:rsidRDefault="008279DB" w:rsidP="0068097B">
      <w:pPr>
        <w:rPr>
          <w:rFonts w:cs="Arial"/>
        </w:rPr>
      </w:pPr>
      <w:r>
        <w:rPr>
          <w:rFonts w:cs="Arial"/>
        </w:rPr>
        <w:t xml:space="preserve">Submission </w:t>
      </w:r>
      <w:r w:rsidRPr="0068097B">
        <w:rPr>
          <w:rFonts w:cs="Arial"/>
        </w:rPr>
        <w:t>Date</w:t>
      </w:r>
      <w:r w:rsidRPr="0068097B">
        <w:rPr>
          <w:rFonts w:cs="Arial"/>
          <w:b/>
        </w:rPr>
        <w:t xml:space="preserve">: </w:t>
      </w:r>
      <w:r>
        <w:rPr>
          <w:rFonts w:cs="Arial"/>
        </w:rPr>
        <w:t>19/12/</w:t>
      </w:r>
      <w:r w:rsidRPr="0068097B">
        <w:rPr>
          <w:rFonts w:cs="Arial"/>
        </w:rPr>
        <w:t>2025</w:t>
      </w:r>
    </w:p>
    <w:p w14:paraId="02583FF2" w14:textId="77777777" w:rsidR="00684E9A" w:rsidRPr="0068097B" w:rsidRDefault="00684E9A">
      <w:pPr>
        <w:rPr>
          <w:rFonts w:cs="Arial"/>
          <w:color w:val="000000" w:themeColor="text1"/>
        </w:rPr>
      </w:pPr>
    </w:p>
    <w:p w14:paraId="406FF396" w14:textId="77777777" w:rsidR="00684E9A" w:rsidRPr="0068097B" w:rsidRDefault="00684E9A">
      <w:pPr>
        <w:rPr>
          <w:rFonts w:cs="Arial"/>
        </w:rPr>
      </w:pPr>
    </w:p>
    <w:p w14:paraId="42492B51" w14:textId="77777777" w:rsidR="00684E9A" w:rsidRDefault="00684E9A"/>
    <w:p w14:paraId="4D01D8DA" w14:textId="77777777" w:rsidR="00684E9A" w:rsidRDefault="00684E9A"/>
    <w:p w14:paraId="35770881" w14:textId="77777777" w:rsidR="00684E9A" w:rsidRDefault="00684E9A"/>
    <w:p w14:paraId="106E648A" w14:textId="77777777" w:rsidR="00684E9A" w:rsidRDefault="00684E9A"/>
    <w:p w14:paraId="6E7B4436" w14:textId="77777777" w:rsidR="00684E9A" w:rsidRDefault="00684E9A"/>
    <w:p w14:paraId="0BE92F52" w14:textId="77777777" w:rsidR="00684E9A" w:rsidRDefault="00684E9A"/>
    <w:p w14:paraId="3B50F493" w14:textId="77777777" w:rsidR="00684E9A" w:rsidRDefault="00684E9A"/>
    <w:p w14:paraId="05CA597C" w14:textId="77777777" w:rsidR="00684E9A" w:rsidRDefault="00684E9A"/>
    <w:p w14:paraId="67D1237E" w14:textId="217F4C2A" w:rsidR="00684E9A" w:rsidRDefault="00684E9A"/>
    <w:p w14:paraId="2B99AC7E" w14:textId="417B3152" w:rsidR="00684E9A" w:rsidRDefault="00684E9A"/>
    <w:p w14:paraId="2E1FDE92" w14:textId="17AA6155" w:rsidR="00684E9A" w:rsidRDefault="00684E9A"/>
    <w:p w14:paraId="7E64A8A1" w14:textId="77777777" w:rsidR="00684E9A" w:rsidRDefault="00684E9A"/>
    <w:sdt>
      <w:sdtPr>
        <w:id w:val="338055576"/>
        <w:docPartObj>
          <w:docPartGallery w:val="Table of Contents"/>
          <w:docPartUnique/>
        </w:docPartObj>
      </w:sdtPr>
      <w:sdtEndPr>
        <w:rPr>
          <w:rFonts w:ascii="Arial" w:eastAsiaTheme="minorEastAsia" w:hAnsi="Arial" w:cstheme="minorBidi"/>
          <w:noProof/>
          <w:color w:val="auto"/>
          <w:sz w:val="22"/>
          <w:szCs w:val="22"/>
        </w:rPr>
      </w:sdtEndPr>
      <w:sdtContent>
        <w:p w14:paraId="16DF58DE" w14:textId="3C0E4255" w:rsidR="00684E9A" w:rsidRPr="0068097B" w:rsidRDefault="00684E9A">
          <w:pPr>
            <w:pStyle w:val="TOCHeading"/>
            <w:rPr>
              <w:rFonts w:ascii="Arial" w:hAnsi="Arial" w:cs="Arial"/>
              <w:sz w:val="22"/>
              <w:szCs w:val="22"/>
            </w:rPr>
          </w:pPr>
          <w:r w:rsidRPr="0068097B">
            <w:rPr>
              <w:rFonts w:ascii="Arial" w:hAnsi="Arial" w:cs="Arial"/>
              <w:sz w:val="22"/>
              <w:szCs w:val="22"/>
            </w:rPr>
            <w:t>Contents</w:t>
          </w:r>
        </w:p>
        <w:p w14:paraId="1DA259EC" w14:textId="0440F54F" w:rsidR="0068097B" w:rsidRPr="0068097B" w:rsidRDefault="00684E9A">
          <w:pPr>
            <w:pStyle w:val="TOC1"/>
            <w:tabs>
              <w:tab w:val="right" w:leader="dot" w:pos="8630"/>
            </w:tabs>
            <w:rPr>
              <w:rFonts w:cs="Arial"/>
              <w:noProof/>
            </w:rPr>
          </w:pPr>
          <w:r w:rsidRPr="0068097B">
            <w:rPr>
              <w:rFonts w:cs="Arial"/>
            </w:rPr>
            <w:fldChar w:fldCharType="begin"/>
          </w:r>
          <w:r w:rsidRPr="0068097B">
            <w:rPr>
              <w:rFonts w:cs="Arial"/>
            </w:rPr>
            <w:instrText xml:space="preserve"> TOC \o "1-3" \h \z \u </w:instrText>
          </w:r>
          <w:r w:rsidRPr="0068097B">
            <w:rPr>
              <w:rFonts w:cs="Arial"/>
            </w:rPr>
            <w:fldChar w:fldCharType="separate"/>
          </w:r>
          <w:hyperlink w:anchor="_Toc215738925" w:history="1">
            <w:r w:rsidR="0068097B" w:rsidRPr="0068097B">
              <w:rPr>
                <w:rStyle w:val="Hyperlink"/>
                <w:rFonts w:cs="Arial"/>
                <w:noProof/>
              </w:rPr>
              <w:t>Using Psychological Theory to Support Adults (65+) with Dementia in Care Homes</w:t>
            </w:r>
            <w:r w:rsidR="0068097B" w:rsidRPr="0068097B">
              <w:rPr>
                <w:rFonts w:cs="Arial"/>
                <w:noProof/>
                <w:webHidden/>
              </w:rPr>
              <w:tab/>
            </w:r>
            <w:r w:rsidR="0068097B" w:rsidRPr="0068097B">
              <w:rPr>
                <w:rFonts w:cs="Arial"/>
                <w:noProof/>
                <w:webHidden/>
              </w:rPr>
              <w:fldChar w:fldCharType="begin"/>
            </w:r>
            <w:r w:rsidR="0068097B" w:rsidRPr="0068097B">
              <w:rPr>
                <w:rFonts w:cs="Arial"/>
                <w:noProof/>
                <w:webHidden/>
              </w:rPr>
              <w:instrText xml:space="preserve"> PAGEREF _Toc215738925 \h </w:instrText>
            </w:r>
            <w:r w:rsidR="0068097B" w:rsidRPr="0068097B">
              <w:rPr>
                <w:rFonts w:cs="Arial"/>
                <w:noProof/>
                <w:webHidden/>
              </w:rPr>
            </w:r>
            <w:r w:rsidR="0068097B" w:rsidRPr="0068097B">
              <w:rPr>
                <w:rFonts w:cs="Arial"/>
                <w:noProof/>
                <w:webHidden/>
              </w:rPr>
              <w:fldChar w:fldCharType="separate"/>
            </w:r>
            <w:r w:rsidR="008279DB">
              <w:rPr>
                <w:rFonts w:cs="Arial"/>
                <w:noProof/>
                <w:webHidden/>
              </w:rPr>
              <w:t>3</w:t>
            </w:r>
            <w:r w:rsidR="0068097B" w:rsidRPr="0068097B">
              <w:rPr>
                <w:rFonts w:cs="Arial"/>
                <w:noProof/>
                <w:webHidden/>
              </w:rPr>
              <w:fldChar w:fldCharType="end"/>
            </w:r>
          </w:hyperlink>
        </w:p>
        <w:p w14:paraId="78607E7C" w14:textId="2C0DC988" w:rsidR="0068097B" w:rsidRPr="0068097B" w:rsidRDefault="0068097B">
          <w:pPr>
            <w:pStyle w:val="TOC2"/>
            <w:tabs>
              <w:tab w:val="right" w:leader="dot" w:pos="8630"/>
            </w:tabs>
            <w:rPr>
              <w:rFonts w:cs="Arial"/>
              <w:noProof/>
            </w:rPr>
          </w:pPr>
          <w:hyperlink w:anchor="_Toc215738926" w:history="1">
            <w:r w:rsidRPr="0068097B">
              <w:rPr>
                <w:rStyle w:val="Hyperlink"/>
                <w:rFonts w:cs="Arial"/>
                <w:noProof/>
              </w:rPr>
              <w:t>Introduction and Context</w:t>
            </w:r>
            <w:r w:rsidRPr="0068097B">
              <w:rPr>
                <w:rFonts w:cs="Arial"/>
                <w:noProof/>
                <w:webHidden/>
              </w:rPr>
              <w:tab/>
            </w:r>
            <w:r w:rsidRPr="0068097B">
              <w:rPr>
                <w:rFonts w:cs="Arial"/>
                <w:noProof/>
                <w:webHidden/>
              </w:rPr>
              <w:fldChar w:fldCharType="begin"/>
            </w:r>
            <w:r w:rsidRPr="0068097B">
              <w:rPr>
                <w:rFonts w:cs="Arial"/>
                <w:noProof/>
                <w:webHidden/>
              </w:rPr>
              <w:instrText xml:space="preserve"> PAGEREF _Toc215738926 \h </w:instrText>
            </w:r>
            <w:r w:rsidRPr="0068097B">
              <w:rPr>
                <w:rFonts w:cs="Arial"/>
                <w:noProof/>
                <w:webHidden/>
              </w:rPr>
            </w:r>
            <w:r w:rsidRPr="0068097B">
              <w:rPr>
                <w:rFonts w:cs="Arial"/>
                <w:noProof/>
                <w:webHidden/>
              </w:rPr>
              <w:fldChar w:fldCharType="separate"/>
            </w:r>
            <w:r w:rsidR="008279DB">
              <w:rPr>
                <w:rFonts w:cs="Arial"/>
                <w:noProof/>
                <w:webHidden/>
              </w:rPr>
              <w:t>3</w:t>
            </w:r>
            <w:r w:rsidRPr="0068097B">
              <w:rPr>
                <w:rFonts w:cs="Arial"/>
                <w:noProof/>
                <w:webHidden/>
              </w:rPr>
              <w:fldChar w:fldCharType="end"/>
            </w:r>
          </w:hyperlink>
        </w:p>
        <w:p w14:paraId="28E14D64" w14:textId="2030E1EA" w:rsidR="0068097B" w:rsidRPr="0068097B" w:rsidRDefault="0068097B">
          <w:pPr>
            <w:pStyle w:val="TOC2"/>
            <w:tabs>
              <w:tab w:val="right" w:leader="dot" w:pos="8630"/>
            </w:tabs>
            <w:rPr>
              <w:rFonts w:cs="Arial"/>
              <w:noProof/>
            </w:rPr>
          </w:pPr>
          <w:hyperlink w:anchor="_Toc215738927" w:history="1">
            <w:r w:rsidRPr="0068097B">
              <w:rPr>
                <w:rStyle w:val="Hyperlink"/>
                <w:rFonts w:cs="Arial"/>
                <w:noProof/>
              </w:rPr>
              <w:t>Theory 1: Erikson’s Psychosocial Theory – Integrity vs. Despair</w:t>
            </w:r>
            <w:r w:rsidRPr="0068097B">
              <w:rPr>
                <w:rFonts w:cs="Arial"/>
                <w:noProof/>
                <w:webHidden/>
              </w:rPr>
              <w:tab/>
            </w:r>
            <w:r w:rsidRPr="0068097B">
              <w:rPr>
                <w:rFonts w:cs="Arial"/>
                <w:noProof/>
                <w:webHidden/>
              </w:rPr>
              <w:fldChar w:fldCharType="begin"/>
            </w:r>
            <w:r w:rsidRPr="0068097B">
              <w:rPr>
                <w:rFonts w:cs="Arial"/>
                <w:noProof/>
                <w:webHidden/>
              </w:rPr>
              <w:instrText xml:space="preserve"> PAGEREF _Toc215738927 \h </w:instrText>
            </w:r>
            <w:r w:rsidRPr="0068097B">
              <w:rPr>
                <w:rFonts w:cs="Arial"/>
                <w:noProof/>
                <w:webHidden/>
              </w:rPr>
            </w:r>
            <w:r w:rsidRPr="0068097B">
              <w:rPr>
                <w:rFonts w:cs="Arial"/>
                <w:noProof/>
                <w:webHidden/>
              </w:rPr>
              <w:fldChar w:fldCharType="separate"/>
            </w:r>
            <w:r w:rsidR="008279DB">
              <w:rPr>
                <w:rFonts w:cs="Arial"/>
                <w:noProof/>
                <w:webHidden/>
              </w:rPr>
              <w:t>3</w:t>
            </w:r>
            <w:r w:rsidRPr="0068097B">
              <w:rPr>
                <w:rFonts w:cs="Arial"/>
                <w:noProof/>
                <w:webHidden/>
              </w:rPr>
              <w:fldChar w:fldCharType="end"/>
            </w:r>
          </w:hyperlink>
        </w:p>
        <w:p w14:paraId="6662AFFF" w14:textId="50A745D8" w:rsidR="0068097B" w:rsidRPr="0068097B" w:rsidRDefault="0068097B">
          <w:pPr>
            <w:pStyle w:val="TOC3"/>
            <w:tabs>
              <w:tab w:val="right" w:leader="dot" w:pos="8630"/>
            </w:tabs>
            <w:rPr>
              <w:rFonts w:cs="Arial"/>
              <w:noProof/>
            </w:rPr>
          </w:pPr>
          <w:hyperlink w:anchor="_Toc215738928" w:history="1">
            <w:r w:rsidRPr="0068097B">
              <w:rPr>
                <w:rStyle w:val="Hyperlink"/>
                <w:rFonts w:cs="Arial"/>
                <w:noProof/>
              </w:rPr>
              <w:t>Overview and relevance to late adulthood (65+)</w:t>
            </w:r>
            <w:r w:rsidRPr="0068097B">
              <w:rPr>
                <w:rFonts w:cs="Arial"/>
                <w:noProof/>
                <w:webHidden/>
              </w:rPr>
              <w:tab/>
            </w:r>
            <w:r w:rsidRPr="0068097B">
              <w:rPr>
                <w:rFonts w:cs="Arial"/>
                <w:noProof/>
                <w:webHidden/>
              </w:rPr>
              <w:fldChar w:fldCharType="begin"/>
            </w:r>
            <w:r w:rsidRPr="0068097B">
              <w:rPr>
                <w:rFonts w:cs="Arial"/>
                <w:noProof/>
                <w:webHidden/>
              </w:rPr>
              <w:instrText xml:space="preserve"> PAGEREF _Toc215738928 \h </w:instrText>
            </w:r>
            <w:r w:rsidRPr="0068097B">
              <w:rPr>
                <w:rFonts w:cs="Arial"/>
                <w:noProof/>
                <w:webHidden/>
              </w:rPr>
            </w:r>
            <w:r w:rsidRPr="0068097B">
              <w:rPr>
                <w:rFonts w:cs="Arial"/>
                <w:noProof/>
                <w:webHidden/>
              </w:rPr>
              <w:fldChar w:fldCharType="separate"/>
            </w:r>
            <w:r w:rsidR="008279DB">
              <w:rPr>
                <w:rFonts w:cs="Arial"/>
                <w:noProof/>
                <w:webHidden/>
              </w:rPr>
              <w:t>3</w:t>
            </w:r>
            <w:r w:rsidRPr="0068097B">
              <w:rPr>
                <w:rFonts w:cs="Arial"/>
                <w:noProof/>
                <w:webHidden/>
              </w:rPr>
              <w:fldChar w:fldCharType="end"/>
            </w:r>
          </w:hyperlink>
        </w:p>
        <w:p w14:paraId="7306AC17" w14:textId="7E1C01DC" w:rsidR="0068097B" w:rsidRPr="0068097B" w:rsidRDefault="0068097B">
          <w:pPr>
            <w:pStyle w:val="TOC3"/>
            <w:tabs>
              <w:tab w:val="right" w:leader="dot" w:pos="8630"/>
            </w:tabs>
            <w:rPr>
              <w:rFonts w:cs="Arial"/>
              <w:noProof/>
            </w:rPr>
          </w:pPr>
          <w:hyperlink w:anchor="_Toc215738929" w:history="1">
            <w:r w:rsidRPr="0068097B">
              <w:rPr>
                <w:rStyle w:val="Hyperlink"/>
                <w:rFonts w:cs="Arial"/>
                <w:noProof/>
              </w:rPr>
              <w:t>Application in the Health and Social Care Context</w:t>
            </w:r>
            <w:r w:rsidRPr="0068097B">
              <w:rPr>
                <w:rFonts w:cs="Arial"/>
                <w:noProof/>
                <w:webHidden/>
              </w:rPr>
              <w:tab/>
            </w:r>
            <w:r w:rsidRPr="0068097B">
              <w:rPr>
                <w:rFonts w:cs="Arial"/>
                <w:noProof/>
                <w:webHidden/>
              </w:rPr>
              <w:fldChar w:fldCharType="begin"/>
            </w:r>
            <w:r w:rsidRPr="0068097B">
              <w:rPr>
                <w:rFonts w:cs="Arial"/>
                <w:noProof/>
                <w:webHidden/>
              </w:rPr>
              <w:instrText xml:space="preserve"> PAGEREF _Toc215738929 \h </w:instrText>
            </w:r>
            <w:r w:rsidRPr="0068097B">
              <w:rPr>
                <w:rFonts w:cs="Arial"/>
                <w:noProof/>
                <w:webHidden/>
              </w:rPr>
            </w:r>
            <w:r w:rsidRPr="0068097B">
              <w:rPr>
                <w:rFonts w:cs="Arial"/>
                <w:noProof/>
                <w:webHidden/>
              </w:rPr>
              <w:fldChar w:fldCharType="separate"/>
            </w:r>
            <w:r w:rsidR="008279DB">
              <w:rPr>
                <w:rFonts w:cs="Arial"/>
                <w:noProof/>
                <w:webHidden/>
              </w:rPr>
              <w:t>3</w:t>
            </w:r>
            <w:r w:rsidRPr="0068097B">
              <w:rPr>
                <w:rFonts w:cs="Arial"/>
                <w:noProof/>
                <w:webHidden/>
              </w:rPr>
              <w:fldChar w:fldCharType="end"/>
            </w:r>
          </w:hyperlink>
        </w:p>
        <w:p w14:paraId="6204E21E" w14:textId="3A044457" w:rsidR="0068097B" w:rsidRPr="0068097B" w:rsidRDefault="0068097B">
          <w:pPr>
            <w:pStyle w:val="TOC2"/>
            <w:tabs>
              <w:tab w:val="right" w:leader="dot" w:pos="8630"/>
            </w:tabs>
            <w:rPr>
              <w:rFonts w:cs="Arial"/>
              <w:noProof/>
            </w:rPr>
          </w:pPr>
          <w:hyperlink w:anchor="_Toc215738930" w:history="1">
            <w:r w:rsidRPr="0068097B">
              <w:rPr>
                <w:rStyle w:val="Hyperlink"/>
                <w:rFonts w:cs="Arial"/>
                <w:noProof/>
              </w:rPr>
              <w:t>Theory 2: The COM</w:t>
            </w:r>
            <w:r w:rsidRPr="0068097B">
              <w:rPr>
                <w:rStyle w:val="Hyperlink"/>
                <w:rFonts w:ascii="Cambria Math" w:hAnsi="Cambria Math" w:cs="Cambria Math"/>
                <w:noProof/>
              </w:rPr>
              <w:t>‑</w:t>
            </w:r>
            <w:r w:rsidRPr="0068097B">
              <w:rPr>
                <w:rStyle w:val="Hyperlink"/>
                <w:rFonts w:cs="Arial"/>
                <w:noProof/>
              </w:rPr>
              <w:t>B Model of Behaviour Change</w:t>
            </w:r>
            <w:r w:rsidRPr="0068097B">
              <w:rPr>
                <w:rFonts w:cs="Arial"/>
                <w:noProof/>
                <w:webHidden/>
              </w:rPr>
              <w:tab/>
            </w:r>
            <w:r w:rsidRPr="0068097B">
              <w:rPr>
                <w:rFonts w:cs="Arial"/>
                <w:noProof/>
                <w:webHidden/>
              </w:rPr>
              <w:fldChar w:fldCharType="begin"/>
            </w:r>
            <w:r w:rsidRPr="0068097B">
              <w:rPr>
                <w:rFonts w:cs="Arial"/>
                <w:noProof/>
                <w:webHidden/>
              </w:rPr>
              <w:instrText xml:space="preserve"> PAGEREF _Toc215738930 \h </w:instrText>
            </w:r>
            <w:r w:rsidRPr="0068097B">
              <w:rPr>
                <w:rFonts w:cs="Arial"/>
                <w:noProof/>
                <w:webHidden/>
              </w:rPr>
            </w:r>
            <w:r w:rsidRPr="0068097B">
              <w:rPr>
                <w:rFonts w:cs="Arial"/>
                <w:noProof/>
                <w:webHidden/>
              </w:rPr>
              <w:fldChar w:fldCharType="separate"/>
            </w:r>
            <w:r w:rsidR="008279DB">
              <w:rPr>
                <w:rFonts w:cs="Arial"/>
                <w:noProof/>
                <w:webHidden/>
              </w:rPr>
              <w:t>5</w:t>
            </w:r>
            <w:r w:rsidRPr="0068097B">
              <w:rPr>
                <w:rFonts w:cs="Arial"/>
                <w:noProof/>
                <w:webHidden/>
              </w:rPr>
              <w:fldChar w:fldCharType="end"/>
            </w:r>
          </w:hyperlink>
        </w:p>
        <w:p w14:paraId="70638B29" w14:textId="39C4ED99" w:rsidR="0068097B" w:rsidRPr="0068097B" w:rsidRDefault="0068097B">
          <w:pPr>
            <w:pStyle w:val="TOC3"/>
            <w:tabs>
              <w:tab w:val="right" w:leader="dot" w:pos="8630"/>
            </w:tabs>
            <w:rPr>
              <w:rFonts w:cs="Arial"/>
              <w:noProof/>
            </w:rPr>
          </w:pPr>
          <w:hyperlink w:anchor="_Toc215738931" w:history="1">
            <w:r w:rsidRPr="0068097B">
              <w:rPr>
                <w:rStyle w:val="Hyperlink"/>
                <w:rFonts w:cs="Arial"/>
                <w:noProof/>
              </w:rPr>
              <w:t>Overview and relevance to health behaviour in older adults</w:t>
            </w:r>
            <w:r w:rsidRPr="0068097B">
              <w:rPr>
                <w:rFonts w:cs="Arial"/>
                <w:noProof/>
                <w:webHidden/>
              </w:rPr>
              <w:tab/>
            </w:r>
            <w:r w:rsidRPr="0068097B">
              <w:rPr>
                <w:rFonts w:cs="Arial"/>
                <w:noProof/>
                <w:webHidden/>
              </w:rPr>
              <w:fldChar w:fldCharType="begin"/>
            </w:r>
            <w:r w:rsidRPr="0068097B">
              <w:rPr>
                <w:rFonts w:cs="Arial"/>
                <w:noProof/>
                <w:webHidden/>
              </w:rPr>
              <w:instrText xml:space="preserve"> PAGEREF _Toc215738931 \h </w:instrText>
            </w:r>
            <w:r w:rsidRPr="0068097B">
              <w:rPr>
                <w:rFonts w:cs="Arial"/>
                <w:noProof/>
                <w:webHidden/>
              </w:rPr>
            </w:r>
            <w:r w:rsidRPr="0068097B">
              <w:rPr>
                <w:rFonts w:cs="Arial"/>
                <w:noProof/>
                <w:webHidden/>
              </w:rPr>
              <w:fldChar w:fldCharType="separate"/>
            </w:r>
            <w:r w:rsidR="008279DB">
              <w:rPr>
                <w:rFonts w:cs="Arial"/>
                <w:noProof/>
                <w:webHidden/>
              </w:rPr>
              <w:t>5</w:t>
            </w:r>
            <w:r w:rsidRPr="0068097B">
              <w:rPr>
                <w:rFonts w:cs="Arial"/>
                <w:noProof/>
                <w:webHidden/>
              </w:rPr>
              <w:fldChar w:fldCharType="end"/>
            </w:r>
          </w:hyperlink>
        </w:p>
        <w:p w14:paraId="35DEA42C" w14:textId="55A55EC8" w:rsidR="0068097B" w:rsidRPr="0068097B" w:rsidRDefault="0068097B">
          <w:pPr>
            <w:pStyle w:val="TOC3"/>
            <w:tabs>
              <w:tab w:val="right" w:leader="dot" w:pos="8630"/>
            </w:tabs>
            <w:rPr>
              <w:rFonts w:cs="Arial"/>
              <w:noProof/>
            </w:rPr>
          </w:pPr>
          <w:hyperlink w:anchor="_Toc215738932" w:history="1">
            <w:r w:rsidRPr="0068097B">
              <w:rPr>
                <w:rStyle w:val="Hyperlink"/>
                <w:rFonts w:cs="Arial"/>
                <w:noProof/>
              </w:rPr>
              <w:t>Application in the care</w:t>
            </w:r>
            <w:r w:rsidRPr="0068097B">
              <w:rPr>
                <w:rStyle w:val="Hyperlink"/>
                <w:rFonts w:ascii="Cambria Math" w:hAnsi="Cambria Math" w:cs="Cambria Math"/>
                <w:noProof/>
              </w:rPr>
              <w:t>‑</w:t>
            </w:r>
            <w:r w:rsidRPr="0068097B">
              <w:rPr>
                <w:rStyle w:val="Hyperlink"/>
                <w:rFonts w:cs="Arial"/>
                <w:noProof/>
              </w:rPr>
              <w:t>home setting</w:t>
            </w:r>
            <w:r w:rsidRPr="0068097B">
              <w:rPr>
                <w:rFonts w:cs="Arial"/>
                <w:noProof/>
                <w:webHidden/>
              </w:rPr>
              <w:tab/>
            </w:r>
            <w:r w:rsidRPr="0068097B">
              <w:rPr>
                <w:rFonts w:cs="Arial"/>
                <w:noProof/>
                <w:webHidden/>
              </w:rPr>
              <w:fldChar w:fldCharType="begin"/>
            </w:r>
            <w:r w:rsidRPr="0068097B">
              <w:rPr>
                <w:rFonts w:cs="Arial"/>
                <w:noProof/>
                <w:webHidden/>
              </w:rPr>
              <w:instrText xml:space="preserve"> PAGEREF _Toc215738932 \h </w:instrText>
            </w:r>
            <w:r w:rsidRPr="0068097B">
              <w:rPr>
                <w:rFonts w:cs="Arial"/>
                <w:noProof/>
                <w:webHidden/>
              </w:rPr>
            </w:r>
            <w:r w:rsidRPr="0068097B">
              <w:rPr>
                <w:rFonts w:cs="Arial"/>
                <w:noProof/>
                <w:webHidden/>
              </w:rPr>
              <w:fldChar w:fldCharType="separate"/>
            </w:r>
            <w:r w:rsidR="008279DB">
              <w:rPr>
                <w:rFonts w:cs="Arial"/>
                <w:noProof/>
                <w:webHidden/>
              </w:rPr>
              <w:t>5</w:t>
            </w:r>
            <w:r w:rsidRPr="0068097B">
              <w:rPr>
                <w:rFonts w:cs="Arial"/>
                <w:noProof/>
                <w:webHidden/>
              </w:rPr>
              <w:fldChar w:fldCharType="end"/>
            </w:r>
          </w:hyperlink>
        </w:p>
        <w:p w14:paraId="394D04A0" w14:textId="4AF49EDF" w:rsidR="0068097B" w:rsidRPr="0068097B" w:rsidRDefault="0068097B">
          <w:pPr>
            <w:pStyle w:val="TOC3"/>
            <w:tabs>
              <w:tab w:val="right" w:leader="dot" w:pos="8630"/>
            </w:tabs>
            <w:rPr>
              <w:rFonts w:cs="Arial"/>
              <w:noProof/>
            </w:rPr>
          </w:pPr>
          <w:hyperlink w:anchor="_Toc215738933" w:history="1">
            <w:r w:rsidRPr="0068097B">
              <w:rPr>
                <w:rStyle w:val="Hyperlink"/>
                <w:rFonts w:cs="Arial"/>
                <w:noProof/>
              </w:rPr>
              <w:t>Integrated practice examples (Erikson × COM</w:t>
            </w:r>
            <w:r w:rsidRPr="0068097B">
              <w:rPr>
                <w:rStyle w:val="Hyperlink"/>
                <w:rFonts w:ascii="Cambria Math" w:hAnsi="Cambria Math" w:cs="Cambria Math"/>
                <w:noProof/>
              </w:rPr>
              <w:t>‑</w:t>
            </w:r>
            <w:r w:rsidRPr="0068097B">
              <w:rPr>
                <w:rStyle w:val="Hyperlink"/>
                <w:rFonts w:cs="Arial"/>
                <w:noProof/>
              </w:rPr>
              <w:t>B)</w:t>
            </w:r>
            <w:r w:rsidRPr="0068097B">
              <w:rPr>
                <w:rFonts w:cs="Arial"/>
                <w:noProof/>
                <w:webHidden/>
              </w:rPr>
              <w:tab/>
            </w:r>
            <w:r w:rsidRPr="0068097B">
              <w:rPr>
                <w:rFonts w:cs="Arial"/>
                <w:noProof/>
                <w:webHidden/>
              </w:rPr>
              <w:fldChar w:fldCharType="begin"/>
            </w:r>
            <w:r w:rsidRPr="0068097B">
              <w:rPr>
                <w:rFonts w:cs="Arial"/>
                <w:noProof/>
                <w:webHidden/>
              </w:rPr>
              <w:instrText xml:space="preserve"> PAGEREF _Toc215738933 \h </w:instrText>
            </w:r>
            <w:r w:rsidRPr="0068097B">
              <w:rPr>
                <w:rFonts w:cs="Arial"/>
                <w:noProof/>
                <w:webHidden/>
              </w:rPr>
            </w:r>
            <w:r w:rsidRPr="0068097B">
              <w:rPr>
                <w:rFonts w:cs="Arial"/>
                <w:noProof/>
                <w:webHidden/>
              </w:rPr>
              <w:fldChar w:fldCharType="separate"/>
            </w:r>
            <w:r w:rsidR="008279DB">
              <w:rPr>
                <w:rFonts w:cs="Arial"/>
                <w:noProof/>
                <w:webHidden/>
              </w:rPr>
              <w:t>6</w:t>
            </w:r>
            <w:r w:rsidRPr="0068097B">
              <w:rPr>
                <w:rFonts w:cs="Arial"/>
                <w:noProof/>
                <w:webHidden/>
              </w:rPr>
              <w:fldChar w:fldCharType="end"/>
            </w:r>
          </w:hyperlink>
        </w:p>
        <w:p w14:paraId="5AB74364" w14:textId="2CDBA99A" w:rsidR="0068097B" w:rsidRPr="0068097B" w:rsidRDefault="0068097B">
          <w:pPr>
            <w:pStyle w:val="TOC2"/>
            <w:tabs>
              <w:tab w:val="right" w:leader="dot" w:pos="8630"/>
            </w:tabs>
            <w:rPr>
              <w:rFonts w:cs="Arial"/>
              <w:noProof/>
            </w:rPr>
          </w:pPr>
          <w:hyperlink w:anchor="_Toc215738934" w:history="1">
            <w:r w:rsidRPr="0068097B">
              <w:rPr>
                <w:rStyle w:val="Hyperlink"/>
                <w:rFonts w:cs="Arial"/>
                <w:noProof/>
              </w:rPr>
              <w:t>Implementation challenges and organisational strategies</w:t>
            </w:r>
            <w:r w:rsidRPr="0068097B">
              <w:rPr>
                <w:rFonts w:cs="Arial"/>
                <w:noProof/>
                <w:webHidden/>
              </w:rPr>
              <w:tab/>
            </w:r>
            <w:r w:rsidRPr="0068097B">
              <w:rPr>
                <w:rFonts w:cs="Arial"/>
                <w:noProof/>
                <w:webHidden/>
              </w:rPr>
              <w:fldChar w:fldCharType="begin"/>
            </w:r>
            <w:r w:rsidRPr="0068097B">
              <w:rPr>
                <w:rFonts w:cs="Arial"/>
                <w:noProof/>
                <w:webHidden/>
              </w:rPr>
              <w:instrText xml:space="preserve"> PAGEREF _Toc215738934 \h </w:instrText>
            </w:r>
            <w:r w:rsidRPr="0068097B">
              <w:rPr>
                <w:rFonts w:cs="Arial"/>
                <w:noProof/>
                <w:webHidden/>
              </w:rPr>
            </w:r>
            <w:r w:rsidRPr="0068097B">
              <w:rPr>
                <w:rFonts w:cs="Arial"/>
                <w:noProof/>
                <w:webHidden/>
              </w:rPr>
              <w:fldChar w:fldCharType="separate"/>
            </w:r>
            <w:r w:rsidR="008279DB">
              <w:rPr>
                <w:rFonts w:cs="Arial"/>
                <w:noProof/>
                <w:webHidden/>
              </w:rPr>
              <w:t>6</w:t>
            </w:r>
            <w:r w:rsidRPr="0068097B">
              <w:rPr>
                <w:rFonts w:cs="Arial"/>
                <w:noProof/>
                <w:webHidden/>
              </w:rPr>
              <w:fldChar w:fldCharType="end"/>
            </w:r>
          </w:hyperlink>
        </w:p>
        <w:p w14:paraId="43A1484B" w14:textId="4715E107" w:rsidR="0068097B" w:rsidRPr="0068097B" w:rsidRDefault="0068097B">
          <w:pPr>
            <w:pStyle w:val="TOC2"/>
            <w:tabs>
              <w:tab w:val="right" w:leader="dot" w:pos="8630"/>
            </w:tabs>
            <w:rPr>
              <w:rFonts w:cs="Arial"/>
              <w:noProof/>
            </w:rPr>
          </w:pPr>
          <w:hyperlink w:anchor="_Toc215738935" w:history="1">
            <w:r w:rsidRPr="0068097B">
              <w:rPr>
                <w:rStyle w:val="Hyperlink"/>
                <w:rFonts w:cs="Arial"/>
                <w:noProof/>
              </w:rPr>
              <w:t>Conclusion</w:t>
            </w:r>
            <w:r w:rsidRPr="0068097B">
              <w:rPr>
                <w:rFonts w:cs="Arial"/>
                <w:noProof/>
                <w:webHidden/>
              </w:rPr>
              <w:tab/>
            </w:r>
            <w:r w:rsidRPr="0068097B">
              <w:rPr>
                <w:rFonts w:cs="Arial"/>
                <w:noProof/>
                <w:webHidden/>
              </w:rPr>
              <w:fldChar w:fldCharType="begin"/>
            </w:r>
            <w:r w:rsidRPr="0068097B">
              <w:rPr>
                <w:rFonts w:cs="Arial"/>
                <w:noProof/>
                <w:webHidden/>
              </w:rPr>
              <w:instrText xml:space="preserve"> PAGEREF _Toc215738935 \h </w:instrText>
            </w:r>
            <w:r w:rsidRPr="0068097B">
              <w:rPr>
                <w:rFonts w:cs="Arial"/>
                <w:noProof/>
                <w:webHidden/>
              </w:rPr>
            </w:r>
            <w:r w:rsidRPr="0068097B">
              <w:rPr>
                <w:rFonts w:cs="Arial"/>
                <w:noProof/>
                <w:webHidden/>
              </w:rPr>
              <w:fldChar w:fldCharType="separate"/>
            </w:r>
            <w:r w:rsidR="008279DB">
              <w:rPr>
                <w:rFonts w:cs="Arial"/>
                <w:noProof/>
                <w:webHidden/>
              </w:rPr>
              <w:t>7</w:t>
            </w:r>
            <w:r w:rsidRPr="0068097B">
              <w:rPr>
                <w:rFonts w:cs="Arial"/>
                <w:noProof/>
                <w:webHidden/>
              </w:rPr>
              <w:fldChar w:fldCharType="end"/>
            </w:r>
          </w:hyperlink>
        </w:p>
        <w:p w14:paraId="1D5F2D7B" w14:textId="57099E98" w:rsidR="0068097B" w:rsidRPr="0068097B" w:rsidRDefault="0068097B">
          <w:pPr>
            <w:pStyle w:val="TOC2"/>
            <w:tabs>
              <w:tab w:val="right" w:leader="dot" w:pos="8630"/>
            </w:tabs>
            <w:rPr>
              <w:rFonts w:cs="Arial"/>
              <w:noProof/>
            </w:rPr>
          </w:pPr>
          <w:hyperlink w:anchor="_Toc215738936" w:history="1">
            <w:r w:rsidRPr="0068097B">
              <w:rPr>
                <w:rStyle w:val="Hyperlink"/>
                <w:rFonts w:cs="Arial"/>
                <w:noProof/>
              </w:rPr>
              <w:t>References (UWTSD Harvard style)</w:t>
            </w:r>
            <w:r w:rsidRPr="0068097B">
              <w:rPr>
                <w:rFonts w:cs="Arial"/>
                <w:noProof/>
                <w:webHidden/>
              </w:rPr>
              <w:tab/>
            </w:r>
            <w:r w:rsidRPr="0068097B">
              <w:rPr>
                <w:rFonts w:cs="Arial"/>
                <w:noProof/>
                <w:webHidden/>
              </w:rPr>
              <w:fldChar w:fldCharType="begin"/>
            </w:r>
            <w:r w:rsidRPr="0068097B">
              <w:rPr>
                <w:rFonts w:cs="Arial"/>
                <w:noProof/>
                <w:webHidden/>
              </w:rPr>
              <w:instrText xml:space="preserve"> PAGEREF _Toc215738936 \h </w:instrText>
            </w:r>
            <w:r w:rsidRPr="0068097B">
              <w:rPr>
                <w:rFonts w:cs="Arial"/>
                <w:noProof/>
                <w:webHidden/>
              </w:rPr>
            </w:r>
            <w:r w:rsidRPr="0068097B">
              <w:rPr>
                <w:rFonts w:cs="Arial"/>
                <w:noProof/>
                <w:webHidden/>
              </w:rPr>
              <w:fldChar w:fldCharType="separate"/>
            </w:r>
            <w:r w:rsidR="008279DB">
              <w:rPr>
                <w:rFonts w:cs="Arial"/>
                <w:noProof/>
                <w:webHidden/>
              </w:rPr>
              <w:t>7</w:t>
            </w:r>
            <w:r w:rsidRPr="0068097B">
              <w:rPr>
                <w:rFonts w:cs="Arial"/>
                <w:noProof/>
                <w:webHidden/>
              </w:rPr>
              <w:fldChar w:fldCharType="end"/>
            </w:r>
          </w:hyperlink>
        </w:p>
        <w:p w14:paraId="1160EF9A" w14:textId="67607F0E" w:rsidR="00684E9A" w:rsidRDefault="00684E9A">
          <w:r w:rsidRPr="0068097B">
            <w:rPr>
              <w:rFonts w:cs="Arial"/>
              <w:b/>
              <w:bCs/>
              <w:noProof/>
            </w:rPr>
            <w:fldChar w:fldCharType="end"/>
          </w:r>
        </w:p>
      </w:sdtContent>
    </w:sdt>
    <w:p w14:paraId="34222F91" w14:textId="77777777" w:rsidR="00684E9A" w:rsidRDefault="00684E9A" w:rsidP="00684E9A"/>
    <w:p w14:paraId="55B67EAD" w14:textId="77777777" w:rsidR="00684E9A" w:rsidRDefault="00684E9A" w:rsidP="00684E9A"/>
    <w:p w14:paraId="43350A81" w14:textId="77777777" w:rsidR="00684E9A" w:rsidRDefault="00684E9A"/>
    <w:p w14:paraId="20A4A305" w14:textId="77777777" w:rsidR="00684E9A" w:rsidRDefault="00684E9A"/>
    <w:p w14:paraId="76CA9FA4" w14:textId="46BA5F01" w:rsidR="00BB5DC1" w:rsidRDefault="00BB5DC1"/>
    <w:p w14:paraId="565B5AD3" w14:textId="77777777" w:rsidR="00BB5DC1" w:rsidRPr="0068097B" w:rsidRDefault="008279DB" w:rsidP="0068097B">
      <w:pPr>
        <w:pStyle w:val="Heading1"/>
        <w:spacing w:line="360" w:lineRule="auto"/>
        <w:jc w:val="both"/>
        <w:rPr>
          <w:rFonts w:ascii="Arial" w:hAnsi="Arial" w:cs="Arial"/>
          <w:sz w:val="22"/>
          <w:szCs w:val="22"/>
        </w:rPr>
      </w:pPr>
      <w:bookmarkStart w:id="0" w:name="_Toc215738925"/>
      <w:r w:rsidRPr="0068097B">
        <w:rPr>
          <w:rFonts w:ascii="Arial" w:hAnsi="Arial" w:cs="Arial"/>
          <w:sz w:val="22"/>
          <w:szCs w:val="22"/>
        </w:rPr>
        <w:lastRenderedPageBreak/>
        <w:t>Using Psychological Theory to Support Adults (65+) with Dementia in Care Homes</w:t>
      </w:r>
      <w:bookmarkEnd w:id="0"/>
    </w:p>
    <w:p w14:paraId="09B8416C" w14:textId="77777777" w:rsidR="00BB5DC1" w:rsidRPr="0068097B" w:rsidRDefault="008279DB" w:rsidP="0068097B">
      <w:pPr>
        <w:pStyle w:val="Heading2"/>
        <w:spacing w:line="360" w:lineRule="auto"/>
        <w:jc w:val="both"/>
        <w:rPr>
          <w:rFonts w:ascii="Arial" w:hAnsi="Arial" w:cs="Arial"/>
          <w:sz w:val="22"/>
          <w:szCs w:val="22"/>
        </w:rPr>
      </w:pPr>
      <w:bookmarkStart w:id="1" w:name="_Toc215738926"/>
      <w:r w:rsidRPr="0068097B">
        <w:rPr>
          <w:rFonts w:ascii="Arial" w:hAnsi="Arial" w:cs="Arial"/>
          <w:sz w:val="22"/>
          <w:szCs w:val="22"/>
        </w:rPr>
        <w:t>Introduction and Context</w:t>
      </w:r>
      <w:bookmarkEnd w:id="1"/>
    </w:p>
    <w:p w14:paraId="7CB28DDE" w14:textId="37006826" w:rsidR="00BB5DC1" w:rsidRPr="0068097B" w:rsidRDefault="00684E9A" w:rsidP="0068097B">
      <w:pPr>
        <w:spacing w:line="360" w:lineRule="auto"/>
        <w:jc w:val="both"/>
        <w:rPr>
          <w:rFonts w:cs="Arial"/>
        </w:rPr>
      </w:pPr>
      <w:r w:rsidRPr="0068097B">
        <w:rPr>
          <w:rFonts w:cs="Arial"/>
        </w:rPr>
        <w:t xml:space="preserve">Caring for individuals with dementia in residential facilities in the UK requires methods that tackle both cognitive deterioration as well as the </w:t>
      </w:r>
      <w:proofErr w:type="spellStart"/>
      <w:r w:rsidRPr="0068097B">
        <w:rPr>
          <w:rFonts w:cs="Arial"/>
        </w:rPr>
        <w:t>behavioural</w:t>
      </w:r>
      <w:proofErr w:type="spellEnd"/>
      <w:r w:rsidRPr="0068097B">
        <w:rPr>
          <w:rFonts w:cs="Arial"/>
        </w:rPr>
        <w:t xml:space="preserve"> and psychological symptoms of dementia (BPSD), including anxiety, agitation, depression, and sleep disturbances. Existing national guidelines stress the importance of person-</w:t>
      </w:r>
      <w:proofErr w:type="spellStart"/>
      <w:r w:rsidRPr="0068097B">
        <w:rPr>
          <w:rFonts w:cs="Arial"/>
        </w:rPr>
        <w:t>centred</w:t>
      </w:r>
      <w:proofErr w:type="spellEnd"/>
      <w:r w:rsidRPr="0068097B">
        <w:rPr>
          <w:rFonts w:cs="Arial"/>
        </w:rPr>
        <w:t xml:space="preserve">, non-pharmacological strategies as primary approaches, which should be supported by trained personnel and coordinated care plans, while medication options should be used only for specific cases (NICE, 2018; Pink et al., 2018). This report </w:t>
      </w:r>
      <w:proofErr w:type="spellStart"/>
      <w:r w:rsidRPr="0068097B">
        <w:rPr>
          <w:rFonts w:cs="Arial"/>
        </w:rPr>
        <w:t>utilises</w:t>
      </w:r>
      <w:proofErr w:type="spellEnd"/>
      <w:r w:rsidRPr="0068097B">
        <w:rPr>
          <w:rFonts w:cs="Arial"/>
        </w:rPr>
        <w:t xml:space="preserve"> two complementary psychological frameworks—Erikson’s Psychosocial Theory (Integrity vs. Despair) and the COM-B model of </w:t>
      </w:r>
      <w:proofErr w:type="spellStart"/>
      <w:r w:rsidRPr="0068097B">
        <w:rPr>
          <w:rFonts w:cs="Arial"/>
        </w:rPr>
        <w:t>behaviour</w:t>
      </w:r>
      <w:proofErr w:type="spellEnd"/>
      <w:r w:rsidRPr="0068097B">
        <w:rPr>
          <w:rFonts w:cs="Arial"/>
        </w:rPr>
        <w:t xml:space="preserve"> change—to inform practical interventions within the care home environment for residents aged 65 and older who are living with dementia. The discussion is consistent with the NICE NG97 guidelines for assessment, management, and support (NICE, 2018).</w:t>
      </w:r>
    </w:p>
    <w:p w14:paraId="68F98258" w14:textId="77777777" w:rsidR="00BB5DC1" w:rsidRPr="0068097B" w:rsidRDefault="008279DB" w:rsidP="0068097B">
      <w:pPr>
        <w:pStyle w:val="Heading2"/>
        <w:spacing w:line="360" w:lineRule="auto"/>
        <w:jc w:val="both"/>
        <w:rPr>
          <w:rFonts w:ascii="Arial" w:hAnsi="Arial" w:cs="Arial"/>
          <w:sz w:val="22"/>
          <w:szCs w:val="22"/>
        </w:rPr>
      </w:pPr>
      <w:bookmarkStart w:id="2" w:name="_Toc215738927"/>
      <w:r w:rsidRPr="0068097B">
        <w:rPr>
          <w:rFonts w:ascii="Arial" w:hAnsi="Arial" w:cs="Arial"/>
          <w:sz w:val="22"/>
          <w:szCs w:val="22"/>
        </w:rPr>
        <w:t>Theory 1: Erikson’s Psychosocial Theo</w:t>
      </w:r>
      <w:r w:rsidRPr="0068097B">
        <w:rPr>
          <w:rFonts w:ascii="Arial" w:hAnsi="Arial" w:cs="Arial"/>
          <w:sz w:val="22"/>
          <w:szCs w:val="22"/>
        </w:rPr>
        <w:t>ry – Integrity vs. Despair</w:t>
      </w:r>
      <w:bookmarkEnd w:id="2"/>
    </w:p>
    <w:p w14:paraId="470A5E2F" w14:textId="77777777" w:rsidR="00BB5DC1" w:rsidRPr="0068097B" w:rsidRDefault="008279DB" w:rsidP="0068097B">
      <w:pPr>
        <w:pStyle w:val="Heading3"/>
        <w:spacing w:line="360" w:lineRule="auto"/>
        <w:jc w:val="both"/>
        <w:rPr>
          <w:rFonts w:ascii="Arial" w:hAnsi="Arial" w:cs="Arial"/>
        </w:rPr>
      </w:pPr>
      <w:bookmarkStart w:id="3" w:name="_Toc215738928"/>
      <w:r w:rsidRPr="0068097B">
        <w:rPr>
          <w:rFonts w:ascii="Arial" w:hAnsi="Arial" w:cs="Arial"/>
        </w:rPr>
        <w:t>Overview and relevance to late adulthood (65+)</w:t>
      </w:r>
      <w:bookmarkEnd w:id="3"/>
    </w:p>
    <w:p w14:paraId="743636E9" w14:textId="56F4B5FC" w:rsidR="00BB5DC1" w:rsidRPr="0068097B" w:rsidRDefault="00684E9A" w:rsidP="0068097B">
      <w:pPr>
        <w:spacing w:line="360" w:lineRule="auto"/>
        <w:jc w:val="both"/>
        <w:rPr>
          <w:rFonts w:cs="Arial"/>
        </w:rPr>
      </w:pPr>
      <w:r w:rsidRPr="0068097B">
        <w:rPr>
          <w:rFonts w:cs="Arial"/>
        </w:rPr>
        <w:t xml:space="preserve">Erikson's eighth stage represents a tension between ego integrity—accepting one's life as meaningful and consistent—and despair—feeling regret, bitterness, and dissatisfaction (Erikson, 1982; Cherry, 2025). Successfully navigating this stage results in wisdom and </w:t>
      </w:r>
      <w:proofErr w:type="spellStart"/>
      <w:r w:rsidR="0068097B" w:rsidRPr="0068097B">
        <w:rPr>
          <w:rFonts w:cs="Arial"/>
        </w:rPr>
        <w:t>tranquillity</w:t>
      </w:r>
      <w:proofErr w:type="spellEnd"/>
      <w:r w:rsidRPr="0068097B">
        <w:rPr>
          <w:rFonts w:cs="Arial"/>
        </w:rPr>
        <w:t>; failure tends to bring about feelings of depression and hopelessness. Key processes in this stage include reflecting on life, creating meaning, accepting mortality, and affirming relationships and roles (</w:t>
      </w:r>
      <w:proofErr w:type="spellStart"/>
      <w:r w:rsidRPr="0068097B">
        <w:rPr>
          <w:rFonts w:cs="Arial"/>
        </w:rPr>
        <w:t>Lally</w:t>
      </w:r>
      <w:proofErr w:type="spellEnd"/>
      <w:r w:rsidRPr="0068097B">
        <w:rPr>
          <w:rFonts w:cs="Arial"/>
        </w:rPr>
        <w:t xml:space="preserve"> et al., 2016; </w:t>
      </w:r>
      <w:proofErr w:type="spellStart"/>
      <w:r w:rsidRPr="0068097B">
        <w:rPr>
          <w:rFonts w:cs="Arial"/>
        </w:rPr>
        <w:t>Verywell</w:t>
      </w:r>
      <w:proofErr w:type="spellEnd"/>
      <w:r w:rsidRPr="0068097B">
        <w:rPr>
          <w:rFonts w:cs="Arial"/>
        </w:rPr>
        <w:t xml:space="preserve"> Mind, 2025).</w:t>
      </w:r>
      <w:r w:rsidR="0068097B">
        <w:rPr>
          <w:rFonts w:cs="Arial"/>
        </w:rPr>
        <w:t xml:space="preserve"> </w:t>
      </w:r>
      <w:r w:rsidRPr="0068097B">
        <w:rPr>
          <w:rFonts w:cs="Arial"/>
        </w:rPr>
        <w:t>In dementia, cognitive decline makes reflection more challenging; however, research suggests that aspects of selfhood often remain intact, allowing for adapted life reviews and identity-affirming interactions (</w:t>
      </w:r>
      <w:proofErr w:type="spellStart"/>
      <w:r w:rsidRPr="0068097B">
        <w:rPr>
          <w:rFonts w:cs="Arial"/>
        </w:rPr>
        <w:t>Mazaheri</w:t>
      </w:r>
      <w:proofErr w:type="spellEnd"/>
      <w:r w:rsidRPr="0068097B">
        <w:rPr>
          <w:rFonts w:cs="Arial"/>
        </w:rPr>
        <w:t xml:space="preserve"> et al., 2022). Longitudinal studies of nursing-home residents reveal distinct patterns—Integrated, Struggling, Despairing—linked to varying levels of psychological functioning, </w:t>
      </w:r>
      <w:proofErr w:type="spellStart"/>
      <w:r w:rsidR="0068350F" w:rsidRPr="0068097B">
        <w:rPr>
          <w:rFonts w:cs="Arial"/>
        </w:rPr>
        <w:t>emphasising</w:t>
      </w:r>
      <w:proofErr w:type="spellEnd"/>
      <w:r w:rsidRPr="0068097B">
        <w:rPr>
          <w:rFonts w:cs="Arial"/>
        </w:rPr>
        <w:t xml:space="preserve"> the need to foster integrity over time (</w:t>
      </w:r>
      <w:proofErr w:type="spellStart"/>
      <w:r w:rsidRPr="0068097B">
        <w:rPr>
          <w:rFonts w:cs="Arial"/>
        </w:rPr>
        <w:t>Dezutter</w:t>
      </w:r>
      <w:proofErr w:type="spellEnd"/>
      <w:r w:rsidRPr="0068097B">
        <w:rPr>
          <w:rFonts w:cs="Arial"/>
        </w:rPr>
        <w:t xml:space="preserve"> et al., 2019).</w:t>
      </w:r>
    </w:p>
    <w:p w14:paraId="5EE58E17" w14:textId="77777777" w:rsidR="00BB5DC1" w:rsidRPr="0068097B" w:rsidRDefault="008279DB" w:rsidP="0068097B">
      <w:pPr>
        <w:pStyle w:val="Heading3"/>
        <w:spacing w:line="360" w:lineRule="auto"/>
        <w:jc w:val="both"/>
        <w:rPr>
          <w:rFonts w:ascii="Arial" w:hAnsi="Arial" w:cs="Arial"/>
        </w:rPr>
      </w:pPr>
      <w:bookmarkStart w:id="4" w:name="_Toc215738929"/>
      <w:r w:rsidRPr="0068097B">
        <w:rPr>
          <w:rFonts w:ascii="Arial" w:hAnsi="Arial" w:cs="Arial"/>
        </w:rPr>
        <w:lastRenderedPageBreak/>
        <w:t>Application in the Health and Social Care Context</w:t>
      </w:r>
      <w:bookmarkEnd w:id="4"/>
    </w:p>
    <w:p w14:paraId="199F64C9" w14:textId="45D6B1B7" w:rsidR="0068350F" w:rsidRPr="0068097B" w:rsidRDefault="0068350F" w:rsidP="0068097B">
      <w:pPr>
        <w:spacing w:line="360" w:lineRule="auto"/>
        <w:jc w:val="both"/>
        <w:rPr>
          <w:rFonts w:cs="Arial"/>
        </w:rPr>
      </w:pPr>
      <w:r w:rsidRPr="0068097B">
        <w:rPr>
          <w:rFonts w:cs="Arial"/>
        </w:rPr>
        <w:t xml:space="preserve">Life review therapy: </w:t>
      </w:r>
      <w:proofErr w:type="spellStart"/>
      <w:r w:rsidR="0068097B" w:rsidRPr="0068097B">
        <w:rPr>
          <w:rFonts w:cs="Arial"/>
        </w:rPr>
        <w:t>Organised</w:t>
      </w:r>
      <w:proofErr w:type="spellEnd"/>
      <w:r w:rsidRPr="0068097B">
        <w:rPr>
          <w:rFonts w:cs="Arial"/>
        </w:rPr>
        <w:t xml:space="preserve"> reminiscence </w:t>
      </w:r>
      <w:proofErr w:type="spellStart"/>
      <w:r w:rsidR="0068097B" w:rsidRPr="0068097B">
        <w:rPr>
          <w:rFonts w:cs="Arial"/>
        </w:rPr>
        <w:t>utilising</w:t>
      </w:r>
      <w:proofErr w:type="spellEnd"/>
      <w:r w:rsidRPr="0068097B">
        <w:rPr>
          <w:rFonts w:cs="Arial"/>
        </w:rPr>
        <w:t xml:space="preserve"> photographs, music, and </w:t>
      </w:r>
      <w:r w:rsidR="0068097B" w:rsidRPr="0068097B">
        <w:rPr>
          <w:rFonts w:cs="Arial"/>
        </w:rPr>
        <w:t>artefacts</w:t>
      </w:r>
      <w:r w:rsidRPr="0068097B">
        <w:rPr>
          <w:rFonts w:cs="Arial"/>
        </w:rPr>
        <w:t xml:space="preserve"> assists residents in reflecting on accomplishments, connections, and values, fostering integrity and alleviating despair. In practical terms, care-home teams can facilitate weekly groups lasting 30–45 minutes with themed prompts (e.g., ‘first jobs’, ‘</w:t>
      </w:r>
      <w:proofErr w:type="spellStart"/>
      <w:r w:rsidR="0068097B" w:rsidRPr="0068097B">
        <w:rPr>
          <w:rFonts w:cs="Arial"/>
        </w:rPr>
        <w:t>favourite</w:t>
      </w:r>
      <w:proofErr w:type="spellEnd"/>
      <w:r w:rsidRPr="0068097B">
        <w:rPr>
          <w:rFonts w:cs="Arial"/>
        </w:rPr>
        <w:t xml:space="preserve"> places’) as well as one-on-one sessions for residents who prefer a calmer environment. Staff should document themes that evoke positive feelings and note distress triggers to improve future sessions (Cherry, 2025; Helpful Professor, 2024).</w:t>
      </w:r>
    </w:p>
    <w:p w14:paraId="2F79EE0F" w14:textId="586C9F62" w:rsidR="0068350F" w:rsidRPr="0068097B" w:rsidRDefault="0068350F" w:rsidP="0068097B">
      <w:pPr>
        <w:spacing w:line="360" w:lineRule="auto"/>
        <w:jc w:val="both"/>
        <w:rPr>
          <w:rFonts w:cs="Arial"/>
        </w:rPr>
      </w:pPr>
      <w:r w:rsidRPr="0068097B">
        <w:rPr>
          <w:rFonts w:cs="Arial"/>
        </w:rPr>
        <w:t xml:space="preserve">Meaningful roles and identity continuity: Allocate small, safe roles that resonate with previous identities—such as tea host, garden assistant, or library helper—to encourage feelings of usefulness, belonging, and continuity. These roles can be integrated into daily activities (like morning tea rounds or watering the greenhouse) with clear visual reminders and gentle support (Psychology Town, 2024; </w:t>
      </w:r>
      <w:proofErr w:type="spellStart"/>
      <w:r w:rsidRPr="0068097B">
        <w:rPr>
          <w:rFonts w:cs="Arial"/>
        </w:rPr>
        <w:t>Lally</w:t>
      </w:r>
      <w:proofErr w:type="spellEnd"/>
      <w:r w:rsidRPr="0068097B">
        <w:rPr>
          <w:rFonts w:cs="Arial"/>
        </w:rPr>
        <w:t xml:space="preserve"> et al., 2016).</w:t>
      </w:r>
    </w:p>
    <w:p w14:paraId="40687058" w14:textId="5A2B4DA3" w:rsidR="0068350F" w:rsidRPr="0068097B" w:rsidRDefault="0068350F" w:rsidP="0068097B">
      <w:pPr>
        <w:spacing w:line="360" w:lineRule="auto"/>
        <w:jc w:val="both"/>
        <w:rPr>
          <w:rFonts w:cs="Arial"/>
        </w:rPr>
      </w:pPr>
      <w:r w:rsidRPr="0068097B">
        <w:rPr>
          <w:rFonts w:cs="Arial"/>
        </w:rPr>
        <w:t>Spiritual and cultural practices: Support faith-based rituals, familiar cultural foods and celebrations, as well as quiet areas for reflection. This approach can enhance coherence and acceptance in alignment with ego integrity (</w:t>
      </w:r>
      <w:proofErr w:type="spellStart"/>
      <w:r w:rsidRPr="0068097B">
        <w:rPr>
          <w:rFonts w:cs="Arial"/>
        </w:rPr>
        <w:t>NeuroLaunch</w:t>
      </w:r>
      <w:proofErr w:type="spellEnd"/>
      <w:r w:rsidRPr="0068097B">
        <w:rPr>
          <w:rFonts w:cs="Arial"/>
        </w:rPr>
        <w:t>, 2024).</w:t>
      </w:r>
    </w:p>
    <w:p w14:paraId="23AB6D27" w14:textId="4A4E5AA7" w:rsidR="0068350F" w:rsidRPr="0068097B" w:rsidRDefault="0068350F" w:rsidP="0068097B">
      <w:pPr>
        <w:spacing w:line="360" w:lineRule="auto"/>
        <w:jc w:val="both"/>
        <w:rPr>
          <w:rFonts w:cs="Arial"/>
        </w:rPr>
      </w:pPr>
      <w:r w:rsidRPr="0068097B">
        <w:rPr>
          <w:rFonts w:cs="Arial"/>
        </w:rPr>
        <w:t>Family involvement and narrative: Promote family visits with memory boxes (containing photos, letters, certificates) and document short ‘life chapters’ (covering early years, career, family, hobbies) to share with staff so that daily interactions reflect the resident’s history (Cherry, 2025).</w:t>
      </w:r>
    </w:p>
    <w:p w14:paraId="72FA14B3" w14:textId="3AF89CD9" w:rsidR="0068350F" w:rsidRPr="0068097B" w:rsidRDefault="0068350F" w:rsidP="0068097B">
      <w:pPr>
        <w:spacing w:line="360" w:lineRule="auto"/>
        <w:jc w:val="both"/>
        <w:rPr>
          <w:rFonts w:cs="Arial"/>
        </w:rPr>
      </w:pPr>
      <w:r w:rsidRPr="0068097B">
        <w:rPr>
          <w:rFonts w:cs="Arial"/>
        </w:rPr>
        <w:t xml:space="preserve">Challenges in applying Erikson’s stages and strategies to manage them: Cognitive impairment that hinders verbal reflection: Advanced dementia diminishes narrative ability. Strategy: </w:t>
      </w:r>
      <w:proofErr w:type="spellStart"/>
      <w:r w:rsidR="0068097B" w:rsidRPr="0068097B">
        <w:rPr>
          <w:rFonts w:cs="Arial"/>
        </w:rPr>
        <w:t>utilise</w:t>
      </w:r>
      <w:proofErr w:type="spellEnd"/>
      <w:r w:rsidRPr="0068097B">
        <w:rPr>
          <w:rFonts w:cs="Arial"/>
        </w:rPr>
        <w:t xml:space="preserve"> brief prompts, multisensory triggers (like music and scents), and non-verbal affirmation to elicit memories and emotions; keep sessions brief with regular breaks (</w:t>
      </w:r>
      <w:proofErr w:type="spellStart"/>
      <w:r w:rsidRPr="0068097B">
        <w:rPr>
          <w:rFonts w:cs="Arial"/>
        </w:rPr>
        <w:t>Mazaheri</w:t>
      </w:r>
      <w:proofErr w:type="spellEnd"/>
      <w:r w:rsidRPr="0068097B">
        <w:rPr>
          <w:rFonts w:cs="Arial"/>
        </w:rPr>
        <w:t xml:space="preserve"> et al., 2022).</w:t>
      </w:r>
    </w:p>
    <w:p w14:paraId="75BA402A" w14:textId="77777777" w:rsidR="0068350F" w:rsidRPr="0068097B" w:rsidRDefault="0068350F" w:rsidP="0068097B">
      <w:pPr>
        <w:spacing w:line="360" w:lineRule="auto"/>
        <w:jc w:val="both"/>
        <w:rPr>
          <w:rFonts w:cs="Arial"/>
        </w:rPr>
      </w:pPr>
      <w:r w:rsidRPr="0068097B">
        <w:rPr>
          <w:rFonts w:cs="Arial"/>
        </w:rPr>
        <w:t>Risk of provoking distressing memories: Life review may reveal loss or trauma. Strategy: train staff in supportive communication techniques, monitor emotional responses, and redirect to neutral or positive topics; incorporate relaxation or grounding methods before and after sessions (Helpful Professor, 2024; Cherry, 2025).</w:t>
      </w:r>
    </w:p>
    <w:p w14:paraId="7F295AC0" w14:textId="77777777" w:rsidR="0068350F" w:rsidRPr="0068097B" w:rsidRDefault="0068350F" w:rsidP="0068097B">
      <w:pPr>
        <w:spacing w:line="360" w:lineRule="auto"/>
        <w:jc w:val="both"/>
        <w:rPr>
          <w:rFonts w:cs="Arial"/>
        </w:rPr>
      </w:pPr>
    </w:p>
    <w:p w14:paraId="16C46FAC" w14:textId="1B3956EF" w:rsidR="00BB5DC1" w:rsidRPr="0068097B" w:rsidRDefault="0068350F" w:rsidP="0068097B">
      <w:pPr>
        <w:spacing w:line="360" w:lineRule="auto"/>
        <w:jc w:val="both"/>
        <w:rPr>
          <w:rFonts w:cs="Arial"/>
        </w:rPr>
      </w:pPr>
      <w:r w:rsidRPr="0068097B">
        <w:rPr>
          <w:rFonts w:cs="Arial"/>
        </w:rPr>
        <w:t>Staff capacity and skill: Life review and identity-</w:t>
      </w:r>
      <w:proofErr w:type="spellStart"/>
      <w:r w:rsidRPr="0068097B">
        <w:rPr>
          <w:rFonts w:cs="Arial"/>
        </w:rPr>
        <w:t>centred</w:t>
      </w:r>
      <w:proofErr w:type="spellEnd"/>
      <w:r w:rsidRPr="0068097B">
        <w:rPr>
          <w:rFonts w:cs="Arial"/>
        </w:rPr>
        <w:t xml:space="preserve"> work demand time and expertise. Strategy: offer training modules on reminiscence, affirmation, and recording preferences; weave these into onboarding and supervision; evaluate outcomes (such as mood and engagement) to validate dedicated time (</w:t>
      </w:r>
      <w:proofErr w:type="spellStart"/>
      <w:r w:rsidRPr="0068097B">
        <w:rPr>
          <w:rFonts w:cs="Arial"/>
        </w:rPr>
        <w:t>Mazaheri</w:t>
      </w:r>
      <w:proofErr w:type="spellEnd"/>
      <w:r w:rsidRPr="0068097B">
        <w:rPr>
          <w:rFonts w:cs="Arial"/>
        </w:rPr>
        <w:t xml:space="preserve"> et al., 2022; </w:t>
      </w:r>
      <w:proofErr w:type="spellStart"/>
      <w:r w:rsidRPr="0068097B">
        <w:rPr>
          <w:rFonts w:cs="Arial"/>
        </w:rPr>
        <w:t>Dezutter</w:t>
      </w:r>
      <w:proofErr w:type="spellEnd"/>
      <w:r w:rsidRPr="0068097B">
        <w:rPr>
          <w:rFonts w:cs="Arial"/>
        </w:rPr>
        <w:t xml:space="preserve"> et al., 2019).</w:t>
      </w:r>
    </w:p>
    <w:p w14:paraId="08FCCDB7" w14:textId="77777777" w:rsidR="00BB5DC1" w:rsidRPr="0068097B" w:rsidRDefault="008279DB" w:rsidP="0068097B">
      <w:pPr>
        <w:pStyle w:val="Heading2"/>
        <w:spacing w:line="360" w:lineRule="auto"/>
        <w:jc w:val="both"/>
        <w:rPr>
          <w:rFonts w:ascii="Arial" w:hAnsi="Arial" w:cs="Arial"/>
          <w:sz w:val="22"/>
          <w:szCs w:val="22"/>
        </w:rPr>
      </w:pPr>
      <w:bookmarkStart w:id="5" w:name="_Toc215738930"/>
      <w:r w:rsidRPr="0068097B">
        <w:rPr>
          <w:rFonts w:ascii="Arial" w:hAnsi="Arial" w:cs="Arial"/>
          <w:sz w:val="22"/>
          <w:szCs w:val="22"/>
        </w:rPr>
        <w:t>Theory 2: The COM</w:t>
      </w:r>
      <w:r w:rsidRPr="0068097B">
        <w:rPr>
          <w:rFonts w:ascii="Cambria Math" w:hAnsi="Cambria Math" w:cs="Cambria Math"/>
          <w:sz w:val="22"/>
          <w:szCs w:val="22"/>
        </w:rPr>
        <w:t>‑</w:t>
      </w:r>
      <w:r w:rsidRPr="0068097B">
        <w:rPr>
          <w:rFonts w:ascii="Arial" w:hAnsi="Arial" w:cs="Arial"/>
          <w:sz w:val="22"/>
          <w:szCs w:val="22"/>
        </w:rPr>
        <w:t>B Model of Behaviour Change</w:t>
      </w:r>
      <w:bookmarkEnd w:id="5"/>
    </w:p>
    <w:p w14:paraId="656C89BE" w14:textId="77777777" w:rsidR="00BB5DC1" w:rsidRPr="0068097B" w:rsidRDefault="008279DB" w:rsidP="0068097B">
      <w:pPr>
        <w:pStyle w:val="Heading3"/>
        <w:spacing w:line="360" w:lineRule="auto"/>
        <w:jc w:val="both"/>
        <w:rPr>
          <w:rFonts w:ascii="Arial" w:hAnsi="Arial" w:cs="Arial"/>
        </w:rPr>
      </w:pPr>
      <w:bookmarkStart w:id="6" w:name="_Toc215738931"/>
      <w:r w:rsidRPr="0068097B">
        <w:rPr>
          <w:rFonts w:ascii="Arial" w:hAnsi="Arial" w:cs="Arial"/>
        </w:rPr>
        <w:t>Overview and relevance to health behaviour in older adults</w:t>
      </w:r>
      <w:bookmarkEnd w:id="6"/>
    </w:p>
    <w:p w14:paraId="34B04444" w14:textId="45F794F1" w:rsidR="0068350F" w:rsidRPr="0068097B" w:rsidRDefault="0068350F" w:rsidP="0068097B">
      <w:pPr>
        <w:spacing w:line="360" w:lineRule="auto"/>
        <w:jc w:val="both"/>
        <w:rPr>
          <w:rFonts w:cs="Arial"/>
        </w:rPr>
      </w:pPr>
      <w:r w:rsidRPr="0068097B">
        <w:rPr>
          <w:rFonts w:cs="Arial"/>
        </w:rPr>
        <w:t>The COM</w:t>
      </w:r>
      <w:r w:rsidRPr="0068097B">
        <w:rPr>
          <w:rFonts w:ascii="Cambria Math" w:hAnsi="Cambria Math" w:cs="Cambria Math"/>
        </w:rPr>
        <w:t>‑</w:t>
      </w:r>
      <w:r w:rsidRPr="0068097B">
        <w:rPr>
          <w:rFonts w:cs="Arial"/>
        </w:rPr>
        <w:t xml:space="preserve">B model represents </w:t>
      </w:r>
      <w:proofErr w:type="spellStart"/>
      <w:r w:rsidR="0068097B" w:rsidRPr="0068097B">
        <w:rPr>
          <w:rFonts w:cs="Arial"/>
        </w:rPr>
        <w:t>behaviour</w:t>
      </w:r>
      <w:proofErr w:type="spellEnd"/>
      <w:r w:rsidRPr="0068097B">
        <w:rPr>
          <w:rFonts w:cs="Arial"/>
        </w:rPr>
        <w:t xml:space="preserve"> (B) as the result of Capability (C), Opportunity (O), and Motivation (M). Capability refers to both physical and psychological skills; Opportunity includes the social and environmental resources available; Motivation consists of automatic (habits/emotions) and reflective processes. The COM</w:t>
      </w:r>
      <w:r w:rsidRPr="0068097B">
        <w:rPr>
          <w:rFonts w:ascii="Cambria Math" w:hAnsi="Cambria Math" w:cs="Cambria Math"/>
        </w:rPr>
        <w:t>‑</w:t>
      </w:r>
      <w:r w:rsidRPr="0068097B">
        <w:rPr>
          <w:rFonts w:cs="Arial"/>
        </w:rPr>
        <w:t xml:space="preserve">B framework serves as the foundation for the </w:t>
      </w:r>
      <w:proofErr w:type="spellStart"/>
      <w:r w:rsidRPr="0068097B">
        <w:rPr>
          <w:rFonts w:cs="Arial"/>
        </w:rPr>
        <w:t>Behaviour</w:t>
      </w:r>
      <w:proofErr w:type="spellEnd"/>
      <w:r w:rsidRPr="0068097B">
        <w:rPr>
          <w:rFonts w:cs="Arial"/>
        </w:rPr>
        <w:t xml:space="preserve"> Change Wheel, which is </w:t>
      </w:r>
      <w:proofErr w:type="spellStart"/>
      <w:r w:rsidR="0068097B" w:rsidRPr="0068097B">
        <w:rPr>
          <w:rFonts w:cs="Arial"/>
        </w:rPr>
        <w:t>utilised</w:t>
      </w:r>
      <w:proofErr w:type="spellEnd"/>
      <w:r w:rsidRPr="0068097B">
        <w:rPr>
          <w:rFonts w:cs="Arial"/>
        </w:rPr>
        <w:t xml:space="preserve"> for designing interventions in various contexts (Michie &amp; West, n.d.; Willmott et al., 2021). </w:t>
      </w:r>
    </w:p>
    <w:p w14:paraId="1AFA8E6F" w14:textId="2AF070A7" w:rsidR="00BB5DC1" w:rsidRPr="0068097B" w:rsidRDefault="0068350F" w:rsidP="0068097B">
      <w:pPr>
        <w:spacing w:line="360" w:lineRule="auto"/>
        <w:jc w:val="both"/>
        <w:rPr>
          <w:rFonts w:cs="Arial"/>
        </w:rPr>
      </w:pPr>
      <w:r w:rsidRPr="0068097B">
        <w:rPr>
          <w:rFonts w:cs="Arial"/>
        </w:rPr>
        <w:t>Research indicates that COM</w:t>
      </w:r>
      <w:r w:rsidRPr="0068097B">
        <w:rPr>
          <w:rFonts w:ascii="Cambria Math" w:hAnsi="Cambria Math" w:cs="Cambria Math"/>
        </w:rPr>
        <w:t>‑</w:t>
      </w:r>
      <w:r w:rsidRPr="0068097B">
        <w:rPr>
          <w:rFonts w:cs="Arial"/>
        </w:rPr>
        <w:t xml:space="preserve">B accounts for variations in </w:t>
      </w:r>
      <w:proofErr w:type="spellStart"/>
      <w:r w:rsidR="0068097B" w:rsidRPr="0068097B">
        <w:rPr>
          <w:rFonts w:cs="Arial"/>
        </w:rPr>
        <w:t>behaviours</w:t>
      </w:r>
      <w:proofErr w:type="spellEnd"/>
      <w:r w:rsidRPr="0068097B">
        <w:rPr>
          <w:rFonts w:cs="Arial"/>
        </w:rPr>
        <w:t xml:space="preserve"> (such as physical activity and eating) through mechanisms where capability and opportunity affect motivation, providing a practical framework for planning interventions targeting older adults with multimorbidity (Willmott et al., 2021).</w:t>
      </w:r>
    </w:p>
    <w:p w14:paraId="1937073A" w14:textId="77777777" w:rsidR="00BB5DC1" w:rsidRPr="0068097B" w:rsidRDefault="008279DB" w:rsidP="0068097B">
      <w:pPr>
        <w:pStyle w:val="Heading3"/>
        <w:spacing w:line="360" w:lineRule="auto"/>
        <w:jc w:val="both"/>
        <w:rPr>
          <w:rFonts w:ascii="Arial" w:hAnsi="Arial" w:cs="Arial"/>
        </w:rPr>
      </w:pPr>
      <w:bookmarkStart w:id="7" w:name="_Toc215738932"/>
      <w:r w:rsidRPr="0068097B">
        <w:rPr>
          <w:rFonts w:ascii="Arial" w:hAnsi="Arial" w:cs="Arial"/>
        </w:rPr>
        <w:t>Application in the care</w:t>
      </w:r>
      <w:r w:rsidRPr="0068097B">
        <w:rPr>
          <w:rFonts w:ascii="Cambria Math" w:hAnsi="Cambria Math" w:cs="Cambria Math"/>
        </w:rPr>
        <w:t>‑</w:t>
      </w:r>
      <w:r w:rsidRPr="0068097B">
        <w:rPr>
          <w:rFonts w:ascii="Arial" w:hAnsi="Arial" w:cs="Arial"/>
        </w:rPr>
        <w:t>home setting</w:t>
      </w:r>
      <w:bookmarkEnd w:id="7"/>
    </w:p>
    <w:p w14:paraId="5C114066" w14:textId="45D6368D" w:rsidR="0068350F" w:rsidRPr="0068097B" w:rsidRDefault="0068350F" w:rsidP="0068097B">
      <w:pPr>
        <w:spacing w:line="360" w:lineRule="auto"/>
        <w:jc w:val="both"/>
        <w:rPr>
          <w:rFonts w:cs="Arial"/>
        </w:rPr>
      </w:pPr>
      <w:r w:rsidRPr="0068097B">
        <w:rPr>
          <w:rFonts w:cs="Arial"/>
        </w:rPr>
        <w:t xml:space="preserve">Capability: Improve psychological capability through straightforward instructions, illustrated step-by-step guides, and gradually challenging tasks; enhance physical ability with the assistance of occupational or physical therapy for mobility aids and safe seating. </w:t>
      </w:r>
      <w:proofErr w:type="spellStart"/>
      <w:r w:rsidRPr="0068097B">
        <w:rPr>
          <w:rFonts w:cs="Arial"/>
        </w:rPr>
        <w:t>Behavioural</w:t>
      </w:r>
      <w:proofErr w:type="spellEnd"/>
      <w:r w:rsidRPr="0068097B">
        <w:rPr>
          <w:rFonts w:cs="Arial"/>
        </w:rPr>
        <w:t xml:space="preserve"> Activation (BA)—a systematic </w:t>
      </w:r>
      <w:proofErr w:type="spellStart"/>
      <w:r w:rsidR="0068097B" w:rsidRPr="0068097B">
        <w:rPr>
          <w:rFonts w:cs="Arial"/>
        </w:rPr>
        <w:t>organisation</w:t>
      </w:r>
      <w:proofErr w:type="spellEnd"/>
      <w:r w:rsidRPr="0068097B">
        <w:rPr>
          <w:rFonts w:cs="Arial"/>
        </w:rPr>
        <w:t xml:space="preserve"> of meaningful activities—helps alleviate late-life depression and can be effectively implemented by trained non-specialists; meta-analyses and pragmatic studies demonstrate significant effects in older adults (</w:t>
      </w:r>
      <w:proofErr w:type="spellStart"/>
      <w:r w:rsidRPr="0068097B">
        <w:rPr>
          <w:rFonts w:cs="Arial"/>
        </w:rPr>
        <w:t>Orgeta</w:t>
      </w:r>
      <w:proofErr w:type="spellEnd"/>
      <w:r w:rsidRPr="0068097B">
        <w:rPr>
          <w:rFonts w:cs="Arial"/>
        </w:rPr>
        <w:t xml:space="preserve"> et al., 2017; Janssen et al., 2023).</w:t>
      </w:r>
    </w:p>
    <w:p w14:paraId="405F2AAB" w14:textId="308DAA97" w:rsidR="0068350F" w:rsidRPr="0068097B" w:rsidRDefault="0068350F" w:rsidP="0068097B">
      <w:pPr>
        <w:spacing w:line="360" w:lineRule="auto"/>
        <w:jc w:val="both"/>
        <w:rPr>
          <w:rFonts w:cs="Arial"/>
        </w:rPr>
      </w:pPr>
      <w:r w:rsidRPr="0068097B">
        <w:rPr>
          <w:rFonts w:cs="Arial"/>
        </w:rPr>
        <w:t>Opportunity: Modify environments to establish accessible 'activity stations' (music area, art space, garden pathways) with clear signs and consistent arrangements. Smaller, home-like units promote autonomy and lower perceived workload, encouraging spontaneous participation (</w:t>
      </w:r>
      <w:proofErr w:type="spellStart"/>
      <w:r w:rsidRPr="0068097B">
        <w:rPr>
          <w:rFonts w:cs="Arial"/>
        </w:rPr>
        <w:t>Zwakhalen</w:t>
      </w:r>
      <w:proofErr w:type="spellEnd"/>
      <w:r w:rsidRPr="0068097B">
        <w:rPr>
          <w:rFonts w:cs="Arial"/>
        </w:rPr>
        <w:t xml:space="preserve"> et al., 2018). Social opportunities can be enhanced through regular key workers and small group settings (NICE, 2018). </w:t>
      </w:r>
    </w:p>
    <w:p w14:paraId="6989A8E4" w14:textId="24127323" w:rsidR="00BB5DC1" w:rsidRPr="0068097B" w:rsidRDefault="0068350F" w:rsidP="0068097B">
      <w:pPr>
        <w:spacing w:line="360" w:lineRule="auto"/>
        <w:jc w:val="both"/>
        <w:rPr>
          <w:rFonts w:cs="Arial"/>
        </w:rPr>
      </w:pPr>
      <w:r w:rsidRPr="0068097B">
        <w:rPr>
          <w:rFonts w:cs="Arial"/>
        </w:rPr>
        <w:t>Motivation: Employ emotionally impactful cues—</w:t>
      </w:r>
      <w:proofErr w:type="spellStart"/>
      <w:r w:rsidR="0068097B" w:rsidRPr="0068097B">
        <w:rPr>
          <w:rFonts w:cs="Arial"/>
        </w:rPr>
        <w:t>personalised</w:t>
      </w:r>
      <w:proofErr w:type="spellEnd"/>
      <w:r w:rsidRPr="0068097B">
        <w:rPr>
          <w:rFonts w:cs="Arial"/>
        </w:rPr>
        <w:t xml:space="preserve"> music, cherished items—to trigger automatic motivation; where understanding permits, include brief CBT-informed strategies (worry scheduling, relaxation techniques, problem-solving). Research indicates that CBT can be beneficial for older adults experiencing anxiety or depression, though adjustments are necessary and effects may be temporary (Hendriks et al., 2024; AAFP, 2025).</w:t>
      </w:r>
    </w:p>
    <w:p w14:paraId="612114FC" w14:textId="77777777" w:rsidR="00BB5DC1" w:rsidRPr="0068097B" w:rsidRDefault="008279DB" w:rsidP="0068097B">
      <w:pPr>
        <w:pStyle w:val="Heading3"/>
        <w:spacing w:line="360" w:lineRule="auto"/>
        <w:jc w:val="both"/>
        <w:rPr>
          <w:rFonts w:ascii="Arial" w:hAnsi="Arial" w:cs="Arial"/>
        </w:rPr>
      </w:pPr>
      <w:bookmarkStart w:id="8" w:name="_Toc215738933"/>
      <w:r w:rsidRPr="0068097B">
        <w:rPr>
          <w:rFonts w:ascii="Arial" w:hAnsi="Arial" w:cs="Arial"/>
        </w:rPr>
        <w:t>Integrated practice examples (Erikson × COM</w:t>
      </w:r>
      <w:r w:rsidRPr="0068097B">
        <w:rPr>
          <w:rFonts w:ascii="Cambria Math" w:hAnsi="Cambria Math" w:cs="Cambria Math"/>
        </w:rPr>
        <w:t>‑</w:t>
      </w:r>
      <w:r w:rsidRPr="0068097B">
        <w:rPr>
          <w:rFonts w:ascii="Arial" w:hAnsi="Arial" w:cs="Arial"/>
        </w:rPr>
        <w:t>B)</w:t>
      </w:r>
      <w:bookmarkEnd w:id="8"/>
    </w:p>
    <w:p w14:paraId="4CD638C4" w14:textId="36A9F0F5" w:rsidR="0068350F" w:rsidRPr="0068097B" w:rsidRDefault="0068350F" w:rsidP="0068097B">
      <w:pPr>
        <w:spacing w:line="360" w:lineRule="auto"/>
        <w:jc w:val="both"/>
        <w:rPr>
          <w:rFonts w:cs="Arial"/>
        </w:rPr>
      </w:pPr>
      <w:r w:rsidRPr="0068097B">
        <w:rPr>
          <w:rFonts w:cs="Arial"/>
        </w:rPr>
        <w:t xml:space="preserve">Morning ‘Positive Start’: Staff members welcome residents by name, play well-known music, and encourage a brief memory sharing related to the day’s activity (e.g., ‘baking together’). Erikson </w:t>
      </w:r>
      <w:proofErr w:type="spellStart"/>
      <w:r w:rsidR="0068097B" w:rsidRPr="0068097B">
        <w:rPr>
          <w:rFonts w:cs="Arial"/>
        </w:rPr>
        <w:t>emphasises</w:t>
      </w:r>
      <w:proofErr w:type="spellEnd"/>
      <w:r w:rsidRPr="0068097B">
        <w:rPr>
          <w:rFonts w:cs="Arial"/>
        </w:rPr>
        <w:t xml:space="preserve"> meaning and acceptance; the COM-B framework addresses Opportunity (music station), Capability (visual recipe cards), and Motivation (habit formation).</w:t>
      </w:r>
    </w:p>
    <w:p w14:paraId="07624804" w14:textId="352CD0E9" w:rsidR="0068350F" w:rsidRPr="0068097B" w:rsidRDefault="0068350F" w:rsidP="0068097B">
      <w:pPr>
        <w:spacing w:line="360" w:lineRule="auto"/>
        <w:jc w:val="both"/>
        <w:rPr>
          <w:rFonts w:cs="Arial"/>
        </w:rPr>
      </w:pPr>
      <w:r w:rsidRPr="0068097B">
        <w:rPr>
          <w:rFonts w:cs="Arial"/>
        </w:rPr>
        <w:t>Weekly BA-informed schedule with life-review anchors: Collaboratively create a pictorial schedule that includes valued roles (tea host, greenhouse helper) and short life-review moments (photo album time). Monitor mood (e.g., Cornell Scale) and participation; adjust tasks to ensure successful experiences (</w:t>
      </w:r>
      <w:proofErr w:type="spellStart"/>
      <w:r w:rsidRPr="0068097B">
        <w:rPr>
          <w:rFonts w:cs="Arial"/>
        </w:rPr>
        <w:t>Orgeta</w:t>
      </w:r>
      <w:proofErr w:type="spellEnd"/>
      <w:r w:rsidRPr="0068097B">
        <w:rPr>
          <w:rFonts w:cs="Arial"/>
        </w:rPr>
        <w:t xml:space="preserve"> et al., 2017; Janssen et al., 2023).</w:t>
      </w:r>
    </w:p>
    <w:p w14:paraId="1008B951" w14:textId="42DD1636" w:rsidR="0068350F" w:rsidRPr="0068097B" w:rsidRDefault="0068350F" w:rsidP="0068097B">
      <w:pPr>
        <w:spacing w:line="360" w:lineRule="auto"/>
        <w:jc w:val="both"/>
        <w:rPr>
          <w:rFonts w:cs="Arial"/>
        </w:rPr>
      </w:pPr>
      <w:r w:rsidRPr="0068097B">
        <w:rPr>
          <w:rFonts w:cs="Arial"/>
        </w:rPr>
        <w:t xml:space="preserve">CST with emotional anchors: Group Cognitive Stimulation Therapy (CST) themes (food, travel, news) begin with </w:t>
      </w:r>
      <w:proofErr w:type="spellStart"/>
      <w:r w:rsidR="0068097B" w:rsidRPr="0068097B">
        <w:rPr>
          <w:rFonts w:cs="Arial"/>
        </w:rPr>
        <w:t>personalised</w:t>
      </w:r>
      <w:proofErr w:type="spellEnd"/>
      <w:r w:rsidRPr="0068097B">
        <w:rPr>
          <w:rFonts w:cs="Arial"/>
        </w:rPr>
        <w:t xml:space="preserve"> prompts (photos of local landmarks, </w:t>
      </w:r>
      <w:proofErr w:type="spellStart"/>
      <w:r w:rsidR="0068097B" w:rsidRPr="0068097B">
        <w:rPr>
          <w:rFonts w:cs="Arial"/>
        </w:rPr>
        <w:t>favourite</w:t>
      </w:r>
      <w:proofErr w:type="spellEnd"/>
      <w:r w:rsidRPr="0068097B">
        <w:rPr>
          <w:rFonts w:cs="Arial"/>
        </w:rPr>
        <w:t xml:space="preserve"> recipes). NICE recommends CST for individuals with mild-to-moderate dementia; incorporating emotional significance aligns with Erikson’s focus on integrity (NICE, 2018; Pink et al., 2018).</w:t>
      </w:r>
    </w:p>
    <w:p w14:paraId="0B05D544" w14:textId="77854FCB" w:rsidR="00BB5DC1" w:rsidRPr="0068097B" w:rsidRDefault="0068350F" w:rsidP="0068097B">
      <w:pPr>
        <w:spacing w:line="360" w:lineRule="auto"/>
        <w:jc w:val="both"/>
        <w:rPr>
          <w:rFonts w:cs="Arial"/>
        </w:rPr>
      </w:pPr>
      <w:r w:rsidRPr="0068097B">
        <w:rPr>
          <w:rFonts w:cs="Arial"/>
        </w:rPr>
        <w:t xml:space="preserve">Sleep and sundowning toolkit: Provide bright-light exposure after lunch, calming sensory inputs in the evening, a consistent routine, and </w:t>
      </w:r>
      <w:proofErr w:type="spellStart"/>
      <w:r w:rsidR="0068097B" w:rsidRPr="0068097B">
        <w:rPr>
          <w:rFonts w:cs="Arial"/>
        </w:rPr>
        <w:t>personalised</w:t>
      </w:r>
      <w:proofErr w:type="spellEnd"/>
      <w:r w:rsidRPr="0068097B">
        <w:rPr>
          <w:rFonts w:cs="Arial"/>
        </w:rPr>
        <w:t xml:space="preserve"> winding-down playlists to support the circadian rhythm and alleviate late-day agitation; include ‘gratitude moments’ to reinforce integrity before bedtime (LTCCC, 2025).</w:t>
      </w:r>
    </w:p>
    <w:p w14:paraId="79D34613" w14:textId="77777777" w:rsidR="00BB5DC1" w:rsidRPr="0068097B" w:rsidRDefault="008279DB" w:rsidP="0068097B">
      <w:pPr>
        <w:pStyle w:val="Heading2"/>
        <w:spacing w:line="360" w:lineRule="auto"/>
        <w:jc w:val="both"/>
        <w:rPr>
          <w:rFonts w:ascii="Arial" w:hAnsi="Arial" w:cs="Arial"/>
          <w:sz w:val="22"/>
          <w:szCs w:val="22"/>
        </w:rPr>
      </w:pPr>
      <w:bookmarkStart w:id="9" w:name="_Toc215738934"/>
      <w:r w:rsidRPr="0068097B">
        <w:rPr>
          <w:rFonts w:ascii="Arial" w:hAnsi="Arial" w:cs="Arial"/>
          <w:sz w:val="22"/>
          <w:szCs w:val="22"/>
        </w:rPr>
        <w:t>Implementation challenges and organisational strategies</w:t>
      </w:r>
      <w:bookmarkEnd w:id="9"/>
    </w:p>
    <w:p w14:paraId="71E2255D" w14:textId="73093257" w:rsidR="0068097B" w:rsidRPr="0068097B" w:rsidRDefault="0068097B" w:rsidP="0068097B">
      <w:pPr>
        <w:spacing w:line="360" w:lineRule="auto"/>
        <w:jc w:val="both"/>
        <w:rPr>
          <w:rFonts w:cs="Arial"/>
        </w:rPr>
      </w:pPr>
      <w:r w:rsidRPr="0068097B">
        <w:rPr>
          <w:rFonts w:cs="Arial"/>
        </w:rPr>
        <w:t>Balancing model simplicity with complex realities: The straightforward nature of the COM-B model might miss important social and cultural influences, as well as the changing nature of motivation over time. To address this, combine COM-B with person-</w:t>
      </w:r>
      <w:proofErr w:type="spellStart"/>
      <w:r w:rsidRPr="0068097B">
        <w:rPr>
          <w:rFonts w:cs="Arial"/>
        </w:rPr>
        <w:t>centred</w:t>
      </w:r>
      <w:proofErr w:type="spellEnd"/>
      <w:r w:rsidRPr="0068097B">
        <w:rPr>
          <w:rFonts w:cs="Arial"/>
        </w:rPr>
        <w:t xml:space="preserve"> approaches (like </w:t>
      </w:r>
      <w:proofErr w:type="spellStart"/>
      <w:r w:rsidRPr="0068097B">
        <w:rPr>
          <w:rFonts w:cs="Arial"/>
        </w:rPr>
        <w:t>Kitwood’s</w:t>
      </w:r>
      <w:proofErr w:type="spellEnd"/>
      <w:r w:rsidRPr="0068097B">
        <w:rPr>
          <w:rFonts w:cs="Arial"/>
        </w:rPr>
        <w:t xml:space="preserve">) and social-ecological frameworks; regularly evaluate </w:t>
      </w:r>
      <w:proofErr w:type="spellStart"/>
      <w:r w:rsidRPr="0068097B">
        <w:rPr>
          <w:rFonts w:cs="Arial"/>
        </w:rPr>
        <w:t>behaviour</w:t>
      </w:r>
      <w:proofErr w:type="spellEnd"/>
      <w:r w:rsidRPr="0068097B">
        <w:rPr>
          <w:rFonts w:cs="Arial"/>
        </w:rPr>
        <w:t xml:space="preserve"> and modify strategies as needed (Sari et al., 2024; Mitchell &amp; Agnelli, 2015).</w:t>
      </w:r>
    </w:p>
    <w:p w14:paraId="41D8C21F" w14:textId="606DE579" w:rsidR="0068097B" w:rsidRPr="0068097B" w:rsidRDefault="0068097B" w:rsidP="0068097B">
      <w:pPr>
        <w:spacing w:line="360" w:lineRule="auto"/>
        <w:jc w:val="both"/>
        <w:rPr>
          <w:rFonts w:cs="Arial"/>
        </w:rPr>
      </w:pPr>
      <w:r w:rsidRPr="0068097B">
        <w:rPr>
          <w:rFonts w:cs="Arial"/>
        </w:rPr>
        <w:t xml:space="preserve">Staffing challenges and burnout: High workloads and insufficient staff contribute to reduced effectiveness. The strategy should focus on maintaining adequate staffing levels, fostering supportive leadership, and providing reflective supervision. Research shows that improved staffing and nurturing environments can lead to lighter workloads and enhanced care quality (Costello et al., 2019; </w:t>
      </w:r>
      <w:proofErr w:type="spellStart"/>
      <w:r w:rsidRPr="0068097B">
        <w:rPr>
          <w:rFonts w:cs="Arial"/>
        </w:rPr>
        <w:t>Zwakhalen</w:t>
      </w:r>
      <w:proofErr w:type="spellEnd"/>
      <w:r w:rsidRPr="0068097B">
        <w:rPr>
          <w:rFonts w:cs="Arial"/>
        </w:rPr>
        <w:t xml:space="preserve"> et al., 2018).</w:t>
      </w:r>
    </w:p>
    <w:p w14:paraId="19DD07AD" w14:textId="19551627" w:rsidR="00BB5DC1" w:rsidRPr="0068097B" w:rsidRDefault="0068097B" w:rsidP="0068097B">
      <w:pPr>
        <w:spacing w:line="360" w:lineRule="auto"/>
        <w:jc w:val="both"/>
        <w:rPr>
          <w:rFonts w:cs="Arial"/>
        </w:rPr>
      </w:pPr>
      <w:r w:rsidRPr="0068097B">
        <w:rPr>
          <w:rFonts w:cs="Arial"/>
        </w:rPr>
        <w:t xml:space="preserve">Adapting therapy for advanced dementia: The effectiveness of CBT may be limited or only temporary in individuals with significant impairments. Therefore, it’s essential to focus on low-cognitive-load methods (like </w:t>
      </w:r>
      <w:proofErr w:type="spellStart"/>
      <w:r w:rsidRPr="0068097B">
        <w:rPr>
          <w:rFonts w:cs="Arial"/>
        </w:rPr>
        <w:t>behavioural</w:t>
      </w:r>
      <w:proofErr w:type="spellEnd"/>
      <w:r w:rsidRPr="0068097B">
        <w:rPr>
          <w:rFonts w:cs="Arial"/>
        </w:rPr>
        <w:t xml:space="preserve"> activation, sensory therapies, and validation), and to assess meaningful outcomes such as comfort, participation, and distress, aligning with guidelines from NG97 (Hendriks et al., 2024; NICE, 2018).</w:t>
      </w:r>
    </w:p>
    <w:p w14:paraId="4F7C3776" w14:textId="77777777" w:rsidR="00BB5DC1" w:rsidRPr="0068097B" w:rsidRDefault="008279DB" w:rsidP="0068097B">
      <w:pPr>
        <w:pStyle w:val="Heading2"/>
        <w:spacing w:line="360" w:lineRule="auto"/>
        <w:jc w:val="both"/>
        <w:rPr>
          <w:rFonts w:ascii="Arial" w:hAnsi="Arial" w:cs="Arial"/>
          <w:sz w:val="22"/>
          <w:szCs w:val="22"/>
        </w:rPr>
      </w:pPr>
      <w:bookmarkStart w:id="10" w:name="_Toc215738935"/>
      <w:r w:rsidRPr="0068097B">
        <w:rPr>
          <w:rFonts w:ascii="Arial" w:hAnsi="Arial" w:cs="Arial"/>
          <w:sz w:val="22"/>
          <w:szCs w:val="22"/>
        </w:rPr>
        <w:t>Conclusion</w:t>
      </w:r>
      <w:bookmarkEnd w:id="10"/>
    </w:p>
    <w:p w14:paraId="6B688BDF" w14:textId="27160303" w:rsidR="00BB5DC1" w:rsidRDefault="0068097B" w:rsidP="0068097B">
      <w:pPr>
        <w:spacing w:line="360" w:lineRule="auto"/>
        <w:jc w:val="both"/>
        <w:rPr>
          <w:rFonts w:cs="Arial"/>
        </w:rPr>
      </w:pPr>
      <w:r w:rsidRPr="0068097B">
        <w:rPr>
          <w:rFonts w:cs="Arial"/>
        </w:rPr>
        <w:t>Erikson’s stage of Integrity vs. Despair provides a framework for addressing the existential challenges associated with ageing, particularly in dementia care, by focusing on aspects like life review, finding meaning, affirming identity, and fostering acceptance. The COM-B model presents a practical approach for creating and continuously refining daily routines that enhance capabilities, create opportunities, and boost motivation. Together, these concepts support person-</w:t>
      </w:r>
      <w:proofErr w:type="spellStart"/>
      <w:r w:rsidRPr="0068097B">
        <w:rPr>
          <w:rFonts w:cs="Arial"/>
        </w:rPr>
        <w:t>centred</w:t>
      </w:r>
      <w:proofErr w:type="spellEnd"/>
      <w:r w:rsidRPr="0068097B">
        <w:rPr>
          <w:rFonts w:cs="Arial"/>
        </w:rPr>
        <w:t xml:space="preserve">, evidence-based practices in line with NICE NG97, offering actionable strategies to tackle issues related to cognitive decline, staff resources, and </w:t>
      </w:r>
      <w:proofErr w:type="spellStart"/>
      <w:r w:rsidRPr="0068097B">
        <w:rPr>
          <w:rFonts w:cs="Arial"/>
        </w:rPr>
        <w:t>organisational</w:t>
      </w:r>
      <w:proofErr w:type="spellEnd"/>
      <w:r w:rsidRPr="0068097B">
        <w:rPr>
          <w:rFonts w:cs="Arial"/>
        </w:rPr>
        <w:t xml:space="preserve"> settings. Implementing training, modifying environments, and ongoing evaluation can improve well-being, lessen </w:t>
      </w:r>
      <w:proofErr w:type="spellStart"/>
      <w:r w:rsidRPr="0068097B">
        <w:rPr>
          <w:rFonts w:cs="Arial"/>
        </w:rPr>
        <w:t>behavioural</w:t>
      </w:r>
      <w:proofErr w:type="spellEnd"/>
      <w:r w:rsidRPr="0068097B">
        <w:rPr>
          <w:rFonts w:cs="Arial"/>
        </w:rPr>
        <w:t xml:space="preserve"> and psychological symptoms of dementia (BPSD), and promote dignified living conditions in care facilities.</w:t>
      </w:r>
    </w:p>
    <w:p w14:paraId="127E631C" w14:textId="77777777" w:rsidR="008279DB" w:rsidRPr="0068097B" w:rsidRDefault="008279DB" w:rsidP="0068097B">
      <w:pPr>
        <w:spacing w:line="360" w:lineRule="auto"/>
        <w:jc w:val="both"/>
        <w:rPr>
          <w:rFonts w:cs="Arial"/>
        </w:rPr>
      </w:pPr>
    </w:p>
    <w:p w14:paraId="24CADA55" w14:textId="77777777" w:rsidR="00BB5DC1" w:rsidRPr="0068097B" w:rsidRDefault="008279DB" w:rsidP="0068097B">
      <w:pPr>
        <w:pStyle w:val="Heading2"/>
        <w:spacing w:line="360" w:lineRule="auto"/>
        <w:jc w:val="both"/>
        <w:rPr>
          <w:rFonts w:ascii="Arial" w:hAnsi="Arial" w:cs="Arial"/>
          <w:sz w:val="22"/>
          <w:szCs w:val="22"/>
        </w:rPr>
      </w:pPr>
      <w:bookmarkStart w:id="11" w:name="_Toc215738936"/>
      <w:r w:rsidRPr="0068097B">
        <w:rPr>
          <w:rFonts w:ascii="Arial" w:hAnsi="Arial" w:cs="Arial"/>
          <w:sz w:val="22"/>
          <w:szCs w:val="22"/>
        </w:rPr>
        <w:t>References (UWTSD Harvard style)</w:t>
      </w:r>
      <w:bookmarkEnd w:id="11"/>
    </w:p>
    <w:p w14:paraId="1526AD26" w14:textId="77777777" w:rsidR="00BB5DC1" w:rsidRPr="0068097B" w:rsidRDefault="008279DB" w:rsidP="0068097B">
      <w:pPr>
        <w:pStyle w:val="ListParagraph"/>
        <w:numPr>
          <w:ilvl w:val="0"/>
          <w:numId w:val="10"/>
        </w:numPr>
        <w:spacing w:line="360" w:lineRule="auto"/>
        <w:rPr>
          <w:rFonts w:cs="Arial"/>
        </w:rPr>
      </w:pPr>
      <w:r w:rsidRPr="0068097B">
        <w:rPr>
          <w:rFonts w:cs="Arial"/>
        </w:rPr>
        <w:t>National Institute for Health and Care Excellence (NICE) (2018) Dementia: assessment, management and support for people living with dementia and their carers (NG97). Available at: htt</w:t>
      </w:r>
      <w:r w:rsidRPr="0068097B">
        <w:rPr>
          <w:rFonts w:cs="Arial"/>
        </w:rPr>
        <w:t>ps://www.nice.org.uk/guidance/ng97 (Last reviewed: 24 October 2025).</w:t>
      </w:r>
    </w:p>
    <w:p w14:paraId="07CD3C1C" w14:textId="77777777" w:rsidR="00BB5DC1" w:rsidRPr="0068097B" w:rsidRDefault="008279DB" w:rsidP="0068097B">
      <w:pPr>
        <w:pStyle w:val="ListParagraph"/>
        <w:numPr>
          <w:ilvl w:val="0"/>
          <w:numId w:val="10"/>
        </w:numPr>
        <w:spacing w:line="360" w:lineRule="auto"/>
        <w:rPr>
          <w:rFonts w:cs="Arial"/>
        </w:rPr>
      </w:pPr>
      <w:r w:rsidRPr="0068097B">
        <w:rPr>
          <w:rFonts w:cs="Arial"/>
        </w:rPr>
        <w:t xml:space="preserve">Pink, J. et al. (2018) ‘Dementia: assessment, management and support: summary of updated NICE guidance’, BMJ, </w:t>
      </w:r>
      <w:proofErr w:type="gramStart"/>
      <w:r w:rsidRPr="0068097B">
        <w:rPr>
          <w:rFonts w:cs="Arial"/>
        </w:rPr>
        <w:t>361:k</w:t>
      </w:r>
      <w:proofErr w:type="gramEnd"/>
      <w:r w:rsidRPr="0068097B">
        <w:rPr>
          <w:rFonts w:cs="Arial"/>
        </w:rPr>
        <w:t xml:space="preserve">2438. Available at: https://www.jstor.org/stable/26961192 (Accessed: 04 </w:t>
      </w:r>
      <w:r w:rsidRPr="0068097B">
        <w:rPr>
          <w:rFonts w:cs="Arial"/>
        </w:rPr>
        <w:t>December 2025).</w:t>
      </w:r>
    </w:p>
    <w:p w14:paraId="6787C594" w14:textId="77777777" w:rsidR="00BB5DC1" w:rsidRPr="0068097B" w:rsidRDefault="008279DB" w:rsidP="0068097B">
      <w:pPr>
        <w:pStyle w:val="ListParagraph"/>
        <w:numPr>
          <w:ilvl w:val="0"/>
          <w:numId w:val="10"/>
        </w:numPr>
        <w:spacing w:line="360" w:lineRule="auto"/>
        <w:rPr>
          <w:rFonts w:cs="Arial"/>
        </w:rPr>
      </w:pPr>
      <w:r w:rsidRPr="0068097B">
        <w:rPr>
          <w:rFonts w:cs="Arial"/>
        </w:rPr>
        <w:t>Erikson, E.H. (1982) The Life Cycle Completed. New York: W.W. Norton.</w:t>
      </w:r>
    </w:p>
    <w:p w14:paraId="5EB39C93" w14:textId="77777777" w:rsidR="00BB5DC1" w:rsidRPr="0068097B" w:rsidRDefault="008279DB" w:rsidP="0068097B">
      <w:pPr>
        <w:pStyle w:val="ListParagraph"/>
        <w:numPr>
          <w:ilvl w:val="0"/>
          <w:numId w:val="10"/>
        </w:numPr>
        <w:spacing w:line="360" w:lineRule="auto"/>
        <w:rPr>
          <w:rFonts w:cs="Arial"/>
        </w:rPr>
      </w:pPr>
      <w:r w:rsidRPr="0068097B">
        <w:rPr>
          <w:rFonts w:cs="Arial"/>
        </w:rPr>
        <w:t>Cherry, K. (2025) ‘Integrity vs. Despair in Psychosocial Development’, Verywell Mind. Available at: https://www.verywellmind.com/integrity-versus-despair-2795738 (Accesse</w:t>
      </w:r>
      <w:r w:rsidRPr="0068097B">
        <w:rPr>
          <w:rFonts w:cs="Arial"/>
        </w:rPr>
        <w:t>d: 04 December 2025).</w:t>
      </w:r>
    </w:p>
    <w:p w14:paraId="2B8A9D21" w14:textId="77777777" w:rsidR="00BB5DC1" w:rsidRPr="0068097B" w:rsidRDefault="008279DB" w:rsidP="0068097B">
      <w:pPr>
        <w:pStyle w:val="ListParagraph"/>
        <w:numPr>
          <w:ilvl w:val="0"/>
          <w:numId w:val="10"/>
        </w:numPr>
        <w:spacing w:line="360" w:lineRule="auto"/>
        <w:rPr>
          <w:rFonts w:cs="Arial"/>
        </w:rPr>
      </w:pPr>
      <w:r w:rsidRPr="0068097B">
        <w:rPr>
          <w:rFonts w:cs="Arial"/>
        </w:rPr>
        <w:t xml:space="preserve">Dezutter, J., Toussaint, L. and Dewitte, L. (2019) ‘Finding a balance between integrity and despair: A challenging task for older adults in residential care’, Journal of Adult Development, 26(3), pp. 177–189. </w:t>
      </w:r>
      <w:r w:rsidRPr="0068097B">
        <w:rPr>
          <w:rFonts w:cs="Arial"/>
        </w:rPr>
        <w:t>https://doi.org/10.1007/s10804-019-09332-1.</w:t>
      </w:r>
    </w:p>
    <w:p w14:paraId="7FBAB9C6" w14:textId="77777777" w:rsidR="00BB5DC1" w:rsidRPr="0068097B" w:rsidRDefault="008279DB" w:rsidP="0068097B">
      <w:pPr>
        <w:pStyle w:val="ListParagraph"/>
        <w:numPr>
          <w:ilvl w:val="0"/>
          <w:numId w:val="10"/>
        </w:numPr>
        <w:spacing w:line="360" w:lineRule="auto"/>
        <w:rPr>
          <w:rFonts w:cs="Arial"/>
        </w:rPr>
      </w:pPr>
      <w:r w:rsidRPr="0068097B">
        <w:rPr>
          <w:rFonts w:cs="Arial"/>
        </w:rPr>
        <w:t>Mazaheri, M., Kihlgren, M. and Norberg, A. (2022) ‘Applying Erikson’s theory when communicating with persons with advanced dementia diseases’, Nordic Journal of Nursing Research, 42(4), pp. 178–184. https://doi.o</w:t>
      </w:r>
      <w:r w:rsidRPr="0068097B">
        <w:rPr>
          <w:rFonts w:cs="Arial"/>
        </w:rPr>
        <w:t>rg/10.1177/20571585211048280.</w:t>
      </w:r>
    </w:p>
    <w:p w14:paraId="3975E960" w14:textId="77777777" w:rsidR="00BB5DC1" w:rsidRPr="0068097B" w:rsidRDefault="008279DB" w:rsidP="0068097B">
      <w:pPr>
        <w:pStyle w:val="ListParagraph"/>
        <w:numPr>
          <w:ilvl w:val="0"/>
          <w:numId w:val="10"/>
        </w:numPr>
        <w:spacing w:line="360" w:lineRule="auto"/>
        <w:rPr>
          <w:rFonts w:cs="Arial"/>
        </w:rPr>
      </w:pPr>
      <w:r w:rsidRPr="0068097B">
        <w:rPr>
          <w:rFonts w:cs="Arial"/>
        </w:rPr>
        <w:lastRenderedPageBreak/>
        <w:t>Michie, S. and West, R. (n.d.) The COM</w:t>
      </w:r>
      <w:r w:rsidRPr="0068097B">
        <w:rPr>
          <w:rFonts w:ascii="Cambria Math" w:hAnsi="Cambria Math" w:cs="Cambria Math"/>
        </w:rPr>
        <w:t>‑</w:t>
      </w:r>
      <w:r w:rsidRPr="0068097B">
        <w:rPr>
          <w:rFonts w:cs="Arial"/>
        </w:rPr>
        <w:t>B Website. Available at: https://www.com-b.org/ (Accessed: 04 December 2025).</w:t>
      </w:r>
    </w:p>
    <w:p w14:paraId="7B86D8DF" w14:textId="77777777" w:rsidR="00BB5DC1" w:rsidRPr="0068097B" w:rsidRDefault="008279DB" w:rsidP="0068097B">
      <w:pPr>
        <w:pStyle w:val="ListParagraph"/>
        <w:numPr>
          <w:ilvl w:val="0"/>
          <w:numId w:val="10"/>
        </w:numPr>
        <w:spacing w:line="360" w:lineRule="auto"/>
        <w:rPr>
          <w:rFonts w:cs="Arial"/>
        </w:rPr>
      </w:pPr>
      <w:r w:rsidRPr="0068097B">
        <w:rPr>
          <w:rFonts w:cs="Arial"/>
        </w:rPr>
        <w:t>Willmott, T.J., Pang, B. and Rundle</w:t>
      </w:r>
      <w:r w:rsidRPr="0068097B">
        <w:rPr>
          <w:rFonts w:ascii="Cambria Math" w:hAnsi="Cambria Math" w:cs="Cambria Math"/>
        </w:rPr>
        <w:t>‑</w:t>
      </w:r>
      <w:r w:rsidRPr="0068097B">
        <w:rPr>
          <w:rFonts w:cs="Arial"/>
        </w:rPr>
        <w:t xml:space="preserve">Thiele, S. (2021) ‘Capability, opportunity, and motivation: An empirical </w:t>
      </w:r>
      <w:r w:rsidRPr="0068097B">
        <w:rPr>
          <w:rFonts w:cs="Arial"/>
        </w:rPr>
        <w:t>examination of COM</w:t>
      </w:r>
      <w:r w:rsidRPr="0068097B">
        <w:rPr>
          <w:rFonts w:ascii="Cambria Math" w:hAnsi="Cambria Math" w:cs="Cambria Math"/>
        </w:rPr>
        <w:t>‑</w:t>
      </w:r>
      <w:r w:rsidRPr="0068097B">
        <w:rPr>
          <w:rFonts w:cs="Arial"/>
        </w:rPr>
        <w:t>B’, BMC Public Health, 21(1014). https://doi.org/10.1186/s12889-021-11019-w.</w:t>
      </w:r>
    </w:p>
    <w:p w14:paraId="7F3ACA69" w14:textId="77777777" w:rsidR="00BB5DC1" w:rsidRPr="0068097B" w:rsidRDefault="008279DB" w:rsidP="0068097B">
      <w:pPr>
        <w:pStyle w:val="ListParagraph"/>
        <w:numPr>
          <w:ilvl w:val="0"/>
          <w:numId w:val="10"/>
        </w:numPr>
        <w:spacing w:line="360" w:lineRule="auto"/>
        <w:rPr>
          <w:rFonts w:cs="Arial"/>
        </w:rPr>
      </w:pPr>
      <w:r w:rsidRPr="0068097B">
        <w:rPr>
          <w:rFonts w:cs="Arial"/>
        </w:rPr>
        <w:t>Orgeta, V., Brede, J. and Livingston, G. (2017) ‘Behavioural activation for depression in older people: Systematic review and meta</w:t>
      </w:r>
      <w:r w:rsidRPr="0068097B">
        <w:rPr>
          <w:rFonts w:ascii="Cambria Math" w:hAnsi="Cambria Math" w:cs="Cambria Math"/>
        </w:rPr>
        <w:t>‑</w:t>
      </w:r>
      <w:r w:rsidRPr="0068097B">
        <w:rPr>
          <w:rFonts w:cs="Arial"/>
        </w:rPr>
        <w:t>analysis’, British Journal of</w:t>
      </w:r>
      <w:r w:rsidRPr="0068097B">
        <w:rPr>
          <w:rFonts w:cs="Arial"/>
        </w:rPr>
        <w:t xml:space="preserve"> Psychiatry, 211(5), pp. 274–279. https://doi.org/10.1192/bjp.bp.117.205021.</w:t>
      </w:r>
    </w:p>
    <w:p w14:paraId="0D741176" w14:textId="77777777" w:rsidR="00BB5DC1" w:rsidRPr="0068097B" w:rsidRDefault="008279DB" w:rsidP="0068097B">
      <w:pPr>
        <w:pStyle w:val="ListParagraph"/>
        <w:numPr>
          <w:ilvl w:val="0"/>
          <w:numId w:val="10"/>
        </w:numPr>
        <w:spacing w:line="360" w:lineRule="auto"/>
        <w:rPr>
          <w:rFonts w:cs="Arial"/>
        </w:rPr>
      </w:pPr>
      <w:r w:rsidRPr="0068097B">
        <w:rPr>
          <w:rFonts w:cs="Arial"/>
        </w:rPr>
        <w:t>Janssen, N.P. et al. (2023) ‘Behavioural activation versus treatment as usual for depressed older adults in primary care: Pragmatic cluster RCT’, Psychotherapy and Psychosomatics,</w:t>
      </w:r>
      <w:r w:rsidRPr="0068097B">
        <w:rPr>
          <w:rFonts w:cs="Arial"/>
        </w:rPr>
        <w:t xml:space="preserve"> 92(4), pp. 255–266. https://doi.org/10.1159/000531201.</w:t>
      </w:r>
    </w:p>
    <w:p w14:paraId="38CEA453" w14:textId="77777777" w:rsidR="00BB5DC1" w:rsidRPr="0068097B" w:rsidRDefault="008279DB" w:rsidP="0068097B">
      <w:pPr>
        <w:pStyle w:val="ListParagraph"/>
        <w:numPr>
          <w:ilvl w:val="0"/>
          <w:numId w:val="10"/>
        </w:numPr>
        <w:spacing w:line="360" w:lineRule="auto"/>
        <w:rPr>
          <w:rFonts w:cs="Arial"/>
        </w:rPr>
      </w:pPr>
      <w:r w:rsidRPr="0068097B">
        <w:rPr>
          <w:rFonts w:cs="Arial"/>
        </w:rPr>
        <w:t>Hendriks, G</w:t>
      </w:r>
      <w:r w:rsidRPr="0068097B">
        <w:rPr>
          <w:rFonts w:ascii="Cambria Math" w:hAnsi="Cambria Math" w:cs="Cambria Math"/>
        </w:rPr>
        <w:t>‑</w:t>
      </w:r>
      <w:r w:rsidRPr="0068097B">
        <w:rPr>
          <w:rFonts w:cs="Arial"/>
        </w:rPr>
        <w:t>J. et al. (2024) ‘CBT and third</w:t>
      </w:r>
      <w:r w:rsidRPr="0068097B">
        <w:rPr>
          <w:rFonts w:ascii="Cambria Math" w:hAnsi="Cambria Math" w:cs="Cambria Math"/>
        </w:rPr>
        <w:t>‑</w:t>
      </w:r>
      <w:r w:rsidRPr="0068097B">
        <w:rPr>
          <w:rFonts w:cs="Arial"/>
        </w:rPr>
        <w:t>wave approaches for anxiety disorders in older people’, Cochrane Database of Systematic Reviews, CD007674. https://doi.org/10.1002/14651858.CD007674.pub3.</w:t>
      </w:r>
    </w:p>
    <w:p w14:paraId="6A82D06D" w14:textId="285D06E9" w:rsidR="00BB5DC1" w:rsidRPr="0068097B" w:rsidRDefault="008279DB" w:rsidP="0068097B">
      <w:pPr>
        <w:pStyle w:val="ListParagraph"/>
        <w:numPr>
          <w:ilvl w:val="0"/>
          <w:numId w:val="10"/>
        </w:numPr>
        <w:spacing w:line="360" w:lineRule="auto"/>
        <w:rPr>
          <w:rFonts w:cs="Arial"/>
        </w:rPr>
      </w:pPr>
      <w:r w:rsidRPr="0068097B">
        <w:rPr>
          <w:rFonts w:cs="Arial"/>
        </w:rPr>
        <w:t>A</w:t>
      </w:r>
      <w:r w:rsidRPr="0068097B">
        <w:rPr>
          <w:rFonts w:cs="Arial"/>
        </w:rPr>
        <w:t xml:space="preserve">merican Academy of Family Physicians (AAFP) (2025) ‘Cognitive </w:t>
      </w:r>
      <w:proofErr w:type="spellStart"/>
      <w:r w:rsidR="0068097B" w:rsidRPr="0068097B">
        <w:rPr>
          <w:rFonts w:cs="Arial"/>
        </w:rPr>
        <w:t>Behavioural</w:t>
      </w:r>
      <w:proofErr w:type="spellEnd"/>
      <w:r w:rsidRPr="0068097B">
        <w:rPr>
          <w:rFonts w:cs="Arial"/>
        </w:rPr>
        <w:t xml:space="preserve"> Therapy for Anxiety and Related Disorders in Older People’, American Family Physician, 111(4), pp. 314–315. Available at: https://www.aafp.org/pubs/afp/issues/2025/0400/cochrane-cogni</w:t>
      </w:r>
      <w:r w:rsidRPr="0068097B">
        <w:rPr>
          <w:rFonts w:cs="Arial"/>
        </w:rPr>
        <w:t>tive-behavior-therapy-anxiety.html (Accessed: 04 December 2025).</w:t>
      </w:r>
    </w:p>
    <w:p w14:paraId="3782E25B" w14:textId="77777777" w:rsidR="00BB5DC1" w:rsidRPr="0068097B" w:rsidRDefault="008279DB" w:rsidP="0068097B">
      <w:pPr>
        <w:pStyle w:val="ListParagraph"/>
        <w:numPr>
          <w:ilvl w:val="0"/>
          <w:numId w:val="10"/>
        </w:numPr>
        <w:spacing w:line="360" w:lineRule="auto"/>
        <w:rPr>
          <w:rFonts w:cs="Arial"/>
        </w:rPr>
      </w:pPr>
      <w:r w:rsidRPr="0068097B">
        <w:rPr>
          <w:rFonts w:cs="Arial"/>
        </w:rPr>
        <w:t xml:space="preserve">Zwakhalen, S.M.G. et al. (2018) ‘Working in small-scale homelike dementia care: Effects on staff burnout symptoms and job characteristics’, Journal of Research in Nursing, 23(2–3), pp. </w:t>
      </w:r>
      <w:r w:rsidRPr="0068097B">
        <w:rPr>
          <w:rFonts w:cs="Arial"/>
        </w:rPr>
        <w:t>109–122. https://doi.org/10.1177/1744987118757838.</w:t>
      </w:r>
    </w:p>
    <w:p w14:paraId="33328118" w14:textId="77777777" w:rsidR="00BB5DC1" w:rsidRPr="0068097B" w:rsidRDefault="008279DB" w:rsidP="0068097B">
      <w:pPr>
        <w:pStyle w:val="ListParagraph"/>
        <w:numPr>
          <w:ilvl w:val="0"/>
          <w:numId w:val="10"/>
        </w:numPr>
        <w:spacing w:line="360" w:lineRule="auto"/>
        <w:rPr>
          <w:rFonts w:cs="Arial"/>
        </w:rPr>
      </w:pPr>
      <w:r w:rsidRPr="0068097B">
        <w:rPr>
          <w:rFonts w:cs="Arial"/>
        </w:rPr>
        <w:t>Costello, H. et al. (2019) ‘Stress and burnout among staff in long-term dementia care: Systematic review and meta-analysis’, International Psychogeriatrics, 31(8), pp. 1203–1216. https://doi.org/10.1017/S1</w:t>
      </w:r>
      <w:r w:rsidRPr="0068097B">
        <w:rPr>
          <w:rFonts w:cs="Arial"/>
        </w:rPr>
        <w:t>041610218000636.</w:t>
      </w:r>
    </w:p>
    <w:p w14:paraId="338F4CDD" w14:textId="77777777" w:rsidR="00BB5DC1" w:rsidRPr="0068097B" w:rsidRDefault="008279DB" w:rsidP="0068097B">
      <w:pPr>
        <w:pStyle w:val="ListParagraph"/>
        <w:numPr>
          <w:ilvl w:val="0"/>
          <w:numId w:val="10"/>
        </w:numPr>
        <w:spacing w:line="360" w:lineRule="auto"/>
        <w:rPr>
          <w:rFonts w:cs="Arial"/>
        </w:rPr>
      </w:pPr>
      <w:r w:rsidRPr="0068097B">
        <w:rPr>
          <w:rFonts w:cs="Arial"/>
        </w:rPr>
        <w:t>LTCCC (2025) Non</w:t>
      </w:r>
      <w:r w:rsidRPr="0068097B">
        <w:rPr>
          <w:rFonts w:ascii="Cambria Math" w:hAnsi="Cambria Math" w:cs="Cambria Math"/>
        </w:rPr>
        <w:t>‑</w:t>
      </w:r>
      <w:r w:rsidRPr="0068097B">
        <w:rPr>
          <w:rFonts w:cs="Arial"/>
        </w:rPr>
        <w:t>pharmacologic approaches to dementia care: Fact sheet. Available at: https://nursinghome411.org/wp-content/uploads/2025/06/LTCCC-Fact-Sheet-Non-Pharmacologic-Approaches-to-Dementia-Care.pdf (Accessed: 04 December 2025).</w:t>
      </w:r>
    </w:p>
    <w:p w14:paraId="1B847748" w14:textId="77777777" w:rsidR="00BB5DC1" w:rsidRPr="0068097B" w:rsidRDefault="008279DB" w:rsidP="0068097B">
      <w:pPr>
        <w:pStyle w:val="ListParagraph"/>
        <w:numPr>
          <w:ilvl w:val="0"/>
          <w:numId w:val="10"/>
        </w:numPr>
        <w:spacing w:line="360" w:lineRule="auto"/>
        <w:rPr>
          <w:rFonts w:cs="Arial"/>
        </w:rPr>
      </w:pPr>
      <w:r w:rsidRPr="0068097B">
        <w:rPr>
          <w:rFonts w:cs="Arial"/>
        </w:rPr>
        <w:lastRenderedPageBreak/>
        <w:t>Mi</w:t>
      </w:r>
      <w:r w:rsidRPr="0068097B">
        <w:rPr>
          <w:rFonts w:cs="Arial"/>
        </w:rPr>
        <w:t>tchell, G. and Agnelli, J. (2015) ‘Person-centred care for people with dementia: Kitwood reconsidered’, Nursing Standard, 30(7), pp. 46–50. Available at: https://www.researchgate.net/publication/283244999 (Accessed: 04 December 2025).</w:t>
      </w:r>
    </w:p>
    <w:sectPr w:rsidR="00BB5DC1" w:rsidRPr="0068097B" w:rsidSect="00034616">
      <w:footerReference w:type="default" r:id="rId9"/>
      <w:pgSz w:w="12240" w:h="15840"/>
      <w:pgMar w:top="1440" w:right="1800" w:bottom="1440" w:left="180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FD5F7A7" w14:textId="77777777" w:rsidR="00000000" w:rsidRDefault="008279DB">
      <w:pPr>
        <w:spacing w:after="0" w:line="240" w:lineRule="auto"/>
      </w:pPr>
      <w:r>
        <w:separator/>
      </w:r>
    </w:p>
  </w:endnote>
  <w:endnote w:type="continuationSeparator" w:id="0">
    <w:p w14:paraId="52F324A3" w14:textId="77777777" w:rsidR="00000000" w:rsidRDefault="008279D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2AFF" w:usb1="4000ACFF" w:usb2="00000001"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70409020205020404"/>
    <w:charset w:val="00"/>
    <w:family w:val="auto"/>
    <w:pitch w:val="variable"/>
    <w:sig w:usb0="00000003" w:usb1="00000000" w:usb2="00000000" w:usb3="00000000" w:csb0="00000001"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DA20523" w14:textId="77777777" w:rsidR="00BB5DC1" w:rsidRDefault="008279DB">
    <w:pPr>
      <w:pStyle w:val="Footer"/>
      <w:jc w:val="center"/>
    </w:pPr>
    <w:r>
      <w:fldChar w:fldCharType="begin"/>
    </w:r>
    <w:r>
      <w:instrText>PA</w:instrText>
    </w:r>
    <w:r>
      <w:instrText>GE</w:instrText>
    </w:r>
    <w:r>
      <w:fldChar w:fldCharType="separate"/>
    </w:r>
    <w:r w:rsidR="00684E9A">
      <w:rPr>
        <w:noProof/>
      </w:rPr>
      <w:t>1</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3E0B316" w14:textId="77777777" w:rsidR="00000000" w:rsidRDefault="008279DB">
      <w:pPr>
        <w:spacing w:after="0" w:line="240" w:lineRule="auto"/>
      </w:pPr>
      <w:r>
        <w:separator/>
      </w:r>
    </w:p>
  </w:footnote>
  <w:footnote w:type="continuationSeparator" w:id="0">
    <w:p w14:paraId="1418822A" w14:textId="77777777" w:rsidR="00000000" w:rsidRDefault="008279D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abstractNum w:abstractNumId="9" w15:restartNumberingAfterBreak="0">
    <w:nsid w:val="6E174033"/>
    <w:multiLevelType w:val="hybridMultilevel"/>
    <w:tmpl w:val="424E31F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8"/>
  </w:num>
  <w:num w:numId="2">
    <w:abstractNumId w:val="6"/>
  </w:num>
  <w:num w:numId="3">
    <w:abstractNumId w:val="5"/>
  </w:num>
  <w:num w:numId="4">
    <w:abstractNumId w:val="4"/>
  </w:num>
  <w:num w:numId="5">
    <w:abstractNumId w:val="7"/>
  </w:num>
  <w:num w:numId="6">
    <w:abstractNumId w:val="3"/>
  </w:num>
  <w:num w:numId="7">
    <w:abstractNumId w:val="2"/>
  </w:num>
  <w:num w:numId="8">
    <w:abstractNumId w:val="1"/>
  </w:num>
  <w:num w:numId="9">
    <w:abstractNumId w:val="0"/>
  </w:num>
  <w:num w:numId="10">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6"/>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47730"/>
    <w:rsid w:val="00034616"/>
    <w:rsid w:val="0006063C"/>
    <w:rsid w:val="0015074B"/>
    <w:rsid w:val="0029639D"/>
    <w:rsid w:val="00326F90"/>
    <w:rsid w:val="0068097B"/>
    <w:rsid w:val="0068350F"/>
    <w:rsid w:val="00684E9A"/>
    <w:rsid w:val="008279DB"/>
    <w:rsid w:val="00AA1D8D"/>
    <w:rsid w:val="00B47730"/>
    <w:rsid w:val="00BB5DC1"/>
    <w:rsid w:val="00CB0664"/>
    <w:rsid w:val="00FC693F"/>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1EAEF318"/>
  <w14:defaultImageDpi w14:val="300"/>
  <w15:docId w15:val="{A1CD1256-FEBB-4B73-8276-04C36E0D004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5" w:semiHidden="1" w:unhideWhenUsed="1"/>
    <w:lsdException w:name="Grid Table Light" w:semiHidden="1" w:unhideWhenUsed="1"/>
    <w:lsdException w:name="Grid Table 1 Light" w:semiHidden="1" w:unhideWhenUsed="1"/>
    <w:lsdException w:name="Grid Table 2" w:semiHidden="1" w:unhideWhenUsed="1"/>
    <w:lsdException w:name="Grid Table 3" w:semiHidden="1" w:unhideWhenUsed="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rPr>
      <w:rFonts w:ascii="Arial" w:hAnsi="Arial"/>
    </w:rPr>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paragraph" w:styleId="TOC1">
    <w:name w:val="toc 1"/>
    <w:basedOn w:val="Normal"/>
    <w:next w:val="Normal"/>
    <w:autoRedefine/>
    <w:uiPriority w:val="39"/>
    <w:unhideWhenUsed/>
    <w:rsid w:val="00684E9A"/>
    <w:pPr>
      <w:spacing w:after="100"/>
    </w:pPr>
  </w:style>
  <w:style w:type="paragraph" w:styleId="TOC2">
    <w:name w:val="toc 2"/>
    <w:basedOn w:val="Normal"/>
    <w:next w:val="Normal"/>
    <w:autoRedefine/>
    <w:uiPriority w:val="39"/>
    <w:unhideWhenUsed/>
    <w:rsid w:val="00684E9A"/>
    <w:pPr>
      <w:spacing w:after="100"/>
      <w:ind w:left="220"/>
    </w:pPr>
  </w:style>
  <w:style w:type="paragraph" w:styleId="TOC3">
    <w:name w:val="toc 3"/>
    <w:basedOn w:val="Normal"/>
    <w:next w:val="Normal"/>
    <w:autoRedefine/>
    <w:uiPriority w:val="39"/>
    <w:unhideWhenUsed/>
    <w:rsid w:val="00684E9A"/>
    <w:pPr>
      <w:spacing w:after="100"/>
      <w:ind w:left="440"/>
    </w:pPr>
  </w:style>
  <w:style w:type="character" w:styleId="Hyperlink">
    <w:name w:val="Hyperlink"/>
    <w:basedOn w:val="DefaultParagraphFont"/>
    <w:uiPriority w:val="99"/>
    <w:unhideWhenUsed/>
    <w:rsid w:val="00684E9A"/>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TotalTime>
  <Pages>9</Pages>
  <Words>2393</Words>
  <Characters>13641</Characters>
  <Application>Microsoft Office Word</Application>
  <DocSecurity>0</DocSecurity>
  <Lines>113</Lines>
  <Paragraphs>32</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16002</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python-docx</dc:creator>
  <cp:keywords/>
  <dc:description>generated by python-docx</dc:description>
  <cp:lastModifiedBy>Julaka Awal (2427684)</cp:lastModifiedBy>
  <cp:revision>2</cp:revision>
  <dcterms:created xsi:type="dcterms:W3CDTF">2025-12-04T11:19:00Z</dcterms:created>
  <dcterms:modified xsi:type="dcterms:W3CDTF">2025-12-04T11:19:00Z</dcterms:modified>
  <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c779a326-6200-4903-a30b-89d5b3dedd3c</vt:lpwstr>
  </property>
</Properties>
</file>